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37"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14"/>
          <w:szCs w:val="14"/>
          <w:b w:val="1"/>
          <w:bCs w:val="1"/>
          <w:color w:val="auto"/>
        </w:rPr>
        <w:t>As filed with the Securities and Exchange Commission on June 30, 2026</w:t>
      </w:r>
    </w:p>
    <w:p>
      <w:pPr>
        <w:spacing w:after="0" w:line="23" w:lineRule="exact"/>
        <w:rPr>
          <w:sz w:val="24"/>
          <w:szCs w:val="24"/>
          <w:color w:val="auto"/>
        </w:rPr>
      </w:pPr>
    </w:p>
    <w:p>
      <w:pPr>
        <w:ind w:left="7940"/>
        <w:spacing w:after="0"/>
        <w:rPr>
          <w:sz w:val="20"/>
          <w:szCs w:val="20"/>
          <w:color w:val="auto"/>
        </w:rPr>
      </w:pPr>
      <w:r>
        <w:rPr>
          <w:rFonts w:ascii="Times New Roman" w:cs="Times New Roman" w:eastAsia="Times New Roman" w:hAnsi="Times New Roman"/>
          <w:sz w:val="14"/>
          <w:szCs w:val="14"/>
          <w:b w:val="1"/>
          <w:bCs w:val="1"/>
          <w:color w:val="auto"/>
        </w:rPr>
        <w:t xml:space="preserve">Securities Act File No. 333-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873125</wp:posOffset>
            </wp:positionH>
            <wp:positionV relativeFrom="paragraph">
              <wp:posOffset>57150</wp:posOffset>
            </wp:positionV>
            <wp:extent cx="5422265" cy="6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422265" cy="6350"/>
                    </a:xfrm>
                    <a:prstGeom prst="rect">
                      <a:avLst/>
                    </a:prstGeom>
                    <a:noFill/>
                  </pic:spPr>
                </pic:pic>
              </a:graphicData>
            </a:graphic>
          </wp:anchor>
        </w:drawing>
        <w:drawing>
          <wp:anchor simplePos="0" relativeHeight="251657728" behindDoc="1" locked="0" layoutInCell="0" allowOverlap="1">
            <wp:simplePos x="0" y="0"/>
            <wp:positionH relativeFrom="column">
              <wp:posOffset>873125</wp:posOffset>
            </wp:positionH>
            <wp:positionV relativeFrom="paragraph">
              <wp:posOffset>90170</wp:posOffset>
            </wp:positionV>
            <wp:extent cx="5422265" cy="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422265" cy="6350"/>
                    </a:xfrm>
                    <a:prstGeom prst="rect">
                      <a:avLst/>
                    </a:prstGeom>
                    <a:noFill/>
                  </pic:spPr>
                </pic:pic>
              </a:graphicData>
            </a:graphic>
          </wp:anchor>
        </w:drawing>
      </w:r>
    </w:p>
    <w:p>
      <w:pPr>
        <w:spacing w:after="0" w:line="14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2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ind w:left="4920"/>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3012440</wp:posOffset>
            </wp:positionH>
            <wp:positionV relativeFrom="paragraph">
              <wp:posOffset>175895</wp:posOffset>
            </wp:positionV>
            <wp:extent cx="1143000" cy="6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43000" cy="6350"/>
                    </a:xfrm>
                    <a:prstGeom prst="rect">
                      <a:avLst/>
                    </a:prstGeom>
                    <a:noFill/>
                  </pic:spPr>
                </pic:pic>
              </a:graphicData>
            </a:graphic>
          </wp:anchor>
        </w:drawing>
      </w:r>
    </w:p>
    <w:p>
      <w:pPr>
        <w:spacing w:after="0" w:line="39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FORM N-14</w:t>
      </w:r>
    </w:p>
    <w:p>
      <w:pPr>
        <w:spacing w:after="0" w:line="2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REGISTRATION STATEMENT</w:t>
      </w:r>
    </w:p>
    <w:tbl>
      <w:tblPr>
        <w:tblLayout w:type="fixed"/>
        <w:tblInd w:w="4440" w:type="dxa"/>
        <w:tblCellMar>
          <w:top w:w="0" w:type="dxa"/>
          <w:left w:w="0" w:type="dxa"/>
          <w:bottom w:w="0" w:type="dxa"/>
          <w:right w:w="0" w:type="dxa"/>
        </w:tblCellMar>
      </w:tblPr>
      <w:tr>
        <w:trPr>
          <w:trHeight w:val="166"/>
        </w:trPr>
        <w:tc>
          <w:tcPr>
            <w:tcW w:w="3860" w:type="dxa"/>
            <w:vAlign w:val="bottom"/>
          </w:tcPr>
          <w:p>
            <w:pPr>
              <w:ind w:left="920"/>
              <w:spacing w:after="0" w:line="167" w:lineRule="exact"/>
              <w:rPr>
                <w:sz w:val="20"/>
                <w:szCs w:val="20"/>
                <w:color w:val="auto"/>
              </w:rPr>
            </w:pPr>
            <w:r>
              <w:rPr>
                <w:rFonts w:ascii="Times New Roman" w:cs="Times New Roman" w:eastAsia="Times New Roman" w:hAnsi="Times New Roman"/>
                <w:sz w:val="17"/>
                <w:szCs w:val="17"/>
                <w:b w:val="1"/>
                <w:bCs w:val="1"/>
                <w:i w:val="1"/>
                <w:iCs w:val="1"/>
                <w:color w:val="auto"/>
              </w:rPr>
              <w:t>UNDER</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3860" w:type="dxa"/>
            <w:vAlign w:val="bottom"/>
          </w:tcPr>
          <w:p>
            <w:pPr>
              <w:spacing w:after="0" w:line="189" w:lineRule="exact"/>
              <w:rPr>
                <w:sz w:val="20"/>
                <w:szCs w:val="20"/>
                <w:color w:val="auto"/>
              </w:rPr>
            </w:pPr>
            <w:r>
              <w:rPr>
                <w:rFonts w:ascii="Times New Roman" w:cs="Times New Roman" w:eastAsia="Times New Roman" w:hAnsi="Times New Roman"/>
                <w:sz w:val="17"/>
                <w:szCs w:val="17"/>
                <w:b w:val="1"/>
                <w:bCs w:val="1"/>
                <w:i w:val="1"/>
                <w:iCs w:val="1"/>
                <w:color w:val="auto"/>
              </w:rPr>
              <w:t>THE SECURITIES ACT OF 1933</w:t>
            </w:r>
          </w:p>
        </w:tc>
        <w:tc>
          <w:tcPr>
            <w:tcW w:w="1580" w:type="dxa"/>
            <w:vAlign w:val="bottom"/>
            <w:vMerge w:val="restart"/>
          </w:tcPr>
          <w:p>
            <w:pPr>
              <w:ind w:left="1440"/>
              <w:spacing w:after="0" w:line="141" w:lineRule="exact"/>
              <w:rPr>
                <w:sz w:val="20"/>
                <w:szCs w:val="20"/>
                <w:color w:val="auto"/>
              </w:rPr>
            </w:pPr>
            <w:r>
              <w:rPr>
                <w:rFonts w:ascii="MS PGothic" w:cs="MS PGothic" w:eastAsia="MS PGothic" w:hAnsi="MS PGothic"/>
                <w:sz w:val="14"/>
                <w:szCs w:val="14"/>
                <w:color w:val="auto"/>
                <w:w w:val="85"/>
              </w:rPr>
              <w:t>☐</w:t>
            </w:r>
          </w:p>
        </w:tc>
        <w:tc>
          <w:tcPr>
            <w:tcW w:w="0" w:type="dxa"/>
            <w:vAlign w:val="bottom"/>
          </w:tcPr>
          <w:p>
            <w:pPr>
              <w:spacing w:after="0"/>
              <w:rPr>
                <w:sz w:val="1"/>
                <w:szCs w:val="1"/>
                <w:color w:val="auto"/>
              </w:rPr>
            </w:pPr>
          </w:p>
        </w:tc>
      </w:tr>
      <w:tr>
        <w:trPr>
          <w:trHeight w:val="171"/>
        </w:trPr>
        <w:tc>
          <w:tcPr>
            <w:tcW w:w="3860" w:type="dxa"/>
            <w:vAlign w:val="bottom"/>
          </w:tcPr>
          <w:p>
            <w:pPr>
              <w:ind w:left="20"/>
              <w:spacing w:after="0" w:line="172" w:lineRule="exact"/>
              <w:rPr>
                <w:sz w:val="20"/>
                <w:szCs w:val="20"/>
                <w:color w:val="auto"/>
              </w:rPr>
            </w:pPr>
            <w:r>
              <w:rPr>
                <w:rFonts w:ascii="Times New Roman" w:cs="Times New Roman" w:eastAsia="Times New Roman" w:hAnsi="Times New Roman"/>
                <w:sz w:val="17"/>
                <w:szCs w:val="17"/>
                <w:b w:val="1"/>
                <w:bCs w:val="1"/>
                <w:color w:val="auto"/>
              </w:rPr>
              <w:t>Pre-Effective Amendment No.</w:t>
            </w:r>
          </w:p>
        </w:tc>
        <w:tc>
          <w:tcPr>
            <w:tcW w:w="15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38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Post-Effective Amendment No.</w:t>
            </w:r>
          </w:p>
        </w:tc>
        <w:tc>
          <w:tcPr>
            <w:tcW w:w="1580" w:type="dxa"/>
            <w:vAlign w:val="bottom"/>
          </w:tcPr>
          <w:p>
            <w:pPr>
              <w:ind w:left="1440"/>
              <w:spacing w:after="0" w:line="141" w:lineRule="exact"/>
              <w:rPr>
                <w:sz w:val="20"/>
                <w:szCs w:val="20"/>
                <w:color w:val="auto"/>
              </w:rPr>
            </w:pPr>
            <w:r>
              <w:rPr>
                <w:rFonts w:ascii="MS PGothic" w:cs="MS PGothic" w:eastAsia="MS PGothic" w:hAnsi="MS PGothic"/>
                <w:sz w:val="14"/>
                <w:szCs w:val="14"/>
                <w:color w:val="auto"/>
                <w:w w:val="85"/>
              </w:rPr>
              <w:t>☐</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3012440</wp:posOffset>
            </wp:positionH>
            <wp:positionV relativeFrom="paragraph">
              <wp:posOffset>173990</wp:posOffset>
            </wp:positionV>
            <wp:extent cx="1143000" cy="6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43000" cy="6350"/>
                    </a:xfrm>
                    <a:prstGeom prst="rect">
                      <a:avLst/>
                    </a:prstGeom>
                    <a:noFill/>
                  </pic:spPr>
                </pic:pic>
              </a:graphicData>
            </a:graphic>
          </wp:anchor>
        </w:drawing>
      </w:r>
    </w:p>
    <w:p>
      <w:pPr>
        <w:spacing w:after="0" w:line="39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3"/>
          <w:szCs w:val="33"/>
          <w:b w:val="1"/>
          <w:bCs w:val="1"/>
          <w:color w:val="auto"/>
        </w:rPr>
        <w:t>FIDUS INVESTMENT CORPORATION</w:t>
      </w:r>
    </w:p>
    <w:p>
      <w:pPr>
        <w:spacing w:after="0" w:line="48"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3012440</wp:posOffset>
            </wp:positionH>
            <wp:positionV relativeFrom="paragraph">
              <wp:posOffset>175895</wp:posOffset>
            </wp:positionV>
            <wp:extent cx="1143000" cy="6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43000" cy="6350"/>
                    </a:xfrm>
                    <a:prstGeom prst="rect">
                      <a:avLst/>
                    </a:prstGeom>
                    <a:noFill/>
                  </pic:spPr>
                </pic:pic>
              </a:graphicData>
            </a:graphic>
          </wp:anchor>
        </w:drawing>
      </w:r>
    </w:p>
    <w:p>
      <w:pPr>
        <w:spacing w:after="0" w:line="200" w:lineRule="exact"/>
        <w:rPr>
          <w:sz w:val="24"/>
          <w:szCs w:val="24"/>
          <w:color w:val="auto"/>
        </w:rPr>
      </w:pPr>
    </w:p>
    <w:p>
      <w:pPr>
        <w:spacing w:after="0" w:line="21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1603 Orrington Avenue, Suite 1005</w:t>
      </w:r>
    </w:p>
    <w:p>
      <w:pPr>
        <w:spacing w:after="0" w:line="2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Evanston, Illinois 60201</w:t>
      </w:r>
    </w:p>
    <w:p>
      <w:pPr>
        <w:spacing w:after="0" w:line="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(847) 859-3940</w:t>
      </w:r>
    </w:p>
    <w:p>
      <w:pPr>
        <w:spacing w:after="0" w:line="1"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11"/>
          <w:szCs w:val="11"/>
          <w:b w:val="1"/>
          <w:bCs w:val="1"/>
          <w:color w:val="auto"/>
        </w:rPr>
        <w:t>(Address and telephone number, including area code,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3012440</wp:posOffset>
            </wp:positionH>
            <wp:positionV relativeFrom="paragraph">
              <wp:posOffset>168910</wp:posOffset>
            </wp:positionV>
            <wp:extent cx="1143000" cy="6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143000" cy="6350"/>
                    </a:xfrm>
                    <a:prstGeom prst="rect">
                      <a:avLst/>
                    </a:prstGeom>
                    <a:noFill/>
                  </pic:spPr>
                </pic:pic>
              </a:graphicData>
            </a:graphic>
          </wp:anchor>
        </w:drawing>
      </w:r>
    </w:p>
    <w:p>
      <w:pPr>
        <w:spacing w:after="0" w:line="200" w:lineRule="exact"/>
        <w:rPr>
          <w:sz w:val="24"/>
          <w:szCs w:val="24"/>
          <w:color w:val="auto"/>
        </w:rPr>
      </w:pPr>
    </w:p>
    <w:p>
      <w:pPr>
        <w:spacing w:after="0" w:line="20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Edward H. Ross</w:t>
      </w:r>
    </w:p>
    <w:p>
      <w:pPr>
        <w:spacing w:after="0" w:line="2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Chief Executive Officer</w:t>
      </w:r>
    </w:p>
    <w:p>
      <w:pPr>
        <w:spacing w:after="0" w:line="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1603 Orrington Avenue, Suite 1005</w:t>
      </w:r>
    </w:p>
    <w:p>
      <w:pPr>
        <w:spacing w:after="0" w:line="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Evanston, Illinois 60201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3012440</wp:posOffset>
            </wp:positionH>
            <wp:positionV relativeFrom="paragraph">
              <wp:posOffset>183515</wp:posOffset>
            </wp:positionV>
            <wp:extent cx="1143000" cy="63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143000" cy="6350"/>
                    </a:xfrm>
                    <a:prstGeom prst="rect">
                      <a:avLst/>
                    </a:prstGeom>
                    <a:noFill/>
                  </pic:spPr>
                </pic:pic>
              </a:graphicData>
            </a:graphic>
          </wp:anchor>
        </w:drawing>
      </w:r>
    </w:p>
    <w:p>
      <w:pPr>
        <w:spacing w:after="0" w:line="200" w:lineRule="exact"/>
        <w:rPr>
          <w:sz w:val="24"/>
          <w:szCs w:val="24"/>
          <w:color w:val="auto"/>
        </w:rPr>
      </w:pPr>
    </w:p>
    <w:p>
      <w:pPr>
        <w:spacing w:after="0" w:line="23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i w:val="1"/>
          <w:iCs w:val="1"/>
          <w:color w:val="auto"/>
        </w:rPr>
        <w:t>COPIES TO:</w:t>
      </w:r>
    </w:p>
    <w:p>
      <w:pPr>
        <w:spacing w:after="0" w:line="17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Steven B. Boehm, Esq.</w:t>
      </w:r>
    </w:p>
    <w:p>
      <w:pPr>
        <w:spacing w:after="0" w:line="2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Payam Siadatpour, Esq.</w:t>
      </w:r>
    </w:p>
    <w:p>
      <w:pPr>
        <w:spacing w:after="0" w:line="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Sara Sabour Nasseri, Esq.</w:t>
      </w:r>
    </w:p>
    <w:p>
      <w:pPr>
        <w:spacing w:after="0" w:line="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Eversheds Sutherland (US) LLP</w:t>
      </w:r>
    </w:p>
    <w:p>
      <w:pPr>
        <w:spacing w:after="0" w:line="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700 Sixth Street, NW, Suite 700</w:t>
      </w:r>
    </w:p>
    <w:p>
      <w:pPr>
        <w:spacing w:after="0" w:line="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Washington, DC 20001</w:t>
      </w:r>
    </w:p>
    <w:p>
      <w:pPr>
        <w:spacing w:after="0" w:line="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Tel: (202) 383-0100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3012440</wp:posOffset>
            </wp:positionH>
            <wp:positionV relativeFrom="paragraph">
              <wp:posOffset>176530</wp:posOffset>
            </wp:positionV>
            <wp:extent cx="1143000" cy="63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143000" cy="6350"/>
                    </a:xfrm>
                    <a:prstGeom prst="rect">
                      <a:avLst/>
                    </a:prstGeom>
                    <a:noFill/>
                  </pic:spPr>
                </pic:pic>
              </a:graphicData>
            </a:graphic>
          </wp:anchor>
        </w:drawing>
      </w:r>
    </w:p>
    <w:p>
      <w:pPr>
        <w:spacing w:after="0" w:line="200" w:lineRule="exact"/>
        <w:rPr>
          <w:sz w:val="24"/>
          <w:szCs w:val="24"/>
          <w:color w:val="auto"/>
        </w:rPr>
      </w:pPr>
    </w:p>
    <w:p>
      <w:pPr>
        <w:spacing w:after="0" w:line="220" w:lineRule="exact"/>
        <w:rPr>
          <w:sz w:val="24"/>
          <w:szCs w:val="24"/>
          <w:color w:val="auto"/>
        </w:rPr>
      </w:pPr>
    </w:p>
    <w:p>
      <w:pPr>
        <w:jc w:val="both"/>
        <w:ind w:left="1380" w:right="279"/>
        <w:spacing w:after="0" w:line="284" w:lineRule="auto"/>
        <w:rPr>
          <w:sz w:val="20"/>
          <w:szCs w:val="20"/>
          <w:color w:val="auto"/>
        </w:rPr>
      </w:pPr>
      <w:r>
        <w:rPr>
          <w:rFonts w:ascii="Times New Roman" w:cs="Times New Roman" w:eastAsia="Times New Roman" w:hAnsi="Times New Roman"/>
          <w:sz w:val="14"/>
          <w:szCs w:val="14"/>
          <w:b w:val="1"/>
          <w:bCs w:val="1"/>
          <w:color w:val="auto"/>
        </w:rPr>
        <w:t xml:space="preserve">Approximate Date of Proposed Public Offering: </w:t>
      </w:r>
      <w:r>
        <w:rPr>
          <w:rFonts w:ascii="Times New Roman" w:cs="Times New Roman" w:eastAsia="Times New Roman" w:hAnsi="Times New Roman"/>
          <w:sz w:val="14"/>
          <w:szCs w:val="14"/>
          <w:color w:val="auto"/>
        </w:rPr>
        <w:t>As soon as practicable after this registration statement becomes effective and upon completion of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transactions described in the enclosed document.</w:t>
      </w:r>
    </w:p>
    <w:p>
      <w:pPr>
        <w:spacing w:after="0" w:line="121" w:lineRule="exact"/>
        <w:rPr>
          <w:sz w:val="24"/>
          <w:szCs w:val="24"/>
          <w:color w:val="auto"/>
        </w:rPr>
      </w:pPr>
    </w:p>
    <w:p>
      <w:pPr>
        <w:ind w:left="1380" w:right="359"/>
        <w:spacing w:after="0" w:line="261" w:lineRule="auto"/>
        <w:rPr>
          <w:sz w:val="20"/>
          <w:szCs w:val="20"/>
          <w:color w:val="auto"/>
        </w:rPr>
      </w:pPr>
      <w:r>
        <w:rPr>
          <w:rFonts w:ascii="Times New Roman" w:cs="Times New Roman" w:eastAsia="Times New Roman" w:hAnsi="Times New Roman"/>
          <w:sz w:val="14"/>
          <w:szCs w:val="14"/>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873125</wp:posOffset>
            </wp:positionH>
            <wp:positionV relativeFrom="paragraph">
              <wp:posOffset>104140</wp:posOffset>
            </wp:positionV>
            <wp:extent cx="5422265" cy="63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422265" cy="6350"/>
                    </a:xfrm>
                    <a:prstGeom prst="rect">
                      <a:avLst/>
                    </a:prstGeom>
                    <a:noFill/>
                  </pic:spPr>
                </pic:pic>
              </a:graphicData>
            </a:graphic>
          </wp:anchor>
        </w:drawing>
        <w:drawing>
          <wp:anchor simplePos="0" relativeHeight="251657728" behindDoc="1" locked="0" layoutInCell="0" allowOverlap="1">
            <wp:simplePos x="0" y="0"/>
            <wp:positionH relativeFrom="column">
              <wp:posOffset>873125</wp:posOffset>
            </wp:positionH>
            <wp:positionV relativeFrom="paragraph">
              <wp:posOffset>137160</wp:posOffset>
            </wp:positionV>
            <wp:extent cx="5422265" cy="63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422265" cy="6350"/>
                    </a:xfrm>
                    <a:prstGeom prst="rect">
                      <a:avLst/>
                    </a:prstGeom>
                    <a:noFill/>
                  </pic:spPr>
                </pic:pic>
              </a:graphicData>
            </a:graphic>
          </wp:anchor>
        </w:drawing>
      </w:r>
    </w:p>
    <w:p>
      <w:pPr>
        <w:sectPr>
          <w:pgSz w:w="11900" w:h="16838" w:orient="portrait"/>
          <w:cols w:equalWidth="0" w:num="1">
            <w:col w:w="10159"/>
          </w:cols>
          <w:pgMar w:left="300" w:top="207"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0" w:lineRule="exact"/>
        <w:rPr>
          <w:sz w:val="20"/>
          <w:szCs w:val="20"/>
          <w:color w:val="auto"/>
        </w:rPr>
      </w:pPr>
    </w:p>
    <w:p>
      <w:pPr>
        <w:spacing w:after="0" w:line="204" w:lineRule="exact"/>
        <w:rPr>
          <w:sz w:val="20"/>
          <w:szCs w:val="20"/>
          <w:color w:val="auto"/>
        </w:rPr>
      </w:pPr>
    </w:p>
    <w:tbl>
      <w:tblPr>
        <w:tblLayout w:type="fixed"/>
        <w:tblInd w:w="1380" w:type="dxa"/>
        <w:tblCellMar>
          <w:top w:w="0" w:type="dxa"/>
          <w:left w:w="0" w:type="dxa"/>
          <w:bottom w:w="0" w:type="dxa"/>
          <w:right w:w="0" w:type="dxa"/>
        </w:tblCellMar>
      </w:tblPr>
      <w:tr>
        <w:trPr>
          <w:trHeight w:val="386"/>
        </w:trPr>
        <w:tc>
          <w:tcPr>
            <w:tcW w:w="140" w:type="dxa"/>
            <w:vAlign w:val="bottom"/>
            <w:textDirection w:val="btLr"/>
          </w:tcPr>
          <w:p>
            <w:pPr>
              <w:spacing w:after="0"/>
              <w:rPr>
                <w:sz w:val="20"/>
                <w:szCs w:val="20"/>
                <w:color w:val="auto"/>
              </w:rPr>
            </w:pPr>
            <w:r>
              <w:rPr>
                <w:rFonts w:ascii="Times New Roman" w:cs="Times New Roman" w:eastAsia="Times New Roman" w:hAnsi="Times New Roman"/>
                <w:sz w:val="14"/>
                <w:szCs w:val="14"/>
                <w:b w:val="1"/>
                <w:bCs w:val="1"/>
                <w:color w:val="FF4338"/>
                <w:w w:val="98"/>
              </w:rPr>
              <w:t>filed</w:t>
            </w:r>
          </w:p>
        </w:tc>
        <w:tc>
          <w:tcPr>
            <w:tcW w:w="320" w:type="dxa"/>
            <w:vAlign w:val="bottom"/>
            <w:textDirection w:val="btLr"/>
          </w:tcPr>
          <w:p>
            <w:pPr>
              <w:ind w:left="29"/>
              <w:spacing w:after="0"/>
              <w:rPr>
                <w:sz w:val="20"/>
                <w:szCs w:val="20"/>
                <w:color w:val="auto"/>
              </w:rPr>
            </w:pPr>
            <w:r>
              <w:rPr>
                <w:rFonts w:ascii="Times New Roman" w:cs="Times New Roman" w:eastAsia="Times New Roman" w:hAnsi="Times New Roman"/>
                <w:sz w:val="14"/>
                <w:szCs w:val="14"/>
                <w:b w:val="1"/>
                <w:bCs w:val="1"/>
                <w:color w:val="FF4338"/>
                <w:w w:val="97"/>
              </w:rPr>
              <w:t>in any</w:t>
            </w:r>
          </w:p>
        </w:tc>
      </w:tr>
      <w:tr>
        <w:trPr>
          <w:trHeight w:val="1345"/>
        </w:trPr>
        <w:tc>
          <w:tcPr>
            <w:tcW w:w="140" w:type="dxa"/>
            <w:vAlign w:val="bottom"/>
            <w:textDirection w:val="btLr"/>
          </w:tcPr>
          <w:p>
            <w:pPr>
              <w:spacing w:after="0"/>
              <w:rPr>
                <w:sz w:val="20"/>
                <w:szCs w:val="20"/>
                <w:color w:val="auto"/>
              </w:rPr>
            </w:pPr>
            <w:r>
              <w:rPr>
                <w:rFonts w:ascii="Times New Roman" w:cs="Times New Roman" w:eastAsia="Times New Roman" w:hAnsi="Times New Roman"/>
                <w:sz w:val="14"/>
                <w:szCs w:val="14"/>
                <w:b w:val="1"/>
                <w:bCs w:val="1"/>
                <w:color w:val="FF4338"/>
                <w:w w:val="98"/>
              </w:rPr>
              <w:t>registration statement</w:t>
            </w:r>
          </w:p>
        </w:tc>
        <w:tc>
          <w:tcPr>
            <w:tcW w:w="320" w:type="dxa"/>
            <w:vAlign w:val="bottom"/>
            <w:textDirection w:val="btLr"/>
          </w:tcPr>
          <w:p>
            <w:pPr>
              <w:ind w:left="29"/>
              <w:spacing w:after="0"/>
              <w:rPr>
                <w:sz w:val="20"/>
                <w:szCs w:val="20"/>
                <w:color w:val="auto"/>
              </w:rPr>
            </w:pPr>
            <w:r>
              <w:rPr>
                <w:rFonts w:ascii="Times New Roman" w:cs="Times New Roman" w:eastAsia="Times New Roman" w:hAnsi="Times New Roman"/>
                <w:sz w:val="14"/>
                <w:szCs w:val="14"/>
                <w:b w:val="1"/>
                <w:bCs w:val="1"/>
                <w:color w:val="FF4338"/>
                <w:w w:val="99"/>
              </w:rPr>
              <w:t>to buy these securities</w:t>
            </w:r>
          </w:p>
        </w:tc>
      </w:tr>
      <w:tr>
        <w:trPr>
          <w:trHeight w:val="910"/>
        </w:trPr>
        <w:tc>
          <w:tcPr>
            <w:tcW w:w="140" w:type="dxa"/>
            <w:vAlign w:val="bottom"/>
            <w:textDirection w:val="btLr"/>
          </w:tcPr>
          <w:p>
            <w:pPr>
              <w:spacing w:after="0"/>
              <w:rPr>
                <w:sz w:val="20"/>
                <w:szCs w:val="20"/>
                <w:color w:val="auto"/>
              </w:rPr>
            </w:pPr>
            <w:r>
              <w:rPr>
                <w:rFonts w:ascii="Times New Roman" w:cs="Times New Roman" w:eastAsia="Times New Roman" w:hAnsi="Times New Roman"/>
                <w:sz w:val="14"/>
                <w:szCs w:val="14"/>
                <w:b w:val="1"/>
                <w:bCs w:val="1"/>
                <w:color w:val="FF4338"/>
              </w:rPr>
              <w:t>offers until the</w:t>
            </w:r>
          </w:p>
        </w:tc>
        <w:tc>
          <w:tcPr>
            <w:tcW w:w="320" w:type="dxa"/>
            <w:vAlign w:val="bottom"/>
            <w:textDirection w:val="btLr"/>
          </w:tcPr>
          <w:p>
            <w:pPr>
              <w:ind w:left="29"/>
              <w:spacing w:after="0"/>
              <w:rPr>
                <w:sz w:val="20"/>
                <w:szCs w:val="20"/>
                <w:color w:val="auto"/>
              </w:rPr>
            </w:pPr>
            <w:r>
              <w:rPr>
                <w:rFonts w:ascii="Times New Roman" w:cs="Times New Roman" w:eastAsia="Times New Roman" w:hAnsi="Times New Roman"/>
                <w:sz w:val="14"/>
                <w:szCs w:val="14"/>
                <w:b w:val="1"/>
                <w:bCs w:val="1"/>
                <w:color w:val="FF4338"/>
                <w:w w:val="99"/>
              </w:rPr>
              <w:t>it seek an offer</w:t>
            </w:r>
          </w:p>
        </w:tc>
      </w:tr>
      <w:tr>
        <w:trPr>
          <w:trHeight w:val="1406"/>
        </w:trPr>
        <w:tc>
          <w:tcPr>
            <w:tcW w:w="140" w:type="dxa"/>
            <w:vAlign w:val="bottom"/>
            <w:textDirection w:val="btLr"/>
          </w:tcPr>
          <w:p>
            <w:pPr>
              <w:spacing w:after="0"/>
              <w:rPr>
                <w:sz w:val="20"/>
                <w:szCs w:val="20"/>
                <w:color w:val="auto"/>
              </w:rPr>
            </w:pPr>
            <w:r>
              <w:rPr>
                <w:rFonts w:ascii="Times New Roman" w:cs="Times New Roman" w:eastAsia="Times New Roman" w:hAnsi="Times New Roman"/>
                <w:sz w:val="14"/>
                <w:szCs w:val="14"/>
                <w:b w:val="1"/>
                <w:bCs w:val="1"/>
                <w:color w:val="FF4338"/>
              </w:rPr>
              <w:t>not complete exchange</w:t>
            </w:r>
          </w:p>
        </w:tc>
        <w:tc>
          <w:tcPr>
            <w:tcW w:w="320" w:type="dxa"/>
            <w:vAlign w:val="bottom"/>
            <w:textDirection w:val="btLr"/>
          </w:tcPr>
          <w:p>
            <w:pPr>
              <w:ind w:left="29"/>
              <w:spacing w:after="0"/>
              <w:rPr>
                <w:sz w:val="20"/>
                <w:szCs w:val="20"/>
                <w:color w:val="auto"/>
              </w:rPr>
            </w:pPr>
            <w:r>
              <w:rPr>
                <w:rFonts w:ascii="Times New Roman" w:cs="Times New Roman" w:eastAsia="Times New Roman" w:hAnsi="Times New Roman"/>
                <w:sz w:val="14"/>
                <w:szCs w:val="14"/>
                <w:b w:val="1"/>
                <w:bCs w:val="1"/>
                <w:color w:val="FF4338"/>
              </w:rPr>
              <w:t>an offer to sell nor does</w:t>
            </w:r>
          </w:p>
        </w:tc>
      </w:tr>
      <w:tr>
        <w:trPr>
          <w:trHeight w:val="1061"/>
        </w:trPr>
        <w:tc>
          <w:tcPr>
            <w:tcW w:w="140" w:type="dxa"/>
            <w:vAlign w:val="bottom"/>
            <w:textDirection w:val="btLr"/>
          </w:tcPr>
          <w:p>
            <w:pPr>
              <w:spacing w:after="0"/>
              <w:rPr>
                <w:sz w:val="20"/>
                <w:szCs w:val="20"/>
                <w:color w:val="auto"/>
              </w:rPr>
            </w:pPr>
            <w:r>
              <w:rPr>
                <w:rFonts w:ascii="Times New Roman" w:cs="Times New Roman" w:eastAsia="Times New Roman" w:hAnsi="Times New Roman"/>
                <w:sz w:val="14"/>
                <w:szCs w:val="14"/>
                <w:b w:val="1"/>
                <w:bCs w:val="1"/>
                <w:color w:val="FF4338"/>
                <w:w w:val="97"/>
              </w:rPr>
              <w:t>changed. We may</w:t>
            </w:r>
          </w:p>
        </w:tc>
        <w:tc>
          <w:tcPr>
            <w:tcW w:w="320" w:type="dxa"/>
            <w:vAlign w:val="bottom"/>
            <w:textDirection w:val="btLr"/>
          </w:tcPr>
          <w:p>
            <w:pPr>
              <w:ind w:left="29"/>
              <w:spacing w:after="0"/>
              <w:rPr>
                <w:sz w:val="20"/>
                <w:szCs w:val="20"/>
                <w:color w:val="auto"/>
              </w:rPr>
            </w:pPr>
            <w:r>
              <w:rPr>
                <w:rFonts w:ascii="Times New Roman" w:cs="Times New Roman" w:eastAsia="Times New Roman" w:hAnsi="Times New Roman"/>
                <w:sz w:val="14"/>
                <w:szCs w:val="14"/>
                <w:b w:val="1"/>
                <w:bCs w:val="1"/>
                <w:color w:val="FF4338"/>
                <w:w w:val="99"/>
              </w:rPr>
              <w:t>prospectus is not</w:t>
            </w:r>
          </w:p>
        </w:tc>
      </w:tr>
      <w:tr>
        <w:trPr>
          <w:trHeight w:val="725"/>
        </w:trPr>
        <w:tc>
          <w:tcPr>
            <w:tcW w:w="140" w:type="dxa"/>
            <w:vAlign w:val="bottom"/>
            <w:textDirection w:val="btLr"/>
          </w:tcPr>
          <w:p>
            <w:pPr>
              <w:spacing w:after="0"/>
              <w:rPr>
                <w:sz w:val="20"/>
                <w:szCs w:val="20"/>
                <w:color w:val="auto"/>
              </w:rPr>
            </w:pPr>
            <w:r>
              <w:rPr>
                <w:rFonts w:ascii="Times New Roman" w:cs="Times New Roman" w:eastAsia="Times New Roman" w:hAnsi="Times New Roman"/>
                <w:sz w:val="14"/>
                <w:szCs w:val="14"/>
                <w:b w:val="1"/>
                <w:bCs w:val="1"/>
                <w:color w:val="FF4338"/>
                <w:w w:val="98"/>
              </w:rPr>
              <w:t>and may be</w:t>
            </w:r>
          </w:p>
        </w:tc>
        <w:tc>
          <w:tcPr>
            <w:tcW w:w="320" w:type="dxa"/>
            <w:vAlign w:val="bottom"/>
            <w:textDirection w:val="btLr"/>
          </w:tcPr>
          <w:p>
            <w:pPr>
              <w:ind w:left="29"/>
              <w:spacing w:after="0"/>
              <w:rPr>
                <w:sz w:val="20"/>
                <w:szCs w:val="20"/>
                <w:color w:val="auto"/>
              </w:rPr>
            </w:pPr>
            <w:r>
              <w:rPr>
                <w:rFonts w:ascii="Times New Roman" w:cs="Times New Roman" w:eastAsia="Times New Roman" w:hAnsi="Times New Roman"/>
                <w:sz w:val="14"/>
                <w:szCs w:val="14"/>
                <w:b w:val="1"/>
                <w:bCs w:val="1"/>
                <w:color w:val="FF4338"/>
              </w:rPr>
              <w:t>preliminary</w:t>
            </w:r>
          </w:p>
        </w:tc>
      </w:tr>
      <w:tr>
        <w:trPr>
          <w:trHeight w:val="3764"/>
        </w:trPr>
        <w:tc>
          <w:tcPr>
            <w:tcW w:w="140" w:type="dxa"/>
            <w:vAlign w:val="bottom"/>
            <w:textDirection w:val="btLr"/>
          </w:tcPr>
          <w:p>
            <w:pPr>
              <w:spacing w:after="0"/>
              <w:rPr>
                <w:sz w:val="20"/>
                <w:szCs w:val="20"/>
                <w:color w:val="auto"/>
              </w:rPr>
            </w:pPr>
            <w:r>
              <w:rPr>
                <w:rFonts w:ascii="Times New Roman" w:cs="Times New Roman" w:eastAsia="Times New Roman" w:hAnsi="Times New Roman"/>
                <w:sz w:val="14"/>
                <w:szCs w:val="14"/>
                <w:b w:val="1"/>
                <w:bCs w:val="1"/>
                <w:color w:val="FF4338"/>
                <w:w w:val="99"/>
              </w:rPr>
              <w:t>The information in this preliminary prospectus is not complete</w:t>
            </w:r>
          </w:p>
        </w:tc>
        <w:tc>
          <w:tcPr>
            <w:tcW w:w="320" w:type="dxa"/>
            <w:vAlign w:val="bottom"/>
            <w:textDirection w:val="btLr"/>
          </w:tcPr>
          <w:p>
            <w:pPr>
              <w:ind w:left="205"/>
              <w:spacing w:after="0"/>
              <w:rPr>
                <w:sz w:val="20"/>
                <w:szCs w:val="20"/>
                <w:color w:val="auto"/>
              </w:rPr>
            </w:pPr>
            <w:r>
              <w:rPr>
                <w:rFonts w:ascii="Times New Roman" w:cs="Times New Roman" w:eastAsia="Times New Roman" w:hAnsi="Times New Roman"/>
                <w:sz w:val="10"/>
                <w:szCs w:val="10"/>
                <w:b w:val="1"/>
                <w:bCs w:val="1"/>
                <w:color w:val="FF4338"/>
                <w:w w:val="79"/>
              </w:rPr>
              <w:t>with the Securities and Exchange Commission is effective. Thisjurisdictionwheretheofferorsaleisnotpermitted.</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3"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4"/>
          <w:szCs w:val="14"/>
          <w:b w:val="1"/>
          <w:bCs w:val="1"/>
          <w:color w:val="FF4338"/>
        </w:rPr>
        <w:t>SUBJECT TO COMPLETION, DATED JUNE 30,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-1304925</wp:posOffset>
            </wp:positionH>
            <wp:positionV relativeFrom="paragraph">
              <wp:posOffset>-589280</wp:posOffset>
            </wp:positionV>
            <wp:extent cx="7201535" cy="323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01535" cy="32385"/>
                    </a:xfrm>
                    <a:prstGeom prst="rect">
                      <a:avLst/>
                    </a:prstGeom>
                    <a:noFill/>
                  </pic:spPr>
                </pic:pic>
              </a:graphicData>
            </a:graphic>
          </wp:anchor>
        </w:drawing>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PRELIMINARY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1823085</wp:posOffset>
            </wp:positionH>
            <wp:positionV relativeFrom="paragraph">
              <wp:posOffset>74295</wp:posOffset>
            </wp:positionV>
            <wp:extent cx="930275" cy="4654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930275" cy="4654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919"/>
        <w:spacing w:after="0"/>
        <w:rPr>
          <w:sz w:val="20"/>
          <w:szCs w:val="20"/>
          <w:color w:val="auto"/>
        </w:rPr>
      </w:pPr>
      <w:r>
        <w:rPr>
          <w:rFonts w:ascii="Times New Roman" w:cs="Times New Roman" w:eastAsia="Times New Roman" w:hAnsi="Times New Roman"/>
          <w:sz w:val="33"/>
          <w:szCs w:val="33"/>
          <w:b w:val="1"/>
          <w:bCs w:val="1"/>
          <w:color w:val="auto"/>
        </w:rPr>
        <w:t>Fidus Investment Corporation</w:t>
      </w:r>
    </w:p>
    <w:p>
      <w:pPr>
        <w:spacing w:after="0" w:line="52" w:lineRule="exact"/>
        <w:rPr>
          <w:sz w:val="20"/>
          <w:szCs w:val="20"/>
          <w:color w:val="auto"/>
        </w:rPr>
      </w:pPr>
    </w:p>
    <w:p>
      <w:pPr>
        <w:jc w:val="center"/>
        <w:ind w:right="919"/>
        <w:spacing w:after="0"/>
        <w:rPr>
          <w:sz w:val="20"/>
          <w:szCs w:val="20"/>
          <w:color w:val="auto"/>
        </w:rPr>
      </w:pPr>
      <w:r>
        <w:rPr>
          <w:rFonts w:ascii="Times New Roman" w:cs="Times New Roman" w:eastAsia="Times New Roman" w:hAnsi="Times New Roman"/>
          <w:sz w:val="33"/>
          <w:szCs w:val="33"/>
          <w:b w:val="1"/>
          <w:bCs w:val="1"/>
          <w:color w:val="auto"/>
        </w:rPr>
        <w:t>Offer to Exchange</w:t>
      </w:r>
    </w:p>
    <w:p>
      <w:pPr>
        <w:spacing w:after="0" w:line="64" w:lineRule="exact"/>
        <w:rPr>
          <w:sz w:val="20"/>
          <w:szCs w:val="20"/>
          <w:color w:val="auto"/>
        </w:rPr>
      </w:pPr>
    </w:p>
    <w:p>
      <w:pPr>
        <w:jc w:val="center"/>
        <w:ind w:right="919"/>
        <w:spacing w:after="0"/>
        <w:rPr>
          <w:sz w:val="20"/>
          <w:szCs w:val="20"/>
          <w:color w:val="auto"/>
        </w:rPr>
      </w:pPr>
      <w:r>
        <w:rPr>
          <w:rFonts w:ascii="Times New Roman" w:cs="Times New Roman" w:eastAsia="Times New Roman" w:hAnsi="Times New Roman"/>
          <w:sz w:val="20"/>
          <w:szCs w:val="20"/>
          <w:b w:val="1"/>
          <w:bCs w:val="1"/>
          <w:color w:val="auto"/>
        </w:rPr>
        <w:t>$120,000,000 aggregate principal amount of 6.625% Notes due 2029</w:t>
      </w:r>
    </w:p>
    <w:p>
      <w:pPr>
        <w:spacing w:after="0" w:line="84" w:lineRule="exact"/>
        <w:rPr>
          <w:sz w:val="20"/>
          <w:szCs w:val="20"/>
          <w:color w:val="auto"/>
        </w:rPr>
      </w:pPr>
    </w:p>
    <w:p>
      <w:pPr>
        <w:jc w:val="center"/>
        <w:ind w:right="919"/>
        <w:spacing w:after="0"/>
        <w:rPr>
          <w:sz w:val="20"/>
          <w:szCs w:val="20"/>
          <w:color w:val="auto"/>
        </w:rPr>
      </w:pPr>
      <w:r>
        <w:rPr>
          <w:rFonts w:ascii="Times New Roman" w:cs="Times New Roman" w:eastAsia="Times New Roman" w:hAnsi="Times New Roman"/>
          <w:sz w:val="20"/>
          <w:szCs w:val="20"/>
          <w:b w:val="1"/>
          <w:bCs w:val="1"/>
          <w:color w:val="auto"/>
        </w:rPr>
        <w:t>for</w:t>
      </w:r>
    </w:p>
    <w:p>
      <w:pPr>
        <w:spacing w:after="0" w:line="84" w:lineRule="exact"/>
        <w:rPr>
          <w:sz w:val="20"/>
          <w:szCs w:val="20"/>
          <w:color w:val="auto"/>
        </w:rPr>
      </w:pPr>
    </w:p>
    <w:p>
      <w:pPr>
        <w:jc w:val="center"/>
        <w:ind w:right="919"/>
        <w:spacing w:after="0"/>
        <w:rPr>
          <w:sz w:val="20"/>
          <w:szCs w:val="20"/>
          <w:color w:val="auto"/>
        </w:rPr>
      </w:pPr>
      <w:r>
        <w:rPr>
          <w:rFonts w:ascii="Times New Roman" w:cs="Times New Roman" w:eastAsia="Times New Roman" w:hAnsi="Times New Roman"/>
          <w:sz w:val="20"/>
          <w:szCs w:val="20"/>
          <w:b w:val="1"/>
          <w:bCs w:val="1"/>
          <w:color w:val="auto"/>
        </w:rPr>
        <w:t>$120,000,000 aggregate principal amount of 6.625% Notes due 2029</w:t>
      </w:r>
    </w:p>
    <w:p>
      <w:pPr>
        <w:spacing w:after="0" w:line="89"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4"/>
          <w:szCs w:val="14"/>
          <w:b w:val="1"/>
          <w:bCs w:val="1"/>
          <w:color w:val="auto"/>
        </w:rPr>
        <w:t>Registered under the Securities Act of 1933,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1810385</wp:posOffset>
            </wp:positionH>
            <wp:positionV relativeFrom="paragraph">
              <wp:posOffset>127635</wp:posOffset>
            </wp:positionV>
            <wp:extent cx="956945" cy="63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956945" cy="6350"/>
                    </a:xfrm>
                    <a:prstGeom prst="rect">
                      <a:avLst/>
                    </a:prstGeom>
                    <a:noFill/>
                  </pic:spPr>
                </pic:pic>
              </a:graphicData>
            </a:graphic>
          </wp:anchor>
        </w:drawing>
      </w:r>
    </w:p>
    <w:p>
      <w:pPr>
        <w:spacing w:after="0" w:line="261" w:lineRule="exact"/>
        <w:rPr>
          <w:sz w:val="20"/>
          <w:szCs w:val="20"/>
          <w:color w:val="auto"/>
        </w:rPr>
      </w:pPr>
    </w:p>
    <w:p>
      <w:pPr>
        <w:ind w:right="959" w:firstLine="288"/>
        <w:spacing w:after="0" w:line="254" w:lineRule="auto"/>
        <w:rPr>
          <w:sz w:val="20"/>
          <w:szCs w:val="20"/>
          <w:color w:val="auto"/>
        </w:rPr>
      </w:pPr>
      <w:r>
        <w:rPr>
          <w:rFonts w:ascii="Times New Roman" w:cs="Times New Roman" w:eastAsia="Times New Roman" w:hAnsi="Times New Roman"/>
          <w:sz w:val="14"/>
          <w:szCs w:val="14"/>
          <w:color w:val="auto"/>
        </w:rPr>
        <w:t>Fidus Investment Corporation (the “Company,” “we,” “us,” or “our”), an externally managed, closed-end management investment company that has elected to be regulated as a business development company (“BDC”) under the Investment Company Act of 1940, as amended (the “1940 Act”), is offering to exchange all of its outstanding 6.625% Notes due 2029 (the “Restricted Notes”) that were issued in a transaction not requiring registration under the Securities Act of 1933, as amended (the “Securities Act”), on May 29, 2026, for an equal aggregate principal amount of its new 6.625% Notes due 2029 (the “Exchange Notes”) that have been registered with the Securities and Exchange Commission (the “SEC”) under the Securities Act. We refer to the Restricted Notes and the Exchange Notes collectively as the “Notes.”</w:t>
      </w:r>
    </w:p>
    <w:p>
      <w:pPr>
        <w:spacing w:after="0" w:line="63" w:lineRule="exact"/>
        <w:rPr>
          <w:sz w:val="20"/>
          <w:szCs w:val="20"/>
          <w:color w:val="auto"/>
        </w:rPr>
      </w:pPr>
    </w:p>
    <w:p>
      <w:pPr>
        <w:ind w:right="999" w:firstLine="288"/>
        <w:spacing w:after="0" w:line="257" w:lineRule="auto"/>
        <w:rPr>
          <w:sz w:val="20"/>
          <w:szCs w:val="20"/>
          <w:color w:val="auto"/>
        </w:rPr>
      </w:pPr>
      <w:r>
        <w:rPr>
          <w:rFonts w:ascii="Times New Roman" w:cs="Times New Roman" w:eastAsia="Times New Roman" w:hAnsi="Times New Roman"/>
          <w:sz w:val="14"/>
          <w:szCs w:val="14"/>
          <w:color w:val="auto"/>
        </w:rPr>
        <w:t>If you participate in the exchange offer, you will receive Exchange Notes for Restricted Notes that you validly tendered. The terms of the Exchange Notes are substantially identical to those of the Restricted Notes, except that the transfer restrictions and registration rights relating to the Restricted Notes will not apply to the Exchange Notes, and the Exchange Notes will not provide for the payment of additional interest in the event of a Registration Default (as defined herein). In addition, the Exchange Notes will bear a different CUSIP number than the Restricted Notes.</w:t>
      </w:r>
    </w:p>
    <w:p>
      <w:pPr>
        <w:spacing w:after="0" w:line="57"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4"/>
          <w:szCs w:val="14"/>
          <w:b w:val="1"/>
          <w:bCs w:val="1"/>
          <w:color w:val="auto"/>
        </w:rPr>
        <w:t>MATERIAL TERMS OF THE EXCHANGE OFFER</w:t>
      </w:r>
    </w:p>
    <w:p>
      <w:pPr>
        <w:spacing w:after="0" w:line="9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color w:val="auto"/>
        </w:rPr>
        <w:t>The exchange offer expires at [●] [a.m./p.m.], New York City time, on [●], 2026, unless extended.</w:t>
      </w:r>
    </w:p>
    <w:p>
      <w:pPr>
        <w:spacing w:after="0" w:line="90" w:lineRule="exact"/>
        <w:rPr>
          <w:sz w:val="20"/>
          <w:szCs w:val="20"/>
          <w:color w:val="auto"/>
        </w:rPr>
      </w:pPr>
    </w:p>
    <w:p>
      <w:pPr>
        <w:ind w:right="939" w:firstLine="288"/>
        <w:spacing w:after="0" w:line="321" w:lineRule="auto"/>
        <w:rPr>
          <w:sz w:val="20"/>
          <w:szCs w:val="20"/>
          <w:color w:val="auto"/>
        </w:rPr>
      </w:pPr>
      <w:r>
        <w:rPr>
          <w:rFonts w:ascii="Times New Roman" w:cs="Times New Roman" w:eastAsia="Times New Roman" w:hAnsi="Times New Roman"/>
          <w:sz w:val="13"/>
          <w:szCs w:val="13"/>
          <w:color w:val="auto"/>
        </w:rPr>
        <w:t>We will exchange all Restricted Notes that are validly tendered and not withdrawn prior to the expiration of the exchange offer for Exchange Notes. You may withdraw tendered Restricted Notes at any time prior to the expiration of the exchange offer.</w:t>
      </w:r>
    </w:p>
    <w:p>
      <w:pPr>
        <w:spacing w:after="0" w:line="19" w:lineRule="exact"/>
        <w:rPr>
          <w:sz w:val="20"/>
          <w:szCs w:val="20"/>
          <w:color w:val="auto"/>
        </w:rPr>
      </w:pPr>
    </w:p>
    <w:p>
      <w:pPr>
        <w:ind w:right="979" w:firstLine="288"/>
        <w:spacing w:after="0" w:line="265" w:lineRule="auto"/>
        <w:rPr>
          <w:sz w:val="20"/>
          <w:szCs w:val="20"/>
          <w:color w:val="auto"/>
        </w:rPr>
      </w:pPr>
      <w:r>
        <w:rPr>
          <w:rFonts w:ascii="Times New Roman" w:cs="Times New Roman" w:eastAsia="Times New Roman" w:hAnsi="Times New Roman"/>
          <w:sz w:val="14"/>
          <w:szCs w:val="14"/>
          <w:color w:val="auto"/>
        </w:rPr>
        <w:t>The only conditions to completing the exchange offer are that the exchange offer not violate any applicable law or applicable interpretation of the staff of the SEC and that no injunction, order or decree has been or is issued that would prohibit, prevent or materially impair our ability to complete the exchange offer.</w:t>
      </w:r>
    </w:p>
    <w:p>
      <w:pPr>
        <w:spacing w:after="0" w:line="5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color w:val="auto"/>
        </w:rPr>
        <w:t>We will not receive any cash proceeds from the exchange offer.</w:t>
      </w:r>
    </w:p>
    <w:p>
      <w:pPr>
        <w:spacing w:after="0" w:line="90" w:lineRule="exact"/>
        <w:rPr>
          <w:sz w:val="20"/>
          <w:szCs w:val="20"/>
          <w:color w:val="auto"/>
        </w:rPr>
      </w:pPr>
    </w:p>
    <w:p>
      <w:pPr>
        <w:ind w:right="1459" w:firstLine="288"/>
        <w:spacing w:after="0" w:line="281" w:lineRule="auto"/>
        <w:rPr>
          <w:sz w:val="20"/>
          <w:szCs w:val="20"/>
          <w:color w:val="auto"/>
        </w:rPr>
      </w:pPr>
      <w:r>
        <w:rPr>
          <w:rFonts w:ascii="Times New Roman" w:cs="Times New Roman" w:eastAsia="Times New Roman" w:hAnsi="Times New Roman"/>
          <w:sz w:val="14"/>
          <w:szCs w:val="14"/>
          <w:color w:val="auto"/>
        </w:rPr>
        <w:t>There is no active trading market for the Restricted Notes, and we do not intend to list the Exchange Notes on any securities exchange or seek approval for quotations through any automated dealer quotation system.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1810385</wp:posOffset>
            </wp:positionH>
            <wp:positionV relativeFrom="paragraph">
              <wp:posOffset>95250</wp:posOffset>
            </wp:positionV>
            <wp:extent cx="956945" cy="63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956945" cy="6350"/>
                    </a:xfrm>
                    <a:prstGeom prst="rect">
                      <a:avLst/>
                    </a:prstGeom>
                    <a:noFill/>
                  </pic:spPr>
                </pic:pic>
              </a:graphicData>
            </a:graphic>
          </wp:anchor>
        </w:drawing>
      </w:r>
    </w:p>
    <w:p>
      <w:pPr>
        <w:spacing w:after="0" w:line="200" w:lineRule="exact"/>
        <w:rPr>
          <w:sz w:val="20"/>
          <w:szCs w:val="20"/>
          <w:color w:val="auto"/>
        </w:rPr>
      </w:pPr>
    </w:p>
    <w:p>
      <w:pPr>
        <w:ind w:right="1059" w:firstLine="288"/>
        <w:spacing w:after="0" w:line="262" w:lineRule="auto"/>
        <w:rPr>
          <w:sz w:val="20"/>
          <w:szCs w:val="20"/>
          <w:color w:val="auto"/>
        </w:rPr>
      </w:pPr>
      <w:r>
        <w:rPr>
          <w:rFonts w:ascii="Times New Roman" w:cs="Times New Roman" w:eastAsia="Times New Roman" w:hAnsi="Times New Roman"/>
          <w:sz w:val="17"/>
          <w:szCs w:val="17"/>
          <w:b w:val="1"/>
          <w:bCs w:val="1"/>
          <w:color w:val="auto"/>
        </w:rPr>
        <w:t>Investing in the Exchange Notes involves risks. See “</w:t>
      </w:r>
      <w:r>
        <w:rPr>
          <w:rFonts w:ascii="Times New Roman" w:cs="Times New Roman" w:eastAsia="Times New Roman" w:hAnsi="Times New Roman"/>
          <w:sz w:val="17"/>
          <w:szCs w:val="17"/>
          <w:b w:val="1"/>
          <w:bCs w:val="1"/>
          <w:u w:val="single" w:color="auto"/>
          <w:color w:val="0000EE"/>
        </w:rPr>
        <w:t>Risk Factors</w:t>
      </w:r>
      <w:r>
        <w:rPr>
          <w:rFonts w:ascii="Times New Roman" w:cs="Times New Roman" w:eastAsia="Times New Roman" w:hAnsi="Times New Roman"/>
          <w:sz w:val="17"/>
          <w:szCs w:val="17"/>
          <w:b w:val="1"/>
          <w:bCs w:val="1"/>
          <w:color w:val="auto"/>
        </w:rPr>
        <w:t>” beginning on page 11 of this prospectus.</w:t>
      </w:r>
    </w:p>
    <w:p>
      <w:pPr>
        <w:spacing w:after="0" w:line="42" w:lineRule="exact"/>
        <w:rPr>
          <w:sz w:val="20"/>
          <w:szCs w:val="20"/>
          <w:color w:val="auto"/>
        </w:rPr>
      </w:pPr>
    </w:p>
    <w:p>
      <w:pPr>
        <w:ind w:right="979" w:firstLine="288"/>
        <w:spacing w:after="0" w:line="258" w:lineRule="auto"/>
        <w:rPr>
          <w:sz w:val="20"/>
          <w:szCs w:val="20"/>
          <w:color w:val="auto"/>
        </w:rPr>
      </w:pPr>
      <w:r>
        <w:rPr>
          <w:rFonts w:ascii="Times New Roman" w:cs="Times New Roman" w:eastAsia="Times New Roman" w:hAnsi="Times New Roman"/>
          <w:sz w:val="14"/>
          <w:szCs w:val="14"/>
          <w:b w:val="1"/>
          <w:bCs w:val="1"/>
          <w:color w:val="auto"/>
        </w:rPr>
        <w:t>This prospectus sets forth concisely the information about the Company that a prospective investor ought to know before investing, and it should be retained for future reference. Additional details about the Company, including our most recent Annual Report on Form 10-K, our most recent Quarterly Report on Form 10-Q, and Current Reports on Form 8-K that have been incorporated by reference herein, have been filed with the SEC and are available on the SEC’s website (www.sec.gov) without charge.</w:t>
      </w:r>
    </w:p>
    <w:p>
      <w:pPr>
        <w:spacing w:after="0" w:line="56" w:lineRule="exact"/>
        <w:rPr>
          <w:sz w:val="20"/>
          <w:szCs w:val="20"/>
          <w:color w:val="auto"/>
        </w:rPr>
      </w:pPr>
    </w:p>
    <w:p>
      <w:pPr>
        <w:ind w:right="999" w:firstLine="288"/>
        <w:spacing w:after="0" w:line="284" w:lineRule="auto"/>
        <w:rPr>
          <w:sz w:val="20"/>
          <w:szCs w:val="20"/>
          <w:color w:val="auto"/>
        </w:rPr>
      </w:pPr>
      <w:r>
        <w:rPr>
          <w:rFonts w:ascii="Times New Roman" w:cs="Times New Roman" w:eastAsia="Times New Roman" w:hAnsi="Times New Roman"/>
          <w:sz w:val="14"/>
          <w:szCs w:val="14"/>
          <w:b w:val="1"/>
          <w:bCs w:val="1"/>
          <w:color w:val="auto"/>
        </w:rPr>
        <w:t>Neither the SEC nor any state securities commission has approved or disapproved of the Exchange Notes or passed upon the adequacy or accuracy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1810385</wp:posOffset>
            </wp:positionH>
            <wp:positionV relativeFrom="paragraph">
              <wp:posOffset>100965</wp:posOffset>
            </wp:positionV>
            <wp:extent cx="956945" cy="63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956945" cy="6350"/>
                    </a:xfrm>
                    <a:prstGeom prst="rect">
                      <a:avLst/>
                    </a:prstGeom>
                    <a:noFill/>
                  </pic:spPr>
                </pic:pic>
              </a:graphicData>
            </a:graphic>
          </wp:anchor>
        </w:drawing>
      </w:r>
    </w:p>
    <w:p>
      <w:pPr>
        <w:spacing w:after="0" w:line="216"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4"/>
          <w:szCs w:val="14"/>
          <w:b w:val="1"/>
          <w:bCs w:val="1"/>
          <w:color w:val="auto"/>
        </w:rPr>
        <w:t>The date of this prospectus is            , 2026</w:t>
      </w:r>
    </w:p>
    <w:p>
      <w:pPr>
        <w:sectPr>
          <w:pgSz w:w="11900" w:h="16838" w:orient="portrait"/>
          <w:cols w:equalWidth="0" w:num="2">
            <w:col w:w="1840" w:space="200"/>
            <w:col w:w="8119"/>
          </w:cols>
          <w:pgMar w:left="300" w:top="384" w:right="1440"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7"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4"/>
          <w:szCs w:val="14"/>
          <w:b w:val="1"/>
          <w:bCs w:val="1"/>
          <w:color w:val="auto"/>
        </w:rPr>
        <w:t>TABLE OF CONTENTS</w:t>
      </w:r>
    </w:p>
    <w:p>
      <w:pPr>
        <w:spacing w:after="0" w:line="192" w:lineRule="exact"/>
        <w:rPr>
          <w:sz w:val="20"/>
          <w:szCs w:val="20"/>
          <w:color w:val="auto"/>
        </w:rPr>
      </w:pPr>
    </w:p>
    <w:tbl>
      <w:tblPr>
        <w:tblLayout w:type="fixed"/>
        <w:tblInd w:w="1380" w:type="dxa"/>
        <w:tblCellMar>
          <w:top w:w="0" w:type="dxa"/>
          <w:left w:w="0" w:type="dxa"/>
          <w:bottom w:w="0" w:type="dxa"/>
          <w:right w:w="0" w:type="dxa"/>
        </w:tblCellMar>
      </w:tblPr>
      <w:tr>
        <w:trPr>
          <w:trHeight w:val="134"/>
        </w:trPr>
        <w:tc>
          <w:tcPr>
            <w:tcW w:w="1580" w:type="dxa"/>
            <w:vAlign w:val="bottom"/>
            <w:gridSpan w:val="8"/>
            <w:vMerge w:val="restart"/>
          </w:tcPr>
          <w:p>
            <w:pPr>
              <w:spacing w:after="0"/>
              <w:rPr>
                <w:sz w:val="20"/>
                <w:szCs w:val="20"/>
                <w:color w:val="auto"/>
              </w:rPr>
            </w:pPr>
            <w:r>
              <w:rPr>
                <w:rFonts w:ascii="Times New Roman" w:cs="Times New Roman" w:eastAsia="Times New Roman" w:hAnsi="Times New Roman"/>
                <w:sz w:val="14"/>
                <w:szCs w:val="14"/>
                <w:color w:val="0000EE"/>
                <w:w w:val="94"/>
              </w:rPr>
              <w:t>PROSPECTUS SUMMARY</w:t>
            </w:r>
          </w:p>
        </w:tc>
        <w:tc>
          <w:tcPr>
            <w:tcW w:w="6680" w:type="dxa"/>
            <w:vAlign w:val="bottom"/>
            <w:gridSpan w:val="18"/>
            <w:vMerge w:val="restart"/>
          </w:tcPr>
          <w:p>
            <w:pPr>
              <w:spacing w:after="0"/>
              <w:rPr>
                <w:sz w:val="11"/>
                <w:szCs w:val="11"/>
                <w:color w:val="auto"/>
              </w:rPr>
            </w:pPr>
          </w:p>
        </w:tc>
        <w:tc>
          <w:tcPr>
            <w:tcW w:w="26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Page</w:t>
            </w:r>
          </w:p>
        </w:tc>
        <w:tc>
          <w:tcPr>
            <w:tcW w:w="0" w:type="dxa"/>
            <w:vAlign w:val="bottom"/>
          </w:tcPr>
          <w:p>
            <w:pPr>
              <w:spacing w:after="0"/>
              <w:rPr>
                <w:sz w:val="1"/>
                <w:szCs w:val="1"/>
                <w:color w:val="auto"/>
              </w:rPr>
            </w:pPr>
          </w:p>
        </w:tc>
      </w:tr>
      <w:tr>
        <w:trPr>
          <w:trHeight w:val="121"/>
        </w:trPr>
        <w:tc>
          <w:tcPr>
            <w:tcW w:w="1580" w:type="dxa"/>
            <w:vAlign w:val="bottom"/>
            <w:tcBorders>
              <w:bottom w:val="single" w:sz="8" w:color="0000EE"/>
            </w:tcBorders>
            <w:gridSpan w:val="8"/>
            <w:vMerge w:val="continue"/>
          </w:tcPr>
          <w:p>
            <w:pPr>
              <w:spacing w:after="0"/>
              <w:rPr>
                <w:sz w:val="10"/>
                <w:szCs w:val="10"/>
                <w:color w:val="auto"/>
              </w:rPr>
            </w:pPr>
          </w:p>
        </w:tc>
        <w:tc>
          <w:tcPr>
            <w:tcW w:w="6680" w:type="dxa"/>
            <w:vAlign w:val="bottom"/>
            <w:gridSpan w:val="18"/>
            <w:vMerge w:val="continue"/>
          </w:tcPr>
          <w:p>
            <w:pPr>
              <w:spacing w:after="0"/>
              <w:rPr>
                <w:sz w:val="10"/>
                <w:szCs w:val="10"/>
                <w:color w:val="auto"/>
              </w:rPr>
            </w:pPr>
          </w:p>
        </w:tc>
        <w:tc>
          <w:tcPr>
            <w:tcW w:w="240" w:type="dxa"/>
            <w:vAlign w:val="bottom"/>
            <w:tcBorders>
              <w:top w:val="single" w:sz="8" w:color="auto"/>
            </w:tcBorders>
          </w:tcPr>
          <w:p>
            <w:pPr>
              <w:jc w:val="right"/>
              <w:spacing w:after="0" w:line="106" w:lineRule="exact"/>
              <w:rPr>
                <w:sz w:val="20"/>
                <w:szCs w:val="20"/>
                <w:color w:val="auto"/>
              </w:rPr>
            </w:pPr>
            <w:r>
              <w:rPr>
                <w:rFonts w:ascii="Times New Roman" w:cs="Times New Roman" w:eastAsia="Times New Roman" w:hAnsi="Times New Roman"/>
                <w:sz w:val="12"/>
                <w:szCs w:val="12"/>
                <w:color w:val="auto"/>
              </w:rPr>
              <w:t>1</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8260" w:type="dxa"/>
            <w:vAlign w:val="bottom"/>
            <w:gridSpan w:val="26"/>
          </w:tcPr>
          <w:p>
            <w:pPr>
              <w:spacing w:after="0" w:line="158" w:lineRule="exact"/>
              <w:rPr>
                <w:sz w:val="20"/>
                <w:szCs w:val="20"/>
                <w:color w:val="auto"/>
              </w:rPr>
            </w:pPr>
            <w:r>
              <w:rPr>
                <w:rFonts w:ascii="Times New Roman" w:cs="Times New Roman" w:eastAsia="Times New Roman" w:hAnsi="Times New Roman"/>
                <w:sz w:val="14"/>
                <w:szCs w:val="14"/>
                <w:color w:val="0000EE"/>
              </w:rPr>
              <w:t>RISK FACTORS</w:t>
            </w:r>
          </w:p>
        </w:tc>
        <w:tc>
          <w:tcPr>
            <w:tcW w:w="260" w:type="dxa"/>
            <w:vAlign w:val="bottom"/>
            <w:gridSpan w:val="2"/>
          </w:tcPr>
          <w:p>
            <w:pPr>
              <w:jc w:val="right"/>
              <w:ind w:right="20"/>
              <w:spacing w:after="0" w:line="158" w:lineRule="exact"/>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20"/>
        </w:trPr>
        <w:tc>
          <w:tcPr>
            <w:tcW w:w="6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8260" w:type="dxa"/>
            <w:vAlign w:val="bottom"/>
            <w:gridSpan w:val="26"/>
          </w:tcPr>
          <w:p>
            <w:pPr>
              <w:spacing w:after="0" w:line="147" w:lineRule="exact"/>
              <w:rPr>
                <w:sz w:val="20"/>
                <w:szCs w:val="20"/>
                <w:color w:val="auto"/>
              </w:rPr>
            </w:pPr>
            <w:r>
              <w:rPr>
                <w:rFonts w:ascii="Times New Roman" w:cs="Times New Roman" w:eastAsia="Times New Roman" w:hAnsi="Times New Roman"/>
                <w:sz w:val="14"/>
                <w:szCs w:val="14"/>
                <w:color w:val="0000EE"/>
              </w:rPr>
              <w:t>SPECIAL NOTE REGARDING FORWARD-LOOKING STATEMENTS</w:t>
            </w:r>
          </w:p>
        </w:tc>
        <w:tc>
          <w:tcPr>
            <w:tcW w:w="260" w:type="dxa"/>
            <w:vAlign w:val="bottom"/>
            <w:gridSpan w:val="2"/>
          </w:tcPr>
          <w:p>
            <w:pPr>
              <w:jc w:val="right"/>
              <w:ind w:right="20"/>
              <w:spacing w:after="0" w:line="147" w:lineRule="exact"/>
              <w:rPr>
                <w:sz w:val="20"/>
                <w:szCs w:val="20"/>
                <w:color w:val="auto"/>
              </w:rPr>
            </w:pPr>
            <w:r>
              <w:rPr>
                <w:rFonts w:ascii="Times New Roman" w:cs="Times New Roman" w:eastAsia="Times New Roman" w:hAnsi="Times New Roman"/>
                <w:sz w:val="14"/>
                <w:szCs w:val="14"/>
                <w:color w:val="auto"/>
              </w:rPr>
              <w:t>16</w:t>
            </w:r>
          </w:p>
        </w:tc>
        <w:tc>
          <w:tcPr>
            <w:tcW w:w="0" w:type="dxa"/>
            <w:vAlign w:val="bottom"/>
          </w:tcPr>
          <w:p>
            <w:pPr>
              <w:spacing w:after="0"/>
              <w:rPr>
                <w:sz w:val="1"/>
                <w:szCs w:val="1"/>
                <w:color w:val="auto"/>
              </w:rPr>
            </w:pPr>
          </w:p>
        </w:tc>
      </w:tr>
      <w:tr>
        <w:trPr>
          <w:trHeight w:val="147"/>
        </w:trPr>
        <w:tc>
          <w:tcPr>
            <w:tcW w:w="1540" w:type="dxa"/>
            <w:vAlign w:val="bottom"/>
            <w:tcBorders>
              <w:top w:val="single" w:sz="8" w:color="0000EE"/>
              <w:bottom w:val="single" w:sz="8" w:color="0000EE"/>
            </w:tcBorders>
            <w:gridSpan w:val="7"/>
          </w:tcPr>
          <w:p>
            <w:pPr>
              <w:spacing w:after="0" w:line="147" w:lineRule="exact"/>
              <w:rPr>
                <w:sz w:val="20"/>
                <w:szCs w:val="20"/>
                <w:color w:val="auto"/>
              </w:rPr>
            </w:pPr>
            <w:r>
              <w:rPr>
                <w:rFonts w:ascii="Times New Roman" w:cs="Times New Roman" w:eastAsia="Times New Roman" w:hAnsi="Times New Roman"/>
                <w:sz w:val="14"/>
                <w:szCs w:val="14"/>
                <w:color w:val="0000EE"/>
                <w:w w:val="98"/>
              </w:rPr>
              <w:t>THE EXCHANGE OFFER</w:t>
            </w:r>
          </w:p>
        </w:tc>
        <w:tc>
          <w:tcPr>
            <w:tcW w:w="2580" w:type="dxa"/>
            <w:vAlign w:val="bottom"/>
            <w:tcBorders>
              <w:top w:val="single" w:sz="8" w:color="0000EE"/>
            </w:tcBorders>
            <w:gridSpan w:val="14"/>
          </w:tcPr>
          <w:p>
            <w:pPr>
              <w:spacing w:after="0"/>
              <w:rPr>
                <w:sz w:val="12"/>
                <w:szCs w:val="12"/>
                <w:color w:val="auto"/>
              </w:rPr>
            </w:pPr>
          </w:p>
        </w:tc>
        <w:tc>
          <w:tcPr>
            <w:tcW w:w="4140" w:type="dxa"/>
            <w:vAlign w:val="bottom"/>
            <w:gridSpan w:val="5"/>
          </w:tcPr>
          <w:p>
            <w:pPr>
              <w:spacing w:after="0"/>
              <w:rPr>
                <w:sz w:val="12"/>
                <w:szCs w:val="12"/>
                <w:color w:val="auto"/>
              </w:rPr>
            </w:pPr>
          </w:p>
        </w:tc>
        <w:tc>
          <w:tcPr>
            <w:tcW w:w="260" w:type="dxa"/>
            <w:vAlign w:val="bottom"/>
            <w:gridSpan w:val="2"/>
          </w:tcPr>
          <w:p>
            <w:pPr>
              <w:jc w:val="right"/>
              <w:ind w:right="20"/>
              <w:spacing w:after="0" w:line="147" w:lineRule="exact"/>
              <w:rPr>
                <w:sz w:val="20"/>
                <w:szCs w:val="20"/>
                <w:color w:val="auto"/>
              </w:rPr>
            </w:pPr>
            <w:r>
              <w:rPr>
                <w:rFonts w:ascii="Times New Roman" w:cs="Times New Roman" w:eastAsia="Times New Roman" w:hAnsi="Times New Roman"/>
                <w:sz w:val="14"/>
                <w:szCs w:val="14"/>
                <w:color w:val="auto"/>
              </w:rPr>
              <w:t>18</w:t>
            </w:r>
          </w:p>
        </w:tc>
        <w:tc>
          <w:tcPr>
            <w:tcW w:w="0" w:type="dxa"/>
            <w:vAlign w:val="bottom"/>
          </w:tcPr>
          <w:p>
            <w:pPr>
              <w:spacing w:after="0"/>
              <w:rPr>
                <w:sz w:val="1"/>
                <w:szCs w:val="1"/>
                <w:color w:val="auto"/>
              </w:rPr>
            </w:pPr>
          </w:p>
        </w:tc>
      </w:tr>
      <w:tr>
        <w:trPr>
          <w:trHeight w:val="147"/>
        </w:trPr>
        <w:tc>
          <w:tcPr>
            <w:tcW w:w="8260" w:type="dxa"/>
            <w:vAlign w:val="bottom"/>
            <w:gridSpan w:val="26"/>
          </w:tcPr>
          <w:p>
            <w:pPr>
              <w:spacing w:after="0" w:line="147" w:lineRule="exact"/>
              <w:rPr>
                <w:sz w:val="20"/>
                <w:szCs w:val="20"/>
                <w:color w:val="auto"/>
              </w:rPr>
            </w:pPr>
            <w:r>
              <w:rPr>
                <w:rFonts w:ascii="Times New Roman" w:cs="Times New Roman" w:eastAsia="Times New Roman" w:hAnsi="Times New Roman"/>
                <w:sz w:val="14"/>
                <w:szCs w:val="14"/>
                <w:color w:val="0000EE"/>
              </w:rPr>
              <w:t>DESCRIPTION OF THE EXCHANGE NOTES</w:t>
            </w:r>
          </w:p>
        </w:tc>
        <w:tc>
          <w:tcPr>
            <w:tcW w:w="260" w:type="dxa"/>
            <w:vAlign w:val="bottom"/>
            <w:gridSpan w:val="2"/>
          </w:tcPr>
          <w:p>
            <w:pPr>
              <w:jc w:val="right"/>
              <w:ind w:right="20"/>
              <w:spacing w:after="0" w:line="147" w:lineRule="exact"/>
              <w:rPr>
                <w:sz w:val="20"/>
                <w:szCs w:val="20"/>
                <w:color w:val="auto"/>
              </w:rPr>
            </w:pPr>
            <w:r>
              <w:rPr>
                <w:rFonts w:ascii="Times New Roman" w:cs="Times New Roman" w:eastAsia="Times New Roman" w:hAnsi="Times New Roman"/>
                <w:sz w:val="14"/>
                <w:szCs w:val="14"/>
                <w:color w:val="auto"/>
              </w:rPr>
              <w:t>26</w:t>
            </w:r>
          </w:p>
        </w:tc>
        <w:tc>
          <w:tcPr>
            <w:tcW w:w="0" w:type="dxa"/>
            <w:vAlign w:val="bottom"/>
          </w:tcPr>
          <w:p>
            <w:pPr>
              <w:spacing w:after="0"/>
              <w:rPr>
                <w:sz w:val="1"/>
                <w:szCs w:val="1"/>
                <w:color w:val="auto"/>
              </w:rPr>
            </w:pPr>
          </w:p>
        </w:tc>
      </w:tr>
      <w:tr>
        <w:trPr>
          <w:trHeight w:val="147"/>
        </w:trPr>
        <w:tc>
          <w:tcPr>
            <w:tcW w:w="1220" w:type="dxa"/>
            <w:vAlign w:val="bottom"/>
            <w:tcBorders>
              <w:top w:val="single" w:sz="8" w:color="0000EE"/>
              <w:bottom w:val="single" w:sz="8" w:color="0000EE"/>
            </w:tcBorders>
            <w:gridSpan w:val="5"/>
          </w:tcPr>
          <w:p>
            <w:pPr>
              <w:spacing w:after="0" w:line="147" w:lineRule="exact"/>
              <w:rPr>
                <w:sz w:val="20"/>
                <w:szCs w:val="20"/>
                <w:color w:val="auto"/>
              </w:rPr>
            </w:pPr>
            <w:r>
              <w:rPr>
                <w:rFonts w:ascii="Times New Roman" w:cs="Times New Roman" w:eastAsia="Times New Roman" w:hAnsi="Times New Roman"/>
                <w:sz w:val="14"/>
                <w:szCs w:val="14"/>
                <w:color w:val="0000EE"/>
                <w:w w:val="97"/>
              </w:rPr>
              <w:t>USE OF PROCEEDS</w:t>
            </w:r>
          </w:p>
        </w:tc>
        <w:tc>
          <w:tcPr>
            <w:tcW w:w="1480" w:type="dxa"/>
            <w:vAlign w:val="bottom"/>
            <w:tcBorders>
              <w:top w:val="single" w:sz="8" w:color="0000EE"/>
            </w:tcBorders>
            <w:gridSpan w:val="10"/>
          </w:tcPr>
          <w:p>
            <w:pPr>
              <w:spacing w:after="0"/>
              <w:rPr>
                <w:sz w:val="12"/>
                <w:szCs w:val="12"/>
                <w:color w:val="auto"/>
              </w:rPr>
            </w:pPr>
          </w:p>
        </w:tc>
        <w:tc>
          <w:tcPr>
            <w:tcW w:w="5560" w:type="dxa"/>
            <w:vAlign w:val="bottom"/>
            <w:gridSpan w:val="11"/>
          </w:tcPr>
          <w:p>
            <w:pPr>
              <w:spacing w:after="0"/>
              <w:rPr>
                <w:sz w:val="12"/>
                <w:szCs w:val="12"/>
                <w:color w:val="auto"/>
              </w:rPr>
            </w:pPr>
          </w:p>
        </w:tc>
        <w:tc>
          <w:tcPr>
            <w:tcW w:w="260" w:type="dxa"/>
            <w:vAlign w:val="bottom"/>
            <w:gridSpan w:val="2"/>
          </w:tcPr>
          <w:p>
            <w:pPr>
              <w:jc w:val="right"/>
              <w:ind w:right="20"/>
              <w:spacing w:after="0" w:line="147" w:lineRule="exact"/>
              <w:rPr>
                <w:sz w:val="20"/>
                <w:szCs w:val="20"/>
                <w:color w:val="auto"/>
              </w:rPr>
            </w:pPr>
            <w:r>
              <w:rPr>
                <w:rFonts w:ascii="Times New Roman" w:cs="Times New Roman" w:eastAsia="Times New Roman" w:hAnsi="Times New Roman"/>
                <w:sz w:val="14"/>
                <w:szCs w:val="14"/>
                <w:color w:val="auto"/>
              </w:rPr>
              <w:t>39</w:t>
            </w:r>
          </w:p>
        </w:tc>
        <w:tc>
          <w:tcPr>
            <w:tcW w:w="0" w:type="dxa"/>
            <w:vAlign w:val="bottom"/>
          </w:tcPr>
          <w:p>
            <w:pPr>
              <w:spacing w:after="0"/>
              <w:rPr>
                <w:sz w:val="1"/>
                <w:szCs w:val="1"/>
                <w:color w:val="auto"/>
              </w:rPr>
            </w:pPr>
          </w:p>
        </w:tc>
      </w:tr>
      <w:tr>
        <w:trPr>
          <w:trHeight w:val="147"/>
        </w:trPr>
        <w:tc>
          <w:tcPr>
            <w:tcW w:w="8260" w:type="dxa"/>
            <w:vAlign w:val="bottom"/>
            <w:gridSpan w:val="26"/>
          </w:tcPr>
          <w:p>
            <w:pPr>
              <w:spacing w:after="0" w:line="147" w:lineRule="exact"/>
              <w:rPr>
                <w:sz w:val="20"/>
                <w:szCs w:val="20"/>
                <w:color w:val="auto"/>
              </w:rPr>
            </w:pPr>
            <w:r>
              <w:rPr>
                <w:rFonts w:ascii="Times New Roman" w:cs="Times New Roman" w:eastAsia="Times New Roman" w:hAnsi="Times New Roman"/>
                <w:sz w:val="14"/>
                <w:szCs w:val="14"/>
                <w:color w:val="0000EE"/>
              </w:rPr>
              <w:t>FINANCIAL HIGHLIGHTS</w:t>
            </w:r>
          </w:p>
        </w:tc>
        <w:tc>
          <w:tcPr>
            <w:tcW w:w="260" w:type="dxa"/>
            <w:vAlign w:val="bottom"/>
            <w:gridSpan w:val="2"/>
          </w:tcPr>
          <w:p>
            <w:pPr>
              <w:jc w:val="right"/>
              <w:ind w:right="20"/>
              <w:spacing w:after="0" w:line="147" w:lineRule="exact"/>
              <w:rPr>
                <w:sz w:val="20"/>
                <w:szCs w:val="20"/>
                <w:color w:val="auto"/>
              </w:rPr>
            </w:pPr>
            <w:r>
              <w:rPr>
                <w:rFonts w:ascii="Times New Roman" w:cs="Times New Roman" w:eastAsia="Times New Roman" w:hAnsi="Times New Roman"/>
                <w:sz w:val="14"/>
                <w:szCs w:val="14"/>
                <w:color w:val="auto"/>
              </w:rPr>
              <w:t>40</w:t>
            </w:r>
          </w:p>
        </w:tc>
        <w:tc>
          <w:tcPr>
            <w:tcW w:w="0" w:type="dxa"/>
            <w:vAlign w:val="bottom"/>
          </w:tcPr>
          <w:p>
            <w:pPr>
              <w:spacing w:after="0"/>
              <w:rPr>
                <w:sz w:val="1"/>
                <w:szCs w:val="1"/>
                <w:color w:val="auto"/>
              </w:rPr>
            </w:pPr>
          </w:p>
        </w:tc>
      </w:tr>
      <w:tr>
        <w:trPr>
          <w:trHeight w:val="20"/>
        </w:trPr>
        <w:tc>
          <w:tcPr>
            <w:tcW w:w="6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8260" w:type="dxa"/>
            <w:vAlign w:val="bottom"/>
            <w:gridSpan w:val="26"/>
          </w:tcPr>
          <w:p>
            <w:pPr>
              <w:spacing w:after="0" w:line="147" w:lineRule="exact"/>
              <w:rPr>
                <w:sz w:val="20"/>
                <w:szCs w:val="20"/>
                <w:color w:val="auto"/>
              </w:rPr>
            </w:pPr>
            <w:r>
              <w:rPr>
                <w:rFonts w:ascii="Times New Roman" w:cs="Times New Roman" w:eastAsia="Times New Roman" w:hAnsi="Times New Roman"/>
                <w:sz w:val="14"/>
                <w:szCs w:val="14"/>
                <w:color w:val="0000EE"/>
              </w:rPr>
              <w:t>MANAGEMENT’S DISCUSSION AND ANALYSIS OF FINANCIAL CONDITION AND RESULTS OF OPERATIONS</w:t>
            </w:r>
          </w:p>
        </w:tc>
        <w:tc>
          <w:tcPr>
            <w:tcW w:w="260" w:type="dxa"/>
            <w:vAlign w:val="bottom"/>
            <w:gridSpan w:val="2"/>
          </w:tcPr>
          <w:p>
            <w:pPr>
              <w:jc w:val="right"/>
              <w:ind w:right="20"/>
              <w:spacing w:after="0" w:line="147" w:lineRule="exact"/>
              <w:rPr>
                <w:sz w:val="20"/>
                <w:szCs w:val="20"/>
                <w:color w:val="auto"/>
              </w:rPr>
            </w:pPr>
            <w:r>
              <w:rPr>
                <w:rFonts w:ascii="Times New Roman" w:cs="Times New Roman" w:eastAsia="Times New Roman" w:hAnsi="Times New Roman"/>
                <w:sz w:val="14"/>
                <w:szCs w:val="14"/>
                <w:color w:val="auto"/>
              </w:rPr>
              <w:t>41</w:t>
            </w:r>
          </w:p>
        </w:tc>
        <w:tc>
          <w:tcPr>
            <w:tcW w:w="0" w:type="dxa"/>
            <w:vAlign w:val="bottom"/>
          </w:tcPr>
          <w:p>
            <w:pPr>
              <w:spacing w:after="0"/>
              <w:rPr>
                <w:sz w:val="1"/>
                <w:szCs w:val="1"/>
                <w:color w:val="auto"/>
              </w:rPr>
            </w:pPr>
          </w:p>
        </w:tc>
      </w:tr>
      <w:tr>
        <w:trPr>
          <w:trHeight w:val="147"/>
        </w:trPr>
        <w:tc>
          <w:tcPr>
            <w:tcW w:w="4760" w:type="dxa"/>
            <w:vAlign w:val="bottom"/>
            <w:tcBorders>
              <w:top w:val="single" w:sz="8" w:color="0000EE"/>
              <w:bottom w:val="single" w:sz="8" w:color="0000EE"/>
            </w:tcBorders>
            <w:gridSpan w:val="23"/>
          </w:tcPr>
          <w:p>
            <w:pPr>
              <w:spacing w:after="0" w:line="147" w:lineRule="exact"/>
              <w:rPr>
                <w:sz w:val="20"/>
                <w:szCs w:val="20"/>
                <w:color w:val="auto"/>
              </w:rPr>
            </w:pPr>
            <w:r>
              <w:rPr>
                <w:rFonts w:ascii="Times New Roman" w:cs="Times New Roman" w:eastAsia="Times New Roman" w:hAnsi="Times New Roman"/>
                <w:sz w:val="14"/>
                <w:szCs w:val="14"/>
                <w:color w:val="0000EE"/>
                <w:w w:val="98"/>
              </w:rPr>
              <w:t>QUANTITATIVE AND QUALITATIVE DISCLOSURES ABOUT MARKET RISK</w:t>
            </w:r>
          </w:p>
        </w:tc>
        <w:tc>
          <w:tcPr>
            <w:tcW w:w="2140" w:type="dxa"/>
            <w:vAlign w:val="bottom"/>
            <w:tcBorders>
              <w:top w:val="single" w:sz="8" w:color="0000EE"/>
            </w:tcBorders>
            <w:gridSpan w:val="2"/>
          </w:tcPr>
          <w:p>
            <w:pPr>
              <w:spacing w:after="0"/>
              <w:rPr>
                <w:sz w:val="12"/>
                <w:szCs w:val="12"/>
                <w:color w:val="auto"/>
              </w:rPr>
            </w:pPr>
          </w:p>
        </w:tc>
        <w:tc>
          <w:tcPr>
            <w:tcW w:w="1360" w:type="dxa"/>
            <w:vAlign w:val="bottom"/>
          </w:tcPr>
          <w:p>
            <w:pPr>
              <w:spacing w:after="0"/>
              <w:rPr>
                <w:sz w:val="12"/>
                <w:szCs w:val="12"/>
                <w:color w:val="auto"/>
              </w:rPr>
            </w:pPr>
          </w:p>
        </w:tc>
        <w:tc>
          <w:tcPr>
            <w:tcW w:w="260" w:type="dxa"/>
            <w:vAlign w:val="bottom"/>
            <w:gridSpan w:val="2"/>
          </w:tcPr>
          <w:p>
            <w:pPr>
              <w:jc w:val="right"/>
              <w:ind w:right="20"/>
              <w:spacing w:after="0" w:line="147" w:lineRule="exact"/>
              <w:rPr>
                <w:sz w:val="20"/>
                <w:szCs w:val="20"/>
                <w:color w:val="auto"/>
              </w:rPr>
            </w:pPr>
            <w:r>
              <w:rPr>
                <w:rFonts w:ascii="Times New Roman" w:cs="Times New Roman" w:eastAsia="Times New Roman" w:hAnsi="Times New Roman"/>
                <w:sz w:val="14"/>
                <w:szCs w:val="14"/>
                <w:color w:val="auto"/>
              </w:rPr>
              <w:t>42</w:t>
            </w:r>
          </w:p>
        </w:tc>
        <w:tc>
          <w:tcPr>
            <w:tcW w:w="0" w:type="dxa"/>
            <w:vAlign w:val="bottom"/>
          </w:tcPr>
          <w:p>
            <w:pPr>
              <w:spacing w:after="0"/>
              <w:rPr>
                <w:sz w:val="1"/>
                <w:szCs w:val="1"/>
                <w:color w:val="auto"/>
              </w:rPr>
            </w:pPr>
          </w:p>
        </w:tc>
      </w:tr>
      <w:tr>
        <w:trPr>
          <w:trHeight w:val="147"/>
        </w:trPr>
        <w:tc>
          <w:tcPr>
            <w:tcW w:w="660" w:type="dxa"/>
            <w:vAlign w:val="bottom"/>
            <w:tcBorders>
              <w:bottom w:val="single" w:sz="8" w:color="0000EE"/>
            </w:tcBorders>
          </w:tcPr>
          <w:p>
            <w:pPr>
              <w:spacing w:after="0" w:line="147" w:lineRule="exact"/>
              <w:rPr>
                <w:sz w:val="20"/>
                <w:szCs w:val="20"/>
                <w:color w:val="auto"/>
              </w:rPr>
            </w:pPr>
            <w:r>
              <w:rPr>
                <w:rFonts w:ascii="Times New Roman" w:cs="Times New Roman" w:eastAsia="Times New Roman" w:hAnsi="Times New Roman"/>
                <w:sz w:val="14"/>
                <w:szCs w:val="14"/>
                <w:color w:val="0000EE"/>
                <w:w w:val="96"/>
              </w:rPr>
              <w:t>BUSINESS</w:t>
            </w:r>
          </w:p>
        </w:tc>
        <w:tc>
          <w:tcPr>
            <w:tcW w:w="7600" w:type="dxa"/>
            <w:vAlign w:val="bottom"/>
            <w:gridSpan w:val="25"/>
          </w:tcPr>
          <w:p>
            <w:pPr>
              <w:spacing w:after="0"/>
              <w:rPr>
                <w:sz w:val="12"/>
                <w:szCs w:val="12"/>
                <w:color w:val="auto"/>
              </w:rPr>
            </w:pPr>
          </w:p>
        </w:tc>
        <w:tc>
          <w:tcPr>
            <w:tcW w:w="260" w:type="dxa"/>
            <w:vAlign w:val="bottom"/>
            <w:gridSpan w:val="2"/>
          </w:tcPr>
          <w:p>
            <w:pPr>
              <w:jc w:val="right"/>
              <w:ind w:right="20"/>
              <w:spacing w:after="0" w:line="147" w:lineRule="exact"/>
              <w:rPr>
                <w:sz w:val="20"/>
                <w:szCs w:val="20"/>
                <w:color w:val="auto"/>
              </w:rPr>
            </w:pPr>
            <w:r>
              <w:rPr>
                <w:rFonts w:ascii="Times New Roman" w:cs="Times New Roman" w:eastAsia="Times New Roman" w:hAnsi="Times New Roman"/>
                <w:sz w:val="14"/>
                <w:szCs w:val="14"/>
                <w:color w:val="auto"/>
              </w:rPr>
              <w:t>43</w:t>
            </w:r>
          </w:p>
        </w:tc>
        <w:tc>
          <w:tcPr>
            <w:tcW w:w="0" w:type="dxa"/>
            <w:vAlign w:val="bottom"/>
          </w:tcPr>
          <w:p>
            <w:pPr>
              <w:spacing w:after="0"/>
              <w:rPr>
                <w:sz w:val="1"/>
                <w:szCs w:val="1"/>
                <w:color w:val="auto"/>
              </w:rPr>
            </w:pPr>
          </w:p>
        </w:tc>
      </w:tr>
      <w:tr>
        <w:trPr>
          <w:trHeight w:val="147"/>
        </w:trPr>
        <w:tc>
          <w:tcPr>
            <w:tcW w:w="8260" w:type="dxa"/>
            <w:vAlign w:val="bottom"/>
            <w:gridSpan w:val="26"/>
          </w:tcPr>
          <w:p>
            <w:pPr>
              <w:spacing w:after="0" w:line="147" w:lineRule="exact"/>
              <w:rPr>
                <w:sz w:val="20"/>
                <w:szCs w:val="20"/>
                <w:color w:val="auto"/>
              </w:rPr>
            </w:pPr>
            <w:r>
              <w:rPr>
                <w:rFonts w:ascii="Times New Roman" w:cs="Times New Roman" w:eastAsia="Times New Roman" w:hAnsi="Times New Roman"/>
                <w:sz w:val="14"/>
                <w:szCs w:val="14"/>
                <w:color w:val="0000EE"/>
              </w:rPr>
              <w:t>FINANCIAL STATEMENTS</w:t>
            </w:r>
          </w:p>
        </w:tc>
        <w:tc>
          <w:tcPr>
            <w:tcW w:w="260" w:type="dxa"/>
            <w:vAlign w:val="bottom"/>
            <w:gridSpan w:val="2"/>
          </w:tcPr>
          <w:p>
            <w:pPr>
              <w:jc w:val="right"/>
              <w:ind w:right="20"/>
              <w:spacing w:after="0" w:line="147" w:lineRule="exact"/>
              <w:rPr>
                <w:sz w:val="20"/>
                <w:szCs w:val="20"/>
                <w:color w:val="auto"/>
              </w:rPr>
            </w:pPr>
            <w:r>
              <w:rPr>
                <w:rFonts w:ascii="Times New Roman" w:cs="Times New Roman" w:eastAsia="Times New Roman" w:hAnsi="Times New Roman"/>
                <w:sz w:val="14"/>
                <w:szCs w:val="14"/>
                <w:color w:val="auto"/>
              </w:rPr>
              <w:t>44</w:t>
            </w:r>
          </w:p>
        </w:tc>
        <w:tc>
          <w:tcPr>
            <w:tcW w:w="0" w:type="dxa"/>
            <w:vAlign w:val="bottom"/>
          </w:tcPr>
          <w:p>
            <w:pPr>
              <w:spacing w:after="0"/>
              <w:rPr>
                <w:sz w:val="1"/>
                <w:szCs w:val="1"/>
                <w:color w:val="auto"/>
              </w:rPr>
            </w:pPr>
          </w:p>
        </w:tc>
      </w:tr>
      <w:tr>
        <w:trPr>
          <w:trHeight w:val="147"/>
        </w:trPr>
        <w:tc>
          <w:tcPr>
            <w:tcW w:w="1660" w:type="dxa"/>
            <w:vAlign w:val="bottom"/>
            <w:tcBorders>
              <w:top w:val="single" w:sz="8" w:color="0000EE"/>
            </w:tcBorders>
            <w:gridSpan w:val="9"/>
          </w:tcPr>
          <w:p>
            <w:pPr>
              <w:spacing w:after="0" w:line="147" w:lineRule="exact"/>
              <w:rPr>
                <w:sz w:val="20"/>
                <w:szCs w:val="20"/>
                <w:color w:val="auto"/>
              </w:rPr>
            </w:pPr>
            <w:r>
              <w:rPr>
                <w:rFonts w:ascii="Times New Roman" w:cs="Times New Roman" w:eastAsia="Times New Roman" w:hAnsi="Times New Roman"/>
                <w:sz w:val="14"/>
                <w:szCs w:val="14"/>
                <w:color w:val="0000EE"/>
              </w:rPr>
              <w:t>SENIOR SECURITIES</w:t>
            </w:r>
          </w:p>
        </w:tc>
        <w:tc>
          <w:tcPr>
            <w:tcW w:w="6600" w:type="dxa"/>
            <w:vAlign w:val="bottom"/>
            <w:gridSpan w:val="17"/>
          </w:tcPr>
          <w:p>
            <w:pPr>
              <w:spacing w:after="0"/>
              <w:rPr>
                <w:sz w:val="12"/>
                <w:szCs w:val="12"/>
                <w:color w:val="auto"/>
              </w:rPr>
            </w:pPr>
          </w:p>
        </w:tc>
        <w:tc>
          <w:tcPr>
            <w:tcW w:w="260" w:type="dxa"/>
            <w:vAlign w:val="bottom"/>
            <w:gridSpan w:val="2"/>
          </w:tcPr>
          <w:p>
            <w:pPr>
              <w:jc w:val="right"/>
              <w:ind w:right="20"/>
              <w:spacing w:after="0" w:line="147" w:lineRule="exact"/>
              <w:rPr>
                <w:sz w:val="20"/>
                <w:szCs w:val="20"/>
                <w:color w:val="auto"/>
              </w:rPr>
            </w:pPr>
            <w:r>
              <w:rPr>
                <w:rFonts w:ascii="Times New Roman" w:cs="Times New Roman" w:eastAsia="Times New Roman" w:hAnsi="Times New Roman"/>
                <w:sz w:val="14"/>
                <w:szCs w:val="14"/>
                <w:color w:val="auto"/>
              </w:rPr>
              <w:t>45</w:t>
            </w:r>
          </w:p>
        </w:tc>
        <w:tc>
          <w:tcPr>
            <w:tcW w:w="0" w:type="dxa"/>
            <w:vAlign w:val="bottom"/>
          </w:tcPr>
          <w:p>
            <w:pPr>
              <w:spacing w:after="0"/>
              <w:rPr>
                <w:sz w:val="1"/>
                <w:szCs w:val="1"/>
                <w:color w:val="auto"/>
              </w:rPr>
            </w:pPr>
          </w:p>
        </w:tc>
      </w:tr>
      <w:tr>
        <w:trPr>
          <w:trHeight w:val="20"/>
        </w:trPr>
        <w:tc>
          <w:tcPr>
            <w:tcW w:w="880" w:type="dxa"/>
            <w:vAlign w:val="bottom"/>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314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8260" w:type="dxa"/>
            <w:vAlign w:val="bottom"/>
            <w:gridSpan w:val="26"/>
          </w:tcPr>
          <w:p>
            <w:pPr>
              <w:spacing w:after="0" w:line="147" w:lineRule="exact"/>
              <w:rPr>
                <w:sz w:val="20"/>
                <w:szCs w:val="20"/>
                <w:color w:val="auto"/>
              </w:rPr>
            </w:pPr>
            <w:r>
              <w:rPr>
                <w:rFonts w:ascii="Times New Roman" w:cs="Times New Roman" w:eastAsia="Times New Roman" w:hAnsi="Times New Roman"/>
                <w:sz w:val="14"/>
                <w:szCs w:val="14"/>
                <w:color w:val="0000EE"/>
              </w:rPr>
              <w:t>PORTFOLIO COMPANIES</w:t>
            </w:r>
          </w:p>
        </w:tc>
        <w:tc>
          <w:tcPr>
            <w:tcW w:w="260" w:type="dxa"/>
            <w:vAlign w:val="bottom"/>
            <w:gridSpan w:val="2"/>
          </w:tcPr>
          <w:p>
            <w:pPr>
              <w:jc w:val="right"/>
              <w:ind w:right="20"/>
              <w:spacing w:after="0" w:line="147" w:lineRule="exact"/>
              <w:rPr>
                <w:sz w:val="20"/>
                <w:szCs w:val="20"/>
                <w:color w:val="auto"/>
              </w:rPr>
            </w:pPr>
            <w:r>
              <w:rPr>
                <w:rFonts w:ascii="Times New Roman" w:cs="Times New Roman" w:eastAsia="Times New Roman" w:hAnsi="Times New Roman"/>
                <w:sz w:val="14"/>
                <w:szCs w:val="14"/>
                <w:color w:val="auto"/>
              </w:rPr>
              <w:t>46</w:t>
            </w:r>
          </w:p>
        </w:tc>
        <w:tc>
          <w:tcPr>
            <w:tcW w:w="0" w:type="dxa"/>
            <w:vAlign w:val="bottom"/>
          </w:tcPr>
          <w:p>
            <w:pPr>
              <w:spacing w:after="0"/>
              <w:rPr>
                <w:sz w:val="1"/>
                <w:szCs w:val="1"/>
                <w:color w:val="auto"/>
              </w:rPr>
            </w:pPr>
          </w:p>
        </w:tc>
      </w:tr>
      <w:tr>
        <w:trPr>
          <w:trHeight w:val="20"/>
        </w:trPr>
        <w:tc>
          <w:tcPr>
            <w:tcW w:w="880" w:type="dxa"/>
            <w:vAlign w:val="bottom"/>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460" w:type="dxa"/>
            <w:vAlign w:val="bottom"/>
            <w:gridSpan w:val="4"/>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314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8260" w:type="dxa"/>
            <w:vAlign w:val="bottom"/>
            <w:gridSpan w:val="26"/>
          </w:tcPr>
          <w:p>
            <w:pPr>
              <w:spacing w:after="0" w:line="147" w:lineRule="exact"/>
              <w:rPr>
                <w:sz w:val="20"/>
                <w:szCs w:val="20"/>
                <w:color w:val="auto"/>
              </w:rPr>
            </w:pPr>
            <w:r>
              <w:rPr>
                <w:rFonts w:ascii="Times New Roman" w:cs="Times New Roman" w:eastAsia="Times New Roman" w:hAnsi="Times New Roman"/>
                <w:sz w:val="14"/>
                <w:szCs w:val="14"/>
                <w:color w:val="0000EE"/>
              </w:rPr>
              <w:t>MANAGEMENT OF THE COMPANY</w:t>
            </w:r>
          </w:p>
        </w:tc>
        <w:tc>
          <w:tcPr>
            <w:tcW w:w="260" w:type="dxa"/>
            <w:vAlign w:val="bottom"/>
            <w:gridSpan w:val="2"/>
          </w:tcPr>
          <w:p>
            <w:pPr>
              <w:jc w:val="right"/>
              <w:ind w:right="20"/>
              <w:spacing w:after="0" w:line="147" w:lineRule="exact"/>
              <w:rPr>
                <w:sz w:val="20"/>
                <w:szCs w:val="20"/>
                <w:color w:val="auto"/>
              </w:rPr>
            </w:pPr>
            <w:r>
              <w:rPr>
                <w:rFonts w:ascii="Times New Roman" w:cs="Times New Roman" w:eastAsia="Times New Roman" w:hAnsi="Times New Roman"/>
                <w:sz w:val="14"/>
                <w:szCs w:val="14"/>
                <w:color w:val="auto"/>
              </w:rPr>
              <w:t>63</w:t>
            </w:r>
          </w:p>
        </w:tc>
        <w:tc>
          <w:tcPr>
            <w:tcW w:w="0" w:type="dxa"/>
            <w:vAlign w:val="bottom"/>
          </w:tcPr>
          <w:p>
            <w:pPr>
              <w:spacing w:after="0"/>
              <w:rPr>
                <w:sz w:val="1"/>
                <w:szCs w:val="1"/>
                <w:color w:val="auto"/>
              </w:rPr>
            </w:pPr>
          </w:p>
        </w:tc>
      </w:tr>
      <w:tr>
        <w:trPr>
          <w:trHeight w:val="147"/>
        </w:trPr>
        <w:tc>
          <w:tcPr>
            <w:tcW w:w="1800" w:type="dxa"/>
            <w:vAlign w:val="bottom"/>
            <w:tcBorders>
              <w:top w:val="single" w:sz="8" w:color="0000EE"/>
              <w:bottom w:val="single" w:sz="8" w:color="0000EE"/>
            </w:tcBorders>
            <w:gridSpan w:val="11"/>
          </w:tcPr>
          <w:p>
            <w:pPr>
              <w:spacing w:after="0" w:line="147" w:lineRule="exact"/>
              <w:rPr>
                <w:sz w:val="20"/>
                <w:szCs w:val="20"/>
                <w:color w:val="auto"/>
              </w:rPr>
            </w:pPr>
            <w:r>
              <w:rPr>
                <w:rFonts w:ascii="Times New Roman" w:cs="Times New Roman" w:eastAsia="Times New Roman" w:hAnsi="Times New Roman"/>
                <w:sz w:val="14"/>
                <w:szCs w:val="14"/>
                <w:color w:val="0000EE"/>
                <w:w w:val="97"/>
              </w:rPr>
              <w:t>PORTFOLIO MANAGEMENT</w:t>
            </w:r>
          </w:p>
        </w:tc>
        <w:tc>
          <w:tcPr>
            <w:tcW w:w="440" w:type="dxa"/>
            <w:vAlign w:val="bottom"/>
            <w:tcBorders>
              <w:top w:val="single" w:sz="8" w:color="0000EE"/>
            </w:tcBorders>
          </w:tcPr>
          <w:p>
            <w:pPr>
              <w:spacing w:after="0"/>
              <w:rPr>
                <w:sz w:val="12"/>
                <w:szCs w:val="12"/>
                <w:color w:val="auto"/>
              </w:rPr>
            </w:pPr>
          </w:p>
        </w:tc>
        <w:tc>
          <w:tcPr>
            <w:tcW w:w="6020" w:type="dxa"/>
            <w:vAlign w:val="bottom"/>
            <w:gridSpan w:val="14"/>
          </w:tcPr>
          <w:p>
            <w:pPr>
              <w:spacing w:after="0"/>
              <w:rPr>
                <w:sz w:val="12"/>
                <w:szCs w:val="12"/>
                <w:color w:val="auto"/>
              </w:rPr>
            </w:pPr>
          </w:p>
        </w:tc>
        <w:tc>
          <w:tcPr>
            <w:tcW w:w="260" w:type="dxa"/>
            <w:vAlign w:val="bottom"/>
            <w:gridSpan w:val="2"/>
          </w:tcPr>
          <w:p>
            <w:pPr>
              <w:jc w:val="right"/>
              <w:ind w:right="20"/>
              <w:spacing w:after="0" w:line="147" w:lineRule="exact"/>
              <w:rPr>
                <w:sz w:val="20"/>
                <w:szCs w:val="20"/>
                <w:color w:val="auto"/>
              </w:rPr>
            </w:pPr>
            <w:r>
              <w:rPr>
                <w:rFonts w:ascii="Times New Roman" w:cs="Times New Roman" w:eastAsia="Times New Roman" w:hAnsi="Times New Roman"/>
                <w:sz w:val="14"/>
                <w:szCs w:val="14"/>
                <w:color w:val="auto"/>
              </w:rPr>
              <w:t>64</w:t>
            </w:r>
          </w:p>
        </w:tc>
        <w:tc>
          <w:tcPr>
            <w:tcW w:w="0" w:type="dxa"/>
            <w:vAlign w:val="bottom"/>
          </w:tcPr>
          <w:p>
            <w:pPr>
              <w:spacing w:after="0"/>
              <w:rPr>
                <w:sz w:val="1"/>
                <w:szCs w:val="1"/>
                <w:color w:val="auto"/>
              </w:rPr>
            </w:pPr>
          </w:p>
        </w:tc>
      </w:tr>
      <w:tr>
        <w:trPr>
          <w:trHeight w:val="147"/>
        </w:trPr>
        <w:tc>
          <w:tcPr>
            <w:tcW w:w="4240" w:type="dxa"/>
            <w:vAlign w:val="bottom"/>
            <w:tcBorders>
              <w:bottom w:val="single" w:sz="8" w:color="0000EE"/>
            </w:tcBorders>
            <w:gridSpan w:val="22"/>
          </w:tcPr>
          <w:p>
            <w:pPr>
              <w:spacing w:after="0" w:line="147" w:lineRule="exact"/>
              <w:rPr>
                <w:sz w:val="20"/>
                <w:szCs w:val="20"/>
                <w:color w:val="auto"/>
              </w:rPr>
            </w:pPr>
            <w:r>
              <w:rPr>
                <w:rFonts w:ascii="Times New Roman" w:cs="Times New Roman" w:eastAsia="Times New Roman" w:hAnsi="Times New Roman"/>
                <w:sz w:val="14"/>
                <w:szCs w:val="14"/>
                <w:color w:val="0000EE"/>
                <w:w w:val="97"/>
              </w:rPr>
              <w:t>CERTAIN RELATIONSHIPS AND RELATED PARTY TRANSACTIONS</w:t>
            </w:r>
          </w:p>
        </w:tc>
        <w:tc>
          <w:tcPr>
            <w:tcW w:w="4020" w:type="dxa"/>
            <w:vAlign w:val="bottom"/>
            <w:gridSpan w:val="4"/>
          </w:tcPr>
          <w:p>
            <w:pPr>
              <w:spacing w:after="0"/>
              <w:rPr>
                <w:sz w:val="12"/>
                <w:szCs w:val="12"/>
                <w:color w:val="auto"/>
              </w:rPr>
            </w:pPr>
          </w:p>
        </w:tc>
        <w:tc>
          <w:tcPr>
            <w:tcW w:w="260" w:type="dxa"/>
            <w:vAlign w:val="bottom"/>
            <w:gridSpan w:val="2"/>
          </w:tcPr>
          <w:p>
            <w:pPr>
              <w:jc w:val="right"/>
              <w:ind w:right="20"/>
              <w:spacing w:after="0" w:line="147" w:lineRule="exact"/>
              <w:rPr>
                <w:sz w:val="20"/>
                <w:szCs w:val="20"/>
                <w:color w:val="auto"/>
              </w:rPr>
            </w:pPr>
            <w:r>
              <w:rPr>
                <w:rFonts w:ascii="Times New Roman" w:cs="Times New Roman" w:eastAsia="Times New Roman" w:hAnsi="Times New Roman"/>
                <w:sz w:val="14"/>
                <w:szCs w:val="14"/>
                <w:color w:val="auto"/>
              </w:rPr>
              <w:t>65</w:t>
            </w:r>
          </w:p>
        </w:tc>
        <w:tc>
          <w:tcPr>
            <w:tcW w:w="0" w:type="dxa"/>
            <w:vAlign w:val="bottom"/>
          </w:tcPr>
          <w:p>
            <w:pPr>
              <w:spacing w:after="0"/>
              <w:rPr>
                <w:sz w:val="1"/>
                <w:szCs w:val="1"/>
                <w:color w:val="auto"/>
              </w:rPr>
            </w:pPr>
          </w:p>
        </w:tc>
      </w:tr>
      <w:tr>
        <w:trPr>
          <w:trHeight w:val="147"/>
        </w:trPr>
        <w:tc>
          <w:tcPr>
            <w:tcW w:w="3520" w:type="dxa"/>
            <w:vAlign w:val="bottom"/>
            <w:tcBorders>
              <w:bottom w:val="single" w:sz="8" w:color="0000EE"/>
            </w:tcBorders>
            <w:gridSpan w:val="17"/>
          </w:tcPr>
          <w:p>
            <w:pPr>
              <w:spacing w:after="0" w:line="147" w:lineRule="exact"/>
              <w:rPr>
                <w:sz w:val="20"/>
                <w:szCs w:val="20"/>
                <w:color w:val="auto"/>
              </w:rPr>
            </w:pPr>
            <w:r>
              <w:rPr>
                <w:rFonts w:ascii="Times New Roman" w:cs="Times New Roman" w:eastAsia="Times New Roman" w:hAnsi="Times New Roman"/>
                <w:sz w:val="14"/>
                <w:szCs w:val="14"/>
                <w:color w:val="0000EE"/>
                <w:w w:val="98"/>
              </w:rPr>
              <w:t>CONTROL PERSONS AND PRINCIPAL SHAREHOLDERS</w:t>
            </w:r>
          </w:p>
        </w:tc>
        <w:tc>
          <w:tcPr>
            <w:tcW w:w="4740" w:type="dxa"/>
            <w:vAlign w:val="bottom"/>
            <w:gridSpan w:val="9"/>
          </w:tcPr>
          <w:p>
            <w:pPr>
              <w:spacing w:after="0"/>
              <w:rPr>
                <w:sz w:val="12"/>
                <w:szCs w:val="12"/>
                <w:color w:val="auto"/>
              </w:rPr>
            </w:pPr>
          </w:p>
        </w:tc>
        <w:tc>
          <w:tcPr>
            <w:tcW w:w="260" w:type="dxa"/>
            <w:vAlign w:val="bottom"/>
            <w:gridSpan w:val="2"/>
          </w:tcPr>
          <w:p>
            <w:pPr>
              <w:jc w:val="right"/>
              <w:ind w:right="20"/>
              <w:spacing w:after="0" w:line="147" w:lineRule="exact"/>
              <w:rPr>
                <w:sz w:val="20"/>
                <w:szCs w:val="20"/>
                <w:color w:val="auto"/>
              </w:rPr>
            </w:pPr>
            <w:r>
              <w:rPr>
                <w:rFonts w:ascii="Times New Roman" w:cs="Times New Roman" w:eastAsia="Times New Roman" w:hAnsi="Times New Roman"/>
                <w:sz w:val="14"/>
                <w:szCs w:val="14"/>
                <w:color w:val="auto"/>
              </w:rPr>
              <w:t>66</w:t>
            </w:r>
          </w:p>
        </w:tc>
        <w:tc>
          <w:tcPr>
            <w:tcW w:w="0" w:type="dxa"/>
            <w:vAlign w:val="bottom"/>
          </w:tcPr>
          <w:p>
            <w:pPr>
              <w:spacing w:after="0"/>
              <w:rPr>
                <w:sz w:val="1"/>
                <w:szCs w:val="1"/>
                <w:color w:val="auto"/>
              </w:rPr>
            </w:pPr>
          </w:p>
        </w:tc>
      </w:tr>
      <w:tr>
        <w:trPr>
          <w:trHeight w:val="147"/>
        </w:trPr>
        <w:tc>
          <w:tcPr>
            <w:tcW w:w="8260" w:type="dxa"/>
            <w:vAlign w:val="bottom"/>
            <w:gridSpan w:val="26"/>
          </w:tcPr>
          <w:p>
            <w:pPr>
              <w:spacing w:after="0" w:line="147" w:lineRule="exact"/>
              <w:rPr>
                <w:sz w:val="20"/>
                <w:szCs w:val="20"/>
                <w:color w:val="auto"/>
              </w:rPr>
            </w:pPr>
            <w:r>
              <w:rPr>
                <w:rFonts w:ascii="Times New Roman" w:cs="Times New Roman" w:eastAsia="Times New Roman" w:hAnsi="Times New Roman"/>
                <w:sz w:val="14"/>
                <w:szCs w:val="14"/>
                <w:color w:val="0000EE"/>
              </w:rPr>
              <w:t>DESCRIPTION OF OUR CAPITAL STOCK</w:t>
            </w:r>
          </w:p>
        </w:tc>
        <w:tc>
          <w:tcPr>
            <w:tcW w:w="260" w:type="dxa"/>
            <w:vAlign w:val="bottom"/>
            <w:gridSpan w:val="2"/>
          </w:tcPr>
          <w:p>
            <w:pPr>
              <w:jc w:val="right"/>
              <w:ind w:right="20"/>
              <w:spacing w:after="0" w:line="147" w:lineRule="exact"/>
              <w:rPr>
                <w:sz w:val="20"/>
                <w:szCs w:val="20"/>
                <w:color w:val="auto"/>
              </w:rPr>
            </w:pPr>
            <w:r>
              <w:rPr>
                <w:rFonts w:ascii="Times New Roman" w:cs="Times New Roman" w:eastAsia="Times New Roman" w:hAnsi="Times New Roman"/>
                <w:sz w:val="14"/>
                <w:szCs w:val="14"/>
                <w:color w:val="auto"/>
              </w:rPr>
              <w:t>68</w:t>
            </w:r>
          </w:p>
        </w:tc>
        <w:tc>
          <w:tcPr>
            <w:tcW w:w="0" w:type="dxa"/>
            <w:vAlign w:val="bottom"/>
          </w:tcPr>
          <w:p>
            <w:pPr>
              <w:spacing w:after="0"/>
              <w:rPr>
                <w:sz w:val="1"/>
                <w:szCs w:val="1"/>
                <w:color w:val="auto"/>
              </w:rPr>
            </w:pPr>
          </w:p>
        </w:tc>
      </w:tr>
      <w:tr>
        <w:trPr>
          <w:trHeight w:val="147"/>
        </w:trPr>
        <w:tc>
          <w:tcPr>
            <w:tcW w:w="2540" w:type="dxa"/>
            <w:vAlign w:val="bottom"/>
            <w:tcBorders>
              <w:top w:val="single" w:sz="8" w:color="0000EE"/>
            </w:tcBorders>
            <w:gridSpan w:val="14"/>
          </w:tcPr>
          <w:p>
            <w:pPr>
              <w:spacing w:after="0" w:line="147" w:lineRule="exact"/>
              <w:rPr>
                <w:sz w:val="20"/>
                <w:szCs w:val="20"/>
                <w:color w:val="auto"/>
              </w:rPr>
            </w:pPr>
            <w:r>
              <w:rPr>
                <w:rFonts w:ascii="Times New Roman" w:cs="Times New Roman" w:eastAsia="Times New Roman" w:hAnsi="Times New Roman"/>
                <w:sz w:val="14"/>
                <w:szCs w:val="14"/>
                <w:color w:val="0000EE"/>
              </w:rPr>
              <w:t>PLAN OF DISTRIBUTION</w:t>
            </w:r>
          </w:p>
        </w:tc>
        <w:tc>
          <w:tcPr>
            <w:tcW w:w="5720" w:type="dxa"/>
            <w:vAlign w:val="bottom"/>
            <w:gridSpan w:val="12"/>
          </w:tcPr>
          <w:p>
            <w:pPr>
              <w:spacing w:after="0"/>
              <w:rPr>
                <w:sz w:val="12"/>
                <w:szCs w:val="12"/>
                <w:color w:val="auto"/>
              </w:rPr>
            </w:pPr>
          </w:p>
        </w:tc>
        <w:tc>
          <w:tcPr>
            <w:tcW w:w="260" w:type="dxa"/>
            <w:vAlign w:val="bottom"/>
            <w:gridSpan w:val="2"/>
          </w:tcPr>
          <w:p>
            <w:pPr>
              <w:jc w:val="right"/>
              <w:ind w:right="20"/>
              <w:spacing w:after="0" w:line="147" w:lineRule="exact"/>
              <w:rPr>
                <w:sz w:val="20"/>
                <w:szCs w:val="20"/>
                <w:color w:val="auto"/>
              </w:rPr>
            </w:pPr>
            <w:r>
              <w:rPr>
                <w:rFonts w:ascii="Times New Roman" w:cs="Times New Roman" w:eastAsia="Times New Roman" w:hAnsi="Times New Roman"/>
                <w:sz w:val="14"/>
                <w:szCs w:val="14"/>
                <w:color w:val="auto"/>
              </w:rPr>
              <w:t>77</w:t>
            </w:r>
          </w:p>
        </w:tc>
        <w:tc>
          <w:tcPr>
            <w:tcW w:w="0" w:type="dxa"/>
            <w:vAlign w:val="bottom"/>
          </w:tcPr>
          <w:p>
            <w:pPr>
              <w:spacing w:after="0"/>
              <w:rPr>
                <w:sz w:val="1"/>
                <w:szCs w:val="1"/>
                <w:color w:val="auto"/>
              </w:rPr>
            </w:pPr>
          </w:p>
        </w:tc>
      </w:tr>
      <w:tr>
        <w:trPr>
          <w:trHeight w:val="20"/>
        </w:trPr>
        <w:tc>
          <w:tcPr>
            <w:tcW w:w="880" w:type="dxa"/>
            <w:vAlign w:val="bottom"/>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460" w:type="dxa"/>
            <w:vAlign w:val="bottom"/>
            <w:gridSpan w:val="4"/>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gridSpan w:val="4"/>
          </w:tcPr>
          <w:p>
            <w:pPr>
              <w:spacing w:after="0" w:line="20" w:lineRule="exact"/>
              <w:rPr>
                <w:sz w:val="1"/>
                <w:szCs w:val="1"/>
                <w:color w:val="auto"/>
              </w:rPr>
            </w:pPr>
          </w:p>
        </w:tc>
        <w:tc>
          <w:tcPr>
            <w:tcW w:w="314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2480" w:type="dxa"/>
            <w:vAlign w:val="bottom"/>
            <w:tcBorders>
              <w:bottom w:val="single" w:sz="8" w:color="0000EE"/>
            </w:tcBorders>
            <w:gridSpan w:val="13"/>
          </w:tcPr>
          <w:p>
            <w:pPr>
              <w:spacing w:after="0" w:line="147" w:lineRule="exact"/>
              <w:rPr>
                <w:sz w:val="20"/>
                <w:szCs w:val="20"/>
                <w:color w:val="auto"/>
              </w:rPr>
            </w:pPr>
            <w:r>
              <w:rPr>
                <w:rFonts w:ascii="Times New Roman" w:cs="Times New Roman" w:eastAsia="Times New Roman" w:hAnsi="Times New Roman"/>
                <w:sz w:val="14"/>
                <w:szCs w:val="14"/>
                <w:color w:val="0000EE"/>
                <w:w w:val="98"/>
              </w:rPr>
              <w:t>DISTRIBUTION REINVESTMENT PLAN</w:t>
            </w:r>
          </w:p>
        </w:tc>
        <w:tc>
          <w:tcPr>
            <w:tcW w:w="5780" w:type="dxa"/>
            <w:vAlign w:val="bottom"/>
            <w:gridSpan w:val="13"/>
          </w:tcPr>
          <w:p>
            <w:pPr>
              <w:spacing w:after="0"/>
              <w:rPr>
                <w:sz w:val="12"/>
                <w:szCs w:val="12"/>
                <w:color w:val="auto"/>
              </w:rPr>
            </w:pPr>
          </w:p>
        </w:tc>
        <w:tc>
          <w:tcPr>
            <w:tcW w:w="260" w:type="dxa"/>
            <w:vAlign w:val="bottom"/>
            <w:gridSpan w:val="2"/>
          </w:tcPr>
          <w:p>
            <w:pPr>
              <w:jc w:val="right"/>
              <w:ind w:right="20"/>
              <w:spacing w:after="0" w:line="147" w:lineRule="exact"/>
              <w:rPr>
                <w:sz w:val="20"/>
                <w:szCs w:val="20"/>
                <w:color w:val="auto"/>
              </w:rPr>
            </w:pPr>
            <w:r>
              <w:rPr>
                <w:rFonts w:ascii="Times New Roman" w:cs="Times New Roman" w:eastAsia="Times New Roman" w:hAnsi="Times New Roman"/>
                <w:sz w:val="14"/>
                <w:szCs w:val="14"/>
                <w:color w:val="auto"/>
              </w:rPr>
              <w:t>78</w:t>
            </w:r>
          </w:p>
        </w:tc>
        <w:tc>
          <w:tcPr>
            <w:tcW w:w="0" w:type="dxa"/>
            <w:vAlign w:val="bottom"/>
          </w:tcPr>
          <w:p>
            <w:pPr>
              <w:spacing w:after="0"/>
              <w:rPr>
                <w:sz w:val="1"/>
                <w:szCs w:val="1"/>
                <w:color w:val="auto"/>
              </w:rPr>
            </w:pPr>
          </w:p>
        </w:tc>
      </w:tr>
      <w:tr>
        <w:trPr>
          <w:trHeight w:val="147"/>
        </w:trPr>
        <w:tc>
          <w:tcPr>
            <w:tcW w:w="880" w:type="dxa"/>
            <w:vAlign w:val="bottom"/>
            <w:tcBorders>
              <w:bottom w:val="single" w:sz="8" w:color="0000EE"/>
            </w:tcBorders>
            <w:gridSpan w:val="2"/>
          </w:tcPr>
          <w:p>
            <w:pPr>
              <w:spacing w:after="0" w:line="147" w:lineRule="exact"/>
              <w:rPr>
                <w:sz w:val="20"/>
                <w:szCs w:val="20"/>
                <w:color w:val="auto"/>
              </w:rPr>
            </w:pPr>
            <w:r>
              <w:rPr>
                <w:rFonts w:ascii="Times New Roman" w:cs="Times New Roman" w:eastAsia="Times New Roman" w:hAnsi="Times New Roman"/>
                <w:sz w:val="14"/>
                <w:szCs w:val="14"/>
                <w:color w:val="0000EE"/>
                <w:w w:val="95"/>
              </w:rPr>
              <w:t>REGULATION</w:t>
            </w:r>
          </w:p>
        </w:tc>
        <w:tc>
          <w:tcPr>
            <w:tcW w:w="7380" w:type="dxa"/>
            <w:vAlign w:val="bottom"/>
            <w:gridSpan w:val="24"/>
          </w:tcPr>
          <w:p>
            <w:pPr>
              <w:spacing w:after="0"/>
              <w:rPr>
                <w:sz w:val="12"/>
                <w:szCs w:val="12"/>
                <w:color w:val="auto"/>
              </w:rPr>
            </w:pPr>
          </w:p>
        </w:tc>
        <w:tc>
          <w:tcPr>
            <w:tcW w:w="260" w:type="dxa"/>
            <w:vAlign w:val="bottom"/>
            <w:gridSpan w:val="2"/>
          </w:tcPr>
          <w:p>
            <w:pPr>
              <w:jc w:val="right"/>
              <w:ind w:right="20"/>
              <w:spacing w:after="0" w:line="147" w:lineRule="exact"/>
              <w:rPr>
                <w:sz w:val="20"/>
                <w:szCs w:val="20"/>
                <w:color w:val="auto"/>
              </w:rPr>
            </w:pPr>
            <w:r>
              <w:rPr>
                <w:rFonts w:ascii="Times New Roman" w:cs="Times New Roman" w:eastAsia="Times New Roman" w:hAnsi="Times New Roman"/>
                <w:sz w:val="14"/>
                <w:szCs w:val="14"/>
                <w:color w:val="auto"/>
              </w:rPr>
              <w:t>80</w:t>
            </w:r>
          </w:p>
        </w:tc>
        <w:tc>
          <w:tcPr>
            <w:tcW w:w="0" w:type="dxa"/>
            <w:vAlign w:val="bottom"/>
          </w:tcPr>
          <w:p>
            <w:pPr>
              <w:spacing w:after="0"/>
              <w:rPr>
                <w:sz w:val="1"/>
                <w:szCs w:val="1"/>
                <w:color w:val="auto"/>
              </w:rPr>
            </w:pPr>
          </w:p>
        </w:tc>
      </w:tr>
      <w:tr>
        <w:trPr>
          <w:trHeight w:val="147"/>
        </w:trPr>
        <w:tc>
          <w:tcPr>
            <w:tcW w:w="5120" w:type="dxa"/>
            <w:vAlign w:val="bottom"/>
            <w:tcBorders>
              <w:bottom w:val="single" w:sz="8" w:color="0000EE"/>
            </w:tcBorders>
            <w:gridSpan w:val="24"/>
          </w:tcPr>
          <w:p>
            <w:pPr>
              <w:spacing w:after="0" w:line="147" w:lineRule="exact"/>
              <w:rPr>
                <w:sz w:val="20"/>
                <w:szCs w:val="20"/>
                <w:color w:val="auto"/>
              </w:rPr>
            </w:pPr>
            <w:r>
              <w:rPr>
                <w:rFonts w:ascii="Times New Roman" w:cs="Times New Roman" w:eastAsia="Times New Roman" w:hAnsi="Times New Roman"/>
                <w:sz w:val="14"/>
                <w:szCs w:val="14"/>
                <w:color w:val="0000EE"/>
                <w:w w:val="98"/>
              </w:rPr>
              <w:t>CUSTODIAN, TRANSFER AND DISTRIBUTION PAYING AGENT AND REGISTRAR</w:t>
            </w:r>
          </w:p>
        </w:tc>
        <w:tc>
          <w:tcPr>
            <w:tcW w:w="3140" w:type="dxa"/>
            <w:vAlign w:val="bottom"/>
            <w:gridSpan w:val="2"/>
          </w:tcPr>
          <w:p>
            <w:pPr>
              <w:spacing w:after="0"/>
              <w:rPr>
                <w:sz w:val="12"/>
                <w:szCs w:val="12"/>
                <w:color w:val="auto"/>
              </w:rPr>
            </w:pPr>
          </w:p>
        </w:tc>
        <w:tc>
          <w:tcPr>
            <w:tcW w:w="260" w:type="dxa"/>
            <w:vAlign w:val="bottom"/>
            <w:gridSpan w:val="2"/>
          </w:tcPr>
          <w:p>
            <w:pPr>
              <w:jc w:val="right"/>
              <w:ind w:right="20"/>
              <w:spacing w:after="0" w:line="147" w:lineRule="exact"/>
              <w:rPr>
                <w:sz w:val="20"/>
                <w:szCs w:val="20"/>
                <w:color w:val="auto"/>
              </w:rPr>
            </w:pPr>
            <w:r>
              <w:rPr>
                <w:rFonts w:ascii="Times New Roman" w:cs="Times New Roman" w:eastAsia="Times New Roman" w:hAnsi="Times New Roman"/>
                <w:sz w:val="14"/>
                <w:szCs w:val="14"/>
                <w:color w:val="auto"/>
              </w:rPr>
              <w:t>81</w:t>
            </w:r>
          </w:p>
        </w:tc>
        <w:tc>
          <w:tcPr>
            <w:tcW w:w="0" w:type="dxa"/>
            <w:vAlign w:val="bottom"/>
          </w:tcPr>
          <w:p>
            <w:pPr>
              <w:spacing w:after="0"/>
              <w:rPr>
                <w:sz w:val="1"/>
                <w:szCs w:val="1"/>
                <w:color w:val="auto"/>
              </w:rPr>
            </w:pPr>
          </w:p>
        </w:tc>
      </w:tr>
      <w:tr>
        <w:trPr>
          <w:trHeight w:val="147"/>
        </w:trPr>
        <w:tc>
          <w:tcPr>
            <w:tcW w:w="8260" w:type="dxa"/>
            <w:vAlign w:val="bottom"/>
            <w:gridSpan w:val="26"/>
          </w:tcPr>
          <w:p>
            <w:pPr>
              <w:spacing w:after="0" w:line="147" w:lineRule="exact"/>
              <w:rPr>
                <w:sz w:val="20"/>
                <w:szCs w:val="20"/>
                <w:color w:val="auto"/>
              </w:rPr>
            </w:pPr>
            <w:r>
              <w:rPr>
                <w:rFonts w:ascii="Times New Roman" w:cs="Times New Roman" w:eastAsia="Times New Roman" w:hAnsi="Times New Roman"/>
                <w:sz w:val="14"/>
                <w:szCs w:val="14"/>
                <w:color w:val="0000EE"/>
              </w:rPr>
              <w:t>MATERIAL U.S. FEDERAL INCOME TAX CONSIDERATIONS</w:t>
            </w:r>
          </w:p>
        </w:tc>
        <w:tc>
          <w:tcPr>
            <w:tcW w:w="260" w:type="dxa"/>
            <w:vAlign w:val="bottom"/>
            <w:gridSpan w:val="2"/>
          </w:tcPr>
          <w:p>
            <w:pPr>
              <w:jc w:val="right"/>
              <w:ind w:right="20"/>
              <w:spacing w:after="0" w:line="147" w:lineRule="exact"/>
              <w:rPr>
                <w:sz w:val="20"/>
                <w:szCs w:val="20"/>
                <w:color w:val="auto"/>
              </w:rPr>
            </w:pPr>
            <w:r>
              <w:rPr>
                <w:rFonts w:ascii="Times New Roman" w:cs="Times New Roman" w:eastAsia="Times New Roman" w:hAnsi="Times New Roman"/>
                <w:sz w:val="14"/>
                <w:szCs w:val="14"/>
                <w:color w:val="auto"/>
              </w:rPr>
              <w:t>82</w:t>
            </w:r>
          </w:p>
        </w:tc>
        <w:tc>
          <w:tcPr>
            <w:tcW w:w="0" w:type="dxa"/>
            <w:vAlign w:val="bottom"/>
          </w:tcPr>
          <w:p>
            <w:pPr>
              <w:spacing w:after="0"/>
              <w:rPr>
                <w:sz w:val="1"/>
                <w:szCs w:val="1"/>
                <w:color w:val="auto"/>
              </w:rPr>
            </w:pPr>
          </w:p>
        </w:tc>
      </w:tr>
      <w:tr>
        <w:trPr>
          <w:trHeight w:val="147"/>
        </w:trPr>
        <w:tc>
          <w:tcPr>
            <w:tcW w:w="3760" w:type="dxa"/>
            <w:vAlign w:val="bottom"/>
            <w:tcBorders>
              <w:top w:val="single" w:sz="8" w:color="0000EE"/>
            </w:tcBorders>
            <w:gridSpan w:val="19"/>
          </w:tcPr>
          <w:p>
            <w:pPr>
              <w:spacing w:after="0" w:line="147" w:lineRule="exact"/>
              <w:rPr>
                <w:sz w:val="20"/>
                <w:szCs w:val="20"/>
                <w:color w:val="auto"/>
              </w:rPr>
            </w:pPr>
            <w:r>
              <w:rPr>
                <w:rFonts w:ascii="Times New Roman" w:cs="Times New Roman" w:eastAsia="Times New Roman" w:hAnsi="Times New Roman"/>
                <w:sz w:val="14"/>
                <w:szCs w:val="14"/>
                <w:color w:val="0000EE"/>
              </w:rPr>
              <w:t>BROKERAGE ALLOCATION AND OTHER PRACTICES</w:t>
            </w:r>
          </w:p>
        </w:tc>
        <w:tc>
          <w:tcPr>
            <w:tcW w:w="4500" w:type="dxa"/>
            <w:vAlign w:val="bottom"/>
            <w:gridSpan w:val="7"/>
          </w:tcPr>
          <w:p>
            <w:pPr>
              <w:spacing w:after="0"/>
              <w:rPr>
                <w:sz w:val="12"/>
                <w:szCs w:val="12"/>
                <w:color w:val="auto"/>
              </w:rPr>
            </w:pPr>
          </w:p>
        </w:tc>
        <w:tc>
          <w:tcPr>
            <w:tcW w:w="260" w:type="dxa"/>
            <w:vAlign w:val="bottom"/>
            <w:gridSpan w:val="2"/>
          </w:tcPr>
          <w:p>
            <w:pPr>
              <w:jc w:val="right"/>
              <w:ind w:right="20"/>
              <w:spacing w:after="0" w:line="147" w:lineRule="exact"/>
              <w:rPr>
                <w:sz w:val="20"/>
                <w:szCs w:val="20"/>
                <w:color w:val="auto"/>
              </w:rPr>
            </w:pPr>
            <w:r>
              <w:rPr>
                <w:rFonts w:ascii="Times New Roman" w:cs="Times New Roman" w:eastAsia="Times New Roman" w:hAnsi="Times New Roman"/>
                <w:sz w:val="14"/>
                <w:szCs w:val="14"/>
                <w:color w:val="auto"/>
              </w:rPr>
              <w:t>83</w:t>
            </w:r>
          </w:p>
        </w:tc>
        <w:tc>
          <w:tcPr>
            <w:tcW w:w="0" w:type="dxa"/>
            <w:vAlign w:val="bottom"/>
          </w:tcPr>
          <w:p>
            <w:pPr>
              <w:spacing w:after="0"/>
              <w:rPr>
                <w:sz w:val="1"/>
                <w:szCs w:val="1"/>
                <w:color w:val="auto"/>
              </w:rPr>
            </w:pPr>
          </w:p>
        </w:tc>
      </w:tr>
      <w:tr>
        <w:trPr>
          <w:trHeight w:val="20"/>
        </w:trPr>
        <w:tc>
          <w:tcPr>
            <w:tcW w:w="1120" w:type="dxa"/>
            <w:vAlign w:val="bottom"/>
            <w:gridSpan w:val="4"/>
            <w:shd w:val="clear" w:color="auto" w:fill="0000EE"/>
          </w:tcPr>
          <w:p>
            <w:pPr>
              <w:spacing w:after="0" w:line="20" w:lineRule="exact"/>
              <w:rPr>
                <w:sz w:val="1"/>
                <w:szCs w:val="1"/>
                <w:color w:val="auto"/>
              </w:rPr>
            </w:pPr>
          </w:p>
        </w:tc>
        <w:tc>
          <w:tcPr>
            <w:tcW w:w="640" w:type="dxa"/>
            <w:vAlign w:val="bottom"/>
            <w:gridSpan w:val="6"/>
            <w:shd w:val="clear" w:color="auto" w:fill="0000EE"/>
          </w:tcPr>
          <w:p>
            <w:pPr>
              <w:spacing w:after="0" w:line="20" w:lineRule="exact"/>
              <w:rPr>
                <w:sz w:val="1"/>
                <w:szCs w:val="1"/>
                <w:color w:val="auto"/>
              </w:rPr>
            </w:pPr>
          </w:p>
        </w:tc>
        <w:tc>
          <w:tcPr>
            <w:tcW w:w="1620" w:type="dxa"/>
            <w:vAlign w:val="bottom"/>
            <w:gridSpan w:val="6"/>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260" w:type="dxa"/>
            <w:vAlign w:val="bottom"/>
            <w:gridSpan w:val="6"/>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3720" w:type="dxa"/>
            <w:vAlign w:val="bottom"/>
            <w:tcBorders>
              <w:bottom w:val="single" w:sz="8" w:color="0000EE"/>
            </w:tcBorders>
            <w:gridSpan w:val="18"/>
          </w:tcPr>
          <w:p>
            <w:pPr>
              <w:spacing w:after="0" w:line="147" w:lineRule="exact"/>
              <w:rPr>
                <w:sz w:val="20"/>
                <w:szCs w:val="20"/>
                <w:color w:val="auto"/>
              </w:rPr>
            </w:pPr>
            <w:r>
              <w:rPr>
                <w:rFonts w:ascii="Times New Roman" w:cs="Times New Roman" w:eastAsia="Times New Roman" w:hAnsi="Times New Roman"/>
                <w:sz w:val="14"/>
                <w:szCs w:val="14"/>
                <w:color w:val="0000EE"/>
                <w:w w:val="99"/>
              </w:rPr>
              <w:t>INDEPENDENT REGISTERED PUBLIC ACCOUNTING FIRM</w:t>
            </w:r>
          </w:p>
        </w:tc>
        <w:tc>
          <w:tcPr>
            <w:tcW w:w="4540" w:type="dxa"/>
            <w:vAlign w:val="bottom"/>
            <w:gridSpan w:val="8"/>
          </w:tcPr>
          <w:p>
            <w:pPr>
              <w:spacing w:after="0"/>
              <w:rPr>
                <w:sz w:val="12"/>
                <w:szCs w:val="12"/>
                <w:color w:val="auto"/>
              </w:rPr>
            </w:pPr>
          </w:p>
        </w:tc>
        <w:tc>
          <w:tcPr>
            <w:tcW w:w="260" w:type="dxa"/>
            <w:vAlign w:val="bottom"/>
            <w:gridSpan w:val="2"/>
          </w:tcPr>
          <w:p>
            <w:pPr>
              <w:jc w:val="right"/>
              <w:ind w:right="20"/>
              <w:spacing w:after="0" w:line="147" w:lineRule="exact"/>
              <w:rPr>
                <w:sz w:val="20"/>
                <w:szCs w:val="20"/>
                <w:color w:val="auto"/>
              </w:rPr>
            </w:pPr>
            <w:r>
              <w:rPr>
                <w:rFonts w:ascii="Times New Roman" w:cs="Times New Roman" w:eastAsia="Times New Roman" w:hAnsi="Times New Roman"/>
                <w:sz w:val="14"/>
                <w:szCs w:val="14"/>
                <w:color w:val="auto"/>
              </w:rPr>
              <w:t>84</w:t>
            </w:r>
          </w:p>
        </w:tc>
        <w:tc>
          <w:tcPr>
            <w:tcW w:w="0" w:type="dxa"/>
            <w:vAlign w:val="bottom"/>
          </w:tcPr>
          <w:p>
            <w:pPr>
              <w:spacing w:after="0"/>
              <w:rPr>
                <w:sz w:val="1"/>
                <w:szCs w:val="1"/>
                <w:color w:val="auto"/>
              </w:rPr>
            </w:pPr>
          </w:p>
        </w:tc>
      </w:tr>
      <w:tr>
        <w:trPr>
          <w:trHeight w:val="147"/>
        </w:trPr>
        <w:tc>
          <w:tcPr>
            <w:tcW w:w="8260" w:type="dxa"/>
            <w:vAlign w:val="bottom"/>
            <w:gridSpan w:val="26"/>
          </w:tcPr>
          <w:p>
            <w:pPr>
              <w:spacing w:after="0" w:line="147" w:lineRule="exact"/>
              <w:rPr>
                <w:sz w:val="20"/>
                <w:szCs w:val="20"/>
                <w:color w:val="auto"/>
              </w:rPr>
            </w:pPr>
            <w:r>
              <w:rPr>
                <w:rFonts w:ascii="Times New Roman" w:cs="Times New Roman" w:eastAsia="Times New Roman" w:hAnsi="Times New Roman"/>
                <w:sz w:val="14"/>
                <w:szCs w:val="14"/>
                <w:color w:val="0000EE"/>
              </w:rPr>
              <w:t>LEGAL MATTERS</w:t>
            </w:r>
          </w:p>
        </w:tc>
        <w:tc>
          <w:tcPr>
            <w:tcW w:w="260" w:type="dxa"/>
            <w:vAlign w:val="bottom"/>
            <w:gridSpan w:val="2"/>
          </w:tcPr>
          <w:p>
            <w:pPr>
              <w:jc w:val="right"/>
              <w:ind w:right="20"/>
              <w:spacing w:after="0" w:line="147" w:lineRule="exact"/>
              <w:rPr>
                <w:sz w:val="20"/>
                <w:szCs w:val="20"/>
                <w:color w:val="auto"/>
              </w:rPr>
            </w:pPr>
            <w:r>
              <w:rPr>
                <w:rFonts w:ascii="Times New Roman" w:cs="Times New Roman" w:eastAsia="Times New Roman" w:hAnsi="Times New Roman"/>
                <w:sz w:val="14"/>
                <w:szCs w:val="14"/>
                <w:color w:val="auto"/>
              </w:rPr>
              <w:t>85</w:t>
            </w:r>
          </w:p>
        </w:tc>
        <w:tc>
          <w:tcPr>
            <w:tcW w:w="0" w:type="dxa"/>
            <w:vAlign w:val="bottom"/>
          </w:tcPr>
          <w:p>
            <w:pPr>
              <w:spacing w:after="0"/>
              <w:rPr>
                <w:sz w:val="1"/>
                <w:szCs w:val="1"/>
                <w:color w:val="auto"/>
              </w:rPr>
            </w:pPr>
          </w:p>
        </w:tc>
      </w:tr>
      <w:tr>
        <w:trPr>
          <w:trHeight w:val="20"/>
        </w:trPr>
        <w:tc>
          <w:tcPr>
            <w:tcW w:w="1120" w:type="dxa"/>
            <w:vAlign w:val="bottom"/>
            <w:gridSpan w:val="4"/>
            <w:shd w:val="clear" w:color="auto" w:fill="0000EE"/>
          </w:tcPr>
          <w:p>
            <w:pPr>
              <w:spacing w:after="0" w:line="20" w:lineRule="exact"/>
              <w:rPr>
                <w:sz w:val="1"/>
                <w:szCs w:val="1"/>
                <w:color w:val="auto"/>
              </w:rPr>
            </w:pPr>
          </w:p>
        </w:tc>
        <w:tc>
          <w:tcPr>
            <w:tcW w:w="640" w:type="dxa"/>
            <w:vAlign w:val="bottom"/>
            <w:gridSpan w:val="6"/>
          </w:tcPr>
          <w:p>
            <w:pPr>
              <w:spacing w:after="0" w:line="20" w:lineRule="exact"/>
              <w:rPr>
                <w:sz w:val="1"/>
                <w:szCs w:val="1"/>
                <w:color w:val="auto"/>
              </w:rPr>
            </w:pPr>
          </w:p>
        </w:tc>
        <w:tc>
          <w:tcPr>
            <w:tcW w:w="2240" w:type="dxa"/>
            <w:vAlign w:val="bottom"/>
            <w:gridSpan w:val="10"/>
          </w:tcPr>
          <w:p>
            <w:pPr>
              <w:spacing w:after="0" w:line="20" w:lineRule="exact"/>
              <w:rPr>
                <w:sz w:val="1"/>
                <w:szCs w:val="1"/>
                <w:color w:val="auto"/>
              </w:rPr>
            </w:pPr>
          </w:p>
        </w:tc>
        <w:tc>
          <w:tcPr>
            <w:tcW w:w="4260" w:type="dxa"/>
            <w:vAlign w:val="bottom"/>
            <w:gridSpan w:val="6"/>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1760" w:type="dxa"/>
            <w:vAlign w:val="bottom"/>
            <w:tcBorders>
              <w:bottom w:val="single" w:sz="8" w:color="0000EE"/>
            </w:tcBorders>
            <w:gridSpan w:val="10"/>
          </w:tcPr>
          <w:p>
            <w:pPr>
              <w:spacing w:after="0" w:line="147" w:lineRule="exact"/>
              <w:rPr>
                <w:sz w:val="20"/>
                <w:szCs w:val="20"/>
                <w:color w:val="auto"/>
              </w:rPr>
            </w:pPr>
            <w:r>
              <w:rPr>
                <w:rFonts w:ascii="Times New Roman" w:cs="Times New Roman" w:eastAsia="Times New Roman" w:hAnsi="Times New Roman"/>
                <w:sz w:val="14"/>
                <w:szCs w:val="14"/>
                <w:color w:val="0000EE"/>
                <w:w w:val="95"/>
              </w:rPr>
              <w:t>AVAILABLE INFORMATION</w:t>
            </w:r>
          </w:p>
        </w:tc>
        <w:tc>
          <w:tcPr>
            <w:tcW w:w="6500" w:type="dxa"/>
            <w:vAlign w:val="bottom"/>
            <w:gridSpan w:val="16"/>
          </w:tcPr>
          <w:p>
            <w:pPr>
              <w:spacing w:after="0"/>
              <w:rPr>
                <w:sz w:val="12"/>
                <w:szCs w:val="12"/>
                <w:color w:val="auto"/>
              </w:rPr>
            </w:pPr>
          </w:p>
        </w:tc>
        <w:tc>
          <w:tcPr>
            <w:tcW w:w="260" w:type="dxa"/>
            <w:vAlign w:val="bottom"/>
            <w:gridSpan w:val="2"/>
          </w:tcPr>
          <w:p>
            <w:pPr>
              <w:jc w:val="right"/>
              <w:ind w:right="20"/>
              <w:spacing w:after="0" w:line="147" w:lineRule="exact"/>
              <w:rPr>
                <w:sz w:val="20"/>
                <w:szCs w:val="20"/>
                <w:color w:val="auto"/>
              </w:rPr>
            </w:pPr>
            <w:r>
              <w:rPr>
                <w:rFonts w:ascii="Times New Roman" w:cs="Times New Roman" w:eastAsia="Times New Roman" w:hAnsi="Times New Roman"/>
                <w:sz w:val="14"/>
                <w:szCs w:val="14"/>
                <w:color w:val="auto"/>
              </w:rPr>
              <w:t>86</w:t>
            </w:r>
          </w:p>
        </w:tc>
        <w:tc>
          <w:tcPr>
            <w:tcW w:w="0" w:type="dxa"/>
            <w:vAlign w:val="bottom"/>
          </w:tcPr>
          <w:p>
            <w:pPr>
              <w:spacing w:after="0"/>
              <w:rPr>
                <w:sz w:val="1"/>
                <w:szCs w:val="1"/>
                <w:color w:val="auto"/>
              </w:rPr>
            </w:pPr>
          </w:p>
        </w:tc>
      </w:tr>
      <w:tr>
        <w:trPr>
          <w:trHeight w:val="147"/>
        </w:trPr>
        <w:tc>
          <w:tcPr>
            <w:tcW w:w="8260" w:type="dxa"/>
            <w:vAlign w:val="bottom"/>
            <w:gridSpan w:val="26"/>
          </w:tcPr>
          <w:p>
            <w:pPr>
              <w:spacing w:after="0" w:line="147" w:lineRule="exact"/>
              <w:rPr>
                <w:sz w:val="20"/>
                <w:szCs w:val="20"/>
                <w:color w:val="auto"/>
              </w:rPr>
            </w:pPr>
            <w:r>
              <w:rPr>
                <w:rFonts w:ascii="Times New Roman" w:cs="Times New Roman" w:eastAsia="Times New Roman" w:hAnsi="Times New Roman"/>
                <w:sz w:val="14"/>
                <w:szCs w:val="14"/>
                <w:color w:val="0000EE"/>
              </w:rPr>
              <w:t>INCORPORATION OF CERTAIN INFORMATION BY REFERENCE</w:t>
            </w:r>
          </w:p>
        </w:tc>
        <w:tc>
          <w:tcPr>
            <w:tcW w:w="260" w:type="dxa"/>
            <w:vAlign w:val="bottom"/>
            <w:gridSpan w:val="2"/>
          </w:tcPr>
          <w:p>
            <w:pPr>
              <w:jc w:val="right"/>
              <w:ind w:right="20"/>
              <w:spacing w:after="0" w:line="147" w:lineRule="exact"/>
              <w:rPr>
                <w:sz w:val="20"/>
                <w:szCs w:val="20"/>
                <w:color w:val="auto"/>
              </w:rPr>
            </w:pPr>
            <w:r>
              <w:rPr>
                <w:rFonts w:ascii="Times New Roman" w:cs="Times New Roman" w:eastAsia="Times New Roman" w:hAnsi="Times New Roman"/>
                <w:sz w:val="14"/>
                <w:szCs w:val="14"/>
                <w:color w:val="auto"/>
              </w:rPr>
              <w:t>87</w:t>
            </w:r>
          </w:p>
        </w:tc>
        <w:tc>
          <w:tcPr>
            <w:tcW w:w="0" w:type="dxa"/>
            <w:vAlign w:val="bottom"/>
          </w:tcPr>
          <w:p>
            <w:pPr>
              <w:spacing w:after="0"/>
              <w:rPr>
                <w:sz w:val="1"/>
                <w:szCs w:val="1"/>
                <w:color w:val="auto"/>
              </w:rPr>
            </w:pPr>
          </w:p>
        </w:tc>
      </w:tr>
      <w:tr>
        <w:trPr>
          <w:trHeight w:val="20"/>
        </w:trPr>
        <w:tc>
          <w:tcPr>
            <w:tcW w:w="6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4"/>
          <w:szCs w:val="14"/>
          <w:color w:val="auto"/>
        </w:rPr>
        <w:t>i</w:t>
      </w:r>
    </w:p>
    <w:p>
      <w:pPr>
        <w:sectPr>
          <w:pgSz w:w="11900" w:h="16838" w:orient="portrait"/>
          <w:cols w:equalWidth="0" w:num="1">
            <w:col w:w="10159"/>
          </w:cols>
          <w:pgMar w:left="300" w:top="384" w:right="1440"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9" w:lineRule="exact"/>
        <w:rPr>
          <w:sz w:val="20"/>
          <w:szCs w:val="20"/>
          <w:color w:val="auto"/>
        </w:rPr>
      </w:pPr>
    </w:p>
    <w:p>
      <w:pPr>
        <w:ind w:left="1380" w:right="459" w:firstLine="341"/>
        <w:spacing w:after="0" w:line="281" w:lineRule="auto"/>
        <w:rPr>
          <w:sz w:val="20"/>
          <w:szCs w:val="20"/>
          <w:color w:val="auto"/>
        </w:rPr>
      </w:pPr>
      <w:r>
        <w:rPr>
          <w:rFonts w:ascii="Times New Roman" w:cs="Times New Roman" w:eastAsia="Times New Roman" w:hAnsi="Times New Roman"/>
          <w:sz w:val="14"/>
          <w:szCs w:val="14"/>
          <w:color w:val="auto"/>
        </w:rPr>
        <w:t>This prospectus incorporates important business and financial information about us that is not included in or delivered with the document. This information is available without charge to security holders upon written or oral request at:</w:t>
      </w:r>
    </w:p>
    <w:p>
      <w:pPr>
        <w:spacing w:after="0" w:line="125"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color w:val="auto"/>
        </w:rPr>
        <w:t>Attention: Investor Relations</w:t>
      </w:r>
    </w:p>
    <w:p>
      <w:pPr>
        <w:spacing w:after="0" w:line="21"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color w:val="auto"/>
        </w:rPr>
        <w:t>Fidus Investment Corporation</w:t>
      </w:r>
    </w:p>
    <w:p>
      <w:pPr>
        <w:spacing w:after="0" w:line="6"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color w:val="auto"/>
        </w:rPr>
        <w:t>1603 Orrington Avenue, Suite 1005</w:t>
      </w:r>
    </w:p>
    <w:p>
      <w:pPr>
        <w:spacing w:after="0" w:line="6"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color w:val="auto"/>
        </w:rPr>
        <w:t>Evanston, Illinois 60201</w:t>
      </w:r>
    </w:p>
    <w:p>
      <w:pPr>
        <w:spacing w:after="0" w:line="6"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color w:val="auto"/>
        </w:rPr>
        <w:t>(847) 859-3940</w:t>
      </w:r>
    </w:p>
    <w:p>
      <w:pPr>
        <w:spacing w:after="0" w:line="6"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color w:val="auto"/>
        </w:rPr>
        <w:t>investorrelations@fdus.com</w:t>
      </w:r>
    </w:p>
    <w:p>
      <w:pPr>
        <w:spacing w:after="0" w:line="159" w:lineRule="exact"/>
        <w:rPr>
          <w:sz w:val="20"/>
          <w:szCs w:val="20"/>
          <w:color w:val="auto"/>
        </w:rPr>
      </w:pPr>
    </w:p>
    <w:p>
      <w:pPr>
        <w:ind w:left="1380" w:right="659" w:firstLine="341"/>
        <w:spacing w:after="0" w:line="281" w:lineRule="auto"/>
        <w:rPr>
          <w:sz w:val="20"/>
          <w:szCs w:val="20"/>
          <w:color w:val="auto"/>
        </w:rPr>
      </w:pPr>
      <w:r>
        <w:rPr>
          <w:rFonts w:ascii="Times New Roman" w:cs="Times New Roman" w:eastAsia="Times New Roman" w:hAnsi="Times New Roman"/>
          <w:sz w:val="14"/>
          <w:szCs w:val="14"/>
          <w:color w:val="auto"/>
        </w:rPr>
        <w:t>To obtain timely delivery, you must request information no later than five business days prior to the expiration of the exchange offer, which expiration is [●] [a.m./p.m.], New York City time, on [●], 2026.</w:t>
      </w:r>
    </w:p>
    <w:p>
      <w:pPr>
        <w:spacing w:after="0" w:line="123" w:lineRule="exact"/>
        <w:rPr>
          <w:sz w:val="20"/>
          <w:szCs w:val="20"/>
          <w:color w:val="auto"/>
        </w:rPr>
      </w:pPr>
    </w:p>
    <w:p>
      <w:pPr>
        <w:ind w:left="1380" w:right="399" w:firstLine="341"/>
        <w:spacing w:after="0" w:line="261" w:lineRule="auto"/>
        <w:rPr>
          <w:sz w:val="20"/>
          <w:szCs w:val="20"/>
          <w:color w:val="auto"/>
        </w:rPr>
      </w:pPr>
      <w:r>
        <w:rPr>
          <w:rFonts w:ascii="Times New Roman" w:cs="Times New Roman" w:eastAsia="Times New Roman" w:hAnsi="Times New Roman"/>
          <w:sz w:val="14"/>
          <w:szCs w:val="14"/>
          <w:b w:val="1"/>
          <w:bCs w:val="1"/>
          <w:color w:val="auto"/>
        </w:rPr>
        <w:t>You should rely only on the information contained or incorporated by reference in this prospectus. We have not authorized anyone to provide you with different information. We are not making an offer of the Exchange Notes in any state or other jurisdiction where the offer is not permitted. You should not assume that the information contained in this prospectus is accurate as of any date other than the date on the front of this prospectus.</w:t>
      </w:r>
    </w:p>
    <w:p>
      <w:pPr>
        <w:spacing w:after="0" w:line="137" w:lineRule="exact"/>
        <w:rPr>
          <w:sz w:val="20"/>
          <w:szCs w:val="20"/>
          <w:color w:val="auto"/>
        </w:rPr>
      </w:pPr>
    </w:p>
    <w:p>
      <w:pPr>
        <w:ind w:left="1380" w:right="259" w:firstLine="341"/>
        <w:spacing w:after="0" w:line="255" w:lineRule="auto"/>
        <w:rPr>
          <w:sz w:val="20"/>
          <w:szCs w:val="20"/>
          <w:color w:val="auto"/>
        </w:rPr>
      </w:pPr>
      <w:r>
        <w:rPr>
          <w:rFonts w:ascii="Times New Roman" w:cs="Times New Roman" w:eastAsia="Times New Roman" w:hAnsi="Times New Roman"/>
          <w:sz w:val="14"/>
          <w:szCs w:val="14"/>
          <w:b w:val="1"/>
          <w:bCs w:val="1"/>
          <w:color w:val="auto"/>
        </w:rPr>
        <w:t>Any broker-dealer that receives Exchange Notes for its own account in the exchange offer for Restricted Notes that were acquired as a result of market-making or other trading activities must acknowledge that it will comply with the prospectus delivery requirements of the Securities Act in connection with any resale or other transfer of the Exchange Notes received in the exchange offer. The accompanying letter of transmittal relating to the Exchange Offer states that, by so acknowledging and delivering a prospectus, such broker-dealer will not be deemed to admit that it is an “underwriter” of the Exchange Notes within the meaning of the Securities Act. This prospectus, as it may be amended or supplemented from time to time, may be used by such broker-dealer in connection with resales or other transfers of Exchange Notes received in the exchange offer for Restricted Notes that were acquired by the broker-dealer as a result of market-making or other trading activities.</w:t>
      </w:r>
    </w:p>
    <w:p>
      <w:pPr>
        <w:spacing w:after="0" w:line="92"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ii</w:t>
      </w:r>
    </w:p>
    <w:p>
      <w:pPr>
        <w:sectPr>
          <w:pgSz w:w="11900" w:h="16838" w:orient="portrait"/>
          <w:cols w:equalWidth="0" w:num="1">
            <w:col w:w="10159"/>
          </w:cols>
          <w:pgMar w:left="300" w:top="384" w:right="1440"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869950</wp:posOffset>
            </wp:positionH>
            <wp:positionV relativeFrom="paragraph">
              <wp:posOffset>164465</wp:posOffset>
            </wp:positionV>
            <wp:extent cx="5427980" cy="46507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427980" cy="4650740"/>
                    </a:xfrm>
                    <a:prstGeom prst="rect">
                      <a:avLst/>
                    </a:prstGeom>
                    <a:noFill/>
                  </pic:spPr>
                </pic:pic>
              </a:graphicData>
            </a:graphic>
          </wp:anchor>
        </w:drawing>
      </w:r>
    </w:p>
    <w:p>
      <w:pPr>
        <w:spacing w:after="0" w:line="363"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PROSPECTUS SUMMARY</w:t>
      </w:r>
    </w:p>
    <w:p>
      <w:pPr>
        <w:spacing w:after="0" w:line="174" w:lineRule="exact"/>
        <w:rPr>
          <w:sz w:val="20"/>
          <w:szCs w:val="20"/>
          <w:color w:val="auto"/>
        </w:rPr>
      </w:pPr>
    </w:p>
    <w:p>
      <w:pPr>
        <w:ind w:left="1520" w:right="459" w:firstLine="330"/>
        <w:spacing w:after="0" w:line="266" w:lineRule="auto"/>
        <w:rPr>
          <w:sz w:val="20"/>
          <w:szCs w:val="20"/>
          <w:color w:val="auto"/>
        </w:rPr>
      </w:pPr>
      <w:r>
        <w:rPr>
          <w:rFonts w:ascii="Times New Roman" w:cs="Times New Roman" w:eastAsia="Times New Roman" w:hAnsi="Times New Roman"/>
          <w:sz w:val="14"/>
          <w:szCs w:val="14"/>
          <w:i w:val="1"/>
          <w:iCs w:val="1"/>
          <w:color w:val="auto"/>
        </w:rPr>
        <w:t xml:space="preserve">This summary highlights some of the information contained elsewhere or incorporated by reference in this prospectus. It is not complete and may not contain all of the information that may be important to you. You should read our entire prospectus and the documents incorporated by reference carefully, including the section entitled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Risk Factors.</w:t>
      </w:r>
      <w:r>
        <w:rPr>
          <w:rFonts w:ascii="Times New Roman" w:cs="Times New Roman" w:eastAsia="Times New Roman" w:hAnsi="Times New Roman"/>
          <w:sz w:val="14"/>
          <w:szCs w:val="14"/>
          <w:color w:val="auto"/>
        </w:rPr>
        <w:t>”</w:t>
      </w:r>
    </w:p>
    <w:p>
      <w:pPr>
        <w:spacing w:after="0" w:line="134" w:lineRule="exact"/>
        <w:rPr>
          <w:sz w:val="20"/>
          <w:szCs w:val="20"/>
          <w:color w:val="auto"/>
        </w:rPr>
      </w:pPr>
    </w:p>
    <w:p>
      <w:pPr>
        <w:ind w:left="1520" w:right="539" w:firstLine="330"/>
        <w:spacing w:after="0" w:line="261" w:lineRule="auto"/>
        <w:rPr>
          <w:sz w:val="20"/>
          <w:szCs w:val="20"/>
          <w:color w:val="auto"/>
        </w:rPr>
      </w:pPr>
      <w:r>
        <w:rPr>
          <w:rFonts w:ascii="Times New Roman" w:cs="Times New Roman" w:eastAsia="Times New Roman" w:hAnsi="Times New Roman"/>
          <w:sz w:val="14"/>
          <w:szCs w:val="14"/>
          <w:i w:val="1"/>
          <w:iCs w:val="1"/>
          <w:color w:val="auto"/>
        </w:rPr>
        <w:t>Fidus Investment Corporation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FIC</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 a Maryland Corporation, operates as an externally managed business development company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BDC</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 xml:space="preserve">) under the Investment Company Act of 1940, as amended (the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1940 Act</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 FIC completed its initial public offering in June 2011. In addition, FIC has elected to be treated as a regulated investment company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RIC</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 xml:space="preserve">) under subchapter M of the Internal Revenue Code of 1986, as amended (the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Code</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 xml:space="preserve">). As of the date hereof, our shares were listed on the Nasdaq Global Select Market under the symbol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FDUS.</w:t>
      </w:r>
      <w:r>
        <w:rPr>
          <w:rFonts w:ascii="Times New Roman" w:cs="Times New Roman" w:eastAsia="Times New Roman" w:hAnsi="Times New Roman"/>
          <w:sz w:val="14"/>
          <w:szCs w:val="14"/>
          <w:color w:val="auto"/>
        </w:rPr>
        <w:t>”</w:t>
      </w:r>
    </w:p>
    <w:p>
      <w:pPr>
        <w:spacing w:after="0" w:line="137" w:lineRule="exact"/>
        <w:rPr>
          <w:sz w:val="20"/>
          <w:szCs w:val="20"/>
          <w:color w:val="auto"/>
        </w:rPr>
      </w:pPr>
    </w:p>
    <w:p>
      <w:pPr>
        <w:ind w:left="1520" w:right="559" w:firstLine="330"/>
        <w:spacing w:after="0" w:line="253" w:lineRule="auto"/>
        <w:rPr>
          <w:sz w:val="20"/>
          <w:szCs w:val="20"/>
          <w:color w:val="auto"/>
        </w:rPr>
      </w:pPr>
      <w:r>
        <w:rPr>
          <w:rFonts w:ascii="Times New Roman" w:cs="Times New Roman" w:eastAsia="Times New Roman" w:hAnsi="Times New Roman"/>
          <w:sz w:val="14"/>
          <w:szCs w:val="14"/>
          <w:i w:val="1"/>
          <w:iCs w:val="1"/>
          <w:color w:val="auto"/>
        </w:rPr>
        <w:t>FIC may make investments directly or through its two wholly owned investment company subsidiaries, Fidus Mezzanine Capital III, L.P.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Fund III</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 and Fidus Mezzanine Capital IV, L.P.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Fund IV</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 xml:space="preserve"> and together with Fund III, the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SBIC Funds</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 xml:space="preserve">). Fidus Investment GP, LLC, the general partner of the SBIC Funds, is also a wholly owned subsidiary of FIC. Each SBIC Fund is licensed by the U.S. Small Business Administration (the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SBA</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 to operate as a small business investment company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SBIC</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 The SBIC Funds utilize the proceeds of the issuance of SBA-guaranteed debentures (“SBA debentures”) to enhance returns to our stockholders. We believe that utilizing both FIC and the SBIC Funds as investment vehicles provides us with access to a broader array of investment opportunities. Given our access to lower cost capital through the SBA’s SBIC debenture program, we expect that we will continue to make investments through the SBIC Funds during the investment period until the SBIC Funds reach their borrowing limits under the SBA program. For two or more SBICs under common control, the maximum amount of outstanding SBA debentures cannot exceed $475.0 million, subject to the SBA’s approval.</w:t>
      </w:r>
    </w:p>
    <w:p>
      <w:pPr>
        <w:spacing w:after="0" w:line="147" w:lineRule="exact"/>
        <w:rPr>
          <w:sz w:val="20"/>
          <w:szCs w:val="20"/>
          <w:color w:val="auto"/>
        </w:rPr>
      </w:pPr>
    </w:p>
    <w:p>
      <w:pPr>
        <w:ind w:left="1520" w:right="919" w:firstLine="330"/>
        <w:spacing w:after="0" w:line="284" w:lineRule="auto"/>
        <w:rPr>
          <w:sz w:val="20"/>
          <w:szCs w:val="20"/>
          <w:color w:val="auto"/>
        </w:rPr>
      </w:pPr>
      <w:r>
        <w:rPr>
          <w:rFonts w:ascii="Times New Roman" w:cs="Times New Roman" w:eastAsia="Times New Roman" w:hAnsi="Times New Roman"/>
          <w:sz w:val="14"/>
          <w:szCs w:val="14"/>
          <w:i w:val="1"/>
          <w:iCs w:val="1"/>
          <w:color w:val="auto"/>
        </w:rPr>
        <w:t xml:space="preserve">Unless otherwise noted in this prospectus, the terms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we,</w:t>
      </w: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i w:val="1"/>
          <w:iCs w:val="1"/>
          <w:color w:val="auto"/>
        </w:rPr>
        <w:t>us,</w:t>
      </w: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i w:val="1"/>
          <w:iCs w:val="1"/>
          <w:color w:val="auto"/>
        </w:rPr>
        <w:t>our,</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 xml:space="preserve"> the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Company,</w:t>
      </w: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i w:val="1"/>
          <w:iCs w:val="1"/>
          <w:color w:val="auto"/>
        </w:rPr>
        <w:t>Fidus</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 xml:space="preserve"> and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FIC</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 xml:space="preserve"> refer to Fidus Investment Corporation and its consolidated subsidiaries.</w:t>
      </w:r>
    </w:p>
    <w:p>
      <w:pPr>
        <w:spacing w:after="0" w:line="121"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4"/>
          <w:szCs w:val="14"/>
          <w:i w:val="1"/>
          <w:iCs w:val="1"/>
          <w:color w:val="auto"/>
        </w:rPr>
        <w:t xml:space="preserve">As used in this prospectus, the term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our investment advisor</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 xml:space="preserve"> refers to Fidus Investment Advisors, LLC.</w:t>
      </w:r>
    </w:p>
    <w:p>
      <w:pPr>
        <w:spacing w:after="0" w:line="258"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4"/>
          <w:szCs w:val="14"/>
          <w:b w:val="1"/>
          <w:bCs w:val="1"/>
          <w:color w:val="auto"/>
        </w:rPr>
        <w:t>Fidus Investment Corporation</w:t>
      </w:r>
    </w:p>
    <w:p>
      <w:pPr>
        <w:spacing w:after="0" w:line="92" w:lineRule="exact"/>
        <w:rPr>
          <w:sz w:val="20"/>
          <w:szCs w:val="20"/>
          <w:color w:val="auto"/>
        </w:rPr>
      </w:pPr>
    </w:p>
    <w:p>
      <w:pPr>
        <w:ind w:left="1520" w:right="419" w:firstLine="330"/>
        <w:spacing w:after="0" w:line="254" w:lineRule="auto"/>
        <w:rPr>
          <w:sz w:val="20"/>
          <w:szCs w:val="20"/>
          <w:color w:val="auto"/>
        </w:rPr>
      </w:pPr>
      <w:r>
        <w:rPr>
          <w:rFonts w:ascii="Times New Roman" w:cs="Times New Roman" w:eastAsia="Times New Roman" w:hAnsi="Times New Roman"/>
          <w:sz w:val="14"/>
          <w:szCs w:val="14"/>
          <w:color w:val="auto"/>
        </w:rPr>
        <w:t>We provide customized debt and equity financing solutions to lower middle-market companies, which we define as U.S. based companies having revenues between $10.0 million and $150.0 million. Our investment objective is to provide attractive risk-adjusted returns by generating both current income from our debt investments and capital appreciation from our equity related investments. Our investment strategy includes partnering with business owners, management teams and financial sponsors by providing customized financing for ownership transactions, recapitalizations, strategic acquisitions, business expansion and other growth initiatives. Although we are classified as a non-diversified investment company within the meaning of the 1940 Act, we maintain the flexibility to operate as a diversified investment company and have done so for an extended period of time. We seek to maintain a diversified portfolio of investments in order to help mitigate the potential effects of adverse economic events related to particular companies, regions or industries.</w:t>
      </w:r>
    </w:p>
    <w:p>
      <w:pPr>
        <w:spacing w:after="0" w:line="144"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4"/>
          <w:szCs w:val="14"/>
          <w:color w:val="auto"/>
        </w:rPr>
        <w:t>We invest in companies that possess some or all of the following attributes: predictable revenues; positive cash flows; defensible and/or</w:t>
      </w:r>
    </w:p>
    <w:p>
      <w:pPr>
        <w:spacing w:after="0" w:line="21"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4"/>
          <w:szCs w:val="14"/>
          <w:color w:val="auto"/>
        </w:rPr>
        <w:t>leading market positions; diversified customer and supplier bases; and proven management teams with strong operating discipline. We target</w:t>
      </w:r>
    </w:p>
    <w:p>
      <w:pPr>
        <w:spacing w:after="0" w:line="6"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4"/>
          <w:szCs w:val="14"/>
          <w:color w:val="auto"/>
        </w:rPr>
        <w:t>companies in the lower middle-market with annual earnings, before interest, taxes, depreciation and amortization, or EBITDA, between</w:t>
      </w:r>
    </w:p>
    <w:p>
      <w:pPr>
        <w:spacing w:after="0" w:line="6"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4"/>
          <w:szCs w:val="14"/>
          <w:color w:val="auto"/>
        </w:rPr>
        <w:t>$5.0 million and $30.0 million; however, we may from time to time opportunistically make investments in larger or smaller companies. Our</w:t>
      </w:r>
    </w:p>
    <w:p>
      <w:pPr>
        <w:spacing w:after="0" w:line="6"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4"/>
          <w:szCs w:val="14"/>
          <w:color w:val="auto"/>
        </w:rPr>
        <w:t>investments typically range between $5.0 million and $35.0 million per portfolio company.</w:t>
      </w:r>
    </w:p>
    <w:p>
      <w:pPr>
        <w:spacing w:after="0" w:line="253"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1</w:t>
      </w:r>
    </w:p>
    <w:p>
      <w:pPr>
        <w:sectPr>
          <w:pgSz w:w="11900" w:h="16838" w:orient="portrait"/>
          <w:cols w:equalWidth="0" w:num="1">
            <w:col w:w="10159"/>
          </w:cols>
          <w:pgMar w:left="300" w:top="384" w:right="1440"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869950</wp:posOffset>
            </wp:positionH>
            <wp:positionV relativeFrom="paragraph">
              <wp:posOffset>164465</wp:posOffset>
            </wp:positionV>
            <wp:extent cx="5427980" cy="42252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427980" cy="4225290"/>
                    </a:xfrm>
                    <a:prstGeom prst="rect">
                      <a:avLst/>
                    </a:prstGeom>
                    <a:noFill/>
                  </pic:spPr>
                </pic:pic>
              </a:graphicData>
            </a:graphic>
          </wp:anchor>
        </w:drawing>
      </w:r>
    </w:p>
    <w:p>
      <w:pPr>
        <w:spacing w:after="0" w:line="365" w:lineRule="exact"/>
        <w:rPr>
          <w:sz w:val="20"/>
          <w:szCs w:val="20"/>
          <w:color w:val="auto"/>
        </w:rPr>
      </w:pPr>
    </w:p>
    <w:p>
      <w:pPr>
        <w:ind w:left="1520" w:right="739" w:firstLine="330"/>
        <w:spacing w:after="0" w:line="281" w:lineRule="auto"/>
        <w:rPr>
          <w:sz w:val="20"/>
          <w:szCs w:val="20"/>
          <w:color w:val="auto"/>
        </w:rPr>
      </w:pPr>
      <w:r>
        <w:rPr>
          <w:rFonts w:ascii="Times New Roman" w:cs="Times New Roman" w:eastAsia="Times New Roman" w:hAnsi="Times New Roman"/>
          <w:sz w:val="14"/>
          <w:szCs w:val="14"/>
          <w:color w:val="auto"/>
        </w:rPr>
        <w:t>As of March 31, 2026, we had active debt and equity investments in 97 portfolio companies and residual investments in seven portfolio companies that have sold their underlying operations with an aggregate fair value of $1.4 billion.</w:t>
      </w:r>
    </w:p>
    <w:p>
      <w:pPr>
        <w:spacing w:after="0" w:line="207"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4"/>
          <w:szCs w:val="14"/>
          <w:b w:val="1"/>
          <w:bCs w:val="1"/>
          <w:color w:val="auto"/>
        </w:rPr>
        <w:t>Our Advisor and Administrator</w:t>
      </w:r>
    </w:p>
    <w:p>
      <w:pPr>
        <w:spacing w:after="0" w:line="92" w:lineRule="exact"/>
        <w:rPr>
          <w:sz w:val="20"/>
          <w:szCs w:val="20"/>
          <w:color w:val="auto"/>
        </w:rPr>
      </w:pPr>
    </w:p>
    <w:p>
      <w:pPr>
        <w:ind w:left="1520" w:right="419" w:firstLine="330"/>
        <w:spacing w:after="0" w:line="257" w:lineRule="auto"/>
        <w:rPr>
          <w:sz w:val="20"/>
          <w:szCs w:val="20"/>
          <w:color w:val="auto"/>
        </w:rPr>
      </w:pPr>
      <w:r>
        <w:rPr>
          <w:rFonts w:ascii="Times New Roman" w:cs="Times New Roman" w:eastAsia="Times New Roman" w:hAnsi="Times New Roman"/>
          <w:sz w:val="14"/>
          <w:szCs w:val="14"/>
          <w:color w:val="auto"/>
        </w:rPr>
        <w:t>Our investment activities are managed by Fidus Investment Advisors, LLC, our investment advisor, and supervised by our board of directors, a majority of whom are not “interested persons” (as defined in Section 2(a)(19) of the 1940 Act) of FIC (the “Independent Directors”). Our investment advisor is a Delaware limited liability company that is registered as an investment advisor under the Investment Advisers Act of 1940, as amended. In addition, Fidus Investment Advisors, LLC serves as our administrator and provides us with office space, equipment and clerical, book-keeping and record-keeping services pursuant to an administration agreement, which we refer to as the Administration Agreement.</w:t>
      </w:r>
    </w:p>
    <w:p>
      <w:pPr>
        <w:spacing w:after="0" w:line="143" w:lineRule="exact"/>
        <w:rPr>
          <w:sz w:val="20"/>
          <w:szCs w:val="20"/>
          <w:color w:val="auto"/>
        </w:rPr>
      </w:pPr>
    </w:p>
    <w:p>
      <w:pPr>
        <w:ind w:left="1520" w:right="439" w:firstLine="330"/>
        <w:spacing w:after="0" w:line="254" w:lineRule="auto"/>
        <w:rPr>
          <w:sz w:val="20"/>
          <w:szCs w:val="20"/>
          <w:color w:val="auto"/>
        </w:rPr>
      </w:pPr>
      <w:r>
        <w:rPr>
          <w:rFonts w:ascii="Times New Roman" w:cs="Times New Roman" w:eastAsia="Times New Roman" w:hAnsi="Times New Roman"/>
          <w:sz w:val="14"/>
          <w:szCs w:val="14"/>
          <w:color w:val="auto"/>
        </w:rPr>
        <w:t>Pursuant to the terms of the investment advisory and management agreement between us and our investment advisor (the “Investment Advisory Agreement”), our investment advisor is responsible for determining the composition of our portfolio, including sourcing potential investments, conducting research and diligence on potential investments and equity sponsors, analyzing investment opportunities, structuring our investments and monitoring our investments and portfolio companies on an ongoing basis. Our investment advisor’s investment professionals seek to capitalize on their significant deal origination and sourcing, underwriting, due diligence, investment structuring, execution, portfolio management and monitoring experience. These professionals have developed a broad network of contacts within the investment community, have gained extensive experience investing in assets that constitute our primary focus and have expertise in investing across all levels of the capital structure of lower middle-market companies.</w:t>
      </w:r>
    </w:p>
    <w:p>
      <w:pPr>
        <w:spacing w:after="0" w:line="144" w:lineRule="exact"/>
        <w:rPr>
          <w:sz w:val="20"/>
          <w:szCs w:val="20"/>
          <w:color w:val="auto"/>
        </w:rPr>
      </w:pPr>
    </w:p>
    <w:p>
      <w:pPr>
        <w:ind w:left="1520" w:right="479" w:firstLine="330"/>
        <w:spacing w:after="0" w:line="253" w:lineRule="auto"/>
        <w:rPr>
          <w:sz w:val="20"/>
          <w:szCs w:val="20"/>
          <w:color w:val="auto"/>
        </w:rPr>
      </w:pPr>
      <w:r>
        <w:rPr>
          <w:rFonts w:ascii="Times New Roman" w:cs="Times New Roman" w:eastAsia="Times New Roman" w:hAnsi="Times New Roman"/>
          <w:sz w:val="14"/>
          <w:szCs w:val="14"/>
          <w:color w:val="auto"/>
        </w:rPr>
        <w:t>Our relationship with our investment advisor is governed by and dependent on the Investment Advisory Agreement and may be subject to conflicts of interest. We pay our investment advisor a fee for its services under the Investment Advisory Agreement consisting of two components —a base management fee and an incentive fee. The base management fee is calculated at an annual rate of 1.75% of the average value of our total assets (other than cash or cash equivalents but including assets purchased with borrowed amounts) at the end of the two most recently completed calendar quarters. The incentive fee consists of two parts. The first part is calculated and payable quarterly in arrears and equals 20.0% of our “pre-incentive fee net investment income” for the immediately preceding quarter, subject to a 2.0% preferred return, or “hurdle,” and a “catch up” feature. The second part is determined and payable in arrears as of the end of each fiscal year in an amount equal to 20.0% of our realized capital gains, if any, on a cumulative basis from inception through the end of each fiscal year, computed net of all realized capital losses and unrealized capital depreciation on a cumulative basis, less the aggregate amount of any capital gain incentive fees paid in prior years. We accrue, but do not pay, a capital gains incentive fee in connection with any unrealized capital appreciation, as appropriate.</w:t>
      </w:r>
    </w:p>
    <w:p>
      <w:pPr>
        <w:spacing w:after="0" w:line="145" w:lineRule="exact"/>
        <w:rPr>
          <w:sz w:val="20"/>
          <w:szCs w:val="20"/>
          <w:color w:val="auto"/>
        </w:rPr>
      </w:pPr>
    </w:p>
    <w:p>
      <w:pPr>
        <w:ind w:left="1520" w:right="459" w:firstLine="330"/>
        <w:spacing w:after="0" w:line="254" w:lineRule="auto"/>
        <w:rPr>
          <w:sz w:val="20"/>
          <w:szCs w:val="20"/>
          <w:color w:val="auto"/>
        </w:rPr>
      </w:pPr>
      <w:r>
        <w:rPr>
          <w:rFonts w:ascii="Times New Roman" w:cs="Times New Roman" w:eastAsia="Times New Roman" w:hAnsi="Times New Roman"/>
          <w:sz w:val="14"/>
          <w:szCs w:val="14"/>
          <w:color w:val="auto"/>
        </w:rPr>
        <w:t>Among other things, our board of directors is charged with protecting our interests by monitoring how our investment advisor addresses conflicts of interest associated with its management services and compensation. However, our board of directors periodically reviews our investment advisor’s portfolio management decisions and portfolio performance. In addition, our board of directors at least annually reviews the services provided by and fees paid to our investment advisor. In connection with these reviews, our board of directors, including a majority of our Independent Directors, considers whether the fees and expenses (including those related to leverage) that we pay to our investment advisor are fair and reasonable in relation to the services provided. Renewal of our Investment Advisory Agreement must be approved each year by our board of directors, including a majority of our Independent Directors.</w:t>
      </w:r>
    </w:p>
    <w:p>
      <w:pPr>
        <w:spacing w:after="0" w:line="241"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2</w:t>
      </w:r>
    </w:p>
    <w:p>
      <w:pPr>
        <w:sectPr>
          <w:pgSz w:w="11900" w:h="16838" w:orient="portrait"/>
          <w:cols w:equalWidth="0" w:num="1">
            <w:col w:w="10159"/>
          </w:cols>
          <w:pgMar w:left="300" w:top="384" w:right="1440"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869950</wp:posOffset>
            </wp:positionH>
            <wp:positionV relativeFrom="paragraph">
              <wp:posOffset>164465</wp:posOffset>
            </wp:positionV>
            <wp:extent cx="5427980" cy="44380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427980" cy="4438015"/>
                    </a:xfrm>
                    <a:prstGeom prst="rect">
                      <a:avLst/>
                    </a:prstGeom>
                    <a:noFill/>
                  </pic:spPr>
                </pic:pic>
              </a:graphicData>
            </a:graphic>
          </wp:anchor>
        </w:drawing>
      </w:r>
    </w:p>
    <w:p>
      <w:pPr>
        <w:spacing w:after="0" w:line="36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Summary of the Terms of the Exchange Offer</w:t>
      </w:r>
    </w:p>
    <w:p>
      <w:pPr>
        <w:spacing w:after="0" w:line="174" w:lineRule="exact"/>
        <w:rPr>
          <w:sz w:val="20"/>
          <w:szCs w:val="20"/>
          <w:color w:val="auto"/>
        </w:rPr>
      </w:pPr>
    </w:p>
    <w:p>
      <w:pPr>
        <w:ind w:left="1520" w:right="459" w:firstLine="330"/>
        <w:spacing w:after="0" w:line="284" w:lineRule="auto"/>
        <w:rPr>
          <w:sz w:val="20"/>
          <w:szCs w:val="20"/>
          <w:color w:val="auto"/>
        </w:rPr>
      </w:pPr>
      <w:r>
        <w:rPr>
          <w:rFonts w:ascii="Times New Roman" w:cs="Times New Roman" w:eastAsia="Times New Roman" w:hAnsi="Times New Roman"/>
          <w:sz w:val="14"/>
          <w:szCs w:val="14"/>
          <w:i w:val="1"/>
          <w:iCs w:val="1"/>
          <w:color w:val="auto"/>
        </w:rPr>
        <w:t xml:space="preserve">The following summary contains basic information about the exchange offer. It does not contain all the information that may be important to you. For a more complete description of the exchange offer, you should read the discussion under the heading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The Exchange Offer.”</w:t>
      </w:r>
    </w:p>
    <w:p>
      <w:pPr>
        <w:spacing w:after="0" w:line="142" w:lineRule="exact"/>
        <w:rPr>
          <w:sz w:val="20"/>
          <w:szCs w:val="20"/>
          <w:color w:val="auto"/>
        </w:rPr>
      </w:pPr>
    </w:p>
    <w:tbl>
      <w:tblPr>
        <w:tblLayout w:type="fixed"/>
        <w:tblInd w:w="1360" w:type="dxa"/>
        <w:tblCellMar>
          <w:top w:w="0" w:type="dxa"/>
          <w:left w:w="0" w:type="dxa"/>
          <w:bottom w:w="0" w:type="dxa"/>
          <w:right w:w="0" w:type="dxa"/>
        </w:tblCellMar>
      </w:tblPr>
      <w:tr>
        <w:trPr>
          <w:trHeight w:val="169"/>
        </w:trPr>
        <w:tc>
          <w:tcPr>
            <w:tcW w:w="264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Exchange Notes</w:t>
            </w:r>
          </w:p>
        </w:tc>
        <w:tc>
          <w:tcPr>
            <w:tcW w:w="5920" w:type="dxa"/>
            <w:vAlign w:val="bottom"/>
          </w:tcPr>
          <w:p>
            <w:pPr>
              <w:ind w:left="640"/>
              <w:spacing w:after="0"/>
              <w:rPr>
                <w:sz w:val="20"/>
                <w:szCs w:val="20"/>
                <w:color w:val="auto"/>
              </w:rPr>
            </w:pPr>
            <w:r>
              <w:rPr>
                <w:rFonts w:ascii="Times New Roman" w:cs="Times New Roman" w:eastAsia="Times New Roman" w:hAnsi="Times New Roman"/>
                <w:sz w:val="14"/>
                <w:szCs w:val="14"/>
                <w:color w:val="auto"/>
              </w:rPr>
              <w:t>$120,000,000 aggregate principal amount of 6.625% Notes due 2029 (the “Exchange</w:t>
            </w:r>
          </w:p>
        </w:tc>
      </w:tr>
      <w:tr>
        <w:trPr>
          <w:trHeight w:val="182"/>
        </w:trPr>
        <w:tc>
          <w:tcPr>
            <w:tcW w:w="2640" w:type="dxa"/>
            <w:vAlign w:val="bottom"/>
          </w:tcPr>
          <w:p>
            <w:pPr>
              <w:spacing w:after="0"/>
              <w:rPr>
                <w:sz w:val="15"/>
                <w:szCs w:val="15"/>
                <w:color w:val="auto"/>
              </w:rPr>
            </w:pPr>
          </w:p>
        </w:tc>
        <w:tc>
          <w:tcPr>
            <w:tcW w:w="5920" w:type="dxa"/>
            <w:vAlign w:val="bottom"/>
          </w:tcPr>
          <w:p>
            <w:pPr>
              <w:ind w:left="640"/>
              <w:spacing w:after="0"/>
              <w:rPr>
                <w:sz w:val="20"/>
                <w:szCs w:val="20"/>
                <w:color w:val="auto"/>
              </w:rPr>
            </w:pPr>
            <w:r>
              <w:rPr>
                <w:rFonts w:ascii="Times New Roman" w:cs="Times New Roman" w:eastAsia="Times New Roman" w:hAnsi="Times New Roman"/>
                <w:sz w:val="14"/>
                <w:szCs w:val="14"/>
                <w:color w:val="auto"/>
              </w:rPr>
              <w:t>Notes”).</w:t>
            </w:r>
          </w:p>
        </w:tc>
      </w:tr>
      <w:tr>
        <w:trPr>
          <w:trHeight w:val="341"/>
        </w:trPr>
        <w:tc>
          <w:tcPr>
            <w:tcW w:w="2640" w:type="dxa"/>
            <w:vAlign w:val="bottom"/>
          </w:tcPr>
          <w:p>
            <w:pPr>
              <w:spacing w:after="0"/>
              <w:rPr>
                <w:sz w:val="24"/>
                <w:szCs w:val="24"/>
                <w:color w:val="auto"/>
              </w:rPr>
            </w:pPr>
          </w:p>
        </w:tc>
        <w:tc>
          <w:tcPr>
            <w:tcW w:w="5920" w:type="dxa"/>
            <w:vAlign w:val="bottom"/>
          </w:tcPr>
          <w:p>
            <w:pPr>
              <w:ind w:left="640"/>
              <w:spacing w:after="0"/>
              <w:rPr>
                <w:sz w:val="20"/>
                <w:szCs w:val="20"/>
                <w:color w:val="auto"/>
              </w:rPr>
            </w:pPr>
            <w:r>
              <w:rPr>
                <w:rFonts w:ascii="Times New Roman" w:cs="Times New Roman" w:eastAsia="Times New Roman" w:hAnsi="Times New Roman"/>
                <w:sz w:val="14"/>
                <w:szCs w:val="14"/>
                <w:color w:val="auto"/>
              </w:rPr>
              <w:t>The terms of our Exchange Notes that have been registered with the SEC under the</w:t>
            </w:r>
          </w:p>
        </w:tc>
      </w:tr>
      <w:tr>
        <w:trPr>
          <w:trHeight w:val="167"/>
        </w:trPr>
        <w:tc>
          <w:tcPr>
            <w:tcW w:w="2640" w:type="dxa"/>
            <w:vAlign w:val="bottom"/>
          </w:tcPr>
          <w:p>
            <w:pPr>
              <w:spacing w:after="0"/>
              <w:rPr>
                <w:sz w:val="14"/>
                <w:szCs w:val="14"/>
                <w:color w:val="auto"/>
              </w:rPr>
            </w:pPr>
          </w:p>
        </w:tc>
        <w:tc>
          <w:tcPr>
            <w:tcW w:w="5920" w:type="dxa"/>
            <w:vAlign w:val="bottom"/>
          </w:tcPr>
          <w:p>
            <w:pPr>
              <w:ind w:left="640"/>
              <w:spacing w:after="0"/>
              <w:rPr>
                <w:sz w:val="20"/>
                <w:szCs w:val="20"/>
                <w:color w:val="auto"/>
              </w:rPr>
            </w:pPr>
            <w:r>
              <w:rPr>
                <w:rFonts w:ascii="Times New Roman" w:cs="Times New Roman" w:eastAsia="Times New Roman" w:hAnsi="Times New Roman"/>
                <w:sz w:val="14"/>
                <w:szCs w:val="14"/>
                <w:color w:val="auto"/>
              </w:rPr>
              <w:t>Securities Act of 1933, as amended (the “Securities Act”) are substantially identical to</w:t>
            </w:r>
          </w:p>
        </w:tc>
      </w:tr>
      <w:tr>
        <w:trPr>
          <w:trHeight w:val="167"/>
        </w:trPr>
        <w:tc>
          <w:tcPr>
            <w:tcW w:w="2640" w:type="dxa"/>
            <w:vAlign w:val="bottom"/>
          </w:tcPr>
          <w:p>
            <w:pPr>
              <w:spacing w:after="0"/>
              <w:rPr>
                <w:sz w:val="14"/>
                <w:szCs w:val="14"/>
                <w:color w:val="auto"/>
              </w:rPr>
            </w:pPr>
          </w:p>
        </w:tc>
        <w:tc>
          <w:tcPr>
            <w:tcW w:w="5920" w:type="dxa"/>
            <w:vAlign w:val="bottom"/>
          </w:tcPr>
          <w:p>
            <w:pPr>
              <w:ind w:left="640"/>
              <w:spacing w:after="0"/>
              <w:rPr>
                <w:sz w:val="20"/>
                <w:szCs w:val="20"/>
                <w:color w:val="auto"/>
              </w:rPr>
            </w:pPr>
            <w:r>
              <w:rPr>
                <w:rFonts w:ascii="Times New Roman" w:cs="Times New Roman" w:eastAsia="Times New Roman" w:hAnsi="Times New Roman"/>
                <w:sz w:val="14"/>
                <w:szCs w:val="14"/>
                <w:color w:val="auto"/>
              </w:rPr>
              <w:t>those of our outstanding 6.625% Notes due 2029 (the “Restricted Notes”) that were issued</w:t>
            </w:r>
          </w:p>
        </w:tc>
      </w:tr>
      <w:tr>
        <w:trPr>
          <w:trHeight w:val="167"/>
        </w:trPr>
        <w:tc>
          <w:tcPr>
            <w:tcW w:w="2640" w:type="dxa"/>
            <w:vAlign w:val="bottom"/>
          </w:tcPr>
          <w:p>
            <w:pPr>
              <w:spacing w:after="0"/>
              <w:rPr>
                <w:sz w:val="14"/>
                <w:szCs w:val="14"/>
                <w:color w:val="auto"/>
              </w:rPr>
            </w:pPr>
          </w:p>
        </w:tc>
        <w:tc>
          <w:tcPr>
            <w:tcW w:w="5920" w:type="dxa"/>
            <w:vAlign w:val="bottom"/>
          </w:tcPr>
          <w:p>
            <w:pPr>
              <w:ind w:left="640"/>
              <w:spacing w:after="0"/>
              <w:rPr>
                <w:sz w:val="20"/>
                <w:szCs w:val="20"/>
                <w:color w:val="auto"/>
              </w:rPr>
            </w:pPr>
            <w:r>
              <w:rPr>
                <w:rFonts w:ascii="Times New Roman" w:cs="Times New Roman" w:eastAsia="Times New Roman" w:hAnsi="Times New Roman"/>
                <w:sz w:val="14"/>
                <w:szCs w:val="14"/>
                <w:color w:val="auto"/>
              </w:rPr>
              <w:t>in a transaction not requiring registration under the Securities Act on May 29, 2026, except</w:t>
            </w:r>
          </w:p>
        </w:tc>
      </w:tr>
      <w:tr>
        <w:trPr>
          <w:trHeight w:val="167"/>
        </w:trPr>
        <w:tc>
          <w:tcPr>
            <w:tcW w:w="2640" w:type="dxa"/>
            <w:vAlign w:val="bottom"/>
          </w:tcPr>
          <w:p>
            <w:pPr>
              <w:spacing w:after="0"/>
              <w:rPr>
                <w:sz w:val="14"/>
                <w:szCs w:val="14"/>
                <w:color w:val="auto"/>
              </w:rPr>
            </w:pPr>
          </w:p>
        </w:tc>
        <w:tc>
          <w:tcPr>
            <w:tcW w:w="5920" w:type="dxa"/>
            <w:vAlign w:val="bottom"/>
          </w:tcPr>
          <w:p>
            <w:pPr>
              <w:ind w:left="640"/>
              <w:spacing w:after="0"/>
              <w:rPr>
                <w:sz w:val="20"/>
                <w:szCs w:val="20"/>
                <w:color w:val="auto"/>
              </w:rPr>
            </w:pPr>
            <w:r>
              <w:rPr>
                <w:rFonts w:ascii="Times New Roman" w:cs="Times New Roman" w:eastAsia="Times New Roman" w:hAnsi="Times New Roman"/>
                <w:sz w:val="14"/>
                <w:szCs w:val="14"/>
                <w:color w:val="auto"/>
              </w:rPr>
              <w:t>that the transfer restrictions and registration rights relating to the Restricted Notes will not</w:t>
            </w:r>
          </w:p>
        </w:tc>
      </w:tr>
      <w:tr>
        <w:trPr>
          <w:trHeight w:val="167"/>
        </w:trPr>
        <w:tc>
          <w:tcPr>
            <w:tcW w:w="2640" w:type="dxa"/>
            <w:vAlign w:val="bottom"/>
          </w:tcPr>
          <w:p>
            <w:pPr>
              <w:spacing w:after="0"/>
              <w:rPr>
                <w:sz w:val="14"/>
                <w:szCs w:val="14"/>
                <w:color w:val="auto"/>
              </w:rPr>
            </w:pPr>
          </w:p>
        </w:tc>
        <w:tc>
          <w:tcPr>
            <w:tcW w:w="5920" w:type="dxa"/>
            <w:vAlign w:val="bottom"/>
          </w:tcPr>
          <w:p>
            <w:pPr>
              <w:ind w:left="640"/>
              <w:spacing w:after="0"/>
              <w:rPr>
                <w:sz w:val="20"/>
                <w:szCs w:val="20"/>
                <w:color w:val="auto"/>
              </w:rPr>
            </w:pPr>
            <w:r>
              <w:rPr>
                <w:rFonts w:ascii="Times New Roman" w:cs="Times New Roman" w:eastAsia="Times New Roman" w:hAnsi="Times New Roman"/>
                <w:sz w:val="14"/>
                <w:szCs w:val="14"/>
                <w:color w:val="auto"/>
              </w:rPr>
              <w:t>apply to the Exchange Notes, and the Exchange Notes will not provide for the payment of</w:t>
            </w:r>
          </w:p>
        </w:tc>
      </w:tr>
      <w:tr>
        <w:trPr>
          <w:trHeight w:val="165"/>
        </w:trPr>
        <w:tc>
          <w:tcPr>
            <w:tcW w:w="2640" w:type="dxa"/>
            <w:vAlign w:val="bottom"/>
          </w:tcPr>
          <w:p>
            <w:pPr>
              <w:spacing w:after="0"/>
              <w:rPr>
                <w:sz w:val="14"/>
                <w:szCs w:val="14"/>
                <w:color w:val="auto"/>
              </w:rPr>
            </w:pPr>
          </w:p>
        </w:tc>
        <w:tc>
          <w:tcPr>
            <w:tcW w:w="5920" w:type="dxa"/>
            <w:vAlign w:val="bottom"/>
          </w:tcPr>
          <w:p>
            <w:pPr>
              <w:ind w:left="640"/>
              <w:spacing w:after="0"/>
              <w:rPr>
                <w:sz w:val="20"/>
                <w:szCs w:val="20"/>
                <w:color w:val="auto"/>
              </w:rPr>
            </w:pPr>
            <w:r>
              <w:rPr>
                <w:rFonts w:ascii="Times New Roman" w:cs="Times New Roman" w:eastAsia="Times New Roman" w:hAnsi="Times New Roman"/>
                <w:sz w:val="14"/>
                <w:szCs w:val="14"/>
                <w:color w:val="auto"/>
              </w:rPr>
              <w:t>additional interest in the event of a registration default. In addition, the Exchange Notes</w:t>
            </w:r>
          </w:p>
        </w:tc>
      </w:tr>
      <w:tr>
        <w:trPr>
          <w:trHeight w:val="167"/>
        </w:trPr>
        <w:tc>
          <w:tcPr>
            <w:tcW w:w="2640" w:type="dxa"/>
            <w:vAlign w:val="bottom"/>
          </w:tcPr>
          <w:p>
            <w:pPr>
              <w:spacing w:after="0"/>
              <w:rPr>
                <w:sz w:val="14"/>
                <w:szCs w:val="14"/>
                <w:color w:val="auto"/>
              </w:rPr>
            </w:pPr>
          </w:p>
        </w:tc>
        <w:tc>
          <w:tcPr>
            <w:tcW w:w="5920" w:type="dxa"/>
            <w:vAlign w:val="bottom"/>
          </w:tcPr>
          <w:p>
            <w:pPr>
              <w:ind w:left="640"/>
              <w:spacing w:after="0"/>
              <w:rPr>
                <w:sz w:val="20"/>
                <w:szCs w:val="20"/>
                <w:color w:val="auto"/>
              </w:rPr>
            </w:pPr>
            <w:r>
              <w:rPr>
                <w:rFonts w:ascii="Times New Roman" w:cs="Times New Roman" w:eastAsia="Times New Roman" w:hAnsi="Times New Roman"/>
                <w:sz w:val="14"/>
                <w:szCs w:val="14"/>
                <w:color w:val="auto"/>
              </w:rPr>
              <w:t>will bear a different CUSIP number than the Restricted Notes. See “</w:t>
            </w:r>
            <w:r>
              <w:rPr>
                <w:rFonts w:ascii="Times New Roman" w:cs="Times New Roman" w:eastAsia="Times New Roman" w:hAnsi="Times New Roman"/>
                <w:sz w:val="14"/>
                <w:szCs w:val="14"/>
                <w:i w:val="1"/>
                <w:iCs w:val="1"/>
                <w:color w:val="auto"/>
              </w:rPr>
              <w:t>Description of the</w:t>
            </w:r>
          </w:p>
        </w:tc>
      </w:tr>
      <w:tr>
        <w:trPr>
          <w:trHeight w:val="184"/>
        </w:trPr>
        <w:tc>
          <w:tcPr>
            <w:tcW w:w="2640" w:type="dxa"/>
            <w:vAlign w:val="bottom"/>
          </w:tcPr>
          <w:p>
            <w:pPr>
              <w:spacing w:after="0"/>
              <w:rPr>
                <w:sz w:val="16"/>
                <w:szCs w:val="16"/>
                <w:color w:val="auto"/>
              </w:rPr>
            </w:pPr>
          </w:p>
        </w:tc>
        <w:tc>
          <w:tcPr>
            <w:tcW w:w="5920" w:type="dxa"/>
            <w:vAlign w:val="bottom"/>
          </w:tcPr>
          <w:p>
            <w:pPr>
              <w:ind w:left="640"/>
              <w:spacing w:after="0"/>
              <w:rPr>
                <w:sz w:val="20"/>
                <w:szCs w:val="20"/>
                <w:color w:val="auto"/>
              </w:rPr>
            </w:pPr>
            <w:r>
              <w:rPr>
                <w:rFonts w:ascii="Times New Roman" w:cs="Times New Roman" w:eastAsia="Times New Roman" w:hAnsi="Times New Roman"/>
                <w:sz w:val="14"/>
                <w:szCs w:val="14"/>
                <w:i w:val="1"/>
                <w:iCs w:val="1"/>
                <w:color w:val="auto"/>
              </w:rPr>
              <w:t>Exchange Notes</w:t>
            </w:r>
            <w:r>
              <w:rPr>
                <w:rFonts w:ascii="Times New Roman" w:cs="Times New Roman" w:eastAsia="Times New Roman" w:hAnsi="Times New Roman"/>
                <w:sz w:val="14"/>
                <w:szCs w:val="14"/>
                <w:color w:val="auto"/>
              </w:rPr>
              <w:t>.”</w:t>
            </w:r>
          </w:p>
        </w:tc>
      </w:tr>
      <w:tr>
        <w:trPr>
          <w:trHeight w:val="356"/>
        </w:trPr>
        <w:tc>
          <w:tcPr>
            <w:tcW w:w="2640" w:type="dxa"/>
            <w:vAlign w:val="bottom"/>
          </w:tcPr>
          <w:p>
            <w:pPr>
              <w:spacing w:after="0"/>
              <w:rPr>
                <w:sz w:val="24"/>
                <w:szCs w:val="24"/>
                <w:color w:val="auto"/>
              </w:rPr>
            </w:pPr>
          </w:p>
        </w:tc>
        <w:tc>
          <w:tcPr>
            <w:tcW w:w="5920" w:type="dxa"/>
            <w:vAlign w:val="bottom"/>
          </w:tcPr>
          <w:p>
            <w:pPr>
              <w:ind w:left="640"/>
              <w:spacing w:after="0"/>
              <w:rPr>
                <w:sz w:val="20"/>
                <w:szCs w:val="20"/>
                <w:color w:val="auto"/>
              </w:rPr>
            </w:pPr>
            <w:r>
              <w:rPr>
                <w:rFonts w:ascii="Times New Roman" w:cs="Times New Roman" w:eastAsia="Times New Roman" w:hAnsi="Times New Roman"/>
                <w:sz w:val="14"/>
                <w:szCs w:val="14"/>
                <w:color w:val="auto"/>
              </w:rPr>
              <w:t>We refer to the Restricted Notes and the Exchange Notes collectively as the “Notes.”</w:t>
            </w:r>
          </w:p>
        </w:tc>
      </w:tr>
      <w:tr>
        <w:trPr>
          <w:trHeight w:val="341"/>
        </w:trPr>
        <w:tc>
          <w:tcPr>
            <w:tcW w:w="264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Restricted Notes</w:t>
            </w:r>
          </w:p>
        </w:tc>
        <w:tc>
          <w:tcPr>
            <w:tcW w:w="5920" w:type="dxa"/>
            <w:vAlign w:val="bottom"/>
          </w:tcPr>
          <w:p>
            <w:pPr>
              <w:ind w:left="640"/>
              <w:spacing w:after="0"/>
              <w:rPr>
                <w:sz w:val="20"/>
                <w:szCs w:val="20"/>
                <w:color w:val="auto"/>
              </w:rPr>
            </w:pPr>
            <w:r>
              <w:rPr>
                <w:rFonts w:ascii="Times New Roman" w:cs="Times New Roman" w:eastAsia="Times New Roman" w:hAnsi="Times New Roman"/>
                <w:sz w:val="14"/>
                <w:szCs w:val="14"/>
                <w:color w:val="auto"/>
              </w:rPr>
              <w:t>$120,000,000 aggregate principal amount of 6.625% Notes due 2029, which were issued in</w:t>
            </w:r>
          </w:p>
        </w:tc>
      </w:tr>
      <w:tr>
        <w:trPr>
          <w:trHeight w:val="182"/>
        </w:trPr>
        <w:tc>
          <w:tcPr>
            <w:tcW w:w="2640" w:type="dxa"/>
            <w:vAlign w:val="bottom"/>
          </w:tcPr>
          <w:p>
            <w:pPr>
              <w:spacing w:after="0"/>
              <w:rPr>
                <w:sz w:val="15"/>
                <w:szCs w:val="15"/>
                <w:color w:val="auto"/>
              </w:rPr>
            </w:pPr>
          </w:p>
        </w:tc>
        <w:tc>
          <w:tcPr>
            <w:tcW w:w="5920" w:type="dxa"/>
            <w:vAlign w:val="bottom"/>
          </w:tcPr>
          <w:p>
            <w:pPr>
              <w:ind w:left="640"/>
              <w:spacing w:after="0"/>
              <w:rPr>
                <w:sz w:val="20"/>
                <w:szCs w:val="20"/>
                <w:color w:val="auto"/>
              </w:rPr>
            </w:pPr>
            <w:r>
              <w:rPr>
                <w:rFonts w:ascii="Times New Roman" w:cs="Times New Roman" w:eastAsia="Times New Roman" w:hAnsi="Times New Roman"/>
                <w:sz w:val="14"/>
                <w:szCs w:val="14"/>
                <w:color w:val="auto"/>
              </w:rPr>
              <w:t>a private placement on May 29, 2026.</w:t>
            </w:r>
          </w:p>
        </w:tc>
      </w:tr>
      <w:tr>
        <w:trPr>
          <w:trHeight w:val="341"/>
        </w:trPr>
        <w:tc>
          <w:tcPr>
            <w:tcW w:w="264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The Exchange Offer</w:t>
            </w:r>
          </w:p>
        </w:tc>
        <w:tc>
          <w:tcPr>
            <w:tcW w:w="5920" w:type="dxa"/>
            <w:vAlign w:val="bottom"/>
          </w:tcPr>
          <w:p>
            <w:pPr>
              <w:ind w:left="640"/>
              <w:spacing w:after="0"/>
              <w:rPr>
                <w:sz w:val="20"/>
                <w:szCs w:val="20"/>
                <w:color w:val="auto"/>
              </w:rPr>
            </w:pPr>
            <w:r>
              <w:rPr>
                <w:rFonts w:ascii="Times New Roman" w:cs="Times New Roman" w:eastAsia="Times New Roman" w:hAnsi="Times New Roman"/>
                <w:sz w:val="14"/>
                <w:szCs w:val="14"/>
                <w:color w:val="auto"/>
              </w:rPr>
              <w:t>In the exchange offer, we will exchange the Restricted Notes for a like principal amount of</w:t>
            </w:r>
          </w:p>
        </w:tc>
      </w:tr>
      <w:tr>
        <w:trPr>
          <w:trHeight w:val="167"/>
        </w:trPr>
        <w:tc>
          <w:tcPr>
            <w:tcW w:w="2640" w:type="dxa"/>
            <w:vAlign w:val="bottom"/>
          </w:tcPr>
          <w:p>
            <w:pPr>
              <w:spacing w:after="0"/>
              <w:rPr>
                <w:sz w:val="14"/>
                <w:szCs w:val="14"/>
                <w:color w:val="auto"/>
              </w:rPr>
            </w:pPr>
          </w:p>
        </w:tc>
        <w:tc>
          <w:tcPr>
            <w:tcW w:w="5920" w:type="dxa"/>
            <w:vAlign w:val="bottom"/>
          </w:tcPr>
          <w:p>
            <w:pPr>
              <w:ind w:left="640"/>
              <w:spacing w:after="0"/>
              <w:rPr>
                <w:sz w:val="20"/>
                <w:szCs w:val="20"/>
                <w:color w:val="auto"/>
              </w:rPr>
            </w:pPr>
            <w:r>
              <w:rPr>
                <w:rFonts w:ascii="Times New Roman" w:cs="Times New Roman" w:eastAsia="Times New Roman" w:hAnsi="Times New Roman"/>
                <w:sz w:val="14"/>
                <w:szCs w:val="14"/>
                <w:color w:val="auto"/>
              </w:rPr>
              <w:t>the Exchange Notes to satisfy certain of our obligations under the registration rights</w:t>
            </w:r>
          </w:p>
        </w:tc>
      </w:tr>
      <w:tr>
        <w:trPr>
          <w:trHeight w:val="167"/>
        </w:trPr>
        <w:tc>
          <w:tcPr>
            <w:tcW w:w="2640" w:type="dxa"/>
            <w:vAlign w:val="bottom"/>
          </w:tcPr>
          <w:p>
            <w:pPr>
              <w:spacing w:after="0"/>
              <w:rPr>
                <w:sz w:val="14"/>
                <w:szCs w:val="14"/>
                <w:color w:val="auto"/>
              </w:rPr>
            </w:pPr>
          </w:p>
        </w:tc>
        <w:tc>
          <w:tcPr>
            <w:tcW w:w="5920" w:type="dxa"/>
            <w:vAlign w:val="bottom"/>
          </w:tcPr>
          <w:p>
            <w:pPr>
              <w:ind w:left="640"/>
              <w:spacing w:after="0"/>
              <w:rPr>
                <w:sz w:val="20"/>
                <w:szCs w:val="20"/>
                <w:color w:val="auto"/>
              </w:rPr>
            </w:pPr>
            <w:r>
              <w:rPr>
                <w:rFonts w:ascii="Times New Roman" w:cs="Times New Roman" w:eastAsia="Times New Roman" w:hAnsi="Times New Roman"/>
                <w:sz w:val="14"/>
                <w:szCs w:val="14"/>
                <w:color w:val="auto"/>
              </w:rPr>
              <w:t>agreement (the “Registration Rights Agreement”) that we entered into when the Restricted</w:t>
            </w:r>
          </w:p>
        </w:tc>
      </w:tr>
      <w:tr>
        <w:trPr>
          <w:trHeight w:val="182"/>
        </w:trPr>
        <w:tc>
          <w:tcPr>
            <w:tcW w:w="2640" w:type="dxa"/>
            <w:vAlign w:val="bottom"/>
          </w:tcPr>
          <w:p>
            <w:pPr>
              <w:spacing w:after="0"/>
              <w:rPr>
                <w:sz w:val="15"/>
                <w:szCs w:val="15"/>
                <w:color w:val="auto"/>
              </w:rPr>
            </w:pPr>
          </w:p>
        </w:tc>
        <w:tc>
          <w:tcPr>
            <w:tcW w:w="5920" w:type="dxa"/>
            <w:vAlign w:val="bottom"/>
          </w:tcPr>
          <w:p>
            <w:pPr>
              <w:ind w:left="640"/>
              <w:spacing w:after="0"/>
              <w:rPr>
                <w:sz w:val="20"/>
                <w:szCs w:val="20"/>
                <w:color w:val="auto"/>
              </w:rPr>
            </w:pPr>
            <w:r>
              <w:rPr>
                <w:rFonts w:ascii="Times New Roman" w:cs="Times New Roman" w:eastAsia="Times New Roman" w:hAnsi="Times New Roman"/>
                <w:sz w:val="14"/>
                <w:szCs w:val="14"/>
                <w:color w:val="auto"/>
              </w:rPr>
              <w:t>Notes were issued in reliance upon exemptions from registration under the Securities Act.</w:t>
            </w:r>
          </w:p>
        </w:tc>
      </w:tr>
      <w:tr>
        <w:trPr>
          <w:trHeight w:val="341"/>
        </w:trPr>
        <w:tc>
          <w:tcPr>
            <w:tcW w:w="2640" w:type="dxa"/>
            <w:vAlign w:val="bottom"/>
          </w:tcPr>
          <w:p>
            <w:pPr>
              <w:spacing w:after="0"/>
              <w:rPr>
                <w:sz w:val="24"/>
                <w:szCs w:val="24"/>
                <w:color w:val="auto"/>
              </w:rPr>
            </w:pPr>
          </w:p>
        </w:tc>
        <w:tc>
          <w:tcPr>
            <w:tcW w:w="5920" w:type="dxa"/>
            <w:vAlign w:val="bottom"/>
          </w:tcPr>
          <w:p>
            <w:pPr>
              <w:ind w:left="640"/>
              <w:spacing w:after="0"/>
              <w:rPr>
                <w:sz w:val="20"/>
                <w:szCs w:val="20"/>
                <w:color w:val="auto"/>
              </w:rPr>
            </w:pPr>
            <w:r>
              <w:rPr>
                <w:rFonts w:ascii="Times New Roman" w:cs="Times New Roman" w:eastAsia="Times New Roman" w:hAnsi="Times New Roman"/>
                <w:sz w:val="14"/>
                <w:szCs w:val="14"/>
                <w:color w:val="auto"/>
              </w:rPr>
              <w:t>In order to be exchanged, an outstanding Restricted Note must be validly tendered and</w:t>
            </w:r>
          </w:p>
        </w:tc>
      </w:tr>
      <w:tr>
        <w:trPr>
          <w:trHeight w:val="167"/>
        </w:trPr>
        <w:tc>
          <w:tcPr>
            <w:tcW w:w="2640" w:type="dxa"/>
            <w:vAlign w:val="bottom"/>
          </w:tcPr>
          <w:p>
            <w:pPr>
              <w:spacing w:after="0"/>
              <w:rPr>
                <w:sz w:val="14"/>
                <w:szCs w:val="14"/>
                <w:color w:val="auto"/>
              </w:rPr>
            </w:pPr>
          </w:p>
        </w:tc>
        <w:tc>
          <w:tcPr>
            <w:tcW w:w="5920" w:type="dxa"/>
            <w:vAlign w:val="bottom"/>
          </w:tcPr>
          <w:p>
            <w:pPr>
              <w:ind w:left="640"/>
              <w:spacing w:after="0"/>
              <w:rPr>
                <w:sz w:val="20"/>
                <w:szCs w:val="20"/>
                <w:color w:val="auto"/>
              </w:rPr>
            </w:pPr>
            <w:r>
              <w:rPr>
                <w:rFonts w:ascii="Times New Roman" w:cs="Times New Roman" w:eastAsia="Times New Roman" w:hAnsi="Times New Roman"/>
                <w:sz w:val="14"/>
                <w:szCs w:val="14"/>
                <w:color w:val="auto"/>
              </w:rPr>
              <w:t>accepted. We will accept any and all Restricted Notes validly tendered and not withdrawn</w:t>
            </w:r>
          </w:p>
        </w:tc>
      </w:tr>
      <w:tr>
        <w:trPr>
          <w:trHeight w:val="167"/>
        </w:trPr>
        <w:tc>
          <w:tcPr>
            <w:tcW w:w="2640" w:type="dxa"/>
            <w:vAlign w:val="bottom"/>
          </w:tcPr>
          <w:p>
            <w:pPr>
              <w:spacing w:after="0"/>
              <w:rPr>
                <w:sz w:val="14"/>
                <w:szCs w:val="14"/>
                <w:color w:val="auto"/>
              </w:rPr>
            </w:pPr>
          </w:p>
        </w:tc>
        <w:tc>
          <w:tcPr>
            <w:tcW w:w="5920" w:type="dxa"/>
            <w:vAlign w:val="bottom"/>
          </w:tcPr>
          <w:p>
            <w:pPr>
              <w:ind w:left="640"/>
              <w:spacing w:after="0"/>
              <w:rPr>
                <w:sz w:val="20"/>
                <w:szCs w:val="20"/>
                <w:color w:val="auto"/>
              </w:rPr>
            </w:pPr>
            <w:r>
              <w:rPr>
                <w:rFonts w:ascii="Times New Roman" w:cs="Times New Roman" w:eastAsia="Times New Roman" w:hAnsi="Times New Roman"/>
                <w:sz w:val="14"/>
                <w:szCs w:val="14"/>
                <w:color w:val="auto"/>
              </w:rPr>
              <w:t>prior to [●] [a.m./p.m.], New York City time, on [●], 2026. Holders may tender some or all</w:t>
            </w:r>
          </w:p>
        </w:tc>
      </w:tr>
      <w:tr>
        <w:trPr>
          <w:trHeight w:val="167"/>
        </w:trPr>
        <w:tc>
          <w:tcPr>
            <w:tcW w:w="2640" w:type="dxa"/>
            <w:vAlign w:val="bottom"/>
          </w:tcPr>
          <w:p>
            <w:pPr>
              <w:spacing w:after="0"/>
              <w:rPr>
                <w:sz w:val="14"/>
                <w:szCs w:val="14"/>
                <w:color w:val="auto"/>
              </w:rPr>
            </w:pPr>
          </w:p>
        </w:tc>
        <w:tc>
          <w:tcPr>
            <w:tcW w:w="5920" w:type="dxa"/>
            <w:vAlign w:val="bottom"/>
          </w:tcPr>
          <w:p>
            <w:pPr>
              <w:ind w:left="640"/>
              <w:spacing w:after="0"/>
              <w:rPr>
                <w:sz w:val="20"/>
                <w:szCs w:val="20"/>
                <w:color w:val="auto"/>
              </w:rPr>
            </w:pPr>
            <w:r>
              <w:rPr>
                <w:rFonts w:ascii="Times New Roman" w:cs="Times New Roman" w:eastAsia="Times New Roman" w:hAnsi="Times New Roman"/>
                <w:sz w:val="14"/>
                <w:szCs w:val="14"/>
                <w:color w:val="auto"/>
              </w:rPr>
              <w:t>of their Restricted Notes pursuant to the exchange offer. However, Restricted Notes may be</w:t>
            </w:r>
          </w:p>
        </w:tc>
      </w:tr>
      <w:tr>
        <w:trPr>
          <w:trHeight w:val="182"/>
        </w:trPr>
        <w:tc>
          <w:tcPr>
            <w:tcW w:w="2640" w:type="dxa"/>
            <w:vAlign w:val="bottom"/>
          </w:tcPr>
          <w:p>
            <w:pPr>
              <w:spacing w:after="0"/>
              <w:rPr>
                <w:sz w:val="15"/>
                <w:szCs w:val="15"/>
                <w:color w:val="auto"/>
              </w:rPr>
            </w:pPr>
          </w:p>
        </w:tc>
        <w:tc>
          <w:tcPr>
            <w:tcW w:w="5920" w:type="dxa"/>
            <w:vAlign w:val="bottom"/>
          </w:tcPr>
          <w:p>
            <w:pPr>
              <w:ind w:left="640"/>
              <w:spacing w:after="0"/>
              <w:rPr>
                <w:sz w:val="20"/>
                <w:szCs w:val="20"/>
                <w:color w:val="auto"/>
              </w:rPr>
            </w:pPr>
            <w:r>
              <w:rPr>
                <w:rFonts w:ascii="Times New Roman" w:cs="Times New Roman" w:eastAsia="Times New Roman" w:hAnsi="Times New Roman"/>
                <w:sz w:val="14"/>
                <w:szCs w:val="14"/>
                <w:color w:val="auto"/>
              </w:rPr>
              <w:t>tendered only in denominations of $2,000 integral multiples of $1,000 in excess thereof.</w:t>
            </w:r>
          </w:p>
        </w:tc>
      </w:tr>
      <w:tr>
        <w:trPr>
          <w:trHeight w:val="339"/>
        </w:trPr>
        <w:tc>
          <w:tcPr>
            <w:tcW w:w="2640" w:type="dxa"/>
            <w:vAlign w:val="bottom"/>
          </w:tcPr>
          <w:p>
            <w:pPr>
              <w:spacing w:after="0"/>
              <w:rPr>
                <w:sz w:val="24"/>
                <w:szCs w:val="24"/>
                <w:color w:val="auto"/>
              </w:rPr>
            </w:pPr>
          </w:p>
        </w:tc>
        <w:tc>
          <w:tcPr>
            <w:tcW w:w="5920" w:type="dxa"/>
            <w:vAlign w:val="bottom"/>
          </w:tcPr>
          <w:p>
            <w:pPr>
              <w:ind w:left="640"/>
              <w:spacing w:after="0"/>
              <w:rPr>
                <w:sz w:val="20"/>
                <w:szCs w:val="20"/>
                <w:color w:val="auto"/>
              </w:rPr>
            </w:pPr>
            <w:r>
              <w:rPr>
                <w:rFonts w:ascii="Times New Roman" w:cs="Times New Roman" w:eastAsia="Times New Roman" w:hAnsi="Times New Roman"/>
                <w:sz w:val="14"/>
                <w:szCs w:val="14"/>
                <w:color w:val="auto"/>
              </w:rPr>
              <w:t>We will issue Exchange Notes promptly after the expiration of the exchange offer. See</w:t>
            </w:r>
          </w:p>
        </w:tc>
      </w:tr>
      <w:tr>
        <w:trPr>
          <w:trHeight w:val="184"/>
        </w:trPr>
        <w:tc>
          <w:tcPr>
            <w:tcW w:w="2640" w:type="dxa"/>
            <w:vAlign w:val="bottom"/>
          </w:tcPr>
          <w:p>
            <w:pPr>
              <w:spacing w:after="0"/>
              <w:rPr>
                <w:sz w:val="16"/>
                <w:szCs w:val="16"/>
                <w:color w:val="auto"/>
              </w:rPr>
            </w:pPr>
          </w:p>
        </w:tc>
        <w:tc>
          <w:tcPr>
            <w:tcW w:w="5920" w:type="dxa"/>
            <w:vAlign w:val="bottom"/>
          </w:tcPr>
          <w:p>
            <w:pPr>
              <w:ind w:left="6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The Exchange Offer—Terms of the Exchange Offer.</w:t>
            </w:r>
            <w:r>
              <w:rPr>
                <w:rFonts w:ascii="Times New Roman" w:cs="Times New Roman" w:eastAsia="Times New Roman" w:hAnsi="Times New Roman"/>
                <w:sz w:val="14"/>
                <w:szCs w:val="14"/>
                <w:color w:val="auto"/>
              </w:rPr>
              <w:t>”</w:t>
            </w:r>
          </w:p>
        </w:tc>
      </w:tr>
      <w:tr>
        <w:trPr>
          <w:trHeight w:val="341"/>
        </w:trPr>
        <w:tc>
          <w:tcPr>
            <w:tcW w:w="264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Registration Rights Agreement</w:t>
            </w:r>
          </w:p>
        </w:tc>
        <w:tc>
          <w:tcPr>
            <w:tcW w:w="5920" w:type="dxa"/>
            <w:vAlign w:val="bottom"/>
          </w:tcPr>
          <w:p>
            <w:pPr>
              <w:ind w:left="640"/>
              <w:spacing w:after="0"/>
              <w:rPr>
                <w:sz w:val="20"/>
                <w:szCs w:val="20"/>
                <w:color w:val="auto"/>
              </w:rPr>
            </w:pPr>
            <w:r>
              <w:rPr>
                <w:rFonts w:ascii="Times New Roman" w:cs="Times New Roman" w:eastAsia="Times New Roman" w:hAnsi="Times New Roman"/>
                <w:sz w:val="14"/>
                <w:szCs w:val="14"/>
                <w:color w:val="auto"/>
              </w:rPr>
              <w:t>In connection with the private placement of the Restricted Notes, we entered into a</w:t>
            </w:r>
          </w:p>
        </w:tc>
      </w:tr>
      <w:tr>
        <w:trPr>
          <w:trHeight w:val="182"/>
        </w:trPr>
        <w:tc>
          <w:tcPr>
            <w:tcW w:w="2640" w:type="dxa"/>
            <w:vAlign w:val="bottom"/>
          </w:tcPr>
          <w:p>
            <w:pPr>
              <w:spacing w:after="0"/>
              <w:rPr>
                <w:sz w:val="15"/>
                <w:szCs w:val="15"/>
                <w:color w:val="auto"/>
              </w:rPr>
            </w:pPr>
          </w:p>
        </w:tc>
        <w:tc>
          <w:tcPr>
            <w:tcW w:w="5920" w:type="dxa"/>
            <w:vAlign w:val="bottom"/>
          </w:tcPr>
          <w:p>
            <w:pPr>
              <w:ind w:left="640"/>
              <w:spacing w:after="0"/>
              <w:rPr>
                <w:sz w:val="20"/>
                <w:szCs w:val="20"/>
                <w:color w:val="auto"/>
              </w:rPr>
            </w:pPr>
            <w:r>
              <w:rPr>
                <w:rFonts w:ascii="Times New Roman" w:cs="Times New Roman" w:eastAsia="Times New Roman" w:hAnsi="Times New Roman"/>
                <w:sz w:val="14"/>
                <w:szCs w:val="14"/>
                <w:color w:val="auto"/>
              </w:rPr>
              <w:t>Registration Rights Agreement with the purchasers listed in Schedule I thereto.</w:t>
            </w:r>
          </w:p>
        </w:tc>
      </w:tr>
      <w:tr>
        <w:trPr>
          <w:trHeight w:val="131"/>
        </w:trPr>
        <w:tc>
          <w:tcPr>
            <w:tcW w:w="2640" w:type="dxa"/>
            <w:vAlign w:val="bottom"/>
            <w:tcBorders>
              <w:bottom w:val="single" w:sz="8" w:color="auto"/>
            </w:tcBorders>
          </w:tcPr>
          <w:p>
            <w:pPr>
              <w:spacing w:after="0"/>
              <w:rPr>
                <w:sz w:val="11"/>
                <w:szCs w:val="11"/>
                <w:color w:val="auto"/>
              </w:rPr>
            </w:pPr>
          </w:p>
        </w:tc>
        <w:tc>
          <w:tcPr>
            <w:tcW w:w="5920" w:type="dxa"/>
            <w:vAlign w:val="bottom"/>
            <w:tcBorders>
              <w:bottom w:val="single" w:sz="8" w:color="auto"/>
            </w:tcBorders>
          </w:tcPr>
          <w:p>
            <w:pPr>
              <w:spacing w:after="0"/>
              <w:rPr>
                <w:sz w:val="11"/>
                <w:szCs w:val="11"/>
                <w:color w:val="auto"/>
              </w:rPr>
            </w:pPr>
          </w:p>
        </w:tc>
      </w:tr>
      <w:tr>
        <w:trPr>
          <w:trHeight w:val="278"/>
        </w:trPr>
        <w:tc>
          <w:tcPr>
            <w:tcW w:w="2640" w:type="dxa"/>
            <w:vAlign w:val="bottom"/>
          </w:tcPr>
          <w:p>
            <w:pPr>
              <w:spacing w:after="0"/>
              <w:rPr>
                <w:sz w:val="24"/>
                <w:szCs w:val="24"/>
                <w:color w:val="auto"/>
              </w:rPr>
            </w:pPr>
          </w:p>
        </w:tc>
        <w:tc>
          <w:tcPr>
            <w:tcW w:w="5920" w:type="dxa"/>
            <w:vAlign w:val="bottom"/>
          </w:tcPr>
          <w:p>
            <w:pPr>
              <w:ind w:left="1600"/>
              <w:spacing w:after="0"/>
              <w:rPr>
                <w:sz w:val="20"/>
                <w:szCs w:val="20"/>
                <w:color w:val="auto"/>
              </w:rPr>
            </w:pPr>
            <w:r>
              <w:rPr>
                <w:rFonts w:ascii="Times New Roman" w:cs="Times New Roman" w:eastAsia="Times New Roman" w:hAnsi="Times New Roman"/>
                <w:sz w:val="14"/>
                <w:szCs w:val="14"/>
                <w:color w:val="auto"/>
              </w:rPr>
              <w:t>3</w:t>
            </w:r>
          </w:p>
        </w:tc>
      </w:tr>
    </w:tbl>
    <w:p>
      <w:pPr>
        <w:sectPr>
          <w:pgSz w:w="11900" w:h="16838" w:orient="portrait"/>
          <w:cols w:equalWidth="0" w:num="1">
            <w:col w:w="10159"/>
          </w:cols>
          <w:pgMar w:left="300" w:top="384" w:right="1440"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869950</wp:posOffset>
            </wp:positionH>
            <wp:positionV relativeFrom="paragraph">
              <wp:posOffset>164465</wp:posOffset>
            </wp:positionV>
            <wp:extent cx="5427980" cy="44450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427980" cy="4445000"/>
                    </a:xfrm>
                    <a:prstGeom prst="rect">
                      <a:avLst/>
                    </a:prstGeom>
                    <a:noFill/>
                  </pic:spPr>
                </pic:pic>
              </a:graphicData>
            </a:graphic>
          </wp:anchor>
        </w:drawing>
      </w:r>
    </w:p>
    <w:p>
      <w:pPr>
        <w:spacing w:after="0" w:line="365"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4"/>
          <w:szCs w:val="14"/>
          <w:color w:val="auto"/>
        </w:rPr>
        <w:t>Under the Registration Rights Agreement, we agreed, for the benefit of the holders of the</w:t>
      </w:r>
    </w:p>
    <w:p>
      <w:pPr>
        <w:spacing w:after="0" w:line="21"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4"/>
          <w:szCs w:val="14"/>
          <w:color w:val="auto"/>
        </w:rPr>
        <w:t>Restricted Notes, to use commercially reasonable efforts to:</w:t>
      </w:r>
    </w:p>
    <w:p>
      <w:pPr>
        <w:spacing w:after="0" w:line="86" w:lineRule="exact"/>
        <w:rPr>
          <w:sz w:val="20"/>
          <w:szCs w:val="20"/>
          <w:color w:val="auto"/>
        </w:rPr>
      </w:pPr>
    </w:p>
    <w:p>
      <w:pPr>
        <w:ind w:left="4800" w:right="439" w:hanging="155"/>
        <w:spacing w:after="0" w:line="255" w:lineRule="auto"/>
        <w:tabs>
          <w:tab w:leader="none" w:pos="480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file a registration statement (the “Exchange Offer Registration Statement”) with respect to a registered offer to exchange the Restricted Notes for the Exchange Notes having terms substantially identical to the Restricted Notes being exchanged, except that the transfer restrictions and registration rights relating to the Restricted Notes will not apply to the Exchange Notes, and the Exchange Notes will not provide for the payment of additional interest in the event of a registration default;</w:t>
      </w:r>
    </w:p>
    <w:p>
      <w:pPr>
        <w:spacing w:after="0" w:line="72" w:lineRule="exact"/>
        <w:rPr>
          <w:rFonts w:ascii="Times New Roman" w:cs="Times New Roman" w:eastAsia="Times New Roman" w:hAnsi="Times New Roman"/>
          <w:sz w:val="14"/>
          <w:szCs w:val="14"/>
          <w:color w:val="auto"/>
        </w:rPr>
      </w:pPr>
    </w:p>
    <w:p>
      <w:pPr>
        <w:ind w:left="4800" w:right="419" w:hanging="155"/>
        <w:spacing w:after="0" w:line="281" w:lineRule="auto"/>
        <w:tabs>
          <w:tab w:leader="none" w:pos="480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cause the exchange offer registration statement to become or be declared effective by the SEC under the Securities Act; and</w:t>
      </w:r>
    </w:p>
    <w:p>
      <w:pPr>
        <w:spacing w:after="0" w:line="52" w:lineRule="exact"/>
        <w:rPr>
          <w:rFonts w:ascii="Times New Roman" w:cs="Times New Roman" w:eastAsia="Times New Roman" w:hAnsi="Times New Roman"/>
          <w:sz w:val="14"/>
          <w:szCs w:val="14"/>
          <w:color w:val="auto"/>
        </w:rPr>
      </w:pPr>
    </w:p>
    <w:p>
      <w:pPr>
        <w:ind w:left="4800" w:right="439" w:hanging="155"/>
        <w:spacing w:after="0" w:line="265" w:lineRule="auto"/>
        <w:tabs>
          <w:tab w:leader="none" w:pos="480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consummate the exchange offer on the earliest practicable date after the Exchange Offer Registration Statement has been declared effective but in no event later than 365 days after the issue date.</w:t>
      </w:r>
    </w:p>
    <w:p>
      <w:pPr>
        <w:spacing w:after="0" w:line="157"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4"/>
          <w:szCs w:val="14"/>
          <w:color w:val="auto"/>
        </w:rPr>
        <w:t>The registration statement of which this prospectus forms a part constitutes an Exchange</w:t>
      </w:r>
    </w:p>
    <w:p>
      <w:pPr>
        <w:spacing w:after="0" w:line="21"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4"/>
          <w:szCs w:val="14"/>
          <w:color w:val="auto"/>
        </w:rPr>
        <w:t>Offer Registration Statement for purposes of the Registration Rights Agreement.</w:t>
      </w:r>
    </w:p>
    <w:p>
      <w:pPr>
        <w:spacing w:after="0" w:line="180" w:lineRule="exact"/>
        <w:rPr>
          <w:sz w:val="20"/>
          <w:szCs w:val="20"/>
          <w:color w:val="auto"/>
        </w:rPr>
      </w:pPr>
    </w:p>
    <w:p>
      <w:pPr>
        <w:ind w:left="4640" w:right="399"/>
        <w:spacing w:after="0" w:line="251" w:lineRule="auto"/>
        <w:rPr>
          <w:sz w:val="20"/>
          <w:szCs w:val="20"/>
          <w:color w:val="auto"/>
        </w:rPr>
      </w:pPr>
      <w:r>
        <w:rPr>
          <w:rFonts w:ascii="Times New Roman" w:cs="Times New Roman" w:eastAsia="Times New Roman" w:hAnsi="Times New Roman"/>
          <w:sz w:val="14"/>
          <w:szCs w:val="14"/>
          <w:color w:val="auto"/>
        </w:rPr>
        <w:t xml:space="preserve">We also agreed to keep the Exchange Offer Registration Statement effective for not less than the minimum period required under applicable federal and state securities laws to consummate the exchange offer;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however</w:t>
      </w:r>
      <w:r>
        <w:rPr>
          <w:rFonts w:ascii="Times New Roman" w:cs="Times New Roman" w:eastAsia="Times New Roman" w:hAnsi="Times New Roman"/>
          <w:sz w:val="14"/>
          <w:szCs w:val="14"/>
          <w:color w:val="auto"/>
        </w:rPr>
        <w:t xml:space="preserve">, that in no event shall such period be less than 20 business days after the commencement of the exchange offer. If we fail to meet certain conditions described in the Registration Rights Agreement (a “Registration Default”), the interest rate borne by the Restricted Notes will increase by 0.25% per annum for the first 90-day period following the occurrence of such Registration Default and will increase by an additional 0.25% per annum with respect to the subsequent 90-day period, for a maximum of 0.50% per annum as set forth in the Registration Rights Agreement (the “Additional Interest”). Additional Interest due pursuant to any Registration Default will be paid in cash on the relevant interest payment date to holders of record on the relevant regular record dates. Following the cure of all Registration Defaults relating to any particular Restricted Notes, the interest rate borne by the Restricted Notes will be reduced to the original interest rate borne by such Restricted Notes;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however</w:t>
      </w:r>
      <w:r>
        <w:rPr>
          <w:rFonts w:ascii="Times New Roman" w:cs="Times New Roman" w:eastAsia="Times New Roman" w:hAnsi="Times New Roman"/>
          <w:sz w:val="14"/>
          <w:szCs w:val="14"/>
          <w:color w:val="auto"/>
        </w:rPr>
        <w:t>, that, if after any such reduction in interest rate, a different Registration Default occurs, the interest rate borne by the relevant Restricted Notes will again be increased pursuant to the foregoing provisions.</w:t>
      </w:r>
    </w:p>
    <w:p>
      <w:pPr>
        <w:spacing w:after="0" w:line="172"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4"/>
          <w:szCs w:val="14"/>
          <w:color w:val="auto"/>
        </w:rPr>
        <w:t>If, for any reason, we are not able to effect the exchange offer on or before 365 days from</w:t>
      </w:r>
    </w:p>
    <w:p>
      <w:pPr>
        <w:spacing w:after="0" w:line="21"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4"/>
          <w:szCs w:val="14"/>
          <w:color w:val="auto"/>
        </w:rPr>
        <w:t>the issue date of the applicable Registration Rights Agreement, upon any note holder’s</w:t>
      </w:r>
    </w:p>
    <w:p>
      <w:pPr>
        <w:spacing w:after="0" w:line="6"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4"/>
          <w:szCs w:val="14"/>
          <w:color w:val="auto"/>
        </w:rPr>
        <w:t>request, we will be obligated to cause to be filed a shelf registration statement covering</w:t>
      </w:r>
    </w:p>
    <w:p>
      <w:pPr>
        <w:spacing w:after="0" w:line="253"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4</w:t>
      </w:r>
    </w:p>
    <w:p>
      <w:pPr>
        <w:sectPr>
          <w:pgSz w:w="11900" w:h="16838" w:orient="portrait"/>
          <w:cols w:equalWidth="0" w:num="1">
            <w:col w:w="10159"/>
          </w:cols>
          <w:pgMar w:left="300" w:top="384" w:right="1440"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869950</wp:posOffset>
            </wp:positionH>
            <wp:positionV relativeFrom="paragraph">
              <wp:posOffset>164465</wp:posOffset>
            </wp:positionV>
            <wp:extent cx="5427980" cy="47174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427980" cy="4717415"/>
                    </a:xfrm>
                    <a:prstGeom prst="rect">
                      <a:avLst/>
                    </a:prstGeom>
                    <a:noFill/>
                  </pic:spPr>
                </pic:pic>
              </a:graphicData>
            </a:graphic>
          </wp:anchor>
        </w:drawing>
      </w:r>
    </w:p>
    <w:p>
      <w:pPr>
        <w:spacing w:after="0" w:line="365"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4"/>
          <w:szCs w:val="14"/>
          <w:color w:val="auto"/>
        </w:rPr>
        <w:t>the resale of the Notes and use our commercially reasonable efforts to cause such</w:t>
      </w:r>
    </w:p>
    <w:p>
      <w:pPr>
        <w:spacing w:after="0" w:line="21"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4"/>
          <w:szCs w:val="14"/>
          <w:color w:val="auto"/>
        </w:rPr>
        <w:t>registration statement to be declared effective.</w:t>
      </w:r>
    </w:p>
    <w:p>
      <w:pPr>
        <w:spacing w:after="0" w:line="190"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4"/>
          <w:szCs w:val="14"/>
          <w:color w:val="auto"/>
        </w:rPr>
        <w:t>A copy of the Registration Rights Agreement is incorporated by reference as an exhibit to</w:t>
      </w:r>
    </w:p>
    <w:p>
      <w:pPr>
        <w:spacing w:after="0" w:line="21"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4"/>
          <w:szCs w:val="14"/>
          <w:color w:val="auto"/>
        </w:rPr>
        <w:t>the registration statement of which this prospectus forms a part. See “</w:t>
      </w:r>
      <w:r>
        <w:rPr>
          <w:rFonts w:ascii="Times New Roman" w:cs="Times New Roman" w:eastAsia="Times New Roman" w:hAnsi="Times New Roman"/>
          <w:sz w:val="14"/>
          <w:szCs w:val="14"/>
          <w:i w:val="1"/>
          <w:iCs w:val="1"/>
          <w:color w:val="auto"/>
        </w:rPr>
        <w:t>The Exchange Offer</w:t>
      </w:r>
    </w:p>
    <w:p>
      <w:pPr>
        <w:spacing w:after="0" w:line="6"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4"/>
          <w:szCs w:val="14"/>
          <w:i w:val="1"/>
          <w:iCs w:val="1"/>
          <w:color w:val="auto"/>
        </w:rPr>
        <w:t>—Purpose and Effect of the Exchange Offer</w:t>
      </w:r>
      <w:r>
        <w:rPr>
          <w:rFonts w:ascii="Times New Roman" w:cs="Times New Roman" w:eastAsia="Times New Roman" w:hAnsi="Times New Roman"/>
          <w:sz w:val="14"/>
          <w:szCs w:val="14"/>
          <w:color w:val="auto"/>
        </w:rPr>
        <w:t>.”</w:t>
      </w:r>
    </w:p>
    <w:p>
      <w:pPr>
        <w:spacing w:after="0" w:line="178" w:lineRule="exact"/>
        <w:rPr>
          <w:sz w:val="20"/>
          <w:szCs w:val="20"/>
          <w:color w:val="auto"/>
        </w:rPr>
      </w:pPr>
    </w:p>
    <w:tbl>
      <w:tblPr>
        <w:tblLayout w:type="fixed"/>
        <w:tblInd w:w="1520" w:type="dxa"/>
        <w:tblCellMar>
          <w:top w:w="0" w:type="dxa"/>
          <w:left w:w="0" w:type="dxa"/>
          <w:bottom w:w="0" w:type="dxa"/>
          <w:right w:w="0" w:type="dxa"/>
        </w:tblCellMar>
      </w:tblPr>
      <w:tr>
        <w:trPr>
          <w:trHeight w:val="169"/>
        </w:trPr>
        <w:tc>
          <w:tcPr>
            <w:tcW w:w="23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Resales of Exchange Notes</w:t>
            </w:r>
          </w:p>
        </w:tc>
        <w:tc>
          <w:tcPr>
            <w:tcW w:w="5860" w:type="dxa"/>
            <w:vAlign w:val="bottom"/>
            <w:gridSpan w:val="2"/>
          </w:tcPr>
          <w:p>
            <w:pPr>
              <w:ind w:left="780"/>
              <w:spacing w:after="0"/>
              <w:rPr>
                <w:sz w:val="20"/>
                <w:szCs w:val="20"/>
                <w:color w:val="auto"/>
              </w:rPr>
            </w:pPr>
            <w:r>
              <w:rPr>
                <w:rFonts w:ascii="Times New Roman" w:cs="Times New Roman" w:eastAsia="Times New Roman" w:hAnsi="Times New Roman"/>
                <w:sz w:val="14"/>
                <w:szCs w:val="14"/>
                <w:color w:val="auto"/>
              </w:rPr>
              <w:t>We believe that the Exchange Notes received in the exchange offer may be resold or</w:t>
            </w:r>
          </w:p>
        </w:tc>
      </w:tr>
      <w:tr>
        <w:trPr>
          <w:trHeight w:val="167"/>
        </w:trPr>
        <w:tc>
          <w:tcPr>
            <w:tcW w:w="2340" w:type="dxa"/>
            <w:vAlign w:val="bottom"/>
          </w:tcPr>
          <w:p>
            <w:pPr>
              <w:spacing w:after="0"/>
              <w:rPr>
                <w:sz w:val="14"/>
                <w:szCs w:val="14"/>
                <w:color w:val="auto"/>
              </w:rPr>
            </w:pPr>
          </w:p>
        </w:tc>
        <w:tc>
          <w:tcPr>
            <w:tcW w:w="5860" w:type="dxa"/>
            <w:vAlign w:val="bottom"/>
            <w:gridSpan w:val="2"/>
          </w:tcPr>
          <w:p>
            <w:pPr>
              <w:ind w:left="780"/>
              <w:spacing w:after="0"/>
              <w:rPr>
                <w:sz w:val="20"/>
                <w:szCs w:val="20"/>
                <w:color w:val="auto"/>
              </w:rPr>
            </w:pPr>
            <w:r>
              <w:rPr>
                <w:rFonts w:ascii="Times New Roman" w:cs="Times New Roman" w:eastAsia="Times New Roman" w:hAnsi="Times New Roman"/>
                <w:sz w:val="14"/>
                <w:szCs w:val="14"/>
                <w:color w:val="auto"/>
              </w:rPr>
              <w:t>otherwise transferred by you without compliance with the registration and prospectus</w:t>
            </w:r>
          </w:p>
        </w:tc>
      </w:tr>
      <w:tr>
        <w:trPr>
          <w:trHeight w:val="167"/>
        </w:trPr>
        <w:tc>
          <w:tcPr>
            <w:tcW w:w="2340" w:type="dxa"/>
            <w:vAlign w:val="bottom"/>
          </w:tcPr>
          <w:p>
            <w:pPr>
              <w:spacing w:after="0"/>
              <w:rPr>
                <w:sz w:val="14"/>
                <w:szCs w:val="14"/>
                <w:color w:val="auto"/>
              </w:rPr>
            </w:pPr>
          </w:p>
        </w:tc>
        <w:tc>
          <w:tcPr>
            <w:tcW w:w="5860" w:type="dxa"/>
            <w:vAlign w:val="bottom"/>
            <w:gridSpan w:val="2"/>
          </w:tcPr>
          <w:p>
            <w:pPr>
              <w:ind w:left="780"/>
              <w:spacing w:after="0"/>
              <w:rPr>
                <w:sz w:val="20"/>
                <w:szCs w:val="20"/>
                <w:color w:val="auto"/>
              </w:rPr>
            </w:pPr>
            <w:r>
              <w:rPr>
                <w:rFonts w:ascii="Times New Roman" w:cs="Times New Roman" w:eastAsia="Times New Roman" w:hAnsi="Times New Roman"/>
                <w:sz w:val="14"/>
                <w:szCs w:val="14"/>
                <w:color w:val="auto"/>
              </w:rPr>
              <w:t>delivery requirements of the Securities Act (subject to the limitations described below).</w:t>
            </w:r>
          </w:p>
        </w:tc>
      </w:tr>
      <w:tr>
        <w:trPr>
          <w:trHeight w:val="182"/>
        </w:trPr>
        <w:tc>
          <w:tcPr>
            <w:tcW w:w="2340" w:type="dxa"/>
            <w:vAlign w:val="bottom"/>
          </w:tcPr>
          <w:p>
            <w:pPr>
              <w:spacing w:after="0"/>
              <w:rPr>
                <w:sz w:val="15"/>
                <w:szCs w:val="15"/>
                <w:color w:val="auto"/>
              </w:rPr>
            </w:pPr>
          </w:p>
        </w:tc>
        <w:tc>
          <w:tcPr>
            <w:tcW w:w="5860" w:type="dxa"/>
            <w:vAlign w:val="bottom"/>
            <w:gridSpan w:val="2"/>
          </w:tcPr>
          <w:p>
            <w:pPr>
              <w:ind w:left="780"/>
              <w:spacing w:after="0"/>
              <w:rPr>
                <w:sz w:val="20"/>
                <w:szCs w:val="20"/>
                <w:color w:val="auto"/>
              </w:rPr>
            </w:pPr>
            <w:r>
              <w:rPr>
                <w:rFonts w:ascii="Times New Roman" w:cs="Times New Roman" w:eastAsia="Times New Roman" w:hAnsi="Times New Roman"/>
                <w:sz w:val="14"/>
                <w:szCs w:val="14"/>
                <w:color w:val="auto"/>
              </w:rPr>
              <w:t>This, however, is based on your representations to us that:</w:t>
            </w:r>
          </w:p>
        </w:tc>
      </w:tr>
      <w:tr>
        <w:trPr>
          <w:trHeight w:val="262"/>
        </w:trPr>
        <w:tc>
          <w:tcPr>
            <w:tcW w:w="2340" w:type="dxa"/>
            <w:vAlign w:val="bottom"/>
          </w:tcPr>
          <w:p>
            <w:pPr>
              <w:spacing w:after="0"/>
              <w:rPr>
                <w:sz w:val="22"/>
                <w:szCs w:val="22"/>
                <w:color w:val="auto"/>
              </w:rPr>
            </w:pPr>
          </w:p>
        </w:tc>
        <w:tc>
          <w:tcPr>
            <w:tcW w:w="1080" w:type="dxa"/>
            <w:vAlign w:val="bottom"/>
          </w:tcPr>
          <w:p>
            <w:pPr>
              <w:ind w:left="780"/>
              <w:spacing w:after="0"/>
              <w:rPr>
                <w:sz w:val="20"/>
                <w:szCs w:val="20"/>
                <w:color w:val="auto"/>
              </w:rPr>
            </w:pPr>
            <w:r>
              <w:rPr>
                <w:rFonts w:ascii="Times New Roman" w:cs="Times New Roman" w:eastAsia="Times New Roman" w:hAnsi="Times New Roman"/>
                <w:sz w:val="14"/>
                <w:szCs w:val="14"/>
                <w:color w:val="auto"/>
              </w:rPr>
              <w:t>(1)</w:t>
            </w:r>
          </w:p>
        </w:tc>
        <w:tc>
          <w:tcPr>
            <w:tcW w:w="47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you are acquiring the Exchange Notes in the ordinary course of your business;</w:t>
            </w:r>
          </w:p>
        </w:tc>
      </w:tr>
      <w:tr>
        <w:trPr>
          <w:trHeight w:val="247"/>
        </w:trPr>
        <w:tc>
          <w:tcPr>
            <w:tcW w:w="2340" w:type="dxa"/>
            <w:vAlign w:val="bottom"/>
          </w:tcPr>
          <w:p>
            <w:pPr>
              <w:spacing w:after="0"/>
              <w:rPr>
                <w:sz w:val="21"/>
                <w:szCs w:val="21"/>
                <w:color w:val="auto"/>
              </w:rPr>
            </w:pPr>
          </w:p>
        </w:tc>
        <w:tc>
          <w:tcPr>
            <w:tcW w:w="1080" w:type="dxa"/>
            <w:vAlign w:val="bottom"/>
          </w:tcPr>
          <w:p>
            <w:pPr>
              <w:ind w:left="780"/>
              <w:spacing w:after="0"/>
              <w:rPr>
                <w:sz w:val="20"/>
                <w:szCs w:val="20"/>
                <w:color w:val="auto"/>
              </w:rPr>
            </w:pPr>
            <w:r>
              <w:rPr>
                <w:rFonts w:ascii="Times New Roman" w:cs="Times New Roman" w:eastAsia="Times New Roman" w:hAnsi="Times New Roman"/>
                <w:sz w:val="14"/>
                <w:szCs w:val="14"/>
                <w:color w:val="auto"/>
              </w:rPr>
              <w:t>(2)</w:t>
            </w:r>
          </w:p>
        </w:tc>
        <w:tc>
          <w:tcPr>
            <w:tcW w:w="47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you are not engaging in and do not intend to engage in a distribution of the</w:t>
            </w:r>
          </w:p>
        </w:tc>
      </w:tr>
      <w:tr>
        <w:trPr>
          <w:trHeight w:val="182"/>
        </w:trPr>
        <w:tc>
          <w:tcPr>
            <w:tcW w:w="2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7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Exchange Notes;</w:t>
            </w:r>
          </w:p>
        </w:tc>
      </w:tr>
      <w:tr>
        <w:trPr>
          <w:trHeight w:val="247"/>
        </w:trPr>
        <w:tc>
          <w:tcPr>
            <w:tcW w:w="2340" w:type="dxa"/>
            <w:vAlign w:val="bottom"/>
          </w:tcPr>
          <w:p>
            <w:pPr>
              <w:spacing w:after="0"/>
              <w:rPr>
                <w:sz w:val="21"/>
                <w:szCs w:val="21"/>
                <w:color w:val="auto"/>
              </w:rPr>
            </w:pPr>
          </w:p>
        </w:tc>
        <w:tc>
          <w:tcPr>
            <w:tcW w:w="1080" w:type="dxa"/>
            <w:vAlign w:val="bottom"/>
          </w:tcPr>
          <w:p>
            <w:pPr>
              <w:ind w:left="780"/>
              <w:spacing w:after="0"/>
              <w:rPr>
                <w:sz w:val="20"/>
                <w:szCs w:val="20"/>
                <w:color w:val="auto"/>
              </w:rPr>
            </w:pPr>
            <w:r>
              <w:rPr>
                <w:rFonts w:ascii="Times New Roman" w:cs="Times New Roman" w:eastAsia="Times New Roman" w:hAnsi="Times New Roman"/>
                <w:sz w:val="14"/>
                <w:szCs w:val="14"/>
                <w:color w:val="auto"/>
              </w:rPr>
              <w:t>(3)</w:t>
            </w:r>
          </w:p>
        </w:tc>
        <w:tc>
          <w:tcPr>
            <w:tcW w:w="47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you do not have an arrangement or understanding with any person or entity to</w:t>
            </w:r>
          </w:p>
        </w:tc>
      </w:tr>
      <w:tr>
        <w:trPr>
          <w:trHeight w:val="182"/>
        </w:trPr>
        <w:tc>
          <w:tcPr>
            <w:tcW w:w="2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7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participate in the distribution of the Exchange Notes;</w:t>
            </w:r>
          </w:p>
        </w:tc>
      </w:tr>
      <w:tr>
        <w:trPr>
          <w:trHeight w:val="247"/>
        </w:trPr>
        <w:tc>
          <w:tcPr>
            <w:tcW w:w="2340" w:type="dxa"/>
            <w:vAlign w:val="bottom"/>
          </w:tcPr>
          <w:p>
            <w:pPr>
              <w:spacing w:after="0"/>
              <w:rPr>
                <w:sz w:val="21"/>
                <w:szCs w:val="21"/>
                <w:color w:val="auto"/>
              </w:rPr>
            </w:pPr>
          </w:p>
        </w:tc>
        <w:tc>
          <w:tcPr>
            <w:tcW w:w="1080" w:type="dxa"/>
            <w:vAlign w:val="bottom"/>
          </w:tcPr>
          <w:p>
            <w:pPr>
              <w:ind w:left="780"/>
              <w:spacing w:after="0"/>
              <w:rPr>
                <w:sz w:val="20"/>
                <w:szCs w:val="20"/>
                <w:color w:val="auto"/>
              </w:rPr>
            </w:pPr>
            <w:r>
              <w:rPr>
                <w:rFonts w:ascii="Times New Roman" w:cs="Times New Roman" w:eastAsia="Times New Roman" w:hAnsi="Times New Roman"/>
                <w:sz w:val="14"/>
                <w:szCs w:val="14"/>
                <w:color w:val="auto"/>
              </w:rPr>
              <w:t>(4)</w:t>
            </w:r>
          </w:p>
        </w:tc>
        <w:tc>
          <w:tcPr>
            <w:tcW w:w="47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you are not our “affiliate,” as that term is defined in Rule 405 under the Securities</w:t>
            </w:r>
          </w:p>
        </w:tc>
      </w:tr>
      <w:tr>
        <w:trPr>
          <w:trHeight w:val="182"/>
        </w:trPr>
        <w:tc>
          <w:tcPr>
            <w:tcW w:w="2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7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Act;</w:t>
            </w:r>
          </w:p>
        </w:tc>
      </w:tr>
      <w:tr>
        <w:trPr>
          <w:trHeight w:val="247"/>
        </w:trPr>
        <w:tc>
          <w:tcPr>
            <w:tcW w:w="2340" w:type="dxa"/>
            <w:vAlign w:val="bottom"/>
          </w:tcPr>
          <w:p>
            <w:pPr>
              <w:spacing w:after="0"/>
              <w:rPr>
                <w:sz w:val="21"/>
                <w:szCs w:val="21"/>
                <w:color w:val="auto"/>
              </w:rPr>
            </w:pPr>
          </w:p>
        </w:tc>
        <w:tc>
          <w:tcPr>
            <w:tcW w:w="1080" w:type="dxa"/>
            <w:vAlign w:val="bottom"/>
          </w:tcPr>
          <w:p>
            <w:pPr>
              <w:ind w:left="780"/>
              <w:spacing w:after="0"/>
              <w:rPr>
                <w:sz w:val="20"/>
                <w:szCs w:val="20"/>
                <w:color w:val="auto"/>
              </w:rPr>
            </w:pPr>
            <w:r>
              <w:rPr>
                <w:rFonts w:ascii="Times New Roman" w:cs="Times New Roman" w:eastAsia="Times New Roman" w:hAnsi="Times New Roman"/>
                <w:sz w:val="14"/>
                <w:szCs w:val="14"/>
                <w:color w:val="auto"/>
              </w:rPr>
              <w:t>(5)</w:t>
            </w:r>
          </w:p>
        </w:tc>
        <w:tc>
          <w:tcPr>
            <w:tcW w:w="4780" w:type="dxa"/>
            <w:vAlign w:val="bottom"/>
          </w:tcPr>
          <w:p>
            <w:pPr>
              <w:ind w:left="120"/>
              <w:spacing w:after="0"/>
              <w:rPr>
                <w:sz w:val="20"/>
                <w:szCs w:val="20"/>
                <w:color w:val="auto"/>
              </w:rPr>
            </w:pPr>
            <w:r>
              <w:rPr>
                <w:rFonts w:ascii="Times New Roman" w:cs="Times New Roman" w:eastAsia="Times New Roman" w:hAnsi="Times New Roman"/>
                <w:sz w:val="14"/>
                <w:szCs w:val="14"/>
                <w:color w:val="auto"/>
                <w:w w:val="98"/>
              </w:rPr>
              <w:t>you are not a broker-dealer tendering Restricted Notes acquired directly from us for</w:t>
            </w:r>
          </w:p>
        </w:tc>
      </w:tr>
      <w:tr>
        <w:trPr>
          <w:trHeight w:val="182"/>
        </w:trPr>
        <w:tc>
          <w:tcPr>
            <w:tcW w:w="2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7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your own account; and</w:t>
            </w:r>
          </w:p>
        </w:tc>
      </w:tr>
      <w:tr>
        <w:trPr>
          <w:trHeight w:val="247"/>
        </w:trPr>
        <w:tc>
          <w:tcPr>
            <w:tcW w:w="2340" w:type="dxa"/>
            <w:vAlign w:val="bottom"/>
          </w:tcPr>
          <w:p>
            <w:pPr>
              <w:spacing w:after="0"/>
              <w:rPr>
                <w:sz w:val="21"/>
                <w:szCs w:val="21"/>
                <w:color w:val="auto"/>
              </w:rPr>
            </w:pPr>
          </w:p>
        </w:tc>
        <w:tc>
          <w:tcPr>
            <w:tcW w:w="1080" w:type="dxa"/>
            <w:vAlign w:val="bottom"/>
          </w:tcPr>
          <w:p>
            <w:pPr>
              <w:ind w:left="780"/>
              <w:spacing w:after="0"/>
              <w:rPr>
                <w:sz w:val="20"/>
                <w:szCs w:val="20"/>
                <w:color w:val="auto"/>
              </w:rPr>
            </w:pPr>
            <w:r>
              <w:rPr>
                <w:rFonts w:ascii="Times New Roman" w:cs="Times New Roman" w:eastAsia="Times New Roman" w:hAnsi="Times New Roman"/>
                <w:sz w:val="14"/>
                <w:szCs w:val="14"/>
                <w:color w:val="auto"/>
              </w:rPr>
              <w:t>(6)</w:t>
            </w:r>
          </w:p>
        </w:tc>
        <w:tc>
          <w:tcPr>
            <w:tcW w:w="47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you are not acting on behalf of any person that could not truthfully make these</w:t>
            </w:r>
          </w:p>
        </w:tc>
      </w:tr>
      <w:tr>
        <w:trPr>
          <w:trHeight w:val="182"/>
        </w:trPr>
        <w:tc>
          <w:tcPr>
            <w:tcW w:w="2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7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representations.</w:t>
            </w:r>
          </w:p>
        </w:tc>
      </w:tr>
    </w:tbl>
    <w:p>
      <w:pPr>
        <w:spacing w:after="0" w:line="174" w:lineRule="exact"/>
        <w:rPr>
          <w:sz w:val="20"/>
          <w:szCs w:val="20"/>
          <w:color w:val="auto"/>
        </w:rPr>
      </w:pPr>
    </w:p>
    <w:p>
      <w:pPr>
        <w:ind w:left="4640" w:right="419"/>
        <w:spacing w:after="0" w:line="254" w:lineRule="auto"/>
        <w:rPr>
          <w:sz w:val="20"/>
          <w:szCs w:val="20"/>
          <w:color w:val="auto"/>
        </w:rPr>
      </w:pPr>
      <w:r>
        <w:rPr>
          <w:rFonts w:ascii="Times New Roman" w:cs="Times New Roman" w:eastAsia="Times New Roman" w:hAnsi="Times New Roman"/>
          <w:sz w:val="14"/>
          <w:szCs w:val="14"/>
          <w:color w:val="auto"/>
        </w:rPr>
        <w:t xml:space="preserve">Our belief is based on interpretations by the staff of the SEC, as set forth in no-action letters issued to third parties unrelated to us, including </w:t>
      </w:r>
      <w:r>
        <w:rPr>
          <w:rFonts w:ascii="Times New Roman" w:cs="Times New Roman" w:eastAsia="Times New Roman" w:hAnsi="Times New Roman"/>
          <w:sz w:val="14"/>
          <w:szCs w:val="14"/>
          <w:i w:val="1"/>
          <w:iCs w:val="1"/>
          <w:color w:val="auto"/>
        </w:rPr>
        <w:t>Exxon Capital Holdings Corp.</w:t>
      </w:r>
      <w:r>
        <w:rPr>
          <w:rFonts w:ascii="Times New Roman" w:cs="Times New Roman" w:eastAsia="Times New Roman" w:hAnsi="Times New Roman"/>
          <w:sz w:val="14"/>
          <w:szCs w:val="14"/>
          <w:color w:val="auto"/>
        </w:rPr>
        <w:t xml:space="preserve">, SEC no-action letter (April 13, 1988), </w:t>
      </w:r>
      <w:r>
        <w:rPr>
          <w:rFonts w:ascii="Times New Roman" w:cs="Times New Roman" w:eastAsia="Times New Roman" w:hAnsi="Times New Roman"/>
          <w:sz w:val="14"/>
          <w:szCs w:val="14"/>
          <w:i w:val="1"/>
          <w:iCs w:val="1"/>
          <w:color w:val="auto"/>
        </w:rPr>
        <w:t>Morgan, Stanley &amp; Co. Inc.</w:t>
      </w:r>
      <w:r>
        <w:rPr>
          <w:rFonts w:ascii="Times New Roman" w:cs="Times New Roman" w:eastAsia="Times New Roman" w:hAnsi="Times New Roman"/>
          <w:sz w:val="14"/>
          <w:szCs w:val="14"/>
          <w:color w:val="auto"/>
        </w:rPr>
        <w:t xml:space="preserve">, SEC no-action letter (June 5, 1991) and </w:t>
      </w:r>
      <w:r>
        <w:rPr>
          <w:rFonts w:ascii="Times New Roman" w:cs="Times New Roman" w:eastAsia="Times New Roman" w:hAnsi="Times New Roman"/>
          <w:sz w:val="14"/>
          <w:szCs w:val="14"/>
          <w:i w:val="1"/>
          <w:iCs w:val="1"/>
          <w:color w:val="auto"/>
        </w:rPr>
        <w:t>Shearman &amp; Sterling</w:t>
      </w:r>
      <w:r>
        <w:rPr>
          <w:rFonts w:ascii="Times New Roman" w:cs="Times New Roman" w:eastAsia="Times New Roman" w:hAnsi="Times New Roman"/>
          <w:sz w:val="14"/>
          <w:szCs w:val="14"/>
          <w:color w:val="auto"/>
        </w:rPr>
        <w:t>, SEC no-action letter (July 2, 1993). We have not asked the staff for a no-action letter in connection with the exchange offer, however, and we cannot assure you that the staff would make a similar determination with respect to the exchange offer.</w:t>
      </w:r>
    </w:p>
    <w:p>
      <w:pPr>
        <w:spacing w:after="0" w:line="168"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4"/>
          <w:szCs w:val="14"/>
          <w:color w:val="auto"/>
        </w:rPr>
        <w:t>If you cannot make the representations described above:</w:t>
      </w:r>
    </w:p>
    <w:p>
      <w:pPr>
        <w:spacing w:after="0" w:line="101" w:lineRule="exact"/>
        <w:rPr>
          <w:sz w:val="20"/>
          <w:szCs w:val="20"/>
          <w:color w:val="auto"/>
        </w:rPr>
      </w:pPr>
    </w:p>
    <w:p>
      <w:pPr>
        <w:ind w:left="4800" w:hanging="155"/>
        <w:spacing w:after="0"/>
        <w:tabs>
          <w:tab w:leader="none" w:pos="480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you cannot rely on the applicable interpretations of the staff of the SEC;</w:t>
      </w:r>
    </w:p>
    <w:p>
      <w:pPr>
        <w:spacing w:after="0" w:line="100" w:lineRule="exact"/>
        <w:rPr>
          <w:rFonts w:ascii="Times New Roman" w:cs="Times New Roman" w:eastAsia="Times New Roman" w:hAnsi="Times New Roman"/>
          <w:sz w:val="14"/>
          <w:szCs w:val="14"/>
          <w:color w:val="auto"/>
        </w:rPr>
      </w:pPr>
    </w:p>
    <w:p>
      <w:pPr>
        <w:ind w:left="4800" w:hanging="155"/>
        <w:spacing w:after="0"/>
        <w:tabs>
          <w:tab w:leader="none" w:pos="480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you may not participate in the exchange offer; and</w:t>
      </w:r>
    </w:p>
    <w:p>
      <w:pPr>
        <w:spacing w:after="0" w:line="100" w:lineRule="exact"/>
        <w:rPr>
          <w:rFonts w:ascii="Times New Roman" w:cs="Times New Roman" w:eastAsia="Times New Roman" w:hAnsi="Times New Roman"/>
          <w:sz w:val="14"/>
          <w:szCs w:val="14"/>
          <w:color w:val="auto"/>
        </w:rPr>
      </w:pPr>
    </w:p>
    <w:p>
      <w:pPr>
        <w:ind w:left="4800" w:right="519" w:hanging="155"/>
        <w:spacing w:after="0" w:line="265" w:lineRule="auto"/>
        <w:tabs>
          <w:tab w:leader="none" w:pos="480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you must, in the absence of an exemption therefrom, comply with the registration and prospectus delivery requirements of the Securities Act in connection with any resale or other transfer of your Restricted Notes.</w:t>
      </w:r>
    </w:p>
    <w:p>
      <w:pPr>
        <w:spacing w:after="0" w:line="231"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5</w:t>
      </w:r>
    </w:p>
    <w:p>
      <w:pPr>
        <w:sectPr>
          <w:pgSz w:w="11900" w:h="16838" w:orient="portrait"/>
          <w:cols w:equalWidth="0" w:num="1">
            <w:col w:w="10159"/>
          </w:cols>
          <w:pgMar w:left="300" w:top="384" w:right="1440"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4"/>
          <w:szCs w:val="14"/>
          <w:b w:val="1"/>
          <w:bCs w:val="1"/>
          <w:color w:val="auto"/>
        </w:rPr>
        <w:t>Expiration Date</w:t>
      </w:r>
    </w:p>
    <w:p>
      <w:pPr>
        <w:spacing w:after="0" w:line="200" w:lineRule="exact"/>
        <w:rPr>
          <w:sz w:val="20"/>
          <w:szCs w:val="20"/>
          <w:color w:val="auto"/>
        </w:rPr>
      </w:pPr>
    </w:p>
    <w:p>
      <w:pPr>
        <w:spacing w:after="0" w:line="330"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4"/>
          <w:szCs w:val="14"/>
          <w:b w:val="1"/>
          <w:bCs w:val="1"/>
          <w:color w:val="auto"/>
        </w:rPr>
        <w:t>Conditions to the Exchange Offer</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4"/>
          <w:szCs w:val="14"/>
          <w:b w:val="1"/>
          <w:bCs w:val="1"/>
          <w:color w:val="auto"/>
        </w:rPr>
        <w:t>Procedures for Tendering Restricted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4"/>
          <w:szCs w:val="14"/>
          <w:b w:val="1"/>
          <w:bCs w:val="1"/>
          <w:color w:val="auto"/>
        </w:rPr>
        <w:t>Procedures for Beneficial Owners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b w:val="1"/>
          <w:bCs w:val="1"/>
          <w:color w:val="auto"/>
        </w:rPr>
        <w:t>Acceptance of Restricted Notes and Delivery of</w:t>
      </w:r>
    </w:p>
    <w:p>
      <w:pPr>
        <w:spacing w:after="0" w:line="23"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4"/>
          <w:szCs w:val="14"/>
          <w:b w:val="1"/>
          <w:bCs w:val="1"/>
          <w:color w:val="auto"/>
        </w:rPr>
        <w:t>Exchange Notes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6" w:lineRule="exact"/>
        <w:rPr>
          <w:sz w:val="20"/>
          <w:szCs w:val="20"/>
          <w:color w:val="auto"/>
        </w:rPr>
      </w:pPr>
    </w:p>
    <w:p>
      <w:pPr>
        <w:ind w:right="459"/>
        <w:spacing w:after="0" w:line="257" w:lineRule="auto"/>
        <w:rPr>
          <w:sz w:val="20"/>
          <w:szCs w:val="20"/>
          <w:color w:val="auto"/>
        </w:rPr>
      </w:pPr>
      <w:r>
        <w:rPr>
          <w:rFonts w:ascii="Times New Roman" w:cs="Times New Roman" w:eastAsia="Times New Roman" w:hAnsi="Times New Roman"/>
          <w:sz w:val="14"/>
          <w:szCs w:val="14"/>
          <w:color w:val="auto"/>
        </w:rPr>
        <w:t>Any broker-dealer that receives Exchange Notes for its own account in the exchange offer for Restricted Notes that were acquired as a result of market-making or other trading activities must acknowledge that it will comply with the prospectus delivery requirements of the Securities Act in connection with any resale or other transfer of the Exchange Notes received in the exchange offer. See “</w:t>
      </w:r>
      <w:r>
        <w:rPr>
          <w:rFonts w:ascii="Times New Roman" w:cs="Times New Roman" w:eastAsia="Times New Roman" w:hAnsi="Times New Roman"/>
          <w:sz w:val="14"/>
          <w:szCs w:val="14"/>
          <w:i w:val="1"/>
          <w:iCs w:val="1"/>
          <w:color w:val="auto"/>
        </w:rPr>
        <w:t>Plan of Distribution</w:t>
      </w: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-2955925</wp:posOffset>
            </wp:positionH>
            <wp:positionV relativeFrom="paragraph">
              <wp:posOffset>-1049020</wp:posOffset>
            </wp:positionV>
            <wp:extent cx="7201535" cy="473392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01535" cy="4733925"/>
                    </a:xfrm>
                    <a:prstGeom prst="rect">
                      <a:avLst/>
                    </a:prstGeom>
                    <a:noFill/>
                  </pic:spPr>
                </pic:pic>
              </a:graphicData>
            </a:graphic>
          </wp:anchor>
        </w:drawing>
      </w:r>
    </w:p>
    <w:p>
      <w:pPr>
        <w:spacing w:after="0" w:line="144" w:lineRule="exact"/>
        <w:rPr>
          <w:sz w:val="20"/>
          <w:szCs w:val="20"/>
          <w:color w:val="auto"/>
        </w:rPr>
      </w:pPr>
    </w:p>
    <w:p>
      <w:pPr>
        <w:jc w:val="both"/>
        <w:ind w:right="399"/>
        <w:spacing w:after="0" w:line="265" w:lineRule="auto"/>
        <w:rPr>
          <w:sz w:val="20"/>
          <w:szCs w:val="20"/>
          <w:color w:val="auto"/>
        </w:rPr>
      </w:pPr>
      <w:r>
        <w:rPr>
          <w:rFonts w:ascii="Times New Roman" w:cs="Times New Roman" w:eastAsia="Times New Roman" w:hAnsi="Times New Roman"/>
          <w:sz w:val="14"/>
          <w:szCs w:val="14"/>
          <w:color w:val="auto"/>
        </w:rPr>
        <w:t>The exchange offer will expire at [●] [a.m./p.m.], New York City time, on [●], 2026, unless we decide to extend the exchange offer. We do not currently intend to extend the exchange offer, although we reserve the right to do so.</w:t>
      </w:r>
    </w:p>
    <w:p>
      <w:pPr>
        <w:spacing w:after="0" w:line="157" w:lineRule="exact"/>
        <w:rPr>
          <w:sz w:val="20"/>
          <w:szCs w:val="20"/>
          <w:color w:val="auto"/>
        </w:rPr>
      </w:pPr>
    </w:p>
    <w:p>
      <w:pPr>
        <w:jc w:val="both"/>
        <w:ind w:right="439"/>
        <w:spacing w:after="0" w:line="260" w:lineRule="auto"/>
        <w:rPr>
          <w:sz w:val="20"/>
          <w:szCs w:val="20"/>
          <w:color w:val="auto"/>
        </w:rPr>
      </w:pPr>
      <w:r>
        <w:rPr>
          <w:rFonts w:ascii="Times New Roman" w:cs="Times New Roman" w:eastAsia="Times New Roman" w:hAnsi="Times New Roman"/>
          <w:sz w:val="14"/>
          <w:szCs w:val="14"/>
          <w:color w:val="auto"/>
        </w:rPr>
        <w:t>The exchange offer is subject to customary conditions, including that it will not violate any applicable law or any applicable interpretation of the staff of the SEC. The exchange offer is not conditioned upon any minimum principal amount of Restricted Notes being tendered for exchange. See “</w:t>
      </w:r>
      <w:r>
        <w:rPr>
          <w:rFonts w:ascii="Times New Roman" w:cs="Times New Roman" w:eastAsia="Times New Roman" w:hAnsi="Times New Roman"/>
          <w:sz w:val="14"/>
          <w:szCs w:val="14"/>
          <w:i w:val="1"/>
          <w:iCs w:val="1"/>
          <w:color w:val="auto"/>
        </w:rPr>
        <w:t>The Exchange Offer—Conditions</w:t>
      </w:r>
      <w:r>
        <w:rPr>
          <w:rFonts w:ascii="Times New Roman" w:cs="Times New Roman" w:eastAsia="Times New Roman" w:hAnsi="Times New Roman"/>
          <w:sz w:val="14"/>
          <w:szCs w:val="14"/>
          <w:color w:val="auto"/>
        </w:rPr>
        <w:t>.”</w:t>
      </w:r>
    </w:p>
    <w:p>
      <w:pPr>
        <w:spacing w:after="0" w:line="160" w:lineRule="exact"/>
        <w:rPr>
          <w:sz w:val="20"/>
          <w:szCs w:val="20"/>
          <w:color w:val="auto"/>
        </w:rPr>
      </w:pPr>
    </w:p>
    <w:p>
      <w:pPr>
        <w:ind w:right="419"/>
        <w:spacing w:after="0" w:line="257" w:lineRule="auto"/>
        <w:rPr>
          <w:sz w:val="20"/>
          <w:szCs w:val="20"/>
          <w:color w:val="auto"/>
        </w:rPr>
      </w:pPr>
      <w:r>
        <w:rPr>
          <w:rFonts w:ascii="Times New Roman" w:cs="Times New Roman" w:eastAsia="Times New Roman" w:hAnsi="Times New Roman"/>
          <w:sz w:val="14"/>
          <w:szCs w:val="14"/>
          <w:color w:val="auto"/>
        </w:rPr>
        <w:t>The Restricted Notes are represented by global securities in fully registered form without coupons. Beneficial interests in the Restricted Notes are held by direct or indirect participants in The Depository Trust Company (“DTC”) through certificateless depositary interests and are shown on, and transfers of the Restricted Notes can be made only through, records maintained in book-entry form by DTC with respect to its participants.</w:t>
      </w:r>
    </w:p>
    <w:p>
      <w:pPr>
        <w:spacing w:after="0" w:line="164" w:lineRule="exact"/>
        <w:rPr>
          <w:sz w:val="20"/>
          <w:szCs w:val="20"/>
          <w:color w:val="auto"/>
        </w:rPr>
      </w:pPr>
    </w:p>
    <w:p>
      <w:pPr>
        <w:ind w:right="459"/>
        <w:spacing w:after="0" w:line="254" w:lineRule="auto"/>
        <w:rPr>
          <w:sz w:val="20"/>
          <w:szCs w:val="20"/>
          <w:color w:val="auto"/>
        </w:rPr>
      </w:pPr>
      <w:r>
        <w:rPr>
          <w:rFonts w:ascii="Times New Roman" w:cs="Times New Roman" w:eastAsia="Times New Roman" w:hAnsi="Times New Roman"/>
          <w:sz w:val="14"/>
          <w:szCs w:val="14"/>
          <w:color w:val="auto"/>
        </w:rPr>
        <w:t>Accordingly, if you wish to exchange your Restricted Notes for Exchange Notes pursuant to the exchange offer, you must transmit to U.S. Bank Trust Company, National Association, our exchange agent, prior to the expiration of the exchange offer, a computer-generated message transmitted through DTC’s Automated Tender Offer Program, which we refer to as “ATOP,” system and received by the exchange agent and forming a part of a confirmation of book-entry transfer in which you acknowledge and agree to be bound by the terms of the letter of transmittal (“Letter of Transmittal”). See “</w:t>
      </w:r>
      <w:r>
        <w:rPr>
          <w:rFonts w:ascii="Times New Roman" w:cs="Times New Roman" w:eastAsia="Times New Roman" w:hAnsi="Times New Roman"/>
          <w:sz w:val="14"/>
          <w:szCs w:val="14"/>
          <w:i w:val="1"/>
          <w:iCs w:val="1"/>
          <w:color w:val="auto"/>
        </w:rPr>
        <w:t>The Exchange Offer—</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Procedures for Tendering Restricted Notes</w:t>
      </w:r>
      <w:r>
        <w:rPr>
          <w:rFonts w:ascii="Times New Roman" w:cs="Times New Roman" w:eastAsia="Times New Roman" w:hAnsi="Times New Roman"/>
          <w:sz w:val="14"/>
          <w:szCs w:val="14"/>
          <w:color w:val="auto"/>
        </w:rPr>
        <w:t>.”</w:t>
      </w:r>
    </w:p>
    <w:p>
      <w:pPr>
        <w:spacing w:after="0" w:line="165" w:lineRule="exact"/>
        <w:rPr>
          <w:sz w:val="20"/>
          <w:szCs w:val="20"/>
          <w:color w:val="auto"/>
        </w:rPr>
      </w:pPr>
    </w:p>
    <w:p>
      <w:pPr>
        <w:ind w:right="499"/>
        <w:spacing w:after="0" w:line="257" w:lineRule="auto"/>
        <w:rPr>
          <w:sz w:val="20"/>
          <w:szCs w:val="20"/>
          <w:color w:val="auto"/>
        </w:rPr>
      </w:pPr>
      <w:r>
        <w:rPr>
          <w:rFonts w:ascii="Times New Roman" w:cs="Times New Roman" w:eastAsia="Times New Roman" w:hAnsi="Times New Roman"/>
          <w:sz w:val="14"/>
          <w:szCs w:val="14"/>
          <w:color w:val="auto"/>
        </w:rPr>
        <w:t>If you are the beneficial owner of Restricted Notes that are held in the name of a broker, dealer, commercial bank, trust company or other nominee, and you wish to tender your Restricted Notes in the exchange offer, you should promptly contact the person in whose name your Restricted Notes are held and instruct that person to tender on your behalf. See “</w:t>
      </w:r>
      <w:r>
        <w:rPr>
          <w:rFonts w:ascii="Times New Roman" w:cs="Times New Roman" w:eastAsia="Times New Roman" w:hAnsi="Times New Roman"/>
          <w:sz w:val="14"/>
          <w:szCs w:val="14"/>
          <w:i w:val="1"/>
          <w:iCs w:val="1"/>
          <w:color w:val="auto"/>
        </w:rPr>
        <w:t>The Exchange Offer—Procedures for Tendering Restricted Notes</w:t>
      </w:r>
      <w:r>
        <w:rPr>
          <w:rFonts w:ascii="Times New Roman" w:cs="Times New Roman" w:eastAsia="Times New Roman" w:hAnsi="Times New Roman"/>
          <w:sz w:val="14"/>
          <w:szCs w:val="14"/>
          <w:color w:val="auto"/>
        </w:rPr>
        <w:t>.”</w:t>
      </w:r>
    </w:p>
    <w:p>
      <w:pPr>
        <w:spacing w:after="0" w:line="162" w:lineRule="exact"/>
        <w:rPr>
          <w:sz w:val="20"/>
          <w:szCs w:val="20"/>
          <w:color w:val="auto"/>
        </w:rPr>
      </w:pPr>
    </w:p>
    <w:p>
      <w:pPr>
        <w:ind w:right="519"/>
        <w:spacing w:after="0" w:line="284" w:lineRule="auto"/>
        <w:rPr>
          <w:sz w:val="20"/>
          <w:szCs w:val="20"/>
          <w:color w:val="auto"/>
        </w:rPr>
      </w:pPr>
      <w:r>
        <w:rPr>
          <w:rFonts w:ascii="Times New Roman" w:cs="Times New Roman" w:eastAsia="Times New Roman" w:hAnsi="Times New Roman"/>
          <w:sz w:val="14"/>
          <w:szCs w:val="14"/>
          <w:color w:val="auto"/>
        </w:rPr>
        <w:t>Except under the circumstances summarized above under “—</w:t>
      </w:r>
      <w:r>
        <w:rPr>
          <w:rFonts w:ascii="Times New Roman" w:cs="Times New Roman" w:eastAsia="Times New Roman" w:hAnsi="Times New Roman"/>
          <w:sz w:val="14"/>
          <w:szCs w:val="14"/>
          <w:i w:val="1"/>
          <w:iCs w:val="1"/>
          <w:color w:val="auto"/>
        </w:rPr>
        <w:t>Conditions to the Exchange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Offer</w:t>
      </w:r>
      <w:r>
        <w:rPr>
          <w:rFonts w:ascii="Times New Roman" w:cs="Times New Roman" w:eastAsia="Times New Roman" w:hAnsi="Times New Roman"/>
          <w:sz w:val="14"/>
          <w:szCs w:val="14"/>
          <w:color w:val="auto"/>
        </w:rPr>
        <w:t>,” we will accept for exchange</w:t>
      </w:r>
    </w:p>
    <w:p>
      <w:pPr>
        <w:spacing w:after="0" w:line="200" w:lineRule="exact"/>
        <w:rPr>
          <w:sz w:val="20"/>
          <w:szCs w:val="20"/>
          <w:color w:val="auto"/>
        </w:rPr>
      </w:pPr>
    </w:p>
    <w:p>
      <w:pPr>
        <w:sectPr>
          <w:pgSz w:w="11900" w:h="16838" w:orient="portrait"/>
          <w:cols w:equalWidth="0" w:num="2">
            <w:col w:w="4320" w:space="320"/>
            <w:col w:w="5519"/>
          </w:cols>
          <w:pgMar w:left="300" w:top="384" w:right="1440" w:bottom="1440" w:gutter="0" w:footer="0" w:header="0"/>
        </w:sectPr>
      </w:pPr>
    </w:p>
    <w:p>
      <w:pPr>
        <w:spacing w:after="0" w:line="28"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6</w:t>
      </w:r>
    </w:p>
    <w:p>
      <w:pPr>
        <w:sectPr>
          <w:pgSz w:w="11900" w:h="16838" w:orient="portrait"/>
          <w:cols w:equalWidth="0" w:num="1">
            <w:col w:w="10159"/>
          </w:cols>
          <w:pgMar w:left="300" w:top="384" w:right="1440"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39" w:lineRule="exact"/>
        <w:rPr>
          <w:sz w:val="20"/>
          <w:szCs w:val="20"/>
          <w:color w:val="auto"/>
        </w:rPr>
      </w:pPr>
    </w:p>
    <w:tbl>
      <w:tblPr>
        <w:tblLayout w:type="fixed"/>
        <w:tblInd w:w="1370" w:type="dxa"/>
        <w:tblCellMar>
          <w:top w:w="0" w:type="dxa"/>
          <w:left w:w="0" w:type="dxa"/>
          <w:bottom w:w="0" w:type="dxa"/>
          <w:right w:w="0" w:type="dxa"/>
        </w:tblCellMar>
      </w:tblPr>
      <w:tr>
        <w:trPr>
          <w:trHeight w:val="294"/>
        </w:trPr>
        <w:tc>
          <w:tcPr>
            <w:tcW w:w="3200" w:type="dxa"/>
            <w:vAlign w:val="bottom"/>
            <w:tcBorders>
              <w:top w:val="single" w:sz="8" w:color="auto"/>
              <w:left w:val="single" w:sz="8" w:color="auto"/>
            </w:tcBorders>
          </w:tcPr>
          <w:p>
            <w:pPr>
              <w:spacing w:after="0"/>
              <w:rPr>
                <w:sz w:val="24"/>
                <w:szCs w:val="24"/>
                <w:color w:val="auto"/>
              </w:rPr>
            </w:pPr>
          </w:p>
        </w:tc>
        <w:tc>
          <w:tcPr>
            <w:tcW w:w="5360" w:type="dxa"/>
            <w:vAlign w:val="bottom"/>
            <w:tcBorders>
              <w:top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any and all Restricted Notes that are validly tendered (and not withdrawn) in the exchange</w:t>
            </w:r>
          </w:p>
        </w:tc>
      </w:tr>
      <w:tr>
        <w:trPr>
          <w:trHeight w:val="167"/>
        </w:trPr>
        <w:tc>
          <w:tcPr>
            <w:tcW w:w="3200" w:type="dxa"/>
            <w:vAlign w:val="bottom"/>
            <w:tcBorders>
              <w:left w:val="single" w:sz="8" w:color="auto"/>
            </w:tcBorders>
          </w:tcPr>
          <w:p>
            <w:pPr>
              <w:spacing w:after="0"/>
              <w:rPr>
                <w:sz w:val="14"/>
                <w:szCs w:val="14"/>
                <w:color w:val="auto"/>
              </w:rPr>
            </w:pPr>
          </w:p>
        </w:tc>
        <w:tc>
          <w:tcPr>
            <w:tcW w:w="53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offer prior to [●] [a.m./p.m.], New York City time, on the expiration date of the exchange</w:t>
            </w:r>
          </w:p>
        </w:tc>
      </w:tr>
      <w:tr>
        <w:trPr>
          <w:trHeight w:val="167"/>
        </w:trPr>
        <w:tc>
          <w:tcPr>
            <w:tcW w:w="3200" w:type="dxa"/>
            <w:vAlign w:val="bottom"/>
            <w:tcBorders>
              <w:left w:val="single" w:sz="8" w:color="auto"/>
            </w:tcBorders>
          </w:tcPr>
          <w:p>
            <w:pPr>
              <w:spacing w:after="0"/>
              <w:rPr>
                <w:sz w:val="14"/>
                <w:szCs w:val="14"/>
                <w:color w:val="auto"/>
              </w:rPr>
            </w:pPr>
          </w:p>
        </w:tc>
        <w:tc>
          <w:tcPr>
            <w:tcW w:w="53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offer. The Exchange Notes to be issued to you in the exchange offer will be delivered by</w:t>
            </w:r>
          </w:p>
        </w:tc>
      </w:tr>
      <w:tr>
        <w:trPr>
          <w:trHeight w:val="165"/>
        </w:trPr>
        <w:tc>
          <w:tcPr>
            <w:tcW w:w="3200" w:type="dxa"/>
            <w:vAlign w:val="bottom"/>
            <w:tcBorders>
              <w:left w:val="single" w:sz="8" w:color="auto"/>
            </w:tcBorders>
          </w:tcPr>
          <w:p>
            <w:pPr>
              <w:spacing w:after="0"/>
              <w:rPr>
                <w:sz w:val="14"/>
                <w:szCs w:val="14"/>
                <w:color w:val="auto"/>
              </w:rPr>
            </w:pPr>
          </w:p>
        </w:tc>
        <w:tc>
          <w:tcPr>
            <w:tcW w:w="53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credit to the accounts at DTC of the applicable DTC participants promptly following</w:t>
            </w:r>
          </w:p>
        </w:tc>
      </w:tr>
      <w:tr>
        <w:trPr>
          <w:trHeight w:val="167"/>
        </w:trPr>
        <w:tc>
          <w:tcPr>
            <w:tcW w:w="3200" w:type="dxa"/>
            <w:vAlign w:val="bottom"/>
            <w:tcBorders>
              <w:left w:val="single" w:sz="8" w:color="auto"/>
            </w:tcBorders>
          </w:tcPr>
          <w:p>
            <w:pPr>
              <w:spacing w:after="0"/>
              <w:rPr>
                <w:sz w:val="14"/>
                <w:szCs w:val="14"/>
                <w:color w:val="auto"/>
              </w:rPr>
            </w:pPr>
          </w:p>
        </w:tc>
        <w:tc>
          <w:tcPr>
            <w:tcW w:w="53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completion of the exchange offer. See “</w:t>
            </w:r>
            <w:r>
              <w:rPr>
                <w:rFonts w:ascii="Times New Roman" w:cs="Times New Roman" w:eastAsia="Times New Roman" w:hAnsi="Times New Roman"/>
                <w:sz w:val="14"/>
                <w:szCs w:val="14"/>
                <w:i w:val="1"/>
                <w:iCs w:val="1"/>
                <w:color w:val="auto"/>
              </w:rPr>
              <w:t>The Exchange Offer—Terms of the Exchange</w:t>
            </w:r>
          </w:p>
        </w:tc>
      </w:tr>
      <w:tr>
        <w:trPr>
          <w:trHeight w:val="184"/>
        </w:trPr>
        <w:tc>
          <w:tcPr>
            <w:tcW w:w="3200" w:type="dxa"/>
            <w:vAlign w:val="bottom"/>
            <w:tcBorders>
              <w:left w:val="single" w:sz="8" w:color="auto"/>
            </w:tcBorders>
          </w:tcPr>
          <w:p>
            <w:pPr>
              <w:spacing w:after="0"/>
              <w:rPr>
                <w:sz w:val="16"/>
                <w:szCs w:val="16"/>
                <w:color w:val="auto"/>
              </w:rPr>
            </w:pPr>
          </w:p>
        </w:tc>
        <w:tc>
          <w:tcPr>
            <w:tcW w:w="53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4"/>
                <w:szCs w:val="14"/>
                <w:i w:val="1"/>
                <w:iCs w:val="1"/>
                <w:color w:val="auto"/>
              </w:rPr>
              <w:t>Offer</w:t>
            </w:r>
            <w:r>
              <w:rPr>
                <w:rFonts w:ascii="Times New Roman" w:cs="Times New Roman" w:eastAsia="Times New Roman" w:hAnsi="Times New Roman"/>
                <w:sz w:val="14"/>
                <w:szCs w:val="14"/>
                <w:color w:val="auto"/>
              </w:rPr>
              <w:t>.”</w:t>
            </w:r>
          </w:p>
        </w:tc>
      </w:tr>
      <w:tr>
        <w:trPr>
          <w:trHeight w:val="351"/>
        </w:trPr>
        <w:tc>
          <w:tcPr>
            <w:tcW w:w="3200" w:type="dxa"/>
            <w:vAlign w:val="bottom"/>
            <w:tcBorders>
              <w:left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Withdrawal Rights; Non-Acceptance</w:t>
            </w:r>
          </w:p>
        </w:tc>
        <w:tc>
          <w:tcPr>
            <w:tcW w:w="53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You may withdraw any tender of your Restricted Notes at any time prior to [●] [a.m./p.m.],</w:t>
            </w:r>
          </w:p>
        </w:tc>
      </w:tr>
      <w:tr>
        <w:trPr>
          <w:trHeight w:val="167"/>
        </w:trPr>
        <w:tc>
          <w:tcPr>
            <w:tcW w:w="3200" w:type="dxa"/>
            <w:vAlign w:val="bottom"/>
            <w:tcBorders>
              <w:left w:val="single" w:sz="8" w:color="auto"/>
            </w:tcBorders>
          </w:tcPr>
          <w:p>
            <w:pPr>
              <w:spacing w:after="0"/>
              <w:rPr>
                <w:sz w:val="14"/>
                <w:szCs w:val="14"/>
                <w:color w:val="auto"/>
              </w:rPr>
            </w:pPr>
          </w:p>
        </w:tc>
        <w:tc>
          <w:tcPr>
            <w:tcW w:w="53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New York City time, on the expiration date of the exchange offer by following the</w:t>
            </w:r>
          </w:p>
        </w:tc>
      </w:tr>
      <w:tr>
        <w:trPr>
          <w:trHeight w:val="167"/>
        </w:trPr>
        <w:tc>
          <w:tcPr>
            <w:tcW w:w="3200" w:type="dxa"/>
            <w:vAlign w:val="bottom"/>
            <w:tcBorders>
              <w:left w:val="single" w:sz="8" w:color="auto"/>
            </w:tcBorders>
          </w:tcPr>
          <w:p>
            <w:pPr>
              <w:spacing w:after="0"/>
              <w:rPr>
                <w:sz w:val="14"/>
                <w:szCs w:val="14"/>
                <w:color w:val="auto"/>
              </w:rPr>
            </w:pPr>
          </w:p>
        </w:tc>
        <w:tc>
          <w:tcPr>
            <w:tcW w:w="53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procedures described in this prospectus and the letter of transmittal. Any Restricted Notes</w:t>
            </w:r>
          </w:p>
        </w:tc>
      </w:tr>
      <w:tr>
        <w:trPr>
          <w:trHeight w:val="167"/>
        </w:trPr>
        <w:tc>
          <w:tcPr>
            <w:tcW w:w="3200" w:type="dxa"/>
            <w:vAlign w:val="bottom"/>
            <w:tcBorders>
              <w:left w:val="single" w:sz="8" w:color="auto"/>
            </w:tcBorders>
          </w:tcPr>
          <w:p>
            <w:pPr>
              <w:spacing w:after="0"/>
              <w:rPr>
                <w:sz w:val="14"/>
                <w:szCs w:val="14"/>
                <w:color w:val="auto"/>
              </w:rPr>
            </w:pPr>
          </w:p>
        </w:tc>
        <w:tc>
          <w:tcPr>
            <w:tcW w:w="53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that have been tendered for exchange but are withdrawn or otherwise not exchanged for</w:t>
            </w:r>
          </w:p>
        </w:tc>
      </w:tr>
      <w:tr>
        <w:trPr>
          <w:trHeight w:val="167"/>
        </w:trPr>
        <w:tc>
          <w:tcPr>
            <w:tcW w:w="3200" w:type="dxa"/>
            <w:vAlign w:val="bottom"/>
            <w:tcBorders>
              <w:left w:val="single" w:sz="8" w:color="auto"/>
            </w:tcBorders>
          </w:tcPr>
          <w:p>
            <w:pPr>
              <w:spacing w:after="0"/>
              <w:rPr>
                <w:sz w:val="14"/>
                <w:szCs w:val="14"/>
                <w:color w:val="auto"/>
              </w:rPr>
            </w:pPr>
          </w:p>
        </w:tc>
        <w:tc>
          <w:tcPr>
            <w:tcW w:w="53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any reason will be returned by credit to the accounts at DTC of the applicable DTC</w:t>
            </w:r>
          </w:p>
        </w:tc>
      </w:tr>
      <w:tr>
        <w:trPr>
          <w:trHeight w:val="165"/>
        </w:trPr>
        <w:tc>
          <w:tcPr>
            <w:tcW w:w="3200" w:type="dxa"/>
            <w:vAlign w:val="bottom"/>
            <w:tcBorders>
              <w:left w:val="single" w:sz="8" w:color="auto"/>
            </w:tcBorders>
          </w:tcPr>
          <w:p>
            <w:pPr>
              <w:spacing w:after="0"/>
              <w:rPr>
                <w:sz w:val="14"/>
                <w:szCs w:val="14"/>
                <w:color w:val="auto"/>
              </w:rPr>
            </w:pPr>
          </w:p>
        </w:tc>
        <w:tc>
          <w:tcPr>
            <w:tcW w:w="53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participants, without cost to you, promptly after withdrawal of such Restricted Notes or</w:t>
            </w:r>
          </w:p>
        </w:tc>
      </w:tr>
      <w:tr>
        <w:trPr>
          <w:trHeight w:val="167"/>
        </w:trPr>
        <w:tc>
          <w:tcPr>
            <w:tcW w:w="3200" w:type="dxa"/>
            <w:vAlign w:val="bottom"/>
            <w:tcBorders>
              <w:left w:val="single" w:sz="8" w:color="auto"/>
            </w:tcBorders>
          </w:tcPr>
          <w:p>
            <w:pPr>
              <w:spacing w:after="0"/>
              <w:rPr>
                <w:sz w:val="14"/>
                <w:szCs w:val="14"/>
                <w:color w:val="auto"/>
              </w:rPr>
            </w:pPr>
          </w:p>
        </w:tc>
        <w:tc>
          <w:tcPr>
            <w:tcW w:w="53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expiration or termination of the exchange offer, as the case may be. See “</w:t>
            </w:r>
            <w:r>
              <w:rPr>
                <w:rFonts w:ascii="Times New Roman" w:cs="Times New Roman" w:eastAsia="Times New Roman" w:hAnsi="Times New Roman"/>
                <w:sz w:val="14"/>
                <w:szCs w:val="14"/>
                <w:i w:val="1"/>
                <w:iCs w:val="1"/>
                <w:color w:val="auto"/>
              </w:rPr>
              <w:t>The Exchange</w:t>
            </w:r>
          </w:p>
        </w:tc>
      </w:tr>
      <w:tr>
        <w:trPr>
          <w:trHeight w:val="184"/>
        </w:trPr>
        <w:tc>
          <w:tcPr>
            <w:tcW w:w="3200" w:type="dxa"/>
            <w:vAlign w:val="bottom"/>
            <w:tcBorders>
              <w:left w:val="single" w:sz="8" w:color="auto"/>
            </w:tcBorders>
          </w:tcPr>
          <w:p>
            <w:pPr>
              <w:spacing w:after="0"/>
              <w:rPr>
                <w:sz w:val="16"/>
                <w:szCs w:val="16"/>
                <w:color w:val="auto"/>
              </w:rPr>
            </w:pPr>
          </w:p>
        </w:tc>
        <w:tc>
          <w:tcPr>
            <w:tcW w:w="53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4"/>
                <w:szCs w:val="14"/>
                <w:i w:val="1"/>
                <w:iCs w:val="1"/>
                <w:color w:val="auto"/>
              </w:rPr>
              <w:t>Offer—Withdrawal Rights</w:t>
            </w:r>
            <w:r>
              <w:rPr>
                <w:rFonts w:ascii="Times New Roman" w:cs="Times New Roman" w:eastAsia="Times New Roman" w:hAnsi="Times New Roman"/>
                <w:sz w:val="14"/>
                <w:szCs w:val="14"/>
                <w:color w:val="auto"/>
              </w:rPr>
              <w:t>.”</w:t>
            </w:r>
          </w:p>
        </w:tc>
      </w:tr>
      <w:tr>
        <w:trPr>
          <w:trHeight w:val="341"/>
        </w:trPr>
        <w:tc>
          <w:tcPr>
            <w:tcW w:w="3200" w:type="dxa"/>
            <w:vAlign w:val="bottom"/>
            <w:tcBorders>
              <w:left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No Appraisal or Dissenters’ Rights</w:t>
            </w:r>
          </w:p>
        </w:tc>
        <w:tc>
          <w:tcPr>
            <w:tcW w:w="53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Holders of the Restricted Notes do not have any appraisal or dissenters’ rights in</w:t>
            </w:r>
          </w:p>
        </w:tc>
      </w:tr>
      <w:tr>
        <w:trPr>
          <w:trHeight w:val="182"/>
        </w:trPr>
        <w:tc>
          <w:tcPr>
            <w:tcW w:w="3200" w:type="dxa"/>
            <w:vAlign w:val="bottom"/>
            <w:tcBorders>
              <w:left w:val="single" w:sz="8" w:color="auto"/>
            </w:tcBorders>
          </w:tcPr>
          <w:p>
            <w:pPr>
              <w:spacing w:after="0"/>
              <w:rPr>
                <w:sz w:val="15"/>
                <w:szCs w:val="15"/>
                <w:color w:val="auto"/>
              </w:rPr>
            </w:pPr>
          </w:p>
        </w:tc>
        <w:tc>
          <w:tcPr>
            <w:tcW w:w="53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connection with the exchange offer.</w:t>
            </w:r>
          </w:p>
        </w:tc>
      </w:tr>
      <w:tr>
        <w:trPr>
          <w:trHeight w:val="341"/>
        </w:trPr>
        <w:tc>
          <w:tcPr>
            <w:tcW w:w="3200" w:type="dxa"/>
            <w:vAlign w:val="bottom"/>
            <w:tcBorders>
              <w:left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Exchange Agent</w:t>
            </w:r>
          </w:p>
        </w:tc>
        <w:tc>
          <w:tcPr>
            <w:tcW w:w="53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U.S. Bank Trust Company, National Association is serving as the exchange agent in</w:t>
            </w:r>
          </w:p>
        </w:tc>
      </w:tr>
      <w:tr>
        <w:trPr>
          <w:trHeight w:val="182"/>
        </w:trPr>
        <w:tc>
          <w:tcPr>
            <w:tcW w:w="3200" w:type="dxa"/>
            <w:vAlign w:val="bottom"/>
            <w:tcBorders>
              <w:left w:val="single" w:sz="8" w:color="auto"/>
            </w:tcBorders>
          </w:tcPr>
          <w:p>
            <w:pPr>
              <w:spacing w:after="0"/>
              <w:rPr>
                <w:sz w:val="15"/>
                <w:szCs w:val="15"/>
                <w:color w:val="auto"/>
              </w:rPr>
            </w:pPr>
          </w:p>
        </w:tc>
        <w:tc>
          <w:tcPr>
            <w:tcW w:w="53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connection with the exchange offer.</w:t>
            </w:r>
          </w:p>
        </w:tc>
      </w:tr>
      <w:tr>
        <w:trPr>
          <w:trHeight w:val="356"/>
        </w:trPr>
        <w:tc>
          <w:tcPr>
            <w:tcW w:w="3200" w:type="dxa"/>
            <w:vAlign w:val="bottom"/>
            <w:tcBorders>
              <w:left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Consequences of Failure to Exchange</w:t>
            </w:r>
          </w:p>
        </w:tc>
        <w:tc>
          <w:tcPr>
            <w:tcW w:w="53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If you do not participate or validly tender your Restricted Notes in the exchange offer:</w:t>
            </w:r>
          </w:p>
        </w:tc>
      </w:tr>
      <w:tr>
        <w:trPr>
          <w:trHeight w:val="257"/>
        </w:trPr>
        <w:tc>
          <w:tcPr>
            <w:tcW w:w="3200" w:type="dxa"/>
            <w:vAlign w:val="bottom"/>
            <w:tcBorders>
              <w:left w:val="single" w:sz="8" w:color="auto"/>
            </w:tcBorders>
          </w:tcPr>
          <w:p>
            <w:pPr>
              <w:spacing w:after="0"/>
              <w:rPr>
                <w:sz w:val="22"/>
                <w:szCs w:val="22"/>
                <w:color w:val="auto"/>
              </w:rPr>
            </w:pPr>
          </w:p>
        </w:tc>
        <w:tc>
          <w:tcPr>
            <w:tcW w:w="53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  you will retain Restricted Notes that are not registered under the Securities Act and that</w:t>
            </w:r>
          </w:p>
        </w:tc>
      </w:tr>
      <w:tr>
        <w:trPr>
          <w:trHeight w:val="167"/>
        </w:trPr>
        <w:tc>
          <w:tcPr>
            <w:tcW w:w="3200" w:type="dxa"/>
            <w:vAlign w:val="bottom"/>
            <w:tcBorders>
              <w:left w:val="single" w:sz="8" w:color="auto"/>
            </w:tcBorders>
          </w:tcPr>
          <w:p>
            <w:pPr>
              <w:spacing w:after="0"/>
              <w:rPr>
                <w:sz w:val="14"/>
                <w:szCs w:val="14"/>
                <w:color w:val="auto"/>
              </w:rPr>
            </w:pPr>
          </w:p>
        </w:tc>
        <w:tc>
          <w:tcPr>
            <w:tcW w:w="5360" w:type="dxa"/>
            <w:vAlign w:val="bottom"/>
            <w:tcBorders>
              <w:right w:val="single" w:sz="8" w:color="auto"/>
            </w:tcBorders>
          </w:tcPr>
          <w:p>
            <w:pPr>
              <w:ind w:left="240"/>
              <w:spacing w:after="0"/>
              <w:rPr>
                <w:sz w:val="20"/>
                <w:szCs w:val="20"/>
                <w:color w:val="auto"/>
              </w:rPr>
            </w:pPr>
            <w:r>
              <w:rPr>
                <w:rFonts w:ascii="Times New Roman" w:cs="Times New Roman" w:eastAsia="Times New Roman" w:hAnsi="Times New Roman"/>
                <w:sz w:val="14"/>
                <w:szCs w:val="14"/>
                <w:color w:val="auto"/>
              </w:rPr>
              <w:t>will continue to be subject to restrictions on transfer that are described in the legend on</w:t>
            </w:r>
          </w:p>
        </w:tc>
      </w:tr>
      <w:tr>
        <w:trPr>
          <w:trHeight w:val="182"/>
        </w:trPr>
        <w:tc>
          <w:tcPr>
            <w:tcW w:w="3200" w:type="dxa"/>
            <w:vAlign w:val="bottom"/>
            <w:tcBorders>
              <w:left w:val="single" w:sz="8" w:color="auto"/>
            </w:tcBorders>
          </w:tcPr>
          <w:p>
            <w:pPr>
              <w:spacing w:after="0"/>
              <w:rPr>
                <w:sz w:val="15"/>
                <w:szCs w:val="15"/>
                <w:color w:val="auto"/>
              </w:rPr>
            </w:pPr>
          </w:p>
        </w:tc>
        <w:tc>
          <w:tcPr>
            <w:tcW w:w="5360" w:type="dxa"/>
            <w:vAlign w:val="bottom"/>
            <w:tcBorders>
              <w:right w:val="single" w:sz="8" w:color="auto"/>
            </w:tcBorders>
          </w:tcPr>
          <w:p>
            <w:pPr>
              <w:ind w:left="240"/>
              <w:spacing w:after="0"/>
              <w:rPr>
                <w:sz w:val="20"/>
                <w:szCs w:val="20"/>
                <w:color w:val="auto"/>
              </w:rPr>
            </w:pPr>
            <w:r>
              <w:rPr>
                <w:rFonts w:ascii="Times New Roman" w:cs="Times New Roman" w:eastAsia="Times New Roman" w:hAnsi="Times New Roman"/>
                <w:sz w:val="14"/>
                <w:szCs w:val="14"/>
                <w:color w:val="auto"/>
              </w:rPr>
              <w:t>the Restricted Notes;</w:t>
            </w:r>
          </w:p>
        </w:tc>
      </w:tr>
      <w:tr>
        <w:trPr>
          <w:trHeight w:val="247"/>
        </w:trPr>
        <w:tc>
          <w:tcPr>
            <w:tcW w:w="3200" w:type="dxa"/>
            <w:vAlign w:val="bottom"/>
            <w:tcBorders>
              <w:left w:val="single" w:sz="8" w:color="auto"/>
            </w:tcBorders>
          </w:tcPr>
          <w:p>
            <w:pPr>
              <w:spacing w:after="0"/>
              <w:rPr>
                <w:sz w:val="21"/>
                <w:szCs w:val="21"/>
                <w:color w:val="auto"/>
              </w:rPr>
            </w:pPr>
          </w:p>
        </w:tc>
        <w:tc>
          <w:tcPr>
            <w:tcW w:w="53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  you will not be able, except in very limited instances, to require us to register your</w:t>
            </w:r>
          </w:p>
        </w:tc>
      </w:tr>
      <w:tr>
        <w:trPr>
          <w:trHeight w:val="182"/>
        </w:trPr>
        <w:tc>
          <w:tcPr>
            <w:tcW w:w="3200" w:type="dxa"/>
            <w:vAlign w:val="bottom"/>
            <w:tcBorders>
              <w:left w:val="single" w:sz="8" w:color="auto"/>
            </w:tcBorders>
          </w:tcPr>
          <w:p>
            <w:pPr>
              <w:spacing w:after="0"/>
              <w:rPr>
                <w:sz w:val="15"/>
                <w:szCs w:val="15"/>
                <w:color w:val="auto"/>
              </w:rPr>
            </w:pPr>
          </w:p>
        </w:tc>
        <w:tc>
          <w:tcPr>
            <w:tcW w:w="5360" w:type="dxa"/>
            <w:vAlign w:val="bottom"/>
            <w:tcBorders>
              <w:right w:val="single" w:sz="8" w:color="auto"/>
            </w:tcBorders>
          </w:tcPr>
          <w:p>
            <w:pPr>
              <w:ind w:left="240"/>
              <w:spacing w:after="0"/>
              <w:rPr>
                <w:sz w:val="20"/>
                <w:szCs w:val="20"/>
                <w:color w:val="auto"/>
              </w:rPr>
            </w:pPr>
            <w:r>
              <w:rPr>
                <w:rFonts w:ascii="Times New Roman" w:cs="Times New Roman" w:eastAsia="Times New Roman" w:hAnsi="Times New Roman"/>
                <w:sz w:val="14"/>
                <w:szCs w:val="14"/>
                <w:color w:val="auto"/>
              </w:rPr>
              <w:t>Restricted Notes under the Securities Act;</w:t>
            </w:r>
          </w:p>
        </w:tc>
      </w:tr>
      <w:tr>
        <w:trPr>
          <w:trHeight w:val="247"/>
        </w:trPr>
        <w:tc>
          <w:tcPr>
            <w:tcW w:w="3200" w:type="dxa"/>
            <w:vAlign w:val="bottom"/>
            <w:tcBorders>
              <w:left w:val="single" w:sz="8" w:color="auto"/>
            </w:tcBorders>
          </w:tcPr>
          <w:p>
            <w:pPr>
              <w:spacing w:after="0"/>
              <w:rPr>
                <w:sz w:val="21"/>
                <w:szCs w:val="21"/>
                <w:color w:val="auto"/>
              </w:rPr>
            </w:pPr>
          </w:p>
        </w:tc>
        <w:tc>
          <w:tcPr>
            <w:tcW w:w="53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  you will not be able to resell or transfer your Restricted Notes unless they are registered</w:t>
            </w:r>
          </w:p>
        </w:tc>
      </w:tr>
      <w:tr>
        <w:trPr>
          <w:trHeight w:val="167"/>
        </w:trPr>
        <w:tc>
          <w:tcPr>
            <w:tcW w:w="3200" w:type="dxa"/>
            <w:vAlign w:val="bottom"/>
            <w:tcBorders>
              <w:left w:val="single" w:sz="8" w:color="auto"/>
            </w:tcBorders>
          </w:tcPr>
          <w:p>
            <w:pPr>
              <w:spacing w:after="0"/>
              <w:rPr>
                <w:sz w:val="14"/>
                <w:szCs w:val="14"/>
                <w:color w:val="auto"/>
              </w:rPr>
            </w:pPr>
          </w:p>
        </w:tc>
        <w:tc>
          <w:tcPr>
            <w:tcW w:w="5360" w:type="dxa"/>
            <w:vAlign w:val="bottom"/>
            <w:tcBorders>
              <w:right w:val="single" w:sz="8" w:color="auto"/>
            </w:tcBorders>
          </w:tcPr>
          <w:p>
            <w:pPr>
              <w:ind w:left="240"/>
              <w:spacing w:after="0"/>
              <w:rPr>
                <w:sz w:val="20"/>
                <w:szCs w:val="20"/>
                <w:color w:val="auto"/>
              </w:rPr>
            </w:pPr>
            <w:r>
              <w:rPr>
                <w:rFonts w:ascii="Times New Roman" w:cs="Times New Roman" w:eastAsia="Times New Roman" w:hAnsi="Times New Roman"/>
                <w:sz w:val="14"/>
                <w:szCs w:val="14"/>
                <w:color w:val="auto"/>
              </w:rPr>
              <w:t>under the Securities Act or unless you resell or transfer them pursuant to an exemption</w:t>
            </w:r>
          </w:p>
        </w:tc>
      </w:tr>
      <w:tr>
        <w:trPr>
          <w:trHeight w:val="182"/>
        </w:trPr>
        <w:tc>
          <w:tcPr>
            <w:tcW w:w="3200" w:type="dxa"/>
            <w:vAlign w:val="bottom"/>
            <w:tcBorders>
              <w:left w:val="single" w:sz="8" w:color="auto"/>
            </w:tcBorders>
          </w:tcPr>
          <w:p>
            <w:pPr>
              <w:spacing w:after="0"/>
              <w:rPr>
                <w:sz w:val="15"/>
                <w:szCs w:val="15"/>
                <w:color w:val="auto"/>
              </w:rPr>
            </w:pPr>
          </w:p>
        </w:tc>
        <w:tc>
          <w:tcPr>
            <w:tcW w:w="5360" w:type="dxa"/>
            <w:vAlign w:val="bottom"/>
            <w:tcBorders>
              <w:right w:val="single" w:sz="8" w:color="auto"/>
            </w:tcBorders>
          </w:tcPr>
          <w:p>
            <w:pPr>
              <w:ind w:left="240"/>
              <w:spacing w:after="0"/>
              <w:rPr>
                <w:sz w:val="20"/>
                <w:szCs w:val="20"/>
                <w:color w:val="auto"/>
              </w:rPr>
            </w:pPr>
            <w:r>
              <w:rPr>
                <w:rFonts w:ascii="Times New Roman" w:cs="Times New Roman" w:eastAsia="Times New Roman" w:hAnsi="Times New Roman"/>
                <w:sz w:val="14"/>
                <w:szCs w:val="14"/>
                <w:color w:val="auto"/>
              </w:rPr>
              <w:t>from registration under the Securities Act; and</w:t>
            </w:r>
          </w:p>
        </w:tc>
      </w:tr>
      <w:tr>
        <w:trPr>
          <w:trHeight w:val="247"/>
        </w:trPr>
        <w:tc>
          <w:tcPr>
            <w:tcW w:w="3200" w:type="dxa"/>
            <w:vAlign w:val="bottom"/>
            <w:tcBorders>
              <w:left w:val="single" w:sz="8" w:color="auto"/>
            </w:tcBorders>
          </w:tcPr>
          <w:p>
            <w:pPr>
              <w:spacing w:after="0"/>
              <w:rPr>
                <w:sz w:val="21"/>
                <w:szCs w:val="21"/>
                <w:color w:val="auto"/>
              </w:rPr>
            </w:pPr>
          </w:p>
        </w:tc>
        <w:tc>
          <w:tcPr>
            <w:tcW w:w="53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  the trading market for your Restricted Notes will become more limited to the extent that</w:t>
            </w:r>
          </w:p>
        </w:tc>
      </w:tr>
      <w:tr>
        <w:trPr>
          <w:trHeight w:val="182"/>
        </w:trPr>
        <w:tc>
          <w:tcPr>
            <w:tcW w:w="3200" w:type="dxa"/>
            <w:vAlign w:val="bottom"/>
            <w:tcBorders>
              <w:left w:val="single" w:sz="8" w:color="auto"/>
            </w:tcBorders>
          </w:tcPr>
          <w:p>
            <w:pPr>
              <w:spacing w:after="0"/>
              <w:rPr>
                <w:sz w:val="15"/>
                <w:szCs w:val="15"/>
                <w:color w:val="auto"/>
              </w:rPr>
            </w:pPr>
          </w:p>
        </w:tc>
        <w:tc>
          <w:tcPr>
            <w:tcW w:w="5360" w:type="dxa"/>
            <w:vAlign w:val="bottom"/>
            <w:tcBorders>
              <w:right w:val="single" w:sz="8" w:color="auto"/>
            </w:tcBorders>
          </w:tcPr>
          <w:p>
            <w:pPr>
              <w:ind w:left="240"/>
              <w:spacing w:after="0"/>
              <w:rPr>
                <w:sz w:val="20"/>
                <w:szCs w:val="20"/>
                <w:color w:val="auto"/>
              </w:rPr>
            </w:pPr>
            <w:r>
              <w:rPr>
                <w:rFonts w:ascii="Times New Roman" w:cs="Times New Roman" w:eastAsia="Times New Roman" w:hAnsi="Times New Roman"/>
                <w:sz w:val="14"/>
                <w:szCs w:val="14"/>
                <w:color w:val="auto"/>
              </w:rPr>
              <w:t>other holders of Restricted Notes participate in the exchange offer.</w:t>
            </w:r>
          </w:p>
        </w:tc>
      </w:tr>
      <w:tr>
        <w:trPr>
          <w:trHeight w:val="339"/>
        </w:trPr>
        <w:tc>
          <w:tcPr>
            <w:tcW w:w="3200" w:type="dxa"/>
            <w:vAlign w:val="bottom"/>
            <w:tcBorders>
              <w:left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Material U.S. Federal Income Tax Considerations</w:t>
            </w:r>
          </w:p>
        </w:tc>
        <w:tc>
          <w:tcPr>
            <w:tcW w:w="53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Your exchange of Restricted Notes for Exchange Notes in the exchange offer will not result</w:t>
            </w:r>
          </w:p>
        </w:tc>
      </w:tr>
      <w:tr>
        <w:trPr>
          <w:trHeight w:val="167"/>
        </w:trPr>
        <w:tc>
          <w:tcPr>
            <w:tcW w:w="3200" w:type="dxa"/>
            <w:vAlign w:val="bottom"/>
            <w:tcBorders>
              <w:left w:val="single" w:sz="8" w:color="auto"/>
            </w:tcBorders>
          </w:tcPr>
          <w:p>
            <w:pPr>
              <w:spacing w:after="0"/>
              <w:rPr>
                <w:sz w:val="14"/>
                <w:szCs w:val="14"/>
                <w:color w:val="auto"/>
              </w:rPr>
            </w:pPr>
          </w:p>
        </w:tc>
        <w:tc>
          <w:tcPr>
            <w:tcW w:w="53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in any gain or loss to you for United States federal income tax purposes. See “</w:t>
            </w:r>
            <w:r>
              <w:rPr>
                <w:rFonts w:ascii="Times New Roman" w:cs="Times New Roman" w:eastAsia="Times New Roman" w:hAnsi="Times New Roman"/>
                <w:sz w:val="14"/>
                <w:szCs w:val="14"/>
                <w:i w:val="1"/>
                <w:iCs w:val="1"/>
                <w:color w:val="auto"/>
              </w:rPr>
              <w:t>Material</w:t>
            </w:r>
          </w:p>
        </w:tc>
      </w:tr>
      <w:tr>
        <w:trPr>
          <w:trHeight w:val="184"/>
        </w:trPr>
        <w:tc>
          <w:tcPr>
            <w:tcW w:w="3200" w:type="dxa"/>
            <w:vAlign w:val="bottom"/>
            <w:tcBorders>
              <w:left w:val="single" w:sz="8" w:color="auto"/>
            </w:tcBorders>
          </w:tcPr>
          <w:p>
            <w:pPr>
              <w:spacing w:after="0"/>
              <w:rPr>
                <w:sz w:val="16"/>
                <w:szCs w:val="16"/>
                <w:color w:val="auto"/>
              </w:rPr>
            </w:pPr>
          </w:p>
        </w:tc>
        <w:tc>
          <w:tcPr>
            <w:tcW w:w="53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4"/>
                <w:szCs w:val="14"/>
                <w:i w:val="1"/>
                <w:iCs w:val="1"/>
                <w:color w:val="auto"/>
              </w:rPr>
              <w:t>U.S. Federal Income Tax Considerations</w:t>
            </w:r>
            <w:r>
              <w:rPr>
                <w:rFonts w:ascii="Times New Roman" w:cs="Times New Roman" w:eastAsia="Times New Roman" w:hAnsi="Times New Roman"/>
                <w:sz w:val="14"/>
                <w:szCs w:val="14"/>
                <w:color w:val="auto"/>
              </w:rPr>
              <w:t>.”</w:t>
            </w:r>
          </w:p>
        </w:tc>
      </w:tr>
      <w:tr>
        <w:trPr>
          <w:trHeight w:val="131"/>
        </w:trPr>
        <w:tc>
          <w:tcPr>
            <w:tcW w:w="3200" w:type="dxa"/>
            <w:vAlign w:val="bottom"/>
            <w:tcBorders>
              <w:left w:val="single" w:sz="8" w:color="auto"/>
              <w:bottom w:val="single" w:sz="8" w:color="auto"/>
            </w:tcBorders>
          </w:tcPr>
          <w:p>
            <w:pPr>
              <w:spacing w:after="0"/>
              <w:rPr>
                <w:sz w:val="11"/>
                <w:szCs w:val="11"/>
                <w:color w:val="auto"/>
              </w:rPr>
            </w:pPr>
          </w:p>
        </w:tc>
        <w:tc>
          <w:tcPr>
            <w:tcW w:w="5360" w:type="dxa"/>
            <w:vAlign w:val="bottom"/>
            <w:tcBorders>
              <w:bottom w:val="single" w:sz="8" w:color="auto"/>
              <w:right w:val="single" w:sz="8" w:color="auto"/>
            </w:tcBorders>
          </w:tcPr>
          <w:p>
            <w:pPr>
              <w:spacing w:after="0"/>
              <w:rPr>
                <w:sz w:val="11"/>
                <w:szCs w:val="11"/>
                <w:color w:val="auto"/>
              </w:rPr>
            </w:pPr>
          </w:p>
        </w:tc>
      </w:tr>
      <w:tr>
        <w:trPr>
          <w:trHeight w:val="278"/>
        </w:trPr>
        <w:tc>
          <w:tcPr>
            <w:tcW w:w="3200" w:type="dxa"/>
            <w:vAlign w:val="bottom"/>
          </w:tcPr>
          <w:p>
            <w:pPr>
              <w:spacing w:after="0"/>
              <w:rPr>
                <w:sz w:val="24"/>
                <w:szCs w:val="24"/>
                <w:color w:val="auto"/>
              </w:rPr>
            </w:pPr>
          </w:p>
        </w:tc>
        <w:tc>
          <w:tcPr>
            <w:tcW w:w="5360" w:type="dxa"/>
            <w:vAlign w:val="bottom"/>
          </w:tcPr>
          <w:p>
            <w:pPr>
              <w:ind w:left="1040"/>
              <w:spacing w:after="0"/>
              <w:rPr>
                <w:sz w:val="20"/>
                <w:szCs w:val="20"/>
                <w:color w:val="auto"/>
              </w:rPr>
            </w:pPr>
            <w:r>
              <w:rPr>
                <w:rFonts w:ascii="Times New Roman" w:cs="Times New Roman" w:eastAsia="Times New Roman" w:hAnsi="Times New Roman"/>
                <w:sz w:val="14"/>
                <w:szCs w:val="14"/>
                <w:color w:val="auto"/>
              </w:rPr>
              <w:t>7</w:t>
            </w:r>
          </w:p>
        </w:tc>
      </w:tr>
    </w:tbl>
    <w:p>
      <w:pPr>
        <w:sectPr>
          <w:pgSz w:w="11900" w:h="16838" w:orient="portrait"/>
          <w:cols w:equalWidth="0" w:num="1">
            <w:col w:w="10159"/>
          </w:cols>
          <w:pgMar w:left="300" w:top="384" w:right="1440"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869950</wp:posOffset>
            </wp:positionH>
            <wp:positionV relativeFrom="paragraph">
              <wp:posOffset>164465</wp:posOffset>
            </wp:positionV>
            <wp:extent cx="5427980" cy="46310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427980" cy="4631055"/>
                    </a:xfrm>
                    <a:prstGeom prst="rect">
                      <a:avLst/>
                    </a:prstGeom>
                    <a:noFill/>
                  </pic:spPr>
                </pic:pic>
              </a:graphicData>
            </a:graphic>
          </wp:anchor>
        </w:drawing>
      </w:r>
    </w:p>
    <w:p>
      <w:pPr>
        <w:spacing w:after="0" w:line="36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Summary of the Terms of the Exchange Notes</w:t>
      </w:r>
    </w:p>
    <w:p>
      <w:pPr>
        <w:spacing w:after="0" w:line="174" w:lineRule="exact"/>
        <w:rPr>
          <w:sz w:val="20"/>
          <w:szCs w:val="20"/>
          <w:color w:val="auto"/>
        </w:rPr>
      </w:pPr>
    </w:p>
    <w:p>
      <w:pPr>
        <w:jc w:val="both"/>
        <w:ind w:left="1520" w:right="439"/>
        <w:spacing w:after="0" w:line="266" w:lineRule="auto"/>
        <w:rPr>
          <w:sz w:val="20"/>
          <w:szCs w:val="20"/>
          <w:color w:val="auto"/>
        </w:rPr>
      </w:pPr>
      <w:r>
        <w:rPr>
          <w:rFonts w:ascii="Times New Roman" w:cs="Times New Roman" w:eastAsia="Times New Roman" w:hAnsi="Times New Roman"/>
          <w:sz w:val="14"/>
          <w:szCs w:val="14"/>
          <w:i w:val="1"/>
          <w:iCs w:val="1"/>
          <w:color w:val="auto"/>
        </w:rPr>
        <w:t xml:space="preserve">The summary below describes the principal terms of the Exchange Notes. Certain of the terms described below are subject to important limitations and exceptions. The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Description of Exchange Notes</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 xml:space="preserve"> section of this prospectus contains a more detailed description of the terms of the Exchange Notes.</w:t>
      </w:r>
    </w:p>
    <w:p>
      <w:pPr>
        <w:spacing w:after="0" w:line="250" w:lineRule="exact"/>
        <w:rPr>
          <w:sz w:val="20"/>
          <w:szCs w:val="20"/>
          <w:color w:val="auto"/>
        </w:rPr>
      </w:pPr>
    </w:p>
    <w:tbl>
      <w:tblPr>
        <w:tblLayout w:type="fixed"/>
        <w:tblInd w:w="1360" w:type="dxa"/>
        <w:tblCellMar>
          <w:top w:w="0" w:type="dxa"/>
          <w:left w:w="0" w:type="dxa"/>
          <w:bottom w:w="0" w:type="dxa"/>
          <w:right w:w="0" w:type="dxa"/>
        </w:tblCellMar>
      </w:tblPr>
      <w:tr>
        <w:trPr>
          <w:trHeight w:val="184"/>
        </w:trPr>
        <w:tc>
          <w:tcPr>
            <w:tcW w:w="242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Issuer</w:t>
            </w:r>
          </w:p>
        </w:tc>
        <w:tc>
          <w:tcPr>
            <w:tcW w:w="614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Fidus Investment Corporation</w:t>
            </w:r>
          </w:p>
        </w:tc>
      </w:tr>
      <w:tr>
        <w:trPr>
          <w:trHeight w:val="272"/>
        </w:trPr>
        <w:tc>
          <w:tcPr>
            <w:tcW w:w="242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Notes Offered</w:t>
            </w:r>
          </w:p>
        </w:tc>
        <w:tc>
          <w:tcPr>
            <w:tcW w:w="614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$120,000,000 aggregate principal amount of 6.625% Exchange Notes due 2029.</w:t>
            </w:r>
          </w:p>
        </w:tc>
      </w:tr>
      <w:tr>
        <w:trPr>
          <w:trHeight w:val="366"/>
        </w:trPr>
        <w:tc>
          <w:tcPr>
            <w:tcW w:w="242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Maturity Date</w:t>
            </w:r>
          </w:p>
        </w:tc>
        <w:tc>
          <w:tcPr>
            <w:tcW w:w="614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The Exchange Notes will mature on June 1, 2029.</w:t>
            </w:r>
          </w:p>
        </w:tc>
      </w:tr>
      <w:tr>
        <w:trPr>
          <w:trHeight w:val="366"/>
        </w:trPr>
        <w:tc>
          <w:tcPr>
            <w:tcW w:w="242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Ranking</w:t>
            </w:r>
          </w:p>
        </w:tc>
        <w:tc>
          <w:tcPr>
            <w:tcW w:w="614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The Exchange Notes will be our direct, general unsecured obligations and rank:</w:t>
            </w:r>
          </w:p>
        </w:tc>
      </w:tr>
      <w:tr>
        <w:trPr>
          <w:trHeight w:val="257"/>
        </w:trPr>
        <w:tc>
          <w:tcPr>
            <w:tcW w:w="2420" w:type="dxa"/>
            <w:vAlign w:val="bottom"/>
          </w:tcPr>
          <w:p>
            <w:pPr>
              <w:spacing w:after="0"/>
              <w:rPr>
                <w:sz w:val="22"/>
                <w:szCs w:val="22"/>
                <w:color w:val="auto"/>
              </w:rPr>
            </w:pPr>
          </w:p>
        </w:tc>
        <w:tc>
          <w:tcPr>
            <w:tcW w:w="614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pari passu</w:t>
            </w:r>
            <w:r>
              <w:rPr>
                <w:rFonts w:ascii="Times New Roman" w:cs="Times New Roman" w:eastAsia="Times New Roman" w:hAnsi="Times New Roman"/>
                <w:sz w:val="14"/>
                <w:szCs w:val="14"/>
                <w:color w:val="auto"/>
              </w:rPr>
              <w:t xml:space="preserve"> with our existing and future unsecured, unsubordinated indebtedness,</w:t>
            </w:r>
          </w:p>
        </w:tc>
      </w:tr>
      <w:tr>
        <w:trPr>
          <w:trHeight w:val="167"/>
        </w:trPr>
        <w:tc>
          <w:tcPr>
            <w:tcW w:w="2420" w:type="dxa"/>
            <w:vAlign w:val="bottom"/>
          </w:tcPr>
          <w:p>
            <w:pPr>
              <w:spacing w:after="0"/>
              <w:rPr>
                <w:sz w:val="14"/>
                <w:szCs w:val="14"/>
                <w:color w:val="auto"/>
              </w:rPr>
            </w:pPr>
          </w:p>
        </w:tc>
        <w:tc>
          <w:tcPr>
            <w:tcW w:w="6140" w:type="dxa"/>
            <w:vAlign w:val="bottom"/>
          </w:tcPr>
          <w:p>
            <w:pPr>
              <w:ind w:left="1020"/>
              <w:spacing w:after="0"/>
              <w:rPr>
                <w:sz w:val="20"/>
                <w:szCs w:val="20"/>
                <w:color w:val="auto"/>
              </w:rPr>
            </w:pPr>
            <w:r>
              <w:rPr>
                <w:rFonts w:ascii="Times New Roman" w:cs="Times New Roman" w:eastAsia="Times New Roman" w:hAnsi="Times New Roman"/>
                <w:sz w:val="14"/>
                <w:szCs w:val="14"/>
                <w:color w:val="auto"/>
              </w:rPr>
              <w:t>including, as of June 29, 2026, $200.0 million in aggregate principal amount outstanding</w:t>
            </w:r>
          </w:p>
        </w:tc>
      </w:tr>
      <w:tr>
        <w:trPr>
          <w:trHeight w:val="182"/>
        </w:trPr>
        <w:tc>
          <w:tcPr>
            <w:tcW w:w="2420" w:type="dxa"/>
            <w:vAlign w:val="bottom"/>
          </w:tcPr>
          <w:p>
            <w:pPr>
              <w:spacing w:after="0"/>
              <w:rPr>
                <w:sz w:val="15"/>
                <w:szCs w:val="15"/>
                <w:color w:val="auto"/>
              </w:rPr>
            </w:pPr>
          </w:p>
        </w:tc>
        <w:tc>
          <w:tcPr>
            <w:tcW w:w="6140" w:type="dxa"/>
            <w:vAlign w:val="bottom"/>
          </w:tcPr>
          <w:p>
            <w:pPr>
              <w:ind w:left="1020"/>
              <w:spacing w:after="0"/>
              <w:rPr>
                <w:sz w:val="20"/>
                <w:szCs w:val="20"/>
                <w:color w:val="auto"/>
              </w:rPr>
            </w:pPr>
            <w:r>
              <w:rPr>
                <w:rFonts w:ascii="Times New Roman" w:cs="Times New Roman" w:eastAsia="Times New Roman" w:hAnsi="Times New Roman"/>
                <w:sz w:val="14"/>
                <w:szCs w:val="14"/>
                <w:color w:val="auto"/>
              </w:rPr>
              <w:t>of our 6.750% notes due 2030 (the “2030 Notes”);</w:t>
            </w:r>
          </w:p>
        </w:tc>
      </w:tr>
      <w:tr>
        <w:trPr>
          <w:trHeight w:val="262"/>
        </w:trPr>
        <w:tc>
          <w:tcPr>
            <w:tcW w:w="2420" w:type="dxa"/>
            <w:vAlign w:val="bottom"/>
          </w:tcPr>
          <w:p>
            <w:pPr>
              <w:spacing w:after="0"/>
              <w:rPr>
                <w:sz w:val="22"/>
                <w:szCs w:val="22"/>
                <w:color w:val="auto"/>
              </w:rPr>
            </w:pPr>
          </w:p>
        </w:tc>
        <w:tc>
          <w:tcPr>
            <w:tcW w:w="614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  senior to any series of preferred stock that we may issue in the future;</w:t>
            </w:r>
          </w:p>
        </w:tc>
      </w:tr>
      <w:tr>
        <w:trPr>
          <w:trHeight w:val="247"/>
        </w:trPr>
        <w:tc>
          <w:tcPr>
            <w:tcW w:w="2420" w:type="dxa"/>
            <w:vAlign w:val="bottom"/>
          </w:tcPr>
          <w:p>
            <w:pPr>
              <w:spacing w:after="0"/>
              <w:rPr>
                <w:sz w:val="21"/>
                <w:szCs w:val="21"/>
                <w:color w:val="auto"/>
              </w:rPr>
            </w:pPr>
          </w:p>
        </w:tc>
        <w:tc>
          <w:tcPr>
            <w:tcW w:w="614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  senior to any of our future indebtedness that expressly provides it is subordinated to the</w:t>
            </w:r>
          </w:p>
        </w:tc>
      </w:tr>
      <w:tr>
        <w:trPr>
          <w:trHeight w:val="182"/>
        </w:trPr>
        <w:tc>
          <w:tcPr>
            <w:tcW w:w="2420" w:type="dxa"/>
            <w:vAlign w:val="bottom"/>
          </w:tcPr>
          <w:p>
            <w:pPr>
              <w:spacing w:after="0"/>
              <w:rPr>
                <w:sz w:val="15"/>
                <w:szCs w:val="15"/>
                <w:color w:val="auto"/>
              </w:rPr>
            </w:pPr>
          </w:p>
        </w:tc>
        <w:tc>
          <w:tcPr>
            <w:tcW w:w="6140" w:type="dxa"/>
            <w:vAlign w:val="bottom"/>
          </w:tcPr>
          <w:p>
            <w:pPr>
              <w:ind w:left="1020"/>
              <w:spacing w:after="0"/>
              <w:rPr>
                <w:sz w:val="20"/>
                <w:szCs w:val="20"/>
                <w:color w:val="auto"/>
              </w:rPr>
            </w:pPr>
            <w:r>
              <w:rPr>
                <w:rFonts w:ascii="Times New Roman" w:cs="Times New Roman" w:eastAsia="Times New Roman" w:hAnsi="Times New Roman"/>
                <w:sz w:val="14"/>
                <w:szCs w:val="14"/>
                <w:color w:val="auto"/>
              </w:rPr>
              <w:t>Exchange Notes;</w:t>
            </w:r>
          </w:p>
        </w:tc>
      </w:tr>
      <w:tr>
        <w:trPr>
          <w:trHeight w:val="247"/>
        </w:trPr>
        <w:tc>
          <w:tcPr>
            <w:tcW w:w="2420" w:type="dxa"/>
            <w:vAlign w:val="bottom"/>
          </w:tcPr>
          <w:p>
            <w:pPr>
              <w:spacing w:after="0"/>
              <w:rPr>
                <w:sz w:val="21"/>
                <w:szCs w:val="21"/>
                <w:color w:val="auto"/>
              </w:rPr>
            </w:pPr>
          </w:p>
        </w:tc>
        <w:tc>
          <w:tcPr>
            <w:tcW w:w="614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  effectively subordinated to all our existing and future secured indebtedness (including</w:t>
            </w:r>
          </w:p>
        </w:tc>
      </w:tr>
      <w:tr>
        <w:trPr>
          <w:trHeight w:val="167"/>
        </w:trPr>
        <w:tc>
          <w:tcPr>
            <w:tcW w:w="2420" w:type="dxa"/>
            <w:vAlign w:val="bottom"/>
          </w:tcPr>
          <w:p>
            <w:pPr>
              <w:spacing w:after="0"/>
              <w:rPr>
                <w:sz w:val="14"/>
                <w:szCs w:val="14"/>
                <w:color w:val="auto"/>
              </w:rPr>
            </w:pPr>
          </w:p>
        </w:tc>
        <w:tc>
          <w:tcPr>
            <w:tcW w:w="6140" w:type="dxa"/>
            <w:vAlign w:val="bottom"/>
          </w:tcPr>
          <w:p>
            <w:pPr>
              <w:ind w:left="1020"/>
              <w:spacing w:after="0"/>
              <w:rPr>
                <w:sz w:val="20"/>
                <w:szCs w:val="20"/>
                <w:color w:val="auto"/>
              </w:rPr>
            </w:pPr>
            <w:r>
              <w:rPr>
                <w:rFonts w:ascii="Times New Roman" w:cs="Times New Roman" w:eastAsia="Times New Roman" w:hAnsi="Times New Roman"/>
                <w:sz w:val="14"/>
                <w:szCs w:val="14"/>
                <w:color w:val="auto"/>
              </w:rPr>
              <w:t>indebtedness that is initially unsecured to which we subsequently grant security), to the</w:t>
            </w:r>
          </w:p>
        </w:tc>
      </w:tr>
      <w:tr>
        <w:trPr>
          <w:trHeight w:val="167"/>
        </w:trPr>
        <w:tc>
          <w:tcPr>
            <w:tcW w:w="2420" w:type="dxa"/>
            <w:vAlign w:val="bottom"/>
          </w:tcPr>
          <w:p>
            <w:pPr>
              <w:spacing w:after="0"/>
              <w:rPr>
                <w:sz w:val="14"/>
                <w:szCs w:val="14"/>
                <w:color w:val="auto"/>
              </w:rPr>
            </w:pPr>
          </w:p>
        </w:tc>
        <w:tc>
          <w:tcPr>
            <w:tcW w:w="6140" w:type="dxa"/>
            <w:vAlign w:val="bottom"/>
          </w:tcPr>
          <w:p>
            <w:pPr>
              <w:ind w:left="1020"/>
              <w:spacing w:after="0"/>
              <w:rPr>
                <w:sz w:val="20"/>
                <w:szCs w:val="20"/>
                <w:color w:val="auto"/>
              </w:rPr>
            </w:pPr>
            <w:r>
              <w:rPr>
                <w:rFonts w:ascii="Times New Roman" w:cs="Times New Roman" w:eastAsia="Times New Roman" w:hAnsi="Times New Roman"/>
                <w:sz w:val="14"/>
                <w:szCs w:val="14"/>
                <w:color w:val="auto"/>
              </w:rPr>
              <w:t>extent of the value of the assets securing such indebtedness, including, without</w:t>
            </w:r>
          </w:p>
        </w:tc>
      </w:tr>
      <w:tr>
        <w:trPr>
          <w:trHeight w:val="182"/>
        </w:trPr>
        <w:tc>
          <w:tcPr>
            <w:tcW w:w="2420" w:type="dxa"/>
            <w:vAlign w:val="bottom"/>
          </w:tcPr>
          <w:p>
            <w:pPr>
              <w:spacing w:after="0"/>
              <w:rPr>
                <w:sz w:val="15"/>
                <w:szCs w:val="15"/>
                <w:color w:val="auto"/>
              </w:rPr>
            </w:pPr>
          </w:p>
        </w:tc>
        <w:tc>
          <w:tcPr>
            <w:tcW w:w="6140" w:type="dxa"/>
            <w:vAlign w:val="bottom"/>
          </w:tcPr>
          <w:p>
            <w:pPr>
              <w:ind w:left="1020"/>
              <w:spacing w:after="0"/>
              <w:rPr>
                <w:sz w:val="20"/>
                <w:szCs w:val="20"/>
                <w:color w:val="auto"/>
              </w:rPr>
            </w:pPr>
            <w:r>
              <w:rPr>
                <w:rFonts w:ascii="Times New Roman" w:cs="Times New Roman" w:eastAsia="Times New Roman" w:hAnsi="Times New Roman"/>
                <w:sz w:val="14"/>
                <w:szCs w:val="14"/>
                <w:color w:val="auto"/>
              </w:rPr>
              <w:t>limitation, as of June 29, 2026, $11.1 million in our secured borrowings; and</w:t>
            </w:r>
          </w:p>
        </w:tc>
      </w:tr>
      <w:tr>
        <w:trPr>
          <w:trHeight w:val="247"/>
        </w:trPr>
        <w:tc>
          <w:tcPr>
            <w:tcW w:w="2420" w:type="dxa"/>
            <w:vAlign w:val="bottom"/>
          </w:tcPr>
          <w:p>
            <w:pPr>
              <w:spacing w:after="0"/>
              <w:rPr>
                <w:sz w:val="21"/>
                <w:szCs w:val="21"/>
                <w:color w:val="auto"/>
              </w:rPr>
            </w:pPr>
          </w:p>
        </w:tc>
        <w:tc>
          <w:tcPr>
            <w:tcW w:w="614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  structurally subordinated to all existing and future indebtedness and other obligations of</w:t>
            </w:r>
          </w:p>
        </w:tc>
      </w:tr>
      <w:tr>
        <w:trPr>
          <w:trHeight w:val="167"/>
        </w:trPr>
        <w:tc>
          <w:tcPr>
            <w:tcW w:w="2420" w:type="dxa"/>
            <w:vAlign w:val="bottom"/>
          </w:tcPr>
          <w:p>
            <w:pPr>
              <w:spacing w:after="0"/>
              <w:rPr>
                <w:sz w:val="14"/>
                <w:szCs w:val="14"/>
                <w:color w:val="auto"/>
              </w:rPr>
            </w:pPr>
          </w:p>
        </w:tc>
        <w:tc>
          <w:tcPr>
            <w:tcW w:w="6140" w:type="dxa"/>
            <w:vAlign w:val="bottom"/>
          </w:tcPr>
          <w:p>
            <w:pPr>
              <w:ind w:left="1020"/>
              <w:spacing w:after="0"/>
              <w:rPr>
                <w:sz w:val="20"/>
                <w:szCs w:val="20"/>
                <w:color w:val="auto"/>
              </w:rPr>
            </w:pPr>
            <w:r>
              <w:rPr>
                <w:rFonts w:ascii="Times New Roman" w:cs="Times New Roman" w:eastAsia="Times New Roman" w:hAnsi="Times New Roman"/>
                <w:sz w:val="14"/>
                <w:szCs w:val="14"/>
                <w:color w:val="auto"/>
              </w:rPr>
              <w:t>any of our subsidiaries, including, without limitation, as of June 29, 2026, $112.7</w:t>
            </w:r>
          </w:p>
        </w:tc>
      </w:tr>
      <w:tr>
        <w:trPr>
          <w:trHeight w:val="167"/>
        </w:trPr>
        <w:tc>
          <w:tcPr>
            <w:tcW w:w="2420" w:type="dxa"/>
            <w:vAlign w:val="bottom"/>
          </w:tcPr>
          <w:p>
            <w:pPr>
              <w:spacing w:after="0"/>
              <w:rPr>
                <w:sz w:val="14"/>
                <w:szCs w:val="14"/>
                <w:color w:val="auto"/>
              </w:rPr>
            </w:pPr>
          </w:p>
        </w:tc>
        <w:tc>
          <w:tcPr>
            <w:tcW w:w="6140" w:type="dxa"/>
            <w:vAlign w:val="bottom"/>
          </w:tcPr>
          <w:p>
            <w:pPr>
              <w:ind w:left="1020"/>
              <w:spacing w:after="0"/>
              <w:rPr>
                <w:sz w:val="20"/>
                <w:szCs w:val="20"/>
                <w:color w:val="auto"/>
              </w:rPr>
            </w:pPr>
            <w:r>
              <w:rPr>
                <w:rFonts w:ascii="Times New Roman" w:cs="Times New Roman" w:eastAsia="Times New Roman" w:hAnsi="Times New Roman"/>
                <w:sz w:val="14"/>
                <w:szCs w:val="14"/>
                <w:color w:val="auto"/>
              </w:rPr>
              <w:t>million in outstanding borrowings under our special purpose vehicle credit facility with</w:t>
            </w:r>
          </w:p>
        </w:tc>
      </w:tr>
      <w:tr>
        <w:trPr>
          <w:trHeight w:val="167"/>
        </w:trPr>
        <w:tc>
          <w:tcPr>
            <w:tcW w:w="2420" w:type="dxa"/>
            <w:vAlign w:val="bottom"/>
          </w:tcPr>
          <w:p>
            <w:pPr>
              <w:spacing w:after="0"/>
              <w:rPr>
                <w:sz w:val="14"/>
                <w:szCs w:val="14"/>
                <w:color w:val="auto"/>
              </w:rPr>
            </w:pPr>
          </w:p>
        </w:tc>
        <w:tc>
          <w:tcPr>
            <w:tcW w:w="6140" w:type="dxa"/>
            <w:vAlign w:val="bottom"/>
          </w:tcPr>
          <w:p>
            <w:pPr>
              <w:ind w:left="1020"/>
              <w:spacing w:after="0"/>
              <w:rPr>
                <w:sz w:val="20"/>
                <w:szCs w:val="20"/>
                <w:color w:val="auto"/>
              </w:rPr>
            </w:pPr>
            <w:r>
              <w:rPr>
                <w:rFonts w:ascii="Times New Roman" w:cs="Times New Roman" w:eastAsia="Times New Roman" w:hAnsi="Times New Roman"/>
                <w:sz w:val="14"/>
                <w:szCs w:val="14"/>
                <w:color w:val="auto"/>
              </w:rPr>
              <w:t>ING Capital LLC (the “SPV Credit Facility”) and $296.0 million in outstanding SBA</w:t>
            </w:r>
          </w:p>
        </w:tc>
      </w:tr>
      <w:tr>
        <w:trPr>
          <w:trHeight w:val="182"/>
        </w:trPr>
        <w:tc>
          <w:tcPr>
            <w:tcW w:w="2420" w:type="dxa"/>
            <w:vAlign w:val="bottom"/>
          </w:tcPr>
          <w:p>
            <w:pPr>
              <w:spacing w:after="0"/>
              <w:rPr>
                <w:sz w:val="15"/>
                <w:szCs w:val="15"/>
                <w:color w:val="auto"/>
              </w:rPr>
            </w:pPr>
          </w:p>
        </w:tc>
        <w:tc>
          <w:tcPr>
            <w:tcW w:w="6140" w:type="dxa"/>
            <w:vAlign w:val="bottom"/>
          </w:tcPr>
          <w:p>
            <w:pPr>
              <w:ind w:left="1020"/>
              <w:spacing w:after="0"/>
              <w:rPr>
                <w:sz w:val="20"/>
                <w:szCs w:val="20"/>
                <w:color w:val="auto"/>
              </w:rPr>
            </w:pPr>
            <w:r>
              <w:rPr>
                <w:rFonts w:ascii="Times New Roman" w:cs="Times New Roman" w:eastAsia="Times New Roman" w:hAnsi="Times New Roman"/>
                <w:sz w:val="14"/>
                <w:szCs w:val="14"/>
                <w:color w:val="auto"/>
              </w:rPr>
              <w:t>debentures.</w:t>
            </w:r>
          </w:p>
        </w:tc>
      </w:tr>
      <w:tr>
        <w:trPr>
          <w:trHeight w:val="341"/>
        </w:trPr>
        <w:tc>
          <w:tcPr>
            <w:tcW w:w="242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Interest Payment Dates</w:t>
            </w:r>
          </w:p>
        </w:tc>
        <w:tc>
          <w:tcPr>
            <w:tcW w:w="614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Each June 1 and December 1 of each year, commencing December 1, 2026. If an interest</w:t>
            </w:r>
          </w:p>
        </w:tc>
      </w:tr>
      <w:tr>
        <w:trPr>
          <w:trHeight w:val="167"/>
        </w:trPr>
        <w:tc>
          <w:tcPr>
            <w:tcW w:w="2420" w:type="dxa"/>
            <w:vAlign w:val="bottom"/>
          </w:tcPr>
          <w:p>
            <w:pPr>
              <w:spacing w:after="0"/>
              <w:rPr>
                <w:sz w:val="14"/>
                <w:szCs w:val="14"/>
                <w:color w:val="auto"/>
              </w:rPr>
            </w:pPr>
          </w:p>
        </w:tc>
        <w:tc>
          <w:tcPr>
            <w:tcW w:w="614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payment date falls on a non-business day, the applicable interest payment will be made on</w:t>
            </w:r>
          </w:p>
        </w:tc>
      </w:tr>
      <w:tr>
        <w:trPr>
          <w:trHeight w:val="167"/>
        </w:trPr>
        <w:tc>
          <w:tcPr>
            <w:tcW w:w="2420" w:type="dxa"/>
            <w:vAlign w:val="bottom"/>
          </w:tcPr>
          <w:p>
            <w:pPr>
              <w:spacing w:after="0"/>
              <w:rPr>
                <w:sz w:val="14"/>
                <w:szCs w:val="14"/>
                <w:color w:val="auto"/>
              </w:rPr>
            </w:pPr>
          </w:p>
        </w:tc>
        <w:tc>
          <w:tcPr>
            <w:tcW w:w="614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the next business day and no additional interest will accrue as a result of such delayed</w:t>
            </w:r>
          </w:p>
        </w:tc>
      </w:tr>
      <w:tr>
        <w:trPr>
          <w:trHeight w:val="182"/>
        </w:trPr>
        <w:tc>
          <w:tcPr>
            <w:tcW w:w="2420" w:type="dxa"/>
            <w:vAlign w:val="bottom"/>
          </w:tcPr>
          <w:p>
            <w:pPr>
              <w:spacing w:after="0"/>
              <w:rPr>
                <w:sz w:val="15"/>
                <w:szCs w:val="15"/>
                <w:color w:val="auto"/>
              </w:rPr>
            </w:pPr>
          </w:p>
        </w:tc>
        <w:tc>
          <w:tcPr>
            <w:tcW w:w="614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payment.</w:t>
            </w:r>
          </w:p>
        </w:tc>
      </w:tr>
      <w:tr>
        <w:trPr>
          <w:trHeight w:val="341"/>
        </w:trPr>
        <w:tc>
          <w:tcPr>
            <w:tcW w:w="242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Optional Redemption</w:t>
            </w:r>
          </w:p>
        </w:tc>
        <w:tc>
          <w:tcPr>
            <w:tcW w:w="614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We may redeem some or all of the Exchange Notes at our option, in whole or in part, at any</w:t>
            </w:r>
          </w:p>
        </w:tc>
      </w:tr>
      <w:tr>
        <w:trPr>
          <w:trHeight w:val="167"/>
        </w:trPr>
        <w:tc>
          <w:tcPr>
            <w:tcW w:w="2420" w:type="dxa"/>
            <w:vAlign w:val="bottom"/>
          </w:tcPr>
          <w:p>
            <w:pPr>
              <w:spacing w:after="0"/>
              <w:rPr>
                <w:sz w:val="14"/>
                <w:szCs w:val="14"/>
                <w:color w:val="auto"/>
              </w:rPr>
            </w:pPr>
          </w:p>
        </w:tc>
        <w:tc>
          <w:tcPr>
            <w:tcW w:w="614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time and from time to time, at a redemption price plus a prepayment settlement amount,</w:t>
            </w:r>
          </w:p>
        </w:tc>
      </w:tr>
      <w:tr>
        <w:trPr>
          <w:trHeight w:val="167"/>
        </w:trPr>
        <w:tc>
          <w:tcPr>
            <w:tcW w:w="2420" w:type="dxa"/>
            <w:vAlign w:val="bottom"/>
          </w:tcPr>
          <w:p>
            <w:pPr>
              <w:spacing w:after="0"/>
              <w:rPr>
                <w:sz w:val="14"/>
                <w:szCs w:val="14"/>
                <w:color w:val="auto"/>
              </w:rPr>
            </w:pPr>
          </w:p>
        </w:tc>
        <w:tc>
          <w:tcPr>
            <w:tcW w:w="614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provided that such prepayment must equal at least 10% of the aggregate principal amount</w:t>
            </w:r>
          </w:p>
        </w:tc>
      </w:tr>
      <w:tr>
        <w:trPr>
          <w:trHeight w:val="182"/>
        </w:trPr>
        <w:tc>
          <w:tcPr>
            <w:tcW w:w="2420" w:type="dxa"/>
            <w:vAlign w:val="bottom"/>
          </w:tcPr>
          <w:p>
            <w:pPr>
              <w:spacing w:after="0"/>
              <w:rPr>
                <w:sz w:val="15"/>
                <w:szCs w:val="15"/>
                <w:color w:val="auto"/>
              </w:rPr>
            </w:pPr>
          </w:p>
        </w:tc>
        <w:tc>
          <w:tcPr>
            <w:tcW w:w="614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of the Exchange Notes then outstanding in the case of a partial prepayment.</w:t>
            </w:r>
          </w:p>
        </w:tc>
      </w:tr>
      <w:tr>
        <w:trPr>
          <w:trHeight w:val="131"/>
        </w:trPr>
        <w:tc>
          <w:tcPr>
            <w:tcW w:w="2420" w:type="dxa"/>
            <w:vAlign w:val="bottom"/>
            <w:tcBorders>
              <w:bottom w:val="single" w:sz="8" w:color="auto"/>
            </w:tcBorders>
          </w:tcPr>
          <w:p>
            <w:pPr>
              <w:spacing w:after="0"/>
              <w:rPr>
                <w:sz w:val="11"/>
                <w:szCs w:val="11"/>
                <w:color w:val="auto"/>
              </w:rPr>
            </w:pPr>
          </w:p>
        </w:tc>
        <w:tc>
          <w:tcPr>
            <w:tcW w:w="6140" w:type="dxa"/>
            <w:vAlign w:val="bottom"/>
            <w:tcBorders>
              <w:bottom w:val="single" w:sz="8" w:color="auto"/>
            </w:tcBorders>
          </w:tcPr>
          <w:p>
            <w:pPr>
              <w:spacing w:after="0"/>
              <w:rPr>
                <w:sz w:val="11"/>
                <w:szCs w:val="11"/>
                <w:color w:val="auto"/>
              </w:rPr>
            </w:pPr>
          </w:p>
        </w:tc>
      </w:tr>
      <w:tr>
        <w:trPr>
          <w:trHeight w:val="278"/>
        </w:trPr>
        <w:tc>
          <w:tcPr>
            <w:tcW w:w="2420" w:type="dxa"/>
            <w:vAlign w:val="bottom"/>
          </w:tcPr>
          <w:p>
            <w:pPr>
              <w:spacing w:after="0"/>
              <w:rPr>
                <w:sz w:val="24"/>
                <w:szCs w:val="24"/>
                <w:color w:val="auto"/>
              </w:rPr>
            </w:pPr>
          </w:p>
        </w:tc>
        <w:tc>
          <w:tcPr>
            <w:tcW w:w="6140" w:type="dxa"/>
            <w:vAlign w:val="bottom"/>
          </w:tcPr>
          <w:p>
            <w:pPr>
              <w:ind w:left="1820"/>
              <w:spacing w:after="0"/>
              <w:rPr>
                <w:sz w:val="20"/>
                <w:szCs w:val="20"/>
                <w:color w:val="auto"/>
              </w:rPr>
            </w:pPr>
            <w:r>
              <w:rPr>
                <w:rFonts w:ascii="Times New Roman" w:cs="Times New Roman" w:eastAsia="Times New Roman" w:hAnsi="Times New Roman"/>
                <w:sz w:val="14"/>
                <w:szCs w:val="14"/>
                <w:color w:val="auto"/>
              </w:rPr>
              <w:t>8</w:t>
            </w:r>
          </w:p>
        </w:tc>
      </w:tr>
    </w:tbl>
    <w:p>
      <w:pPr>
        <w:sectPr>
          <w:pgSz w:w="11900" w:h="16838" w:orient="portrait"/>
          <w:cols w:equalWidth="0" w:num="1">
            <w:col w:w="10159"/>
          </w:cols>
          <w:pgMar w:left="300" w:top="384" w:right="1440"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39" w:lineRule="exact"/>
        <w:rPr>
          <w:sz w:val="20"/>
          <w:szCs w:val="20"/>
          <w:color w:val="auto"/>
        </w:rPr>
      </w:pPr>
    </w:p>
    <w:tbl>
      <w:tblPr>
        <w:tblLayout w:type="fixed"/>
        <w:tblInd w:w="1370" w:type="dxa"/>
        <w:tblCellMar>
          <w:top w:w="0" w:type="dxa"/>
          <w:left w:w="0" w:type="dxa"/>
          <w:bottom w:w="0" w:type="dxa"/>
          <w:right w:w="0" w:type="dxa"/>
        </w:tblCellMar>
      </w:tblPr>
      <w:tr>
        <w:trPr>
          <w:trHeight w:val="294"/>
        </w:trPr>
        <w:tc>
          <w:tcPr>
            <w:tcW w:w="2920" w:type="dxa"/>
            <w:vAlign w:val="bottom"/>
            <w:tcBorders>
              <w:top w:val="single" w:sz="8" w:color="auto"/>
              <w:left w:val="single" w:sz="8" w:color="auto"/>
            </w:tcBorders>
          </w:tcPr>
          <w:p>
            <w:pPr>
              <w:spacing w:after="0"/>
              <w:rPr>
                <w:sz w:val="24"/>
                <w:szCs w:val="24"/>
                <w:color w:val="auto"/>
              </w:rPr>
            </w:pPr>
          </w:p>
        </w:tc>
        <w:tc>
          <w:tcPr>
            <w:tcW w:w="5640" w:type="dxa"/>
            <w:vAlign w:val="bottom"/>
            <w:tcBorders>
              <w:top w:val="single" w:sz="8" w:color="auto"/>
              <w:right w:val="single" w:sz="8" w:color="auto"/>
            </w:tcBorders>
          </w:tcPr>
          <w:p>
            <w:pPr>
              <w:ind w:left="360"/>
              <w:spacing w:after="0"/>
              <w:rPr>
                <w:sz w:val="20"/>
                <w:szCs w:val="20"/>
                <w:color w:val="auto"/>
              </w:rPr>
            </w:pPr>
            <w:r>
              <w:rPr>
                <w:rFonts w:ascii="Times New Roman" w:cs="Times New Roman" w:eastAsia="Times New Roman" w:hAnsi="Times New Roman"/>
                <w:sz w:val="14"/>
                <w:szCs w:val="14"/>
                <w:color w:val="auto"/>
              </w:rPr>
              <w:t>Prior to March 1, 2029 (the “Par Call Date”), the redemption price will equal 100% of the</w:t>
            </w:r>
          </w:p>
        </w:tc>
      </w:tr>
      <w:tr>
        <w:trPr>
          <w:trHeight w:val="167"/>
        </w:trPr>
        <w:tc>
          <w:tcPr>
            <w:tcW w:w="2920" w:type="dxa"/>
            <w:vAlign w:val="bottom"/>
            <w:tcBorders>
              <w:left w:val="single" w:sz="8" w:color="auto"/>
            </w:tcBorders>
          </w:tcPr>
          <w:p>
            <w:pPr>
              <w:spacing w:after="0"/>
              <w:rPr>
                <w:sz w:val="14"/>
                <w:szCs w:val="14"/>
                <w:color w:val="auto"/>
              </w:rPr>
            </w:pPr>
          </w:p>
        </w:tc>
        <w:tc>
          <w:tcPr>
            <w:tcW w:w="5640" w:type="dxa"/>
            <w:vAlign w:val="bottom"/>
            <w:tcBorders>
              <w:right w:val="single" w:sz="8" w:color="auto"/>
            </w:tcBorders>
          </w:tcPr>
          <w:p>
            <w:pPr>
              <w:ind w:left="360"/>
              <w:spacing w:after="0"/>
              <w:rPr>
                <w:sz w:val="20"/>
                <w:szCs w:val="20"/>
                <w:color w:val="auto"/>
              </w:rPr>
            </w:pPr>
            <w:r>
              <w:rPr>
                <w:rFonts w:ascii="Times New Roman" w:cs="Times New Roman" w:eastAsia="Times New Roman" w:hAnsi="Times New Roman"/>
                <w:sz w:val="14"/>
                <w:szCs w:val="14"/>
                <w:color w:val="auto"/>
              </w:rPr>
              <w:t>principal amount of the Exchange Notes being prepaid plus the prepayment settlement</w:t>
            </w:r>
          </w:p>
        </w:tc>
      </w:tr>
      <w:tr>
        <w:trPr>
          <w:trHeight w:val="167"/>
        </w:trPr>
        <w:tc>
          <w:tcPr>
            <w:tcW w:w="2920" w:type="dxa"/>
            <w:vAlign w:val="bottom"/>
            <w:tcBorders>
              <w:left w:val="single" w:sz="8" w:color="auto"/>
            </w:tcBorders>
          </w:tcPr>
          <w:p>
            <w:pPr>
              <w:spacing w:after="0"/>
              <w:rPr>
                <w:sz w:val="14"/>
                <w:szCs w:val="14"/>
                <w:color w:val="auto"/>
              </w:rPr>
            </w:pPr>
          </w:p>
        </w:tc>
        <w:tc>
          <w:tcPr>
            <w:tcW w:w="5640" w:type="dxa"/>
            <w:vAlign w:val="bottom"/>
            <w:tcBorders>
              <w:right w:val="single" w:sz="8" w:color="auto"/>
            </w:tcBorders>
          </w:tcPr>
          <w:p>
            <w:pPr>
              <w:ind w:left="360"/>
              <w:spacing w:after="0"/>
              <w:rPr>
                <w:sz w:val="20"/>
                <w:szCs w:val="20"/>
                <w:color w:val="auto"/>
              </w:rPr>
            </w:pPr>
            <w:r>
              <w:rPr>
                <w:rFonts w:ascii="Times New Roman" w:cs="Times New Roman" w:eastAsia="Times New Roman" w:hAnsi="Times New Roman"/>
                <w:sz w:val="14"/>
                <w:szCs w:val="14"/>
                <w:color w:val="auto"/>
              </w:rPr>
              <w:t>amount, which will equal the excess, if any, of the discounted value of the remaining</w:t>
            </w:r>
          </w:p>
        </w:tc>
      </w:tr>
      <w:tr>
        <w:trPr>
          <w:trHeight w:val="165"/>
        </w:trPr>
        <w:tc>
          <w:tcPr>
            <w:tcW w:w="2920" w:type="dxa"/>
            <w:vAlign w:val="bottom"/>
            <w:tcBorders>
              <w:left w:val="single" w:sz="8" w:color="auto"/>
            </w:tcBorders>
          </w:tcPr>
          <w:p>
            <w:pPr>
              <w:spacing w:after="0"/>
              <w:rPr>
                <w:sz w:val="14"/>
                <w:szCs w:val="14"/>
                <w:color w:val="auto"/>
              </w:rPr>
            </w:pPr>
          </w:p>
        </w:tc>
        <w:tc>
          <w:tcPr>
            <w:tcW w:w="5640" w:type="dxa"/>
            <w:vAlign w:val="bottom"/>
            <w:tcBorders>
              <w:right w:val="single" w:sz="8" w:color="auto"/>
            </w:tcBorders>
          </w:tcPr>
          <w:p>
            <w:pPr>
              <w:ind w:left="360"/>
              <w:spacing w:after="0"/>
              <w:rPr>
                <w:sz w:val="20"/>
                <w:szCs w:val="20"/>
                <w:color w:val="auto"/>
              </w:rPr>
            </w:pPr>
            <w:r>
              <w:rPr>
                <w:rFonts w:ascii="Times New Roman" w:cs="Times New Roman" w:eastAsia="Times New Roman" w:hAnsi="Times New Roman"/>
                <w:sz w:val="14"/>
                <w:szCs w:val="14"/>
                <w:color w:val="auto"/>
              </w:rPr>
              <w:t>scheduled payments with respect to the called principal of the Exchange Notes over the</w:t>
            </w:r>
          </w:p>
        </w:tc>
      </w:tr>
      <w:tr>
        <w:trPr>
          <w:trHeight w:val="169"/>
        </w:trPr>
        <w:tc>
          <w:tcPr>
            <w:tcW w:w="2920" w:type="dxa"/>
            <w:vAlign w:val="bottom"/>
            <w:tcBorders>
              <w:left w:val="single" w:sz="8" w:color="auto"/>
            </w:tcBorders>
          </w:tcPr>
          <w:p>
            <w:pPr>
              <w:spacing w:after="0"/>
              <w:rPr>
                <w:sz w:val="14"/>
                <w:szCs w:val="14"/>
                <w:color w:val="auto"/>
              </w:rPr>
            </w:pPr>
          </w:p>
        </w:tc>
        <w:tc>
          <w:tcPr>
            <w:tcW w:w="5640" w:type="dxa"/>
            <w:vAlign w:val="bottom"/>
            <w:tcBorders>
              <w:right w:val="single" w:sz="8" w:color="auto"/>
            </w:tcBorders>
          </w:tcPr>
          <w:p>
            <w:pPr>
              <w:ind w:left="360"/>
              <w:spacing w:after="0"/>
              <w:rPr>
                <w:sz w:val="20"/>
                <w:szCs w:val="20"/>
                <w:color w:val="auto"/>
              </w:rPr>
            </w:pPr>
            <w:r>
              <w:rPr>
                <w:rFonts w:ascii="Times New Roman" w:cs="Times New Roman" w:eastAsia="Times New Roman" w:hAnsi="Times New Roman"/>
                <w:sz w:val="14"/>
                <w:szCs w:val="14"/>
                <w:color w:val="auto"/>
              </w:rPr>
              <w:t xml:space="preserve">amount of such called principal, </w:t>
            </w:r>
            <w:r>
              <w:rPr>
                <w:rFonts w:ascii="Times New Roman" w:cs="Times New Roman" w:eastAsia="Times New Roman" w:hAnsi="Times New Roman"/>
                <w:sz w:val="14"/>
                <w:szCs w:val="14"/>
                <w:i w:val="1"/>
                <w:iCs w:val="1"/>
                <w:color w:val="auto"/>
              </w:rPr>
              <w:t>provide</w:t>
            </w:r>
            <w:r>
              <w:rPr>
                <w:rFonts w:ascii="Times New Roman" w:cs="Times New Roman" w:eastAsia="Times New Roman" w:hAnsi="Times New Roman"/>
                <w:sz w:val="14"/>
                <w:szCs w:val="14"/>
                <w:color w:val="auto"/>
              </w:rPr>
              <w:t>d that the make-whole amount may in no event be</w:t>
            </w:r>
          </w:p>
        </w:tc>
      </w:tr>
      <w:tr>
        <w:trPr>
          <w:trHeight w:val="182"/>
        </w:trPr>
        <w:tc>
          <w:tcPr>
            <w:tcW w:w="2920" w:type="dxa"/>
            <w:vAlign w:val="bottom"/>
            <w:tcBorders>
              <w:left w:val="single" w:sz="8" w:color="auto"/>
            </w:tcBorders>
          </w:tcPr>
          <w:p>
            <w:pPr>
              <w:spacing w:after="0"/>
              <w:rPr>
                <w:sz w:val="15"/>
                <w:szCs w:val="15"/>
                <w:color w:val="auto"/>
              </w:rPr>
            </w:pPr>
          </w:p>
        </w:tc>
        <w:tc>
          <w:tcPr>
            <w:tcW w:w="5640" w:type="dxa"/>
            <w:vAlign w:val="bottom"/>
            <w:tcBorders>
              <w:right w:val="single" w:sz="8" w:color="auto"/>
            </w:tcBorders>
          </w:tcPr>
          <w:p>
            <w:pPr>
              <w:ind w:left="360"/>
              <w:spacing w:after="0"/>
              <w:rPr>
                <w:sz w:val="20"/>
                <w:szCs w:val="20"/>
                <w:color w:val="auto"/>
              </w:rPr>
            </w:pPr>
            <w:r>
              <w:rPr>
                <w:rFonts w:ascii="Times New Roman" w:cs="Times New Roman" w:eastAsia="Times New Roman" w:hAnsi="Times New Roman"/>
                <w:sz w:val="14"/>
                <w:szCs w:val="14"/>
                <w:color w:val="auto"/>
              </w:rPr>
              <w:t>less than zero.</w:t>
            </w:r>
          </w:p>
        </w:tc>
      </w:tr>
      <w:tr>
        <w:trPr>
          <w:trHeight w:val="341"/>
        </w:trPr>
        <w:tc>
          <w:tcPr>
            <w:tcW w:w="2920" w:type="dxa"/>
            <w:vAlign w:val="bottom"/>
            <w:tcBorders>
              <w:left w:val="single" w:sz="8" w:color="auto"/>
            </w:tcBorders>
          </w:tcPr>
          <w:p>
            <w:pPr>
              <w:spacing w:after="0"/>
              <w:rPr>
                <w:sz w:val="24"/>
                <w:szCs w:val="24"/>
                <w:color w:val="auto"/>
              </w:rPr>
            </w:pPr>
          </w:p>
        </w:tc>
        <w:tc>
          <w:tcPr>
            <w:tcW w:w="5640" w:type="dxa"/>
            <w:vAlign w:val="bottom"/>
            <w:tcBorders>
              <w:right w:val="single" w:sz="8" w:color="auto"/>
            </w:tcBorders>
          </w:tcPr>
          <w:p>
            <w:pPr>
              <w:ind w:left="360"/>
              <w:spacing w:after="0"/>
              <w:rPr>
                <w:sz w:val="20"/>
                <w:szCs w:val="20"/>
                <w:color w:val="auto"/>
              </w:rPr>
            </w:pPr>
            <w:r>
              <w:rPr>
                <w:rFonts w:ascii="Times New Roman" w:cs="Times New Roman" w:eastAsia="Times New Roman" w:hAnsi="Times New Roman"/>
                <w:sz w:val="14"/>
                <w:szCs w:val="14"/>
                <w:color w:val="auto"/>
              </w:rPr>
              <w:t>On or after the Par Call Date, the redemption price will equal 100% of the principal amount</w:t>
            </w:r>
          </w:p>
        </w:tc>
      </w:tr>
      <w:tr>
        <w:trPr>
          <w:trHeight w:val="167"/>
        </w:trPr>
        <w:tc>
          <w:tcPr>
            <w:tcW w:w="2920" w:type="dxa"/>
            <w:vAlign w:val="bottom"/>
            <w:tcBorders>
              <w:left w:val="single" w:sz="8" w:color="auto"/>
            </w:tcBorders>
          </w:tcPr>
          <w:p>
            <w:pPr>
              <w:spacing w:after="0"/>
              <w:rPr>
                <w:sz w:val="14"/>
                <w:szCs w:val="14"/>
                <w:color w:val="auto"/>
              </w:rPr>
            </w:pPr>
          </w:p>
        </w:tc>
        <w:tc>
          <w:tcPr>
            <w:tcW w:w="5640" w:type="dxa"/>
            <w:vAlign w:val="bottom"/>
            <w:tcBorders>
              <w:right w:val="single" w:sz="8" w:color="auto"/>
            </w:tcBorders>
          </w:tcPr>
          <w:p>
            <w:pPr>
              <w:ind w:left="360"/>
              <w:spacing w:after="0"/>
              <w:rPr>
                <w:sz w:val="20"/>
                <w:szCs w:val="20"/>
                <w:color w:val="auto"/>
              </w:rPr>
            </w:pPr>
            <w:r>
              <w:rPr>
                <w:rFonts w:ascii="Times New Roman" w:cs="Times New Roman" w:eastAsia="Times New Roman" w:hAnsi="Times New Roman"/>
                <w:sz w:val="14"/>
                <w:szCs w:val="14"/>
                <w:color w:val="auto"/>
              </w:rPr>
              <w:t>of the Exchange Notes being prepaid plus the prepayment settlement amount, which will</w:t>
            </w:r>
          </w:p>
        </w:tc>
      </w:tr>
      <w:tr>
        <w:trPr>
          <w:trHeight w:val="182"/>
        </w:trPr>
        <w:tc>
          <w:tcPr>
            <w:tcW w:w="2920" w:type="dxa"/>
            <w:vAlign w:val="bottom"/>
            <w:tcBorders>
              <w:left w:val="single" w:sz="8" w:color="auto"/>
            </w:tcBorders>
          </w:tcPr>
          <w:p>
            <w:pPr>
              <w:spacing w:after="0"/>
              <w:rPr>
                <w:sz w:val="15"/>
                <w:szCs w:val="15"/>
                <w:color w:val="auto"/>
              </w:rPr>
            </w:pPr>
          </w:p>
        </w:tc>
        <w:tc>
          <w:tcPr>
            <w:tcW w:w="5640" w:type="dxa"/>
            <w:vAlign w:val="bottom"/>
            <w:tcBorders>
              <w:right w:val="single" w:sz="8" w:color="auto"/>
            </w:tcBorders>
          </w:tcPr>
          <w:p>
            <w:pPr>
              <w:ind w:left="360"/>
              <w:spacing w:after="0"/>
              <w:rPr>
                <w:sz w:val="20"/>
                <w:szCs w:val="20"/>
                <w:color w:val="auto"/>
              </w:rPr>
            </w:pPr>
            <w:r>
              <w:rPr>
                <w:rFonts w:ascii="Times New Roman" w:cs="Times New Roman" w:eastAsia="Times New Roman" w:hAnsi="Times New Roman"/>
                <w:sz w:val="14"/>
                <w:szCs w:val="14"/>
                <w:color w:val="auto"/>
              </w:rPr>
              <w:t>equal accrued and unpaid interest thereon to, but excluding, the redemption date.</w:t>
            </w:r>
          </w:p>
        </w:tc>
      </w:tr>
      <w:tr>
        <w:trPr>
          <w:trHeight w:val="339"/>
        </w:trPr>
        <w:tc>
          <w:tcPr>
            <w:tcW w:w="2920" w:type="dxa"/>
            <w:vAlign w:val="bottom"/>
            <w:tcBorders>
              <w:left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Change of Control; Offer to Repurchase</w:t>
            </w:r>
          </w:p>
        </w:tc>
        <w:tc>
          <w:tcPr>
            <w:tcW w:w="5640" w:type="dxa"/>
            <w:vAlign w:val="bottom"/>
            <w:tcBorders>
              <w:right w:val="single" w:sz="8" w:color="auto"/>
            </w:tcBorders>
          </w:tcPr>
          <w:p>
            <w:pPr>
              <w:ind w:left="360"/>
              <w:spacing w:after="0"/>
              <w:rPr>
                <w:sz w:val="20"/>
                <w:szCs w:val="20"/>
                <w:color w:val="auto"/>
              </w:rPr>
            </w:pPr>
            <w:r>
              <w:rPr>
                <w:rFonts w:ascii="Times New Roman" w:cs="Times New Roman" w:eastAsia="Times New Roman" w:hAnsi="Times New Roman"/>
                <w:sz w:val="14"/>
                <w:szCs w:val="14"/>
                <w:color w:val="auto"/>
              </w:rPr>
              <w:t>If a Change of Control Repurchase Event described under “</w:t>
            </w:r>
            <w:r>
              <w:rPr>
                <w:rFonts w:ascii="Times New Roman" w:cs="Times New Roman" w:eastAsia="Times New Roman" w:hAnsi="Times New Roman"/>
                <w:sz w:val="14"/>
                <w:szCs w:val="14"/>
                <w:i w:val="1"/>
                <w:iCs w:val="1"/>
                <w:color w:val="auto"/>
              </w:rPr>
              <w:t>Description of the Exchange</w:t>
            </w:r>
          </w:p>
        </w:tc>
      </w:tr>
      <w:tr>
        <w:trPr>
          <w:trHeight w:val="169"/>
        </w:trPr>
        <w:tc>
          <w:tcPr>
            <w:tcW w:w="2920" w:type="dxa"/>
            <w:vAlign w:val="bottom"/>
            <w:tcBorders>
              <w:left w:val="single" w:sz="8" w:color="auto"/>
            </w:tcBorders>
          </w:tcPr>
          <w:p>
            <w:pPr>
              <w:spacing w:after="0"/>
              <w:rPr>
                <w:sz w:val="14"/>
                <w:szCs w:val="14"/>
                <w:color w:val="auto"/>
              </w:rPr>
            </w:pPr>
          </w:p>
        </w:tc>
        <w:tc>
          <w:tcPr>
            <w:tcW w:w="5640" w:type="dxa"/>
            <w:vAlign w:val="bottom"/>
            <w:tcBorders>
              <w:right w:val="single" w:sz="8" w:color="auto"/>
            </w:tcBorders>
          </w:tcPr>
          <w:p>
            <w:pPr>
              <w:ind w:left="360"/>
              <w:spacing w:after="0"/>
              <w:rPr>
                <w:sz w:val="20"/>
                <w:szCs w:val="20"/>
                <w:color w:val="auto"/>
              </w:rPr>
            </w:pPr>
            <w:r>
              <w:rPr>
                <w:rFonts w:ascii="Times New Roman" w:cs="Times New Roman" w:eastAsia="Times New Roman" w:hAnsi="Times New Roman"/>
                <w:sz w:val="14"/>
                <w:szCs w:val="14"/>
                <w:i w:val="1"/>
                <w:iCs w:val="1"/>
                <w:color w:val="auto"/>
              </w:rPr>
              <w:t>Notes—Offer to Repurchase Upon a Change of Control Repurchase Event</w:t>
            </w:r>
            <w:r>
              <w:rPr>
                <w:rFonts w:ascii="Times New Roman" w:cs="Times New Roman" w:eastAsia="Times New Roman" w:hAnsi="Times New Roman"/>
                <w:sz w:val="14"/>
                <w:szCs w:val="14"/>
                <w:color w:val="auto"/>
              </w:rPr>
              <w:t>” occurs, we will</w:t>
            </w:r>
          </w:p>
        </w:tc>
      </w:tr>
      <w:tr>
        <w:trPr>
          <w:trHeight w:val="167"/>
        </w:trPr>
        <w:tc>
          <w:tcPr>
            <w:tcW w:w="2920" w:type="dxa"/>
            <w:vAlign w:val="bottom"/>
            <w:tcBorders>
              <w:left w:val="single" w:sz="8" w:color="auto"/>
            </w:tcBorders>
          </w:tcPr>
          <w:p>
            <w:pPr>
              <w:spacing w:after="0"/>
              <w:rPr>
                <w:sz w:val="14"/>
                <w:szCs w:val="14"/>
                <w:color w:val="auto"/>
              </w:rPr>
            </w:pPr>
          </w:p>
        </w:tc>
        <w:tc>
          <w:tcPr>
            <w:tcW w:w="5640" w:type="dxa"/>
            <w:vAlign w:val="bottom"/>
            <w:tcBorders>
              <w:right w:val="single" w:sz="8" w:color="auto"/>
            </w:tcBorders>
          </w:tcPr>
          <w:p>
            <w:pPr>
              <w:ind w:left="360"/>
              <w:spacing w:after="0"/>
              <w:rPr>
                <w:sz w:val="20"/>
                <w:szCs w:val="20"/>
                <w:color w:val="auto"/>
              </w:rPr>
            </w:pPr>
            <w:r>
              <w:rPr>
                <w:rFonts w:ascii="Times New Roman" w:cs="Times New Roman" w:eastAsia="Times New Roman" w:hAnsi="Times New Roman"/>
                <w:sz w:val="14"/>
                <w:szCs w:val="14"/>
                <w:color w:val="auto"/>
              </w:rPr>
              <w:t>be required to offer to repurchase for cash some or all of the Exchange Notes at a</w:t>
            </w:r>
          </w:p>
        </w:tc>
      </w:tr>
      <w:tr>
        <w:trPr>
          <w:trHeight w:val="167"/>
        </w:trPr>
        <w:tc>
          <w:tcPr>
            <w:tcW w:w="2920" w:type="dxa"/>
            <w:vAlign w:val="bottom"/>
            <w:tcBorders>
              <w:left w:val="single" w:sz="8" w:color="auto"/>
            </w:tcBorders>
          </w:tcPr>
          <w:p>
            <w:pPr>
              <w:spacing w:after="0"/>
              <w:rPr>
                <w:sz w:val="14"/>
                <w:szCs w:val="14"/>
                <w:color w:val="auto"/>
              </w:rPr>
            </w:pPr>
          </w:p>
        </w:tc>
        <w:tc>
          <w:tcPr>
            <w:tcW w:w="5640" w:type="dxa"/>
            <w:vAlign w:val="bottom"/>
            <w:tcBorders>
              <w:right w:val="single" w:sz="8" w:color="auto"/>
            </w:tcBorders>
          </w:tcPr>
          <w:p>
            <w:pPr>
              <w:ind w:left="360"/>
              <w:spacing w:after="0"/>
              <w:rPr>
                <w:sz w:val="20"/>
                <w:szCs w:val="20"/>
                <w:color w:val="auto"/>
              </w:rPr>
            </w:pPr>
            <w:r>
              <w:rPr>
                <w:rFonts w:ascii="Times New Roman" w:cs="Times New Roman" w:eastAsia="Times New Roman" w:hAnsi="Times New Roman"/>
                <w:sz w:val="14"/>
                <w:szCs w:val="14"/>
                <w:color w:val="auto"/>
              </w:rPr>
              <w:t>repurchase price equal to 100% of the principal amount of the Exchange Notes being</w:t>
            </w:r>
          </w:p>
        </w:tc>
      </w:tr>
      <w:tr>
        <w:trPr>
          <w:trHeight w:val="182"/>
        </w:trPr>
        <w:tc>
          <w:tcPr>
            <w:tcW w:w="2920" w:type="dxa"/>
            <w:vAlign w:val="bottom"/>
            <w:tcBorders>
              <w:left w:val="single" w:sz="8" w:color="auto"/>
            </w:tcBorders>
          </w:tcPr>
          <w:p>
            <w:pPr>
              <w:spacing w:after="0"/>
              <w:rPr>
                <w:sz w:val="15"/>
                <w:szCs w:val="15"/>
                <w:color w:val="auto"/>
              </w:rPr>
            </w:pPr>
          </w:p>
        </w:tc>
        <w:tc>
          <w:tcPr>
            <w:tcW w:w="5640" w:type="dxa"/>
            <w:vAlign w:val="bottom"/>
            <w:tcBorders>
              <w:right w:val="single" w:sz="8" w:color="auto"/>
            </w:tcBorders>
          </w:tcPr>
          <w:p>
            <w:pPr>
              <w:ind w:left="360"/>
              <w:spacing w:after="0"/>
              <w:rPr>
                <w:sz w:val="20"/>
                <w:szCs w:val="20"/>
                <w:color w:val="auto"/>
              </w:rPr>
            </w:pPr>
            <w:r>
              <w:rPr>
                <w:rFonts w:ascii="Times New Roman" w:cs="Times New Roman" w:eastAsia="Times New Roman" w:hAnsi="Times New Roman"/>
                <w:sz w:val="14"/>
                <w:szCs w:val="14"/>
                <w:color w:val="auto"/>
              </w:rPr>
              <w:t>repurchased, plus accrued and unpaid interest to, but excluding, the repurchase date.</w:t>
            </w:r>
          </w:p>
        </w:tc>
      </w:tr>
      <w:tr>
        <w:trPr>
          <w:trHeight w:val="341"/>
        </w:trPr>
        <w:tc>
          <w:tcPr>
            <w:tcW w:w="2920" w:type="dxa"/>
            <w:vAlign w:val="bottom"/>
            <w:tcBorders>
              <w:left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Use of Proceeds</w:t>
            </w:r>
          </w:p>
        </w:tc>
        <w:tc>
          <w:tcPr>
            <w:tcW w:w="5640" w:type="dxa"/>
            <w:vAlign w:val="bottom"/>
            <w:tcBorders>
              <w:right w:val="single" w:sz="8" w:color="auto"/>
            </w:tcBorders>
          </w:tcPr>
          <w:p>
            <w:pPr>
              <w:ind w:left="360"/>
              <w:spacing w:after="0"/>
              <w:rPr>
                <w:sz w:val="20"/>
                <w:szCs w:val="20"/>
                <w:color w:val="auto"/>
              </w:rPr>
            </w:pPr>
            <w:r>
              <w:rPr>
                <w:rFonts w:ascii="Times New Roman" w:cs="Times New Roman" w:eastAsia="Times New Roman" w:hAnsi="Times New Roman"/>
                <w:sz w:val="14"/>
                <w:szCs w:val="14"/>
                <w:color w:val="auto"/>
              </w:rPr>
              <w:t>We will not receive any cash proceeds from the issuance of the Exchange Notes pursuant to</w:t>
            </w:r>
          </w:p>
        </w:tc>
      </w:tr>
      <w:tr>
        <w:trPr>
          <w:trHeight w:val="167"/>
        </w:trPr>
        <w:tc>
          <w:tcPr>
            <w:tcW w:w="2920" w:type="dxa"/>
            <w:vAlign w:val="bottom"/>
            <w:tcBorders>
              <w:left w:val="single" w:sz="8" w:color="auto"/>
            </w:tcBorders>
          </w:tcPr>
          <w:p>
            <w:pPr>
              <w:spacing w:after="0"/>
              <w:rPr>
                <w:sz w:val="14"/>
                <w:szCs w:val="14"/>
                <w:color w:val="auto"/>
              </w:rPr>
            </w:pPr>
          </w:p>
        </w:tc>
        <w:tc>
          <w:tcPr>
            <w:tcW w:w="5640" w:type="dxa"/>
            <w:vAlign w:val="bottom"/>
            <w:tcBorders>
              <w:right w:val="single" w:sz="8" w:color="auto"/>
            </w:tcBorders>
          </w:tcPr>
          <w:p>
            <w:pPr>
              <w:ind w:left="360"/>
              <w:spacing w:after="0"/>
              <w:rPr>
                <w:sz w:val="20"/>
                <w:szCs w:val="20"/>
                <w:color w:val="auto"/>
              </w:rPr>
            </w:pPr>
            <w:r>
              <w:rPr>
                <w:rFonts w:ascii="Times New Roman" w:cs="Times New Roman" w:eastAsia="Times New Roman" w:hAnsi="Times New Roman"/>
                <w:sz w:val="14"/>
                <w:szCs w:val="14"/>
                <w:color w:val="auto"/>
              </w:rPr>
              <w:t>the exchange offer. In consideration for issuing the Exchange Notes as contemplated in this</w:t>
            </w:r>
          </w:p>
        </w:tc>
      </w:tr>
      <w:tr>
        <w:trPr>
          <w:trHeight w:val="167"/>
        </w:trPr>
        <w:tc>
          <w:tcPr>
            <w:tcW w:w="2920" w:type="dxa"/>
            <w:vAlign w:val="bottom"/>
            <w:tcBorders>
              <w:left w:val="single" w:sz="8" w:color="auto"/>
            </w:tcBorders>
          </w:tcPr>
          <w:p>
            <w:pPr>
              <w:spacing w:after="0"/>
              <w:rPr>
                <w:sz w:val="14"/>
                <w:szCs w:val="14"/>
                <w:color w:val="auto"/>
              </w:rPr>
            </w:pPr>
          </w:p>
        </w:tc>
        <w:tc>
          <w:tcPr>
            <w:tcW w:w="5640" w:type="dxa"/>
            <w:vAlign w:val="bottom"/>
            <w:tcBorders>
              <w:right w:val="single" w:sz="8" w:color="auto"/>
            </w:tcBorders>
          </w:tcPr>
          <w:p>
            <w:pPr>
              <w:ind w:left="360"/>
              <w:spacing w:after="0"/>
              <w:rPr>
                <w:sz w:val="20"/>
                <w:szCs w:val="20"/>
                <w:color w:val="auto"/>
              </w:rPr>
            </w:pPr>
            <w:r>
              <w:rPr>
                <w:rFonts w:ascii="Times New Roman" w:cs="Times New Roman" w:eastAsia="Times New Roman" w:hAnsi="Times New Roman"/>
                <w:sz w:val="14"/>
                <w:szCs w:val="14"/>
                <w:color w:val="auto"/>
              </w:rPr>
              <w:t>prospectus, we will receive in exchange a like principal amount of Restricted Notes, the</w:t>
            </w:r>
          </w:p>
        </w:tc>
      </w:tr>
      <w:tr>
        <w:trPr>
          <w:trHeight w:val="167"/>
        </w:trPr>
        <w:tc>
          <w:tcPr>
            <w:tcW w:w="2920" w:type="dxa"/>
            <w:vAlign w:val="bottom"/>
            <w:tcBorders>
              <w:left w:val="single" w:sz="8" w:color="auto"/>
            </w:tcBorders>
          </w:tcPr>
          <w:p>
            <w:pPr>
              <w:spacing w:after="0"/>
              <w:rPr>
                <w:sz w:val="14"/>
                <w:szCs w:val="14"/>
                <w:color w:val="auto"/>
              </w:rPr>
            </w:pPr>
          </w:p>
        </w:tc>
        <w:tc>
          <w:tcPr>
            <w:tcW w:w="5640" w:type="dxa"/>
            <w:vAlign w:val="bottom"/>
            <w:tcBorders>
              <w:right w:val="single" w:sz="8" w:color="auto"/>
            </w:tcBorders>
          </w:tcPr>
          <w:p>
            <w:pPr>
              <w:ind w:left="360"/>
              <w:spacing w:after="0"/>
              <w:rPr>
                <w:sz w:val="20"/>
                <w:szCs w:val="20"/>
                <w:color w:val="auto"/>
              </w:rPr>
            </w:pPr>
            <w:r>
              <w:rPr>
                <w:rFonts w:ascii="Times New Roman" w:cs="Times New Roman" w:eastAsia="Times New Roman" w:hAnsi="Times New Roman"/>
                <w:sz w:val="14"/>
                <w:szCs w:val="14"/>
                <w:color w:val="auto"/>
              </w:rPr>
              <w:t>terms of which are substantially identical to the Exchange Notes. The Restricted Notes</w:t>
            </w:r>
          </w:p>
        </w:tc>
      </w:tr>
      <w:tr>
        <w:trPr>
          <w:trHeight w:val="167"/>
        </w:trPr>
        <w:tc>
          <w:tcPr>
            <w:tcW w:w="2920" w:type="dxa"/>
            <w:vAlign w:val="bottom"/>
            <w:tcBorders>
              <w:left w:val="single" w:sz="8" w:color="auto"/>
            </w:tcBorders>
          </w:tcPr>
          <w:p>
            <w:pPr>
              <w:spacing w:after="0"/>
              <w:rPr>
                <w:sz w:val="14"/>
                <w:szCs w:val="14"/>
                <w:color w:val="auto"/>
              </w:rPr>
            </w:pPr>
          </w:p>
        </w:tc>
        <w:tc>
          <w:tcPr>
            <w:tcW w:w="5640" w:type="dxa"/>
            <w:vAlign w:val="bottom"/>
            <w:tcBorders>
              <w:right w:val="single" w:sz="8" w:color="auto"/>
            </w:tcBorders>
          </w:tcPr>
          <w:p>
            <w:pPr>
              <w:ind w:left="360"/>
              <w:spacing w:after="0"/>
              <w:rPr>
                <w:sz w:val="20"/>
                <w:szCs w:val="20"/>
                <w:color w:val="auto"/>
              </w:rPr>
            </w:pPr>
            <w:r>
              <w:rPr>
                <w:rFonts w:ascii="Times New Roman" w:cs="Times New Roman" w:eastAsia="Times New Roman" w:hAnsi="Times New Roman"/>
                <w:sz w:val="14"/>
                <w:szCs w:val="14"/>
                <w:color w:val="auto"/>
              </w:rPr>
              <w:t>surrendered in exchange for the Exchange Notes will be retired and cancelled and cannot</w:t>
            </w:r>
          </w:p>
        </w:tc>
      </w:tr>
      <w:tr>
        <w:trPr>
          <w:trHeight w:val="167"/>
        </w:trPr>
        <w:tc>
          <w:tcPr>
            <w:tcW w:w="2920" w:type="dxa"/>
            <w:vAlign w:val="bottom"/>
            <w:tcBorders>
              <w:left w:val="single" w:sz="8" w:color="auto"/>
            </w:tcBorders>
          </w:tcPr>
          <w:p>
            <w:pPr>
              <w:spacing w:after="0"/>
              <w:rPr>
                <w:sz w:val="14"/>
                <w:szCs w:val="14"/>
                <w:color w:val="auto"/>
              </w:rPr>
            </w:pPr>
          </w:p>
        </w:tc>
        <w:tc>
          <w:tcPr>
            <w:tcW w:w="5640" w:type="dxa"/>
            <w:vAlign w:val="bottom"/>
            <w:tcBorders>
              <w:right w:val="single" w:sz="8" w:color="auto"/>
            </w:tcBorders>
          </w:tcPr>
          <w:p>
            <w:pPr>
              <w:ind w:left="360"/>
              <w:spacing w:after="0"/>
              <w:rPr>
                <w:sz w:val="20"/>
                <w:szCs w:val="20"/>
                <w:color w:val="auto"/>
              </w:rPr>
            </w:pPr>
            <w:r>
              <w:rPr>
                <w:rFonts w:ascii="Times New Roman" w:cs="Times New Roman" w:eastAsia="Times New Roman" w:hAnsi="Times New Roman"/>
                <w:sz w:val="14"/>
                <w:szCs w:val="14"/>
                <w:color w:val="auto"/>
              </w:rPr>
              <w:t>be reissued. Accordingly, the issuance of the Exchange Notes will not result in any change</w:t>
            </w:r>
          </w:p>
        </w:tc>
      </w:tr>
      <w:tr>
        <w:trPr>
          <w:trHeight w:val="167"/>
        </w:trPr>
        <w:tc>
          <w:tcPr>
            <w:tcW w:w="2920" w:type="dxa"/>
            <w:vAlign w:val="bottom"/>
            <w:tcBorders>
              <w:left w:val="single" w:sz="8" w:color="auto"/>
            </w:tcBorders>
          </w:tcPr>
          <w:p>
            <w:pPr>
              <w:spacing w:after="0"/>
              <w:rPr>
                <w:sz w:val="14"/>
                <w:szCs w:val="14"/>
                <w:color w:val="auto"/>
              </w:rPr>
            </w:pPr>
          </w:p>
        </w:tc>
        <w:tc>
          <w:tcPr>
            <w:tcW w:w="5640" w:type="dxa"/>
            <w:vAlign w:val="bottom"/>
            <w:tcBorders>
              <w:right w:val="single" w:sz="8" w:color="auto"/>
            </w:tcBorders>
          </w:tcPr>
          <w:p>
            <w:pPr>
              <w:ind w:left="360"/>
              <w:spacing w:after="0"/>
              <w:rPr>
                <w:sz w:val="20"/>
                <w:szCs w:val="20"/>
                <w:color w:val="auto"/>
              </w:rPr>
            </w:pPr>
            <w:r>
              <w:rPr>
                <w:rFonts w:ascii="Times New Roman" w:cs="Times New Roman" w:eastAsia="Times New Roman" w:hAnsi="Times New Roman"/>
                <w:sz w:val="14"/>
                <w:szCs w:val="14"/>
                <w:color w:val="auto"/>
              </w:rPr>
              <w:t>in our capitalization. We have agreed to bear the expenses of the exchange offer. No</w:t>
            </w:r>
          </w:p>
        </w:tc>
      </w:tr>
      <w:tr>
        <w:trPr>
          <w:trHeight w:val="182"/>
        </w:trPr>
        <w:tc>
          <w:tcPr>
            <w:tcW w:w="2920" w:type="dxa"/>
            <w:vAlign w:val="bottom"/>
            <w:tcBorders>
              <w:left w:val="single" w:sz="8" w:color="auto"/>
            </w:tcBorders>
          </w:tcPr>
          <w:p>
            <w:pPr>
              <w:spacing w:after="0"/>
              <w:rPr>
                <w:sz w:val="15"/>
                <w:szCs w:val="15"/>
                <w:color w:val="auto"/>
              </w:rPr>
            </w:pPr>
          </w:p>
        </w:tc>
        <w:tc>
          <w:tcPr>
            <w:tcW w:w="5640" w:type="dxa"/>
            <w:vAlign w:val="bottom"/>
            <w:tcBorders>
              <w:right w:val="single" w:sz="8" w:color="auto"/>
            </w:tcBorders>
          </w:tcPr>
          <w:p>
            <w:pPr>
              <w:ind w:left="360"/>
              <w:spacing w:after="0"/>
              <w:rPr>
                <w:sz w:val="20"/>
                <w:szCs w:val="20"/>
                <w:color w:val="auto"/>
              </w:rPr>
            </w:pPr>
            <w:r>
              <w:rPr>
                <w:rFonts w:ascii="Times New Roman" w:cs="Times New Roman" w:eastAsia="Times New Roman" w:hAnsi="Times New Roman"/>
                <w:sz w:val="14"/>
                <w:szCs w:val="14"/>
                <w:color w:val="auto"/>
              </w:rPr>
              <w:t>underwriter is being used in connection with the exchange offer.</w:t>
            </w:r>
          </w:p>
        </w:tc>
      </w:tr>
      <w:tr>
        <w:trPr>
          <w:trHeight w:val="341"/>
        </w:trPr>
        <w:tc>
          <w:tcPr>
            <w:tcW w:w="2920" w:type="dxa"/>
            <w:vAlign w:val="bottom"/>
            <w:tcBorders>
              <w:left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Book-Entry Form</w:t>
            </w:r>
          </w:p>
        </w:tc>
        <w:tc>
          <w:tcPr>
            <w:tcW w:w="5640" w:type="dxa"/>
            <w:vAlign w:val="bottom"/>
            <w:tcBorders>
              <w:right w:val="single" w:sz="8" w:color="auto"/>
            </w:tcBorders>
          </w:tcPr>
          <w:p>
            <w:pPr>
              <w:ind w:left="360"/>
              <w:spacing w:after="0"/>
              <w:rPr>
                <w:sz w:val="20"/>
                <w:szCs w:val="20"/>
                <w:color w:val="auto"/>
              </w:rPr>
            </w:pPr>
            <w:r>
              <w:rPr>
                <w:rFonts w:ascii="Times New Roman" w:cs="Times New Roman" w:eastAsia="Times New Roman" w:hAnsi="Times New Roman"/>
                <w:sz w:val="14"/>
                <w:szCs w:val="14"/>
                <w:color w:val="auto"/>
              </w:rPr>
              <w:t>The Exchange Notes will be issued in book-entry form and will be represented by</w:t>
            </w:r>
          </w:p>
        </w:tc>
      </w:tr>
      <w:tr>
        <w:trPr>
          <w:trHeight w:val="167"/>
        </w:trPr>
        <w:tc>
          <w:tcPr>
            <w:tcW w:w="2920" w:type="dxa"/>
            <w:vAlign w:val="bottom"/>
            <w:tcBorders>
              <w:left w:val="single" w:sz="8" w:color="auto"/>
            </w:tcBorders>
          </w:tcPr>
          <w:p>
            <w:pPr>
              <w:spacing w:after="0"/>
              <w:rPr>
                <w:sz w:val="14"/>
                <w:szCs w:val="14"/>
                <w:color w:val="auto"/>
              </w:rPr>
            </w:pPr>
          </w:p>
        </w:tc>
        <w:tc>
          <w:tcPr>
            <w:tcW w:w="5640" w:type="dxa"/>
            <w:vAlign w:val="bottom"/>
            <w:tcBorders>
              <w:right w:val="single" w:sz="8" w:color="auto"/>
            </w:tcBorders>
          </w:tcPr>
          <w:p>
            <w:pPr>
              <w:ind w:left="360"/>
              <w:spacing w:after="0"/>
              <w:rPr>
                <w:sz w:val="20"/>
                <w:szCs w:val="20"/>
                <w:color w:val="auto"/>
              </w:rPr>
            </w:pPr>
            <w:r>
              <w:rPr>
                <w:rFonts w:ascii="Times New Roman" w:cs="Times New Roman" w:eastAsia="Times New Roman" w:hAnsi="Times New Roman"/>
                <w:sz w:val="14"/>
                <w:szCs w:val="14"/>
                <w:color w:val="auto"/>
              </w:rPr>
              <w:t>permanent global certificates deposited with, or on behalf of, DTC, and registered in the</w:t>
            </w:r>
          </w:p>
        </w:tc>
      </w:tr>
      <w:tr>
        <w:trPr>
          <w:trHeight w:val="167"/>
        </w:trPr>
        <w:tc>
          <w:tcPr>
            <w:tcW w:w="2920" w:type="dxa"/>
            <w:vAlign w:val="bottom"/>
            <w:tcBorders>
              <w:left w:val="single" w:sz="8" w:color="auto"/>
            </w:tcBorders>
          </w:tcPr>
          <w:p>
            <w:pPr>
              <w:spacing w:after="0"/>
              <w:rPr>
                <w:sz w:val="14"/>
                <w:szCs w:val="14"/>
                <w:color w:val="auto"/>
              </w:rPr>
            </w:pPr>
          </w:p>
        </w:tc>
        <w:tc>
          <w:tcPr>
            <w:tcW w:w="5640" w:type="dxa"/>
            <w:vAlign w:val="bottom"/>
            <w:tcBorders>
              <w:right w:val="single" w:sz="8" w:color="auto"/>
            </w:tcBorders>
          </w:tcPr>
          <w:p>
            <w:pPr>
              <w:ind w:left="360"/>
              <w:spacing w:after="0"/>
              <w:rPr>
                <w:sz w:val="20"/>
                <w:szCs w:val="20"/>
                <w:color w:val="auto"/>
              </w:rPr>
            </w:pPr>
            <w:r>
              <w:rPr>
                <w:rFonts w:ascii="Times New Roman" w:cs="Times New Roman" w:eastAsia="Times New Roman" w:hAnsi="Times New Roman"/>
                <w:sz w:val="14"/>
                <w:szCs w:val="14"/>
                <w:color w:val="auto"/>
              </w:rPr>
              <w:t>name of Cede &amp; Co., as nominee of DTC. Beneficial interests in any of the Exchange</w:t>
            </w:r>
          </w:p>
        </w:tc>
      </w:tr>
      <w:tr>
        <w:trPr>
          <w:trHeight w:val="167"/>
        </w:trPr>
        <w:tc>
          <w:tcPr>
            <w:tcW w:w="2920" w:type="dxa"/>
            <w:vAlign w:val="bottom"/>
            <w:tcBorders>
              <w:left w:val="single" w:sz="8" w:color="auto"/>
            </w:tcBorders>
          </w:tcPr>
          <w:p>
            <w:pPr>
              <w:spacing w:after="0"/>
              <w:rPr>
                <w:sz w:val="14"/>
                <w:szCs w:val="14"/>
                <w:color w:val="auto"/>
              </w:rPr>
            </w:pPr>
          </w:p>
        </w:tc>
        <w:tc>
          <w:tcPr>
            <w:tcW w:w="5640" w:type="dxa"/>
            <w:vAlign w:val="bottom"/>
            <w:tcBorders>
              <w:right w:val="single" w:sz="8" w:color="auto"/>
            </w:tcBorders>
          </w:tcPr>
          <w:p>
            <w:pPr>
              <w:ind w:left="360"/>
              <w:spacing w:after="0"/>
              <w:rPr>
                <w:sz w:val="20"/>
                <w:szCs w:val="20"/>
                <w:color w:val="auto"/>
              </w:rPr>
            </w:pPr>
            <w:r>
              <w:rPr>
                <w:rFonts w:ascii="Times New Roman" w:cs="Times New Roman" w:eastAsia="Times New Roman" w:hAnsi="Times New Roman"/>
                <w:sz w:val="14"/>
                <w:szCs w:val="14"/>
                <w:color w:val="auto"/>
              </w:rPr>
              <w:t>Notes will be shown on, and transfers will be effected only through, records maintained by</w:t>
            </w:r>
          </w:p>
        </w:tc>
      </w:tr>
      <w:tr>
        <w:trPr>
          <w:trHeight w:val="165"/>
        </w:trPr>
        <w:tc>
          <w:tcPr>
            <w:tcW w:w="2920" w:type="dxa"/>
            <w:vAlign w:val="bottom"/>
            <w:tcBorders>
              <w:left w:val="single" w:sz="8" w:color="auto"/>
            </w:tcBorders>
          </w:tcPr>
          <w:p>
            <w:pPr>
              <w:spacing w:after="0"/>
              <w:rPr>
                <w:sz w:val="14"/>
                <w:szCs w:val="14"/>
                <w:color w:val="auto"/>
              </w:rPr>
            </w:pPr>
          </w:p>
        </w:tc>
        <w:tc>
          <w:tcPr>
            <w:tcW w:w="5640" w:type="dxa"/>
            <w:vAlign w:val="bottom"/>
            <w:tcBorders>
              <w:right w:val="single" w:sz="8" w:color="auto"/>
            </w:tcBorders>
          </w:tcPr>
          <w:p>
            <w:pPr>
              <w:ind w:left="360"/>
              <w:spacing w:after="0"/>
              <w:rPr>
                <w:sz w:val="20"/>
                <w:szCs w:val="20"/>
                <w:color w:val="auto"/>
              </w:rPr>
            </w:pPr>
            <w:r>
              <w:rPr>
                <w:rFonts w:ascii="Times New Roman" w:cs="Times New Roman" w:eastAsia="Times New Roman" w:hAnsi="Times New Roman"/>
                <w:sz w:val="14"/>
                <w:szCs w:val="14"/>
                <w:color w:val="auto"/>
              </w:rPr>
              <w:t>DTC or its nominee, and any such interest may not be exchanged for certificated securities,</w:t>
            </w:r>
          </w:p>
        </w:tc>
      </w:tr>
      <w:tr>
        <w:trPr>
          <w:trHeight w:val="167"/>
        </w:trPr>
        <w:tc>
          <w:tcPr>
            <w:tcW w:w="2920" w:type="dxa"/>
            <w:vAlign w:val="bottom"/>
            <w:tcBorders>
              <w:left w:val="single" w:sz="8" w:color="auto"/>
            </w:tcBorders>
          </w:tcPr>
          <w:p>
            <w:pPr>
              <w:spacing w:after="0"/>
              <w:rPr>
                <w:sz w:val="14"/>
                <w:szCs w:val="14"/>
                <w:color w:val="auto"/>
              </w:rPr>
            </w:pPr>
          </w:p>
        </w:tc>
        <w:tc>
          <w:tcPr>
            <w:tcW w:w="5640" w:type="dxa"/>
            <w:vAlign w:val="bottom"/>
            <w:tcBorders>
              <w:right w:val="single" w:sz="8" w:color="auto"/>
            </w:tcBorders>
          </w:tcPr>
          <w:p>
            <w:pPr>
              <w:ind w:left="360"/>
              <w:spacing w:after="0"/>
              <w:rPr>
                <w:sz w:val="20"/>
                <w:szCs w:val="20"/>
                <w:color w:val="auto"/>
              </w:rPr>
            </w:pPr>
            <w:r>
              <w:rPr>
                <w:rFonts w:ascii="Times New Roman" w:cs="Times New Roman" w:eastAsia="Times New Roman" w:hAnsi="Times New Roman"/>
                <w:sz w:val="14"/>
                <w:szCs w:val="14"/>
                <w:color w:val="auto"/>
              </w:rPr>
              <w:t>except in limited circumstances described below. See “</w:t>
            </w:r>
            <w:r>
              <w:rPr>
                <w:rFonts w:ascii="Times New Roman" w:cs="Times New Roman" w:eastAsia="Times New Roman" w:hAnsi="Times New Roman"/>
                <w:sz w:val="14"/>
                <w:szCs w:val="14"/>
                <w:i w:val="1"/>
                <w:iCs w:val="1"/>
                <w:color w:val="auto"/>
              </w:rPr>
              <w:t>Description of Exchange Notes—</w:t>
            </w:r>
          </w:p>
        </w:tc>
      </w:tr>
      <w:tr>
        <w:trPr>
          <w:trHeight w:val="184"/>
        </w:trPr>
        <w:tc>
          <w:tcPr>
            <w:tcW w:w="2920" w:type="dxa"/>
            <w:vAlign w:val="bottom"/>
            <w:tcBorders>
              <w:left w:val="single" w:sz="8" w:color="auto"/>
            </w:tcBorders>
          </w:tcPr>
          <w:p>
            <w:pPr>
              <w:spacing w:after="0"/>
              <w:rPr>
                <w:sz w:val="16"/>
                <w:szCs w:val="16"/>
                <w:color w:val="auto"/>
              </w:rPr>
            </w:pPr>
          </w:p>
        </w:tc>
        <w:tc>
          <w:tcPr>
            <w:tcW w:w="5640" w:type="dxa"/>
            <w:vAlign w:val="bottom"/>
            <w:tcBorders>
              <w:right w:val="single" w:sz="8" w:color="auto"/>
            </w:tcBorders>
          </w:tcPr>
          <w:p>
            <w:pPr>
              <w:ind w:left="360"/>
              <w:spacing w:after="0"/>
              <w:rPr>
                <w:sz w:val="20"/>
                <w:szCs w:val="20"/>
                <w:color w:val="auto"/>
              </w:rPr>
            </w:pPr>
            <w:r>
              <w:rPr>
                <w:rFonts w:ascii="Times New Roman" w:cs="Times New Roman" w:eastAsia="Times New Roman" w:hAnsi="Times New Roman"/>
                <w:sz w:val="14"/>
                <w:szCs w:val="14"/>
                <w:i w:val="1"/>
                <w:iCs w:val="1"/>
                <w:color w:val="auto"/>
              </w:rPr>
              <w:t>Book-Entry, Settlement and Clearance</w:t>
            </w:r>
            <w:r>
              <w:rPr>
                <w:rFonts w:ascii="Times New Roman" w:cs="Times New Roman" w:eastAsia="Times New Roman" w:hAnsi="Times New Roman"/>
                <w:sz w:val="14"/>
                <w:szCs w:val="14"/>
                <w:color w:val="auto"/>
              </w:rPr>
              <w:t>.”</w:t>
            </w:r>
          </w:p>
        </w:tc>
      </w:tr>
      <w:tr>
        <w:trPr>
          <w:trHeight w:val="341"/>
        </w:trPr>
        <w:tc>
          <w:tcPr>
            <w:tcW w:w="2920" w:type="dxa"/>
            <w:vAlign w:val="bottom"/>
            <w:tcBorders>
              <w:left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Trustee</w:t>
            </w:r>
          </w:p>
        </w:tc>
        <w:tc>
          <w:tcPr>
            <w:tcW w:w="5640" w:type="dxa"/>
            <w:vAlign w:val="bottom"/>
            <w:tcBorders>
              <w:right w:val="single" w:sz="8" w:color="auto"/>
            </w:tcBorders>
          </w:tcPr>
          <w:p>
            <w:pPr>
              <w:ind w:left="360"/>
              <w:spacing w:after="0"/>
              <w:rPr>
                <w:sz w:val="20"/>
                <w:szCs w:val="20"/>
                <w:color w:val="auto"/>
              </w:rPr>
            </w:pPr>
            <w:r>
              <w:rPr>
                <w:rFonts w:ascii="Times New Roman" w:cs="Times New Roman" w:eastAsia="Times New Roman" w:hAnsi="Times New Roman"/>
                <w:sz w:val="14"/>
                <w:szCs w:val="14"/>
                <w:color w:val="auto"/>
              </w:rPr>
              <w:t>The trustee for the Exchange Notes will be U.S. Bank Trust Company, National</w:t>
            </w:r>
          </w:p>
        </w:tc>
      </w:tr>
      <w:tr>
        <w:trPr>
          <w:trHeight w:val="182"/>
        </w:trPr>
        <w:tc>
          <w:tcPr>
            <w:tcW w:w="2920" w:type="dxa"/>
            <w:vAlign w:val="bottom"/>
            <w:tcBorders>
              <w:left w:val="single" w:sz="8" w:color="auto"/>
            </w:tcBorders>
          </w:tcPr>
          <w:p>
            <w:pPr>
              <w:spacing w:after="0"/>
              <w:rPr>
                <w:sz w:val="15"/>
                <w:szCs w:val="15"/>
                <w:color w:val="auto"/>
              </w:rPr>
            </w:pPr>
          </w:p>
        </w:tc>
        <w:tc>
          <w:tcPr>
            <w:tcW w:w="5640" w:type="dxa"/>
            <w:vAlign w:val="bottom"/>
            <w:tcBorders>
              <w:right w:val="single" w:sz="8" w:color="auto"/>
            </w:tcBorders>
          </w:tcPr>
          <w:p>
            <w:pPr>
              <w:ind w:left="360"/>
              <w:spacing w:after="0"/>
              <w:rPr>
                <w:sz w:val="20"/>
                <w:szCs w:val="20"/>
                <w:color w:val="auto"/>
              </w:rPr>
            </w:pPr>
            <w:r>
              <w:rPr>
                <w:rFonts w:ascii="Times New Roman" w:cs="Times New Roman" w:eastAsia="Times New Roman" w:hAnsi="Times New Roman"/>
                <w:sz w:val="14"/>
                <w:szCs w:val="14"/>
                <w:color w:val="auto"/>
              </w:rPr>
              <w:t>Association (as successor in interest to U.S. Bank National Association).</w:t>
            </w:r>
          </w:p>
        </w:tc>
      </w:tr>
      <w:tr>
        <w:trPr>
          <w:trHeight w:val="341"/>
        </w:trPr>
        <w:tc>
          <w:tcPr>
            <w:tcW w:w="2920" w:type="dxa"/>
            <w:vAlign w:val="bottom"/>
            <w:tcBorders>
              <w:left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Governing Law</w:t>
            </w:r>
          </w:p>
        </w:tc>
        <w:tc>
          <w:tcPr>
            <w:tcW w:w="5640" w:type="dxa"/>
            <w:vAlign w:val="bottom"/>
            <w:tcBorders>
              <w:right w:val="single" w:sz="8" w:color="auto"/>
            </w:tcBorders>
          </w:tcPr>
          <w:p>
            <w:pPr>
              <w:ind w:left="360"/>
              <w:spacing w:after="0"/>
              <w:rPr>
                <w:sz w:val="20"/>
                <w:szCs w:val="20"/>
                <w:color w:val="auto"/>
              </w:rPr>
            </w:pPr>
            <w:r>
              <w:rPr>
                <w:rFonts w:ascii="Times New Roman" w:cs="Times New Roman" w:eastAsia="Times New Roman" w:hAnsi="Times New Roman"/>
                <w:sz w:val="14"/>
                <w:szCs w:val="14"/>
                <w:color w:val="auto"/>
              </w:rPr>
              <w:t>The Restricted Notes are, and the Exchange Notes will be, governed by the laws of the</w:t>
            </w:r>
          </w:p>
        </w:tc>
      </w:tr>
      <w:tr>
        <w:trPr>
          <w:trHeight w:val="182"/>
        </w:trPr>
        <w:tc>
          <w:tcPr>
            <w:tcW w:w="2920" w:type="dxa"/>
            <w:vAlign w:val="bottom"/>
            <w:tcBorders>
              <w:left w:val="single" w:sz="8" w:color="auto"/>
            </w:tcBorders>
          </w:tcPr>
          <w:p>
            <w:pPr>
              <w:spacing w:after="0"/>
              <w:rPr>
                <w:sz w:val="15"/>
                <w:szCs w:val="15"/>
                <w:color w:val="auto"/>
              </w:rPr>
            </w:pPr>
          </w:p>
        </w:tc>
        <w:tc>
          <w:tcPr>
            <w:tcW w:w="5640" w:type="dxa"/>
            <w:vAlign w:val="bottom"/>
            <w:tcBorders>
              <w:right w:val="single" w:sz="8" w:color="auto"/>
            </w:tcBorders>
          </w:tcPr>
          <w:p>
            <w:pPr>
              <w:ind w:left="360"/>
              <w:spacing w:after="0"/>
              <w:rPr>
                <w:sz w:val="20"/>
                <w:szCs w:val="20"/>
                <w:color w:val="auto"/>
              </w:rPr>
            </w:pPr>
            <w:r>
              <w:rPr>
                <w:rFonts w:ascii="Times New Roman" w:cs="Times New Roman" w:eastAsia="Times New Roman" w:hAnsi="Times New Roman"/>
                <w:sz w:val="14"/>
                <w:szCs w:val="14"/>
                <w:color w:val="auto"/>
              </w:rPr>
              <w:t>State of New York without regard to conflict of laws principles thereof.</w:t>
            </w:r>
          </w:p>
        </w:tc>
      </w:tr>
      <w:tr>
        <w:trPr>
          <w:trHeight w:val="131"/>
        </w:trPr>
        <w:tc>
          <w:tcPr>
            <w:tcW w:w="2920" w:type="dxa"/>
            <w:vAlign w:val="bottom"/>
            <w:tcBorders>
              <w:left w:val="single" w:sz="8" w:color="auto"/>
              <w:bottom w:val="single" w:sz="8" w:color="auto"/>
            </w:tcBorders>
          </w:tcPr>
          <w:p>
            <w:pPr>
              <w:spacing w:after="0"/>
              <w:rPr>
                <w:sz w:val="11"/>
                <w:szCs w:val="11"/>
                <w:color w:val="auto"/>
              </w:rPr>
            </w:pPr>
          </w:p>
        </w:tc>
        <w:tc>
          <w:tcPr>
            <w:tcW w:w="5640" w:type="dxa"/>
            <w:vAlign w:val="bottom"/>
            <w:tcBorders>
              <w:bottom w:val="single" w:sz="8" w:color="auto"/>
              <w:right w:val="single" w:sz="8" w:color="auto"/>
            </w:tcBorders>
          </w:tcPr>
          <w:p>
            <w:pPr>
              <w:spacing w:after="0"/>
              <w:rPr>
                <w:sz w:val="11"/>
                <w:szCs w:val="11"/>
                <w:color w:val="auto"/>
              </w:rPr>
            </w:pPr>
          </w:p>
        </w:tc>
      </w:tr>
      <w:tr>
        <w:trPr>
          <w:trHeight w:val="278"/>
        </w:trPr>
        <w:tc>
          <w:tcPr>
            <w:tcW w:w="2920" w:type="dxa"/>
            <w:vAlign w:val="bottom"/>
          </w:tcPr>
          <w:p>
            <w:pPr>
              <w:spacing w:after="0"/>
              <w:rPr>
                <w:sz w:val="24"/>
                <w:szCs w:val="24"/>
                <w:color w:val="auto"/>
              </w:rPr>
            </w:pPr>
          </w:p>
        </w:tc>
        <w:tc>
          <w:tcPr>
            <w:tcW w:w="5640" w:type="dxa"/>
            <w:vAlign w:val="bottom"/>
          </w:tcPr>
          <w:p>
            <w:pPr>
              <w:ind w:left="1320"/>
              <w:spacing w:after="0"/>
              <w:rPr>
                <w:sz w:val="20"/>
                <w:szCs w:val="20"/>
                <w:color w:val="auto"/>
              </w:rPr>
            </w:pPr>
            <w:r>
              <w:rPr>
                <w:rFonts w:ascii="Times New Roman" w:cs="Times New Roman" w:eastAsia="Times New Roman" w:hAnsi="Times New Roman"/>
                <w:sz w:val="14"/>
                <w:szCs w:val="14"/>
                <w:color w:val="auto"/>
              </w:rPr>
              <w:t>9</w:t>
            </w:r>
          </w:p>
        </w:tc>
      </w:tr>
    </w:tbl>
    <w:p>
      <w:pPr>
        <w:sectPr>
          <w:pgSz w:w="11900" w:h="16838" w:orient="portrait"/>
          <w:cols w:equalWidth="0" w:num="1">
            <w:col w:w="10159"/>
          </w:cols>
          <w:pgMar w:left="300" w:top="384" w:right="1440"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39" w:lineRule="exact"/>
        <w:rPr>
          <w:sz w:val="20"/>
          <w:szCs w:val="20"/>
          <w:color w:val="auto"/>
        </w:rPr>
      </w:pPr>
    </w:p>
    <w:tbl>
      <w:tblPr>
        <w:tblLayout w:type="fixed"/>
        <w:tblInd w:w="1370" w:type="dxa"/>
        <w:tblCellMar>
          <w:top w:w="0" w:type="dxa"/>
          <w:left w:w="0" w:type="dxa"/>
          <w:bottom w:w="0" w:type="dxa"/>
          <w:right w:w="0" w:type="dxa"/>
        </w:tblCellMar>
      </w:tblPr>
      <w:tr>
        <w:trPr>
          <w:trHeight w:val="294"/>
        </w:trPr>
        <w:tc>
          <w:tcPr>
            <w:tcW w:w="2100" w:type="dxa"/>
            <w:vAlign w:val="bottom"/>
            <w:tcBorders>
              <w:top w:val="single" w:sz="8" w:color="auto"/>
              <w:left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Risk Factors</w:t>
            </w:r>
          </w:p>
        </w:tc>
        <w:tc>
          <w:tcPr>
            <w:tcW w:w="6460" w:type="dxa"/>
            <w:vAlign w:val="bottom"/>
            <w:tcBorders>
              <w:top w:val="single" w:sz="8" w:color="auto"/>
              <w:right w:val="single" w:sz="8" w:color="auto"/>
            </w:tcBorders>
          </w:tcPr>
          <w:p>
            <w:pPr>
              <w:ind w:left="1180"/>
              <w:spacing w:after="0"/>
              <w:rPr>
                <w:sz w:val="20"/>
                <w:szCs w:val="20"/>
                <w:color w:val="auto"/>
              </w:rPr>
            </w:pPr>
            <w:r>
              <w:rPr>
                <w:rFonts w:ascii="Times New Roman" w:cs="Times New Roman" w:eastAsia="Times New Roman" w:hAnsi="Times New Roman"/>
                <w:sz w:val="14"/>
                <w:szCs w:val="14"/>
                <w:color w:val="auto"/>
              </w:rPr>
              <w:t>You should refer to the section entitled “</w:t>
            </w:r>
            <w:r>
              <w:rPr>
                <w:rFonts w:ascii="Times New Roman" w:cs="Times New Roman" w:eastAsia="Times New Roman" w:hAnsi="Times New Roman"/>
                <w:sz w:val="14"/>
                <w:szCs w:val="14"/>
                <w:i w:val="1"/>
                <w:iCs w:val="1"/>
                <w:color w:val="auto"/>
              </w:rPr>
              <w:t>Risk Factors</w:t>
            </w:r>
            <w:r>
              <w:rPr>
                <w:rFonts w:ascii="Times New Roman" w:cs="Times New Roman" w:eastAsia="Times New Roman" w:hAnsi="Times New Roman"/>
                <w:sz w:val="14"/>
                <w:szCs w:val="14"/>
                <w:color w:val="auto"/>
              </w:rPr>
              <w:t>” herein and other information</w:t>
            </w:r>
          </w:p>
        </w:tc>
      </w:tr>
      <w:tr>
        <w:trPr>
          <w:trHeight w:val="165"/>
        </w:trPr>
        <w:tc>
          <w:tcPr>
            <w:tcW w:w="2100" w:type="dxa"/>
            <w:vAlign w:val="bottom"/>
            <w:tcBorders>
              <w:left w:val="single" w:sz="8" w:color="auto"/>
            </w:tcBorders>
          </w:tcPr>
          <w:p>
            <w:pPr>
              <w:spacing w:after="0"/>
              <w:rPr>
                <w:sz w:val="14"/>
                <w:szCs w:val="14"/>
                <w:color w:val="auto"/>
              </w:rPr>
            </w:pPr>
          </w:p>
        </w:tc>
        <w:tc>
          <w:tcPr>
            <w:tcW w:w="6460" w:type="dxa"/>
            <w:vAlign w:val="bottom"/>
            <w:tcBorders>
              <w:right w:val="single" w:sz="8" w:color="auto"/>
            </w:tcBorders>
          </w:tcPr>
          <w:p>
            <w:pPr>
              <w:ind w:left="1180"/>
              <w:spacing w:after="0"/>
              <w:rPr>
                <w:sz w:val="20"/>
                <w:szCs w:val="20"/>
                <w:color w:val="auto"/>
              </w:rPr>
            </w:pPr>
            <w:r>
              <w:rPr>
                <w:rFonts w:ascii="Times New Roman" w:cs="Times New Roman" w:eastAsia="Times New Roman" w:hAnsi="Times New Roman"/>
                <w:sz w:val="14"/>
                <w:szCs w:val="14"/>
                <w:color w:val="auto"/>
              </w:rPr>
              <w:t>included or incorporated by reference in this prospectus for an explanation of certain risks</w:t>
            </w:r>
          </w:p>
        </w:tc>
      </w:tr>
      <w:tr>
        <w:trPr>
          <w:trHeight w:val="184"/>
        </w:trPr>
        <w:tc>
          <w:tcPr>
            <w:tcW w:w="2100" w:type="dxa"/>
            <w:vAlign w:val="bottom"/>
            <w:tcBorders>
              <w:left w:val="single" w:sz="8" w:color="auto"/>
            </w:tcBorders>
          </w:tcPr>
          <w:p>
            <w:pPr>
              <w:spacing w:after="0"/>
              <w:rPr>
                <w:sz w:val="16"/>
                <w:szCs w:val="16"/>
                <w:color w:val="auto"/>
              </w:rPr>
            </w:pPr>
          </w:p>
        </w:tc>
        <w:tc>
          <w:tcPr>
            <w:tcW w:w="6460" w:type="dxa"/>
            <w:vAlign w:val="bottom"/>
            <w:tcBorders>
              <w:right w:val="single" w:sz="8" w:color="auto"/>
            </w:tcBorders>
          </w:tcPr>
          <w:p>
            <w:pPr>
              <w:ind w:left="1180"/>
              <w:spacing w:after="0"/>
              <w:rPr>
                <w:sz w:val="20"/>
                <w:szCs w:val="20"/>
                <w:color w:val="auto"/>
              </w:rPr>
            </w:pPr>
            <w:r>
              <w:rPr>
                <w:rFonts w:ascii="Times New Roman" w:cs="Times New Roman" w:eastAsia="Times New Roman" w:hAnsi="Times New Roman"/>
                <w:sz w:val="14"/>
                <w:szCs w:val="14"/>
                <w:color w:val="auto"/>
              </w:rPr>
              <w:t>of investing in the Exchange Notes. See “</w:t>
            </w:r>
            <w:r>
              <w:rPr>
                <w:rFonts w:ascii="Times New Roman" w:cs="Times New Roman" w:eastAsia="Times New Roman" w:hAnsi="Times New Roman"/>
                <w:sz w:val="14"/>
                <w:szCs w:val="14"/>
                <w:i w:val="1"/>
                <w:iCs w:val="1"/>
                <w:color w:val="auto"/>
              </w:rPr>
              <w:t>Risk Factors</w:t>
            </w:r>
            <w:r>
              <w:rPr>
                <w:rFonts w:ascii="Times New Roman" w:cs="Times New Roman" w:eastAsia="Times New Roman" w:hAnsi="Times New Roman"/>
                <w:sz w:val="14"/>
                <w:szCs w:val="14"/>
                <w:color w:val="auto"/>
              </w:rPr>
              <w:t>.”</w:t>
            </w:r>
          </w:p>
        </w:tc>
      </w:tr>
      <w:tr>
        <w:trPr>
          <w:trHeight w:val="131"/>
        </w:trPr>
        <w:tc>
          <w:tcPr>
            <w:tcW w:w="2100" w:type="dxa"/>
            <w:vAlign w:val="bottom"/>
            <w:tcBorders>
              <w:left w:val="single" w:sz="8" w:color="auto"/>
              <w:bottom w:val="single" w:sz="8" w:color="auto"/>
            </w:tcBorders>
          </w:tcPr>
          <w:p>
            <w:pPr>
              <w:spacing w:after="0"/>
              <w:rPr>
                <w:sz w:val="11"/>
                <w:szCs w:val="11"/>
                <w:color w:val="auto"/>
              </w:rPr>
            </w:pPr>
          </w:p>
        </w:tc>
        <w:tc>
          <w:tcPr>
            <w:tcW w:w="6460" w:type="dxa"/>
            <w:vAlign w:val="bottom"/>
            <w:tcBorders>
              <w:bottom w:val="single" w:sz="8" w:color="auto"/>
              <w:right w:val="single" w:sz="8" w:color="auto"/>
            </w:tcBorders>
          </w:tcPr>
          <w:p>
            <w:pPr>
              <w:spacing w:after="0"/>
              <w:rPr>
                <w:sz w:val="11"/>
                <w:szCs w:val="11"/>
                <w:color w:val="auto"/>
              </w:rPr>
            </w:pPr>
          </w:p>
        </w:tc>
      </w:tr>
      <w:tr>
        <w:trPr>
          <w:trHeight w:val="278"/>
        </w:trPr>
        <w:tc>
          <w:tcPr>
            <w:tcW w:w="2100" w:type="dxa"/>
            <w:vAlign w:val="bottom"/>
          </w:tcPr>
          <w:p>
            <w:pPr>
              <w:spacing w:after="0"/>
              <w:rPr>
                <w:sz w:val="24"/>
                <w:szCs w:val="24"/>
                <w:color w:val="auto"/>
              </w:rPr>
            </w:pPr>
          </w:p>
        </w:tc>
        <w:tc>
          <w:tcPr>
            <w:tcW w:w="6460" w:type="dxa"/>
            <w:vAlign w:val="bottom"/>
          </w:tcPr>
          <w:p>
            <w:pPr>
              <w:jc w:val="right"/>
              <w:ind w:right="4130"/>
              <w:spacing w:after="0"/>
              <w:rPr>
                <w:sz w:val="20"/>
                <w:szCs w:val="20"/>
                <w:color w:val="auto"/>
              </w:rPr>
            </w:pPr>
            <w:r>
              <w:rPr>
                <w:rFonts w:ascii="Times New Roman" w:cs="Times New Roman" w:eastAsia="Times New Roman" w:hAnsi="Times New Roman"/>
                <w:sz w:val="14"/>
                <w:szCs w:val="14"/>
                <w:color w:val="auto"/>
              </w:rPr>
              <w:t>10</w:t>
            </w:r>
          </w:p>
        </w:tc>
      </w:tr>
    </w:tbl>
    <w:p>
      <w:pPr>
        <w:sectPr>
          <w:pgSz w:w="11900" w:h="16838" w:orient="portrait"/>
          <w:cols w:equalWidth="0" w:num="1">
            <w:col w:w="10159"/>
          </w:cols>
          <w:pgMar w:left="300" w:top="384" w:right="1440"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7"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4"/>
          <w:szCs w:val="14"/>
          <w:b w:val="1"/>
          <w:bCs w:val="1"/>
          <w:color w:val="auto"/>
        </w:rPr>
        <w:t>RISK FACTORS</w:t>
      </w:r>
    </w:p>
    <w:p>
      <w:pPr>
        <w:spacing w:after="0" w:line="174" w:lineRule="exact"/>
        <w:rPr>
          <w:sz w:val="20"/>
          <w:szCs w:val="20"/>
          <w:color w:val="auto"/>
        </w:rPr>
      </w:pPr>
    </w:p>
    <w:p>
      <w:pPr>
        <w:ind w:left="1380" w:right="339"/>
        <w:spacing w:after="0" w:line="282" w:lineRule="auto"/>
        <w:rPr>
          <w:rFonts w:ascii="Times New Roman" w:cs="Times New Roman" w:eastAsia="Times New Roman" w:hAnsi="Times New Roman"/>
          <w:sz w:val="13"/>
          <w:szCs w:val="13"/>
          <w:i w:val="1"/>
          <w:iCs w:val="1"/>
          <w:color w:val="auto"/>
        </w:rPr>
      </w:pPr>
      <w:r>
        <w:rPr>
          <w:rFonts w:ascii="Times New Roman" w:cs="Times New Roman" w:eastAsia="Times New Roman" w:hAnsi="Times New Roman"/>
          <w:sz w:val="13"/>
          <w:szCs w:val="13"/>
          <w:i w:val="1"/>
          <w:iCs w:val="1"/>
          <w:color w:val="auto"/>
        </w:rPr>
        <w:t xml:space="preserve">In addition to the other information included in this prospectus, you should carefully consider the risks described under </w:t>
      </w: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Special Note Regarding Forward-Looking Statements</w:t>
      </w: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 xml:space="preserve"> and under </w:t>
      </w: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Risk Factors</w:t>
      </w: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 xml:space="preserve"> set forth in our </w:t>
      </w:r>
      <w:hyperlink r:id="rId42">
        <w:r>
          <w:rPr>
            <w:rFonts w:ascii="Times New Roman" w:cs="Times New Roman" w:eastAsia="Times New Roman" w:hAnsi="Times New Roman"/>
            <w:sz w:val="13"/>
            <w:szCs w:val="13"/>
            <w:i w:val="1"/>
            <w:iCs w:val="1"/>
            <w:u w:val="single" w:color="auto"/>
            <w:color w:val="0000EE"/>
          </w:rPr>
          <w:t>Annual Report on Form 10-K</w:t>
        </w:r>
        <w:r>
          <w:rPr>
            <w:rFonts w:ascii="Times New Roman" w:cs="Times New Roman" w:eastAsia="Times New Roman" w:hAnsi="Times New Roman"/>
            <w:sz w:val="13"/>
            <w:szCs w:val="13"/>
            <w:i w:val="1"/>
            <w:iCs w:val="1"/>
            <w:u w:val="single" w:color="auto"/>
            <w:color w:val="auto"/>
          </w:rPr>
          <w:t xml:space="preserve"> </w:t>
        </w:r>
      </w:hyperlink>
      <w:r>
        <w:rPr>
          <w:rFonts w:ascii="Times New Roman" w:cs="Times New Roman" w:eastAsia="Times New Roman" w:hAnsi="Times New Roman"/>
          <w:sz w:val="13"/>
          <w:szCs w:val="13"/>
          <w:i w:val="1"/>
          <w:iCs w:val="1"/>
          <w:color w:val="auto"/>
        </w:rPr>
        <w:t>for the fiscal year ended December 31, 2025, which is incorporated by reference in this prospectus, other than as specified, and the following risks before investing in the Exchange Notes. The risks and uncertainties described in this prospectus and the documents incorporated by reference into this prospectus are not the only risks we face. Additional risks and uncertainties not presently known to us, or not presently deemed material by us, may also impair our operations and performance.</w:t>
      </w:r>
    </w:p>
    <w:p>
      <w:pPr>
        <w:spacing w:after="0" w:line="210"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b w:val="1"/>
          <w:bCs w:val="1"/>
          <w:color w:val="auto"/>
        </w:rPr>
        <w:t>Risks Related to the Exchange Notes</w:t>
      </w:r>
    </w:p>
    <w:p>
      <w:pPr>
        <w:spacing w:after="0" w:line="90" w:lineRule="exact"/>
        <w:rPr>
          <w:sz w:val="20"/>
          <w:szCs w:val="20"/>
          <w:color w:val="auto"/>
        </w:rPr>
      </w:pPr>
    </w:p>
    <w:p>
      <w:pPr>
        <w:ind w:left="1380" w:right="259"/>
        <w:spacing w:after="0" w:line="284" w:lineRule="auto"/>
        <w:rPr>
          <w:sz w:val="20"/>
          <w:szCs w:val="20"/>
          <w:color w:val="auto"/>
        </w:rPr>
      </w:pPr>
      <w:r>
        <w:rPr>
          <w:rFonts w:ascii="Times New Roman" w:cs="Times New Roman" w:eastAsia="Times New Roman" w:hAnsi="Times New Roman"/>
          <w:sz w:val="14"/>
          <w:szCs w:val="14"/>
          <w:b w:val="1"/>
          <w:bCs w:val="1"/>
          <w:i w:val="1"/>
          <w:iCs w:val="1"/>
          <w:color w:val="auto"/>
        </w:rPr>
        <w:t>The Exchange Notes will be unsecured and therefore will be effectively subordinated to any secured indebtedness we have currently incurred or may incur in the future.</w:t>
      </w:r>
    </w:p>
    <w:p>
      <w:pPr>
        <w:spacing w:after="0" w:line="40" w:lineRule="exact"/>
        <w:rPr>
          <w:sz w:val="20"/>
          <w:szCs w:val="20"/>
          <w:color w:val="auto"/>
        </w:rPr>
      </w:pPr>
    </w:p>
    <w:p>
      <w:pPr>
        <w:ind w:left="1380" w:right="259" w:firstLine="341"/>
        <w:spacing w:after="0" w:line="254" w:lineRule="auto"/>
        <w:rPr>
          <w:sz w:val="20"/>
          <w:szCs w:val="20"/>
          <w:color w:val="auto"/>
        </w:rPr>
      </w:pPr>
      <w:r>
        <w:rPr>
          <w:rFonts w:ascii="Times New Roman" w:cs="Times New Roman" w:eastAsia="Times New Roman" w:hAnsi="Times New Roman"/>
          <w:sz w:val="14"/>
          <w:szCs w:val="14"/>
          <w:color w:val="auto"/>
        </w:rPr>
        <w:t>The Exchange Notes will not be secured by any of our assets or any of the assets of any of our subsidiaries. As a result, the Exchange Notes are effectively subordinated, or junior, to any secured indebtedness we or our subsidiaries have currently incurred (including the SPV Credit Facility) or that we or our subsidiaries may incur in the future (or any indebtedness that is initially unsecured as to which we subsequently grant security) to the extent of the value of the assets securing such indebtedness. In any liquidation, dissolution, bankruptcy or other similar proceeding, the holders of any of our existing or future secured indebtedness and the secured indebtedness of our subsidiaries may assert rights against the assets pledged to secure that indebtedness in order to receive full payment of their indebtedness before the assets may be used to pay other creditors, including the holders of the Exchange Notes. Secured indebtedness is effectively senior to the Exchange Notes to the extent of the value of the assets securing such indebtedness.</w:t>
      </w:r>
    </w:p>
    <w:p>
      <w:pPr>
        <w:spacing w:after="0" w:line="229"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b w:val="1"/>
          <w:bCs w:val="1"/>
          <w:i w:val="1"/>
          <w:iCs w:val="1"/>
          <w:color w:val="auto"/>
        </w:rPr>
        <w:t>The Exchange Notes will be structurally subordinated to the indebtedness and other liabilities of our subsidiaries.</w:t>
      </w:r>
    </w:p>
    <w:p>
      <w:pPr>
        <w:spacing w:after="0" w:line="92" w:lineRule="exact"/>
        <w:rPr>
          <w:sz w:val="20"/>
          <w:szCs w:val="20"/>
          <w:color w:val="auto"/>
        </w:rPr>
      </w:pPr>
    </w:p>
    <w:p>
      <w:pPr>
        <w:ind w:left="1380" w:right="259" w:firstLine="341"/>
        <w:spacing w:after="0" w:line="252" w:lineRule="auto"/>
        <w:rPr>
          <w:sz w:val="20"/>
          <w:szCs w:val="20"/>
          <w:color w:val="auto"/>
        </w:rPr>
      </w:pPr>
      <w:r>
        <w:rPr>
          <w:rFonts w:ascii="Times New Roman" w:cs="Times New Roman" w:eastAsia="Times New Roman" w:hAnsi="Times New Roman"/>
          <w:sz w:val="14"/>
          <w:szCs w:val="14"/>
          <w:color w:val="auto"/>
        </w:rPr>
        <w:t>The Exchange Notes are obligations exclusively of Fidus Investment Corporation and not of any of our subsidiaries. None of our subsidiaries are a guarantor of the Exchange Notes and the Exchange Notes are not required to be guaranteed by any subsidiaries we may acquire or create in the future. Any assets of our subsidiaries will not be directly available to satisfy the claims of our creditors, including holders of the Exchange Notes. Except to the extent we are a creditor with recognized claims against our subsidiaries, all claims of creditors of our subsidiaries will have priority over our equity interests in such subsidiaries (and therefore the claims of our creditors, including holders of the Exchange Notes) with respect to the assets of such subsidiaries. Even if we are recognized as a creditor of one or more of our subsidiaries, our claims would still be effectively subordinated to any security interests in the assets of any such subsidiary and to any indebtedness or other liabilities of any such subsidiary senior to our claims. Consequently, the Exchange Notes will be structurally subordinated, or junior, to all existing and future indebtedness and other liabilities (including trade payables) incurred by any of our existing and future subsidiaries, including the SPV Credit Facility and the SBIC Funds. As of June 29, 2026, we had $112.7 million in outstanding borrowings under the SPV Credit Facility, which is secured by all of FIC Funding, LLC’s (the “SPV”) assets, and we had $296.0 million in SBA debentures outstanding. In the future, the SPV, the SBIC Funds and any of our future subsidiaries may incur substantial additional indebtedness, all of which would be structurally senior to the Exchange Notes.</w:t>
      </w:r>
    </w:p>
    <w:p>
      <w:pPr>
        <w:spacing w:after="0" w:line="230" w:lineRule="exact"/>
        <w:rPr>
          <w:sz w:val="20"/>
          <w:szCs w:val="20"/>
          <w:color w:val="auto"/>
        </w:rPr>
      </w:pPr>
    </w:p>
    <w:p>
      <w:pPr>
        <w:ind w:left="1380" w:right="399"/>
        <w:spacing w:after="0" w:line="284" w:lineRule="auto"/>
        <w:rPr>
          <w:sz w:val="20"/>
          <w:szCs w:val="20"/>
          <w:color w:val="auto"/>
        </w:rPr>
      </w:pPr>
      <w:r>
        <w:rPr>
          <w:rFonts w:ascii="Times New Roman" w:cs="Times New Roman" w:eastAsia="Times New Roman" w:hAnsi="Times New Roman"/>
          <w:sz w:val="14"/>
          <w:szCs w:val="14"/>
          <w:b w:val="1"/>
          <w:bCs w:val="1"/>
          <w:i w:val="1"/>
          <w:iCs w:val="1"/>
          <w:color w:val="auto"/>
        </w:rPr>
        <w:t>A downgrade, suspension or withdrawal of the credit rating assigned by a rating agency to us or the Exchange Notes, if any, or change in the debt markets, could cause the liquidity or market value of the Exchange Notes to decline significantly.</w:t>
      </w:r>
    </w:p>
    <w:p>
      <w:pPr>
        <w:spacing w:after="0" w:line="40" w:lineRule="exact"/>
        <w:rPr>
          <w:sz w:val="20"/>
          <w:szCs w:val="20"/>
          <w:color w:val="auto"/>
        </w:rPr>
      </w:pPr>
    </w:p>
    <w:p>
      <w:pPr>
        <w:ind w:left="1380" w:right="359" w:firstLine="341"/>
        <w:spacing w:after="0" w:line="281" w:lineRule="auto"/>
        <w:rPr>
          <w:sz w:val="20"/>
          <w:szCs w:val="20"/>
          <w:color w:val="auto"/>
        </w:rPr>
      </w:pPr>
      <w:r>
        <w:rPr>
          <w:rFonts w:ascii="Times New Roman" w:cs="Times New Roman" w:eastAsia="Times New Roman" w:hAnsi="Times New Roman"/>
          <w:sz w:val="14"/>
          <w:szCs w:val="14"/>
          <w:color w:val="auto"/>
        </w:rPr>
        <w:t>Our credit ratings are an assessment by rating agencies of our ability to pay our debts when due. Consequently, real or anticipated changes in our credit ratings will generally affect the market value of the</w:t>
      </w:r>
    </w:p>
    <w:p>
      <w:pPr>
        <w:spacing w:after="0" w:line="7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11</w:t>
      </w:r>
    </w:p>
    <w:p>
      <w:pPr>
        <w:sectPr>
          <w:pgSz w:w="11900" w:h="16838" w:orient="portrait"/>
          <w:cols w:equalWidth="0" w:num="1">
            <w:col w:w="10159"/>
          </w:cols>
          <w:pgMar w:left="300" w:top="384" w:right="1440"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9" w:lineRule="exact"/>
        <w:rPr>
          <w:sz w:val="20"/>
          <w:szCs w:val="20"/>
          <w:color w:val="auto"/>
        </w:rPr>
      </w:pPr>
    </w:p>
    <w:p>
      <w:pPr>
        <w:jc w:val="both"/>
        <w:ind w:left="1380" w:right="419"/>
        <w:spacing w:after="0" w:line="260" w:lineRule="auto"/>
        <w:rPr>
          <w:sz w:val="20"/>
          <w:szCs w:val="20"/>
          <w:color w:val="auto"/>
        </w:rPr>
      </w:pPr>
      <w:r>
        <w:rPr>
          <w:rFonts w:ascii="Times New Roman" w:cs="Times New Roman" w:eastAsia="Times New Roman" w:hAnsi="Times New Roman"/>
          <w:sz w:val="14"/>
          <w:szCs w:val="14"/>
          <w:color w:val="auto"/>
        </w:rPr>
        <w:t>Exchange Notes. These credit ratings may not reflect the potential impact of risks relating to the structure or marketing of the Exchange Notes. Credit ratings are not a recommendation to buy, sell or hold any security, and may be revised or withdrawn at any time by the issuing organization in its sole discretion. Neither we nor any initial purchaser undertakes any obligation to maintain our credit ratings or to advise holders of Exchange Notes of any changes in our credit ratings.</w:t>
      </w:r>
    </w:p>
    <w:p>
      <w:pPr>
        <w:spacing w:after="0" w:line="140" w:lineRule="exact"/>
        <w:rPr>
          <w:sz w:val="20"/>
          <w:szCs w:val="20"/>
          <w:color w:val="auto"/>
        </w:rPr>
      </w:pPr>
    </w:p>
    <w:p>
      <w:pPr>
        <w:ind w:left="1380" w:right="419" w:firstLine="341"/>
        <w:spacing w:after="0" w:line="260" w:lineRule="auto"/>
        <w:rPr>
          <w:sz w:val="20"/>
          <w:szCs w:val="20"/>
          <w:color w:val="auto"/>
        </w:rPr>
      </w:pPr>
      <w:r>
        <w:rPr>
          <w:rFonts w:ascii="Times New Roman" w:cs="Times New Roman" w:eastAsia="Times New Roman" w:hAnsi="Times New Roman"/>
          <w:sz w:val="14"/>
          <w:szCs w:val="14"/>
          <w:color w:val="auto"/>
        </w:rPr>
        <w:t>There can be no assurance that our credit ratings will remain for any given period of time or that such credit ratings will not be lowered or withdrawn entirely by the rating agencies if, in their judgment, future circumstances relating to the basis of the credit ratings, such as adverse changes we experience, so warrant. The condition of the financial markets and prevailing interest rates have fluctuated in the past and are likely to fluctuate in the future, which could have an adverse effect on the market value of the Exchange Notes.</w:t>
      </w:r>
    </w:p>
    <w:p>
      <w:pPr>
        <w:spacing w:after="0" w:line="221"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b w:val="1"/>
          <w:bCs w:val="1"/>
          <w:i w:val="1"/>
          <w:iCs w:val="1"/>
          <w:color w:val="auto"/>
        </w:rPr>
        <w:t>The Indenture contains limited protection for holders of the Exchange Notes.</w:t>
      </w:r>
    </w:p>
    <w:p>
      <w:pPr>
        <w:spacing w:after="0" w:line="92" w:lineRule="exact"/>
        <w:rPr>
          <w:sz w:val="20"/>
          <w:szCs w:val="20"/>
          <w:color w:val="auto"/>
        </w:rPr>
      </w:pPr>
    </w:p>
    <w:p>
      <w:pPr>
        <w:ind w:left="1380" w:right="259" w:firstLine="341"/>
        <w:spacing w:after="0" w:line="260" w:lineRule="auto"/>
        <w:rPr>
          <w:sz w:val="20"/>
          <w:szCs w:val="20"/>
          <w:color w:val="auto"/>
        </w:rPr>
      </w:pPr>
      <w:r>
        <w:rPr>
          <w:rFonts w:ascii="Times New Roman" w:cs="Times New Roman" w:eastAsia="Times New Roman" w:hAnsi="Times New Roman"/>
          <w:sz w:val="14"/>
          <w:szCs w:val="14"/>
          <w:color w:val="auto"/>
        </w:rPr>
        <w:t>The Indenture offers limited protection to holders of the Exchange Notes. The terms of the Indenture and the Exchange Notes do not restrict our or any of our subsidiaries’ ability to engage in, or otherwise be a party to, a variety of corporate transactions, circumstances or events that could have a material adverse impact on your investment in the Exchange Notes. In particular, the terms of the Indenture and the Exchange Notes do not place any restrictions on our or our subsidiaries’ ability to:</w:t>
      </w:r>
    </w:p>
    <w:p>
      <w:pPr>
        <w:spacing w:after="0" w:line="66" w:lineRule="exact"/>
        <w:rPr>
          <w:sz w:val="20"/>
          <w:szCs w:val="20"/>
          <w:color w:val="auto"/>
        </w:rPr>
      </w:pPr>
    </w:p>
    <w:p>
      <w:pPr>
        <w:ind w:left="2120" w:right="339" w:hanging="327"/>
        <w:spacing w:after="0" w:line="272" w:lineRule="auto"/>
        <w:tabs>
          <w:tab w:leader="none" w:pos="212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issue securities or otherwise incur additional indebtedness or other obligations, including (1) any indebtedness or other obligations that would be pari passu, or equal, in right of payment to the Exchange Notes, (2) any indebtedness or other obligations that would be secured and therefore rank effectively senior in right of payment to the Exchange Notes to the extent of the value of the assets securing such indebtedness, (3) indebtedness or other obligations of ours that are guaranteed by one or more of our subsidiaries and which therefore are structurally senior to the Exchange Notes and (4) securities, indebtedness or other obligations incurred by our subsidiaries that would be senior to our equity interests in our subsidiaries and therefore rank structurally senior to the Exchange Notes with respect to the assets of those subsidiaries, in each case other than an incurrence of indebtedness or other obligations that would cause a violation of Section 18(a)</w:t>
      </w:r>
    </w:p>
    <w:p>
      <w:pPr>
        <w:ind w:left="2120" w:right="319"/>
        <w:spacing w:after="0" w:line="252" w:lineRule="auto"/>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color w:val="auto"/>
        </w:rPr>
        <w:t>(1)(A) as modified by Section 61(a)(2) of the 1940 Act or any successor provisions, whether or not we continue to be subject to such provisions of the 1940 Act, but giving effect, in either case, to any exemptive relief granted to us by the SEC, which generally prohibit us from incurring additional borrowings, including through the issuance of additional debt securities, unless our asset coverage, as defined in the 1940 Act, equals at least 150% after such borrowings;</w:t>
      </w:r>
    </w:p>
    <w:p>
      <w:pPr>
        <w:spacing w:after="0" w:line="72" w:lineRule="exact"/>
        <w:rPr>
          <w:rFonts w:ascii="Times New Roman" w:cs="Times New Roman" w:eastAsia="Times New Roman" w:hAnsi="Times New Roman"/>
          <w:sz w:val="13"/>
          <w:szCs w:val="13"/>
          <w:color w:val="auto"/>
        </w:rPr>
      </w:pPr>
    </w:p>
    <w:p>
      <w:pPr>
        <w:ind w:left="2120" w:right="519" w:hanging="327"/>
        <w:spacing w:after="0" w:line="281" w:lineRule="auto"/>
        <w:tabs>
          <w:tab w:leader="none" w:pos="21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pay dividends on, or purchase or redeem or make any payments in respect of, capital stock or other securities ranking junior in right of payment to the Exchange Notes;</w:t>
      </w:r>
    </w:p>
    <w:p>
      <w:pPr>
        <w:spacing w:after="0" w:line="52" w:lineRule="exact"/>
        <w:rPr>
          <w:rFonts w:ascii="Times New Roman" w:cs="Times New Roman" w:eastAsia="Times New Roman" w:hAnsi="Times New Roman"/>
          <w:sz w:val="14"/>
          <w:szCs w:val="14"/>
          <w:color w:val="auto"/>
        </w:rPr>
      </w:pPr>
    </w:p>
    <w:p>
      <w:pPr>
        <w:ind w:left="2120" w:hanging="327"/>
        <w:spacing w:after="0"/>
        <w:tabs>
          <w:tab w:leader="none" w:pos="21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sell assets (other than certain limited restrictions on our ability to consolidate, merge or sell all or substantially all of our assets);</w:t>
      </w:r>
    </w:p>
    <w:p>
      <w:pPr>
        <w:spacing w:after="0" w:line="100" w:lineRule="exact"/>
        <w:rPr>
          <w:rFonts w:ascii="Times New Roman" w:cs="Times New Roman" w:eastAsia="Times New Roman" w:hAnsi="Times New Roman"/>
          <w:sz w:val="14"/>
          <w:szCs w:val="14"/>
          <w:color w:val="auto"/>
        </w:rPr>
      </w:pPr>
    </w:p>
    <w:p>
      <w:pPr>
        <w:ind w:left="2120" w:hanging="327"/>
        <w:spacing w:after="0"/>
        <w:tabs>
          <w:tab w:leader="none" w:pos="21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create liens (including liens on the shares of our subsidiaries) or enter into sale and leaseback transactions;</w:t>
      </w:r>
    </w:p>
    <w:p>
      <w:pPr>
        <w:spacing w:after="0" w:line="100" w:lineRule="exact"/>
        <w:rPr>
          <w:rFonts w:ascii="Times New Roman" w:cs="Times New Roman" w:eastAsia="Times New Roman" w:hAnsi="Times New Roman"/>
          <w:sz w:val="14"/>
          <w:szCs w:val="14"/>
          <w:color w:val="auto"/>
        </w:rPr>
      </w:pPr>
    </w:p>
    <w:p>
      <w:pPr>
        <w:ind w:left="2120" w:hanging="327"/>
        <w:spacing w:after="0"/>
        <w:tabs>
          <w:tab w:leader="none" w:pos="21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enter into transactions with affiliates;</w:t>
      </w:r>
    </w:p>
    <w:p>
      <w:pPr>
        <w:spacing w:after="0" w:line="100" w:lineRule="exact"/>
        <w:rPr>
          <w:rFonts w:ascii="Times New Roman" w:cs="Times New Roman" w:eastAsia="Times New Roman" w:hAnsi="Times New Roman"/>
          <w:sz w:val="14"/>
          <w:szCs w:val="14"/>
          <w:color w:val="auto"/>
        </w:rPr>
      </w:pPr>
    </w:p>
    <w:p>
      <w:pPr>
        <w:ind w:left="2120" w:hanging="327"/>
        <w:spacing w:after="0"/>
        <w:tabs>
          <w:tab w:leader="none" w:pos="21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make investments; or</w:t>
      </w:r>
    </w:p>
    <w:p>
      <w:pPr>
        <w:spacing w:after="0" w:line="100" w:lineRule="exact"/>
        <w:rPr>
          <w:rFonts w:ascii="Times New Roman" w:cs="Times New Roman" w:eastAsia="Times New Roman" w:hAnsi="Times New Roman"/>
          <w:sz w:val="14"/>
          <w:szCs w:val="14"/>
          <w:color w:val="auto"/>
        </w:rPr>
      </w:pPr>
    </w:p>
    <w:p>
      <w:pPr>
        <w:ind w:left="2120" w:hanging="327"/>
        <w:spacing w:after="0"/>
        <w:tabs>
          <w:tab w:leader="none" w:pos="21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create restrictions on the payment of dividends or other amounts to us from our subsidiaries.</w:t>
      </w:r>
    </w:p>
    <w:p>
      <w:pPr>
        <w:spacing w:after="0" w:line="174" w:lineRule="exact"/>
        <w:rPr>
          <w:sz w:val="20"/>
          <w:szCs w:val="20"/>
          <w:color w:val="auto"/>
        </w:rPr>
      </w:pPr>
    </w:p>
    <w:p>
      <w:pPr>
        <w:jc w:val="both"/>
        <w:ind w:left="1380" w:right="459" w:firstLine="341"/>
        <w:spacing w:after="0" w:line="265" w:lineRule="auto"/>
        <w:rPr>
          <w:sz w:val="20"/>
          <w:szCs w:val="20"/>
          <w:color w:val="auto"/>
        </w:rPr>
      </w:pPr>
      <w:r>
        <w:rPr>
          <w:rFonts w:ascii="Times New Roman" w:cs="Times New Roman" w:eastAsia="Times New Roman" w:hAnsi="Times New Roman"/>
          <w:sz w:val="14"/>
          <w:szCs w:val="14"/>
          <w:color w:val="auto"/>
        </w:rPr>
        <w:t>Furthermore, the terms of the Indenture and the Exchange Notes do not protect holders of the Exchange Notes in the event that we experience changes (including significant adverse changes) in our financial condition, results of operations or credit ratings, as they do not require that we or our subsidiaries adhere to any financial tests or ratios or specified levels of net worth, revenues, income, cash flow or liquidity.</w:t>
      </w:r>
    </w:p>
    <w:p>
      <w:pPr>
        <w:spacing w:after="0" w:line="8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12</w:t>
      </w:r>
    </w:p>
    <w:p>
      <w:pPr>
        <w:sectPr>
          <w:pgSz w:w="11900" w:h="16838" w:orient="portrait"/>
          <w:cols w:equalWidth="0" w:num="1">
            <w:col w:w="10159"/>
          </w:cols>
          <w:pgMar w:left="300" w:top="384" w:right="1440"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9" w:lineRule="exact"/>
        <w:rPr>
          <w:sz w:val="20"/>
          <w:szCs w:val="20"/>
          <w:color w:val="auto"/>
        </w:rPr>
      </w:pPr>
    </w:p>
    <w:p>
      <w:pPr>
        <w:jc w:val="both"/>
        <w:ind w:left="1380" w:right="459" w:firstLine="341"/>
        <w:spacing w:after="0" w:line="260" w:lineRule="auto"/>
        <w:rPr>
          <w:sz w:val="20"/>
          <w:szCs w:val="20"/>
          <w:color w:val="auto"/>
        </w:rPr>
      </w:pPr>
      <w:r>
        <w:rPr>
          <w:rFonts w:ascii="Times New Roman" w:cs="Times New Roman" w:eastAsia="Times New Roman" w:hAnsi="Times New Roman"/>
          <w:sz w:val="14"/>
          <w:szCs w:val="14"/>
          <w:color w:val="auto"/>
        </w:rPr>
        <w:t>Our ability to recapitalize, incur additional debt (including additional debt that matures prior to the maturity of the Notes) and take a number of other actions are not limited by the terms of the Exchange Notes and may have important consequences for holders of the Exchange Notes, including making it more difficult for us to satisfy our obligations with respect to the Exchange Notes or negatively affecting the trading value of the Exchange Notes.</w:t>
      </w:r>
    </w:p>
    <w:p>
      <w:pPr>
        <w:spacing w:after="0" w:line="140" w:lineRule="exact"/>
        <w:rPr>
          <w:sz w:val="20"/>
          <w:szCs w:val="20"/>
          <w:color w:val="auto"/>
        </w:rPr>
      </w:pPr>
    </w:p>
    <w:p>
      <w:pPr>
        <w:ind w:left="1380" w:right="299" w:firstLine="341"/>
        <w:spacing w:after="0" w:line="254" w:lineRule="auto"/>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color w:val="auto"/>
        </w:rPr>
        <w:t>Certain of our current debt instruments include more protections for their holders than the Indenture and the Exchange Notes. In addition, other debt we issue or incur in the future could contain of our current debt instruments include more protections for its holders than the Indenture and the Exchange Notes, including additional covenants and events of default. The issuance or incurrence of any such debt with incremental protections could affect the market for and trading levels and prices of the Exchange Notes. See “</w:t>
      </w:r>
      <w:r>
        <w:rPr>
          <w:rFonts w:ascii="Times New Roman" w:cs="Times New Roman" w:eastAsia="Times New Roman" w:hAnsi="Times New Roman"/>
          <w:sz w:val="14"/>
          <w:szCs w:val="14"/>
          <w:i w:val="1"/>
          <w:iCs w:val="1"/>
          <w:color w:val="auto"/>
        </w:rPr>
        <w:t>Risk Factors—Risks Relating to Our Business and Structure—Because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we borrow money and may in the future issue additional senior securities, including preferred stock and debt securities, the potential for gain or loss on amounts invested in us is magnified and may increase the risk of investing in us.</w:t>
      </w:r>
      <w:r>
        <w:rPr>
          <w:rFonts w:ascii="Times New Roman" w:cs="Times New Roman" w:eastAsia="Times New Roman" w:hAnsi="Times New Roman"/>
          <w:sz w:val="14"/>
          <w:szCs w:val="14"/>
          <w:color w:val="auto"/>
        </w:rPr>
        <w:t>” in our</w:t>
      </w:r>
      <w:r>
        <w:rPr>
          <w:rFonts w:ascii="Times New Roman" w:cs="Times New Roman" w:eastAsia="Times New Roman" w:hAnsi="Times New Roman"/>
          <w:sz w:val="14"/>
          <w:szCs w:val="14"/>
          <w:i w:val="1"/>
          <w:iCs w:val="1"/>
          <w:color w:val="auto"/>
        </w:rPr>
        <w:t xml:space="preserve"> </w:t>
      </w:r>
      <w:hyperlink r:id="rId42">
        <w:r>
          <w:rPr>
            <w:rFonts w:ascii="Times New Roman" w:cs="Times New Roman" w:eastAsia="Times New Roman" w:hAnsi="Times New Roman"/>
            <w:sz w:val="14"/>
            <w:szCs w:val="14"/>
            <w:u w:val="single" w:color="auto"/>
            <w:color w:val="0000EE"/>
          </w:rPr>
          <w:t>Annual Report on Form 10-K</w:t>
        </w:r>
        <w:r>
          <w:rPr>
            <w:rFonts w:ascii="Times New Roman" w:cs="Times New Roman" w:eastAsia="Times New Roman" w:hAnsi="Times New Roman"/>
            <w:sz w:val="14"/>
            <w:szCs w:val="14"/>
            <w:i w:val="1"/>
            <w:iCs w:val="1"/>
            <w:u w:val="single" w:color="auto"/>
            <w:color w:val="auto"/>
          </w:rPr>
          <w:t xml:space="preserve"> </w:t>
        </w:r>
      </w:hyperlink>
      <w:r>
        <w:rPr>
          <w:rFonts w:ascii="Times New Roman" w:cs="Times New Roman" w:eastAsia="Times New Roman" w:hAnsi="Times New Roman"/>
          <w:sz w:val="14"/>
          <w:szCs w:val="14"/>
          <w:color w:val="auto"/>
        </w:rPr>
        <w:t>for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the fiscal year ended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December 31, 2025, which is incorporated by reference herein.</w:t>
      </w:r>
    </w:p>
    <w:p>
      <w:pPr>
        <w:spacing w:after="0" w:line="229"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b w:val="1"/>
          <w:bCs w:val="1"/>
          <w:i w:val="1"/>
          <w:iCs w:val="1"/>
          <w:color w:val="auto"/>
        </w:rPr>
        <w:t>The optional redemption provision may materially adversely affect your return on the Exchange Notes.</w:t>
      </w:r>
    </w:p>
    <w:p>
      <w:pPr>
        <w:spacing w:after="0" w:line="92" w:lineRule="exact"/>
        <w:rPr>
          <w:sz w:val="20"/>
          <w:szCs w:val="20"/>
          <w:color w:val="auto"/>
        </w:rPr>
      </w:pPr>
    </w:p>
    <w:p>
      <w:pPr>
        <w:jc w:val="both"/>
        <w:ind w:left="1380" w:right="439" w:firstLine="341"/>
        <w:spacing w:after="0" w:line="295" w:lineRule="auto"/>
        <w:rPr>
          <w:sz w:val="20"/>
          <w:szCs w:val="20"/>
          <w:color w:val="auto"/>
        </w:rPr>
      </w:pPr>
      <w:r>
        <w:rPr>
          <w:rFonts w:ascii="Times New Roman" w:cs="Times New Roman" w:eastAsia="Times New Roman" w:hAnsi="Times New Roman"/>
          <w:sz w:val="13"/>
          <w:szCs w:val="13"/>
          <w:color w:val="auto"/>
        </w:rPr>
        <w:t>The Exchange Notes are redeemable in whole or in part at any time or from time to time at our option. We may choose to redeem the Exchange Notes at times when prevailing interest rates are lower than the interest rate paid on the Exchange Notes. In this circumstance, you may not be able to reinvest the redemption proceeds in a comparable security at an effective interest rate as high as that of the Exchange Notes being redeemed.</w:t>
      </w:r>
    </w:p>
    <w:p>
      <w:pPr>
        <w:spacing w:after="0" w:line="200"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b w:val="1"/>
          <w:bCs w:val="1"/>
          <w:i w:val="1"/>
          <w:iCs w:val="1"/>
          <w:color w:val="auto"/>
        </w:rPr>
        <w:t>If we default on our obligations to pay our other indebtedness, we may not be able to make payments on the Exchange Notes.</w:t>
      </w:r>
    </w:p>
    <w:p>
      <w:pPr>
        <w:spacing w:after="0" w:line="92" w:lineRule="exact"/>
        <w:rPr>
          <w:sz w:val="20"/>
          <w:szCs w:val="20"/>
          <w:color w:val="auto"/>
        </w:rPr>
      </w:pPr>
    </w:p>
    <w:p>
      <w:pPr>
        <w:ind w:left="1380" w:right="259" w:firstLine="341"/>
        <w:spacing w:after="0" w:line="260" w:lineRule="auto"/>
        <w:rPr>
          <w:sz w:val="20"/>
          <w:szCs w:val="20"/>
          <w:color w:val="auto"/>
        </w:rPr>
      </w:pPr>
      <w:r>
        <w:rPr>
          <w:rFonts w:ascii="Times New Roman" w:cs="Times New Roman" w:eastAsia="Times New Roman" w:hAnsi="Times New Roman"/>
          <w:sz w:val="14"/>
          <w:szCs w:val="14"/>
          <w:color w:val="auto"/>
        </w:rPr>
        <w:t>Any default under the agreements governing our indebtedness, including a default under the SPV Credit Facility and the 2030 Notes, or under other indebtedness to which we may be a party, that is not waived by the required lenders or holders and the remedies sought by the lenders or holders of such indebtedness could make us unable to pay principal, premium, if any, and interest on the Exchange Notes and substantially decrease the market value of the Exchange Notes.</w:t>
      </w:r>
    </w:p>
    <w:p>
      <w:pPr>
        <w:spacing w:after="0" w:line="140" w:lineRule="exact"/>
        <w:rPr>
          <w:sz w:val="20"/>
          <w:szCs w:val="20"/>
          <w:color w:val="auto"/>
        </w:rPr>
      </w:pPr>
    </w:p>
    <w:p>
      <w:pPr>
        <w:ind w:left="1380" w:right="559" w:firstLine="341"/>
        <w:spacing w:after="0" w:line="254" w:lineRule="auto"/>
        <w:rPr>
          <w:sz w:val="20"/>
          <w:szCs w:val="20"/>
          <w:color w:val="auto"/>
        </w:rPr>
      </w:pPr>
      <w:r>
        <w:rPr>
          <w:rFonts w:ascii="Times New Roman" w:cs="Times New Roman" w:eastAsia="Times New Roman" w:hAnsi="Times New Roman"/>
          <w:sz w:val="14"/>
          <w:szCs w:val="14"/>
          <w:color w:val="auto"/>
        </w:rPr>
        <w:t>If we are unable to generate sufficient cash flow and are otherwise unable to obtain funds necessary to meet required payments of principal, premium, if any, and interest on our indebtedness, or if we otherwise fail to comply with the various covenants, including financial and operating covenants, as applicable, in the instruments governing our indebtedness, we could be in default under the terms of the agreements governing such indebtedness. In the event of such default, the holders of such indebtedness could elect to declare all the funds borrowed thereunder to be due and payable, together with accrued and unpaid interest, the lenders under the SPV Credit Facility or other debt we may incur in the future could elect to terminate their commitments, cease making further loans and institute foreclosure proceedings against our assets, and we could be forced into bankruptcy or liquidation.</w:t>
      </w:r>
    </w:p>
    <w:p>
      <w:pPr>
        <w:spacing w:after="0" w:line="147" w:lineRule="exact"/>
        <w:rPr>
          <w:sz w:val="20"/>
          <w:szCs w:val="20"/>
          <w:color w:val="auto"/>
        </w:rPr>
      </w:pPr>
    </w:p>
    <w:p>
      <w:pPr>
        <w:ind w:left="1380" w:right="399" w:firstLine="341"/>
        <w:spacing w:after="0" w:line="260" w:lineRule="auto"/>
        <w:rPr>
          <w:sz w:val="20"/>
          <w:szCs w:val="20"/>
          <w:color w:val="auto"/>
        </w:rPr>
      </w:pPr>
      <w:r>
        <w:rPr>
          <w:rFonts w:ascii="Times New Roman" w:cs="Times New Roman" w:eastAsia="Times New Roman" w:hAnsi="Times New Roman"/>
          <w:sz w:val="14"/>
          <w:szCs w:val="14"/>
          <w:color w:val="auto"/>
        </w:rPr>
        <w:t>Our ability to generate sufficient cash flow in the future is, to some extent, subject to general economic, financial, competitive, legislative and regulatory factors as well as other factors that are beyond our control. We cannot assure you that our business will generate cash flow from operations, or that future borrowings will be available to us under the SPV Credit Facility, or otherwise, in an amount sufficient to enable us to meet our payment obligations under the Exchange Notes, the 2030 Notes, our other debt, and to fund other liquidity needs.</w:t>
      </w:r>
    </w:p>
    <w:p>
      <w:pPr>
        <w:spacing w:after="0" w:line="140" w:lineRule="exact"/>
        <w:rPr>
          <w:sz w:val="20"/>
          <w:szCs w:val="20"/>
          <w:color w:val="auto"/>
        </w:rPr>
      </w:pPr>
    </w:p>
    <w:p>
      <w:pPr>
        <w:jc w:val="both"/>
        <w:ind w:left="1380" w:right="419" w:firstLine="341"/>
        <w:spacing w:after="0" w:line="295" w:lineRule="auto"/>
        <w:rPr>
          <w:sz w:val="20"/>
          <w:szCs w:val="20"/>
          <w:color w:val="auto"/>
        </w:rPr>
      </w:pPr>
      <w:r>
        <w:rPr>
          <w:rFonts w:ascii="Times New Roman" w:cs="Times New Roman" w:eastAsia="Times New Roman" w:hAnsi="Times New Roman"/>
          <w:sz w:val="13"/>
          <w:szCs w:val="13"/>
          <w:color w:val="auto"/>
        </w:rPr>
        <w:t>If our operating performance declines and we are not able to generate sufficient cash flow to service our debt obligations, we may, in the future, need to refinance or restructure our debt, including any Exchange Notes sold, sell assets, reduce or delay capital investments, seek to raise additional capital or seek to obtain waivers from the required lenders under the SPV Credit Facility, the holders of the 2030 Notes or other debt that we may</w:t>
      </w:r>
    </w:p>
    <w:p>
      <w:pPr>
        <w:spacing w:after="0" w:line="6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13</w:t>
      </w:r>
    </w:p>
    <w:p>
      <w:pPr>
        <w:sectPr>
          <w:pgSz w:w="11900" w:h="16838" w:orient="portrait"/>
          <w:cols w:equalWidth="0" w:num="1">
            <w:col w:w="10159"/>
          </w:cols>
          <w:pgMar w:left="300" w:top="384" w:right="1440"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9" w:lineRule="exact"/>
        <w:rPr>
          <w:sz w:val="20"/>
          <w:szCs w:val="20"/>
          <w:color w:val="auto"/>
        </w:rPr>
      </w:pPr>
    </w:p>
    <w:p>
      <w:pPr>
        <w:ind w:left="1380" w:right="319"/>
        <w:spacing w:after="0" w:line="260" w:lineRule="auto"/>
        <w:rPr>
          <w:sz w:val="20"/>
          <w:szCs w:val="20"/>
          <w:color w:val="auto"/>
        </w:rPr>
      </w:pPr>
      <w:r>
        <w:rPr>
          <w:rFonts w:ascii="Times New Roman" w:cs="Times New Roman" w:eastAsia="Times New Roman" w:hAnsi="Times New Roman"/>
          <w:sz w:val="14"/>
          <w:szCs w:val="14"/>
          <w:color w:val="auto"/>
        </w:rPr>
        <w:t>incur in the future, to avoid being in default. If we are unable to implement one or more of these alternatives, we may not be able to meet our payment obligations under the Exchange Notes and our other debt. If we breach our covenants under the SPV Credit Facility, the 2030 Notes, or other debt and seek a waiver, we may not be able to obtain a waiver from the required lenders or holders thereof. If this occurs, we would be in default and our lenders or debt holders could exercise their rights as described above, and we could be forced into bankruptcy or liquidation.</w:t>
      </w:r>
    </w:p>
    <w:p>
      <w:pPr>
        <w:spacing w:after="0" w:line="140" w:lineRule="exact"/>
        <w:rPr>
          <w:sz w:val="20"/>
          <w:szCs w:val="20"/>
          <w:color w:val="auto"/>
        </w:rPr>
      </w:pPr>
    </w:p>
    <w:p>
      <w:pPr>
        <w:ind w:left="1380" w:right="259" w:firstLine="341"/>
        <w:spacing w:after="0" w:line="260" w:lineRule="auto"/>
        <w:rPr>
          <w:sz w:val="20"/>
          <w:szCs w:val="20"/>
          <w:color w:val="auto"/>
        </w:rPr>
      </w:pPr>
      <w:r>
        <w:rPr>
          <w:rFonts w:ascii="Times New Roman" w:cs="Times New Roman" w:eastAsia="Times New Roman" w:hAnsi="Times New Roman"/>
          <w:sz w:val="14"/>
          <w:szCs w:val="14"/>
          <w:color w:val="auto"/>
        </w:rPr>
        <w:t>If we are unable to repay debt, lenders having secured obligations, including the lenders under the SPV Credit Facility, could proceed against the collateral securing the debt. Because each of the SPV Credit Facility, the indenture governing the 2030 Notes, and any future credit facilities will likely have customary cross-default provisions, if the indebtedness under the Exchange Notes, the 2030 Notes, the SPV Credit Facility, hereunder or under any future credit facility is accelerated, we may be unable to repay or finance the amounts due. See “</w:t>
      </w:r>
      <w:r>
        <w:rPr>
          <w:rFonts w:ascii="Times New Roman" w:cs="Times New Roman" w:eastAsia="Times New Roman" w:hAnsi="Times New Roman"/>
          <w:sz w:val="14"/>
          <w:szCs w:val="14"/>
          <w:i w:val="1"/>
          <w:iCs w:val="1"/>
          <w:color w:val="auto"/>
        </w:rPr>
        <w:t>Description of the Exchange Notes.</w:t>
      </w:r>
      <w:r>
        <w:rPr>
          <w:rFonts w:ascii="Times New Roman" w:cs="Times New Roman" w:eastAsia="Times New Roman" w:hAnsi="Times New Roman"/>
          <w:sz w:val="14"/>
          <w:szCs w:val="14"/>
          <w:color w:val="auto"/>
        </w:rPr>
        <w:t>”</w:t>
      </w:r>
    </w:p>
    <w:p>
      <w:pPr>
        <w:spacing w:after="0" w:line="221"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b w:val="1"/>
          <w:bCs w:val="1"/>
          <w:i w:val="1"/>
          <w:iCs w:val="1"/>
          <w:color w:val="auto"/>
        </w:rPr>
        <w:t>We may not be able to repurchase the Exchange Notes upon a Change of Control Repurchase Event.</w:t>
      </w:r>
    </w:p>
    <w:p>
      <w:pPr>
        <w:spacing w:after="0" w:line="92" w:lineRule="exact"/>
        <w:rPr>
          <w:sz w:val="20"/>
          <w:szCs w:val="20"/>
          <w:color w:val="auto"/>
        </w:rPr>
      </w:pPr>
    </w:p>
    <w:p>
      <w:pPr>
        <w:ind w:left="1380" w:right="279" w:firstLine="341"/>
        <w:spacing w:after="0" w:line="251" w:lineRule="auto"/>
        <w:rPr>
          <w:sz w:val="20"/>
          <w:szCs w:val="20"/>
          <w:color w:val="auto"/>
        </w:rPr>
      </w:pPr>
      <w:r>
        <w:rPr>
          <w:rFonts w:ascii="Times New Roman" w:cs="Times New Roman" w:eastAsia="Times New Roman" w:hAnsi="Times New Roman"/>
          <w:sz w:val="14"/>
          <w:szCs w:val="14"/>
          <w:color w:val="auto"/>
        </w:rPr>
        <w:t>We may not be able to repurchase the Notes upon a Change of Control Repurchase Event because we may not have sufficient funds. We may not be able to borrow under the SPV Credit Facility to finance such a repurchase of the Notes, and future credit facilities may not allow advances to be used to repurchase the Notes. Upon the occurrence of a Change of Control Repurchase Event, subject to certain conditions, we will be required to offer to repurchase all outstanding Exchange Notes at 100% of their principal amount, plus accrued and unpaid interest to, but, excluding, the repurchase date. The terms of the SPV Credit Facility also provide that certain change of control events will constitute an event of default thereunder entitling the lenders to accelerate any indebtedness outstanding under the SPV Credit Facility at that time and to terminate the SPV Credit Facility. Our and our subsidiaries’ future financing facilities may contain similar restrictions and provisions. Our failure to purchase such tendered Exchange Notes upon the occurrence of such Change of Control Repurchase Event would cause an event of default under the Indenture governing the Exchange Notes and a cross-default under the agreements governing certain of our other indebtedness, including under the indenture governing the 2030 Notes, and the agreement governing the SPV Credit Facility, which may result in the acceleration of such indebtedness requiring us to repay such indebtedness immediately. If the holders of the Exchange Notes, or the 2030 Notes exercise their respective right to require us to repurchase any Exchange Notes or any 2030 Notes, respectively, upon a Change of Control Repurchase Event (as defined in the relevant indenture), the financial effect of any repurchase could cause a default under our existing or future debt instruments, even if the Change of Control Repurchase Event itself would not cause a default. If a Change of Control Repurchase Event were to occur, we may not have sufficient funds to repay any such accelerated indebtedness. See “</w:t>
      </w:r>
      <w:r>
        <w:rPr>
          <w:rFonts w:ascii="Times New Roman" w:cs="Times New Roman" w:eastAsia="Times New Roman" w:hAnsi="Times New Roman"/>
          <w:sz w:val="14"/>
          <w:szCs w:val="14"/>
          <w:i w:val="1"/>
          <w:iCs w:val="1"/>
          <w:color w:val="auto"/>
        </w:rPr>
        <w:t>Description of the Exchange Notes—Offer to</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Repurchase Upon a Change of Control Repurchase Event.</w:t>
      </w:r>
      <w:r>
        <w:rPr>
          <w:rFonts w:ascii="Times New Roman" w:cs="Times New Roman" w:eastAsia="Times New Roman" w:hAnsi="Times New Roman"/>
          <w:sz w:val="14"/>
          <w:szCs w:val="14"/>
          <w:color w:val="auto"/>
        </w:rPr>
        <w:t>”</w:t>
      </w:r>
    </w:p>
    <w:p>
      <w:pPr>
        <w:spacing w:after="0" w:line="235" w:lineRule="exact"/>
        <w:rPr>
          <w:sz w:val="20"/>
          <w:szCs w:val="20"/>
          <w:color w:val="auto"/>
        </w:rPr>
      </w:pPr>
    </w:p>
    <w:p>
      <w:pPr>
        <w:ind w:left="1380" w:right="819"/>
        <w:spacing w:after="0" w:line="284" w:lineRule="auto"/>
        <w:rPr>
          <w:sz w:val="20"/>
          <w:szCs w:val="20"/>
          <w:color w:val="auto"/>
        </w:rPr>
      </w:pPr>
      <w:r>
        <w:rPr>
          <w:rFonts w:ascii="Times New Roman" w:cs="Times New Roman" w:eastAsia="Times New Roman" w:hAnsi="Times New Roman"/>
          <w:sz w:val="14"/>
          <w:szCs w:val="14"/>
          <w:b w:val="1"/>
          <w:bCs w:val="1"/>
          <w:i w:val="1"/>
          <w:iCs w:val="1"/>
          <w:color w:val="auto"/>
        </w:rPr>
        <w:t>There is currently no public market for the Exchange Notes. If an active trading market for the Exchange Notes does not develop, or is not maintained, you may not be able to sell them.</w:t>
      </w:r>
    </w:p>
    <w:p>
      <w:pPr>
        <w:spacing w:after="0" w:line="40" w:lineRule="exact"/>
        <w:rPr>
          <w:sz w:val="20"/>
          <w:szCs w:val="20"/>
          <w:color w:val="auto"/>
        </w:rPr>
      </w:pPr>
    </w:p>
    <w:p>
      <w:pPr>
        <w:ind w:left="1380" w:right="319" w:firstLine="341"/>
        <w:spacing w:after="0" w:line="257" w:lineRule="auto"/>
        <w:rPr>
          <w:sz w:val="20"/>
          <w:szCs w:val="20"/>
          <w:color w:val="auto"/>
        </w:rPr>
      </w:pPr>
      <w:r>
        <w:rPr>
          <w:rFonts w:ascii="Times New Roman" w:cs="Times New Roman" w:eastAsia="Times New Roman" w:hAnsi="Times New Roman"/>
          <w:sz w:val="14"/>
          <w:szCs w:val="14"/>
          <w:color w:val="auto"/>
        </w:rPr>
        <w:t>The Exchange Notes are a new issue of debt securities and there currently is no trading market for the Exchange Notes. We do not intend to apply for listing of the Exchange Notes on any securities exchange or for quotation of the Exchange Notes on any automated dealer quotation system. If no active trading market develops, you may not be able to resell the Exchange Notes at their fair market value or at all. If the Exchange Notes are traded after their initial issuance, they may trade at a discount from their initial offering price depending on prevailing interest rates, the market for similar securities, our credit ratings, general economic conditions, our financial condition, performance and prospects and other factors.</w:t>
      </w:r>
    </w:p>
    <w:p>
      <w:pPr>
        <w:spacing w:after="0" w:line="143" w:lineRule="exact"/>
        <w:rPr>
          <w:sz w:val="20"/>
          <w:szCs w:val="20"/>
          <w:color w:val="auto"/>
        </w:rPr>
      </w:pPr>
    </w:p>
    <w:p>
      <w:pPr>
        <w:ind w:left="1380" w:right="339" w:firstLine="341"/>
        <w:spacing w:after="0" w:line="281" w:lineRule="auto"/>
        <w:rPr>
          <w:sz w:val="20"/>
          <w:szCs w:val="20"/>
          <w:color w:val="auto"/>
        </w:rPr>
      </w:pPr>
      <w:r>
        <w:rPr>
          <w:rFonts w:ascii="Times New Roman" w:cs="Times New Roman" w:eastAsia="Times New Roman" w:hAnsi="Times New Roman"/>
          <w:sz w:val="14"/>
          <w:szCs w:val="14"/>
          <w:color w:val="auto"/>
        </w:rPr>
        <w:t>To the extent an active trading market does not develop, the liquidity and trading price for the Exchange Notes may be harmed. Accordingly, you may be required to bear the financial risk of an investment in the Exchange Notes for an indefinite period of time.</w:t>
      </w:r>
    </w:p>
    <w:p>
      <w:pPr>
        <w:spacing w:after="0" w:line="7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14</w:t>
      </w:r>
    </w:p>
    <w:p>
      <w:pPr>
        <w:sectPr>
          <w:pgSz w:w="11900" w:h="16838" w:orient="portrait"/>
          <w:cols w:equalWidth="0" w:num="1">
            <w:col w:w="10159"/>
          </w:cols>
          <w:pgMar w:left="300" w:top="384" w:right="1440"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7"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b w:val="1"/>
          <w:bCs w:val="1"/>
          <w:i w:val="1"/>
          <w:iCs w:val="1"/>
          <w:color w:val="auto"/>
        </w:rPr>
        <w:t>FATCA withholding may apply to payments to certain foreign entities.</w:t>
      </w:r>
    </w:p>
    <w:p>
      <w:pPr>
        <w:spacing w:after="0" w:line="92" w:lineRule="exact"/>
        <w:rPr>
          <w:sz w:val="20"/>
          <w:szCs w:val="20"/>
          <w:color w:val="auto"/>
        </w:rPr>
      </w:pPr>
    </w:p>
    <w:p>
      <w:pPr>
        <w:ind w:left="1380" w:right="279" w:firstLine="341"/>
        <w:spacing w:after="0" w:line="281" w:lineRule="auto"/>
        <w:rPr>
          <w:sz w:val="20"/>
          <w:szCs w:val="20"/>
          <w:color w:val="auto"/>
        </w:rPr>
      </w:pPr>
      <w:r>
        <w:rPr>
          <w:rFonts w:ascii="Times New Roman" w:cs="Times New Roman" w:eastAsia="Times New Roman" w:hAnsi="Times New Roman"/>
          <w:sz w:val="13"/>
          <w:szCs w:val="13"/>
          <w:color w:val="auto"/>
        </w:rPr>
        <w:t>Payments made under the Exchange Notes to a foreign financial institution or non-financial foreign entity (including such an institution or entity acting as an intermediary) may be subject to a U.S. withholding tax of 30% under the U.S. Foreign Account Tax Compliance Act provisions of the Code (commonly referred to as “FATCA”). This withholding tax may apply to certain payments of interest on the Exchange Notes unless the foreign financial institution or non-financial foreign entity complies with certain information reporting, withholding, identification, certification and related requirements imposed by FATCA. You should consult your own tax advisors regarding FATCA and how it may affect your investment in the Exchange Notes.</w:t>
      </w:r>
    </w:p>
    <w:p>
      <w:pPr>
        <w:spacing w:after="0" w:line="211"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b w:val="1"/>
          <w:bCs w:val="1"/>
          <w:color w:val="auto"/>
        </w:rPr>
        <w:t>Risks Related to the Exchange Offer</w:t>
      </w:r>
    </w:p>
    <w:p>
      <w:pPr>
        <w:spacing w:after="0" w:line="90"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b w:val="1"/>
          <w:bCs w:val="1"/>
          <w:i w:val="1"/>
          <w:iCs w:val="1"/>
          <w:color w:val="auto"/>
        </w:rPr>
        <w:t>If you fail to exchange your Restricted Notes, they will continue to be restricted securities and may become less liquid.</w:t>
      </w:r>
    </w:p>
    <w:p>
      <w:pPr>
        <w:spacing w:after="0" w:line="92" w:lineRule="exact"/>
        <w:rPr>
          <w:sz w:val="20"/>
          <w:szCs w:val="20"/>
          <w:color w:val="auto"/>
        </w:rPr>
      </w:pPr>
    </w:p>
    <w:p>
      <w:pPr>
        <w:ind w:left="1380" w:right="299" w:firstLine="341"/>
        <w:spacing w:after="0" w:line="253" w:lineRule="auto"/>
        <w:rPr>
          <w:sz w:val="20"/>
          <w:szCs w:val="20"/>
          <w:color w:val="auto"/>
        </w:rPr>
      </w:pPr>
      <w:r>
        <w:rPr>
          <w:rFonts w:ascii="Times New Roman" w:cs="Times New Roman" w:eastAsia="Times New Roman" w:hAnsi="Times New Roman"/>
          <w:sz w:val="14"/>
          <w:szCs w:val="14"/>
          <w:color w:val="auto"/>
        </w:rPr>
        <w:t>Restricted Notes that you do not validly tender or that we do not accept will, following the exchange offer, continue to be restricted securities, and you may not offer to sell them except under an exemption from, or in a transaction not subject to, the Securities Act and applicable state securities laws. We will issue the Exchange Notes in exchange for the Restricted Notes in the exchange offer only following the satisfaction of the procedures and conditions set forth in “</w:t>
      </w:r>
      <w:r>
        <w:rPr>
          <w:rFonts w:ascii="Times New Roman" w:cs="Times New Roman" w:eastAsia="Times New Roman" w:hAnsi="Times New Roman"/>
          <w:sz w:val="14"/>
          <w:szCs w:val="14"/>
          <w:i w:val="1"/>
          <w:iCs w:val="1"/>
          <w:color w:val="auto"/>
        </w:rPr>
        <w:t>The Exchange Offer—Procedures for Tendering Restricted Notes.</w:t>
      </w:r>
      <w:r>
        <w:rPr>
          <w:rFonts w:ascii="Times New Roman" w:cs="Times New Roman" w:eastAsia="Times New Roman" w:hAnsi="Times New Roman"/>
          <w:sz w:val="14"/>
          <w:szCs w:val="14"/>
          <w:color w:val="auto"/>
        </w:rPr>
        <w:t>” Because we anticipate that most holders of the Restricted Notes will elect to exchange their outstanding Restricted Notes, we expect that the liquidity of the market for the Restricted Notes remaining after the completion of the exchange offer will be substantially limited, which may have an adverse effect upon and increase the volatility of the market price of the outstanding Restricted Notes. Any Restricted Notes tendered and exchanged in the exchange offer will reduce the aggregate principal amount of the outstanding Restricted Notes at maturity. Further, following the exchange offer, if you did not exchange your Restricted Notes, you generally will not have any further registration rights, and Restricted Notes will continue to be subject to certain transfer restrictions.</w:t>
      </w:r>
    </w:p>
    <w:p>
      <w:pPr>
        <w:spacing w:after="0" w:line="229"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b w:val="1"/>
          <w:bCs w:val="1"/>
          <w:i w:val="1"/>
          <w:iCs w:val="1"/>
          <w:color w:val="auto"/>
        </w:rPr>
        <w:t>Broker-dealers may need to comply with the registration and prospectus delivery requirements of the Securities Act.</w:t>
      </w:r>
    </w:p>
    <w:p>
      <w:pPr>
        <w:spacing w:after="0" w:line="92" w:lineRule="exact"/>
        <w:rPr>
          <w:sz w:val="20"/>
          <w:szCs w:val="20"/>
          <w:color w:val="auto"/>
        </w:rPr>
      </w:pPr>
    </w:p>
    <w:p>
      <w:pPr>
        <w:ind w:left="1380" w:right="239" w:firstLine="341"/>
        <w:spacing w:after="0" w:line="257" w:lineRule="auto"/>
        <w:rPr>
          <w:sz w:val="20"/>
          <w:szCs w:val="20"/>
          <w:color w:val="auto"/>
        </w:rPr>
      </w:pPr>
      <w:r>
        <w:rPr>
          <w:rFonts w:ascii="Times New Roman" w:cs="Times New Roman" w:eastAsia="Times New Roman" w:hAnsi="Times New Roman"/>
          <w:sz w:val="14"/>
          <w:szCs w:val="14"/>
          <w:color w:val="auto"/>
        </w:rPr>
        <w:t>Any broker-dealer that (1) exchanges its Restricted Notes in the exchange offer for the purpose of participating in a distribution of the Exchange Notes or (2) resells Exchange Notes that were received by it for its own account in the exchange offer may be deemed to have received restricted securities and will be required to comply with the registration and prospectus delivery requirements of the Securities Act in connection with any resale transaction by that broker-dealer. Any profit on the resale of the Exchange Notes and any commission or concessions received by a broker-dealer may be deemed to be underwriting compensation under the Securities Act.</w:t>
      </w:r>
    </w:p>
    <w:p>
      <w:pPr>
        <w:spacing w:after="0" w:line="224"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b w:val="1"/>
          <w:bCs w:val="1"/>
          <w:i w:val="1"/>
          <w:iCs w:val="1"/>
          <w:color w:val="auto"/>
        </w:rPr>
        <w:t>You may not receive the Exchange Notes in the exchange offer if the exchange offer procedures are not validly followed.</w:t>
      </w:r>
    </w:p>
    <w:p>
      <w:pPr>
        <w:spacing w:after="0" w:line="92" w:lineRule="exact"/>
        <w:rPr>
          <w:sz w:val="20"/>
          <w:szCs w:val="20"/>
          <w:color w:val="auto"/>
        </w:rPr>
      </w:pPr>
    </w:p>
    <w:p>
      <w:pPr>
        <w:ind w:left="1380" w:right="339" w:firstLine="341"/>
        <w:spacing w:after="0" w:line="257" w:lineRule="auto"/>
        <w:rPr>
          <w:sz w:val="20"/>
          <w:szCs w:val="20"/>
          <w:color w:val="auto"/>
        </w:rPr>
      </w:pPr>
      <w:r>
        <w:rPr>
          <w:rFonts w:ascii="Times New Roman" w:cs="Times New Roman" w:eastAsia="Times New Roman" w:hAnsi="Times New Roman"/>
          <w:sz w:val="14"/>
          <w:szCs w:val="14"/>
          <w:color w:val="auto"/>
        </w:rPr>
        <w:t>We will issue the Exchange Notes in exchange for your Restricted Notes only if you validly tender such Restricted Notes before expiration of the exchange offer. Neither we nor the exchange agent is under any duty to give notification of defects or irregularities with respect to the tenders of the Restricted Notes for exchange. If you are the beneficial holder of Restricted Notes that are held through your broker, dealer, commercial bank, trust company or other nominee, and you wish to tender such Restricted Notes in the exchange offer, you should promptly contact the person through whom your Restricted Notes are held and instruct that person to tender the Restricted Notes on your behalf.</w:t>
      </w:r>
    </w:p>
    <w:p>
      <w:pPr>
        <w:spacing w:after="0" w:line="9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15</w:t>
      </w:r>
    </w:p>
    <w:p>
      <w:pPr>
        <w:sectPr>
          <w:pgSz w:w="11900" w:h="16838" w:orient="portrait"/>
          <w:cols w:equalWidth="0" w:num="1">
            <w:col w:w="10159"/>
          </w:cols>
          <w:pgMar w:left="300" w:top="384" w:right="1440"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SPECIAL NOTE REGARDING FORWARD-LOOKING STATEMENTS</w:t>
      </w:r>
    </w:p>
    <w:p>
      <w:pPr>
        <w:spacing w:after="0" w:line="176" w:lineRule="exact"/>
        <w:rPr>
          <w:sz w:val="20"/>
          <w:szCs w:val="20"/>
          <w:color w:val="auto"/>
        </w:rPr>
      </w:pPr>
    </w:p>
    <w:p>
      <w:pPr>
        <w:ind w:left="1380" w:right="259" w:firstLine="341"/>
        <w:spacing w:after="0" w:line="253" w:lineRule="auto"/>
        <w:rPr>
          <w:sz w:val="20"/>
          <w:szCs w:val="20"/>
          <w:color w:val="auto"/>
        </w:rPr>
      </w:pPr>
      <w:r>
        <w:rPr>
          <w:rFonts w:ascii="Times New Roman" w:cs="Times New Roman" w:eastAsia="Times New Roman" w:hAnsi="Times New Roman"/>
          <w:sz w:val="14"/>
          <w:szCs w:val="14"/>
          <w:color w:val="auto"/>
        </w:rPr>
        <w:t>This prospectus, including the documents that we incorporate by reference herein, contains forward-looking statements including statements regarding our future financial condition, business strategy, and plans and objectives of management for future operations. All statements other than statements of historical facts, including statements regarding our future results of operations or financial condition, business strategy and plans, and objectives of management for future operations, are forward-looking statements. Any such forward-looking statements may involve substantial risks and uncertainties that may cause our actual results, performance or achievements to be materially different from future results, performance or achievements expressed or implied by any forward-looking statements. These forward-looking statements are not historical facts, but rather are based on current expectations, estimates and projections about us, our current and prospective portfolio investments, our industry, our beliefs, and our assumptions. Words such as “anticipates,” “expects,” “intends,” “plans,” “will,” “may,” “continue,” “believes,” “seeks,” “estimates,” “would,” “should,” “targets,” “projects” and variations of these words and similar expressions are intended to identify forward-looking statements. The forward-looking statements contained in this report involve risks and uncertainties, including statements as to:</w:t>
      </w:r>
    </w:p>
    <w:p>
      <w:pPr>
        <w:spacing w:after="0" w:line="71" w:lineRule="exact"/>
        <w:rPr>
          <w:sz w:val="20"/>
          <w:szCs w:val="20"/>
          <w:color w:val="auto"/>
        </w:rPr>
      </w:pPr>
    </w:p>
    <w:p>
      <w:pPr>
        <w:ind w:left="2120" w:hanging="327"/>
        <w:spacing w:after="0"/>
        <w:tabs>
          <w:tab w:leader="none" w:pos="21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future operating results;</w:t>
      </w:r>
    </w:p>
    <w:p>
      <w:pPr>
        <w:spacing w:after="0" w:line="100" w:lineRule="exact"/>
        <w:rPr>
          <w:rFonts w:ascii="Times New Roman" w:cs="Times New Roman" w:eastAsia="Times New Roman" w:hAnsi="Times New Roman"/>
          <w:sz w:val="14"/>
          <w:szCs w:val="14"/>
          <w:color w:val="auto"/>
        </w:rPr>
      </w:pPr>
    </w:p>
    <w:p>
      <w:pPr>
        <w:ind w:left="2120" w:hanging="327"/>
        <w:spacing w:after="0"/>
        <w:tabs>
          <w:tab w:leader="none" w:pos="21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the financial and lending markets;</w:t>
      </w:r>
    </w:p>
    <w:p>
      <w:pPr>
        <w:spacing w:after="0" w:line="100" w:lineRule="exact"/>
        <w:rPr>
          <w:rFonts w:ascii="Times New Roman" w:cs="Times New Roman" w:eastAsia="Times New Roman" w:hAnsi="Times New Roman"/>
          <w:sz w:val="14"/>
          <w:szCs w:val="14"/>
          <w:color w:val="auto"/>
        </w:rPr>
      </w:pPr>
    </w:p>
    <w:p>
      <w:pPr>
        <w:ind w:left="2120" w:hanging="327"/>
        <w:spacing w:after="0"/>
        <w:tabs>
          <w:tab w:leader="none" w:pos="21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business prospects and the prospects of our portfolio companies, including our and their ability to achieve our respective objectives;</w:t>
      </w:r>
    </w:p>
    <w:p>
      <w:pPr>
        <w:spacing w:after="0" w:line="100" w:lineRule="exact"/>
        <w:rPr>
          <w:rFonts w:ascii="Times New Roman" w:cs="Times New Roman" w:eastAsia="Times New Roman" w:hAnsi="Times New Roman"/>
          <w:sz w:val="14"/>
          <w:szCs w:val="14"/>
          <w:color w:val="auto"/>
        </w:rPr>
      </w:pPr>
    </w:p>
    <w:p>
      <w:pPr>
        <w:ind w:left="2120" w:hanging="327"/>
        <w:spacing w:after="0"/>
        <w:tabs>
          <w:tab w:leader="none" w:pos="21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investments that we expect to make;</w:t>
      </w:r>
    </w:p>
    <w:p>
      <w:pPr>
        <w:spacing w:after="0" w:line="100" w:lineRule="exact"/>
        <w:rPr>
          <w:rFonts w:ascii="Times New Roman" w:cs="Times New Roman" w:eastAsia="Times New Roman" w:hAnsi="Times New Roman"/>
          <w:sz w:val="14"/>
          <w:szCs w:val="14"/>
          <w:color w:val="auto"/>
        </w:rPr>
      </w:pPr>
    </w:p>
    <w:p>
      <w:pPr>
        <w:ind w:left="2120" w:hanging="327"/>
        <w:spacing w:after="0"/>
        <w:tabs>
          <w:tab w:leader="none" w:pos="21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contractual arrangements and relationships with third parties;</w:t>
      </w:r>
    </w:p>
    <w:p>
      <w:pPr>
        <w:spacing w:after="0" w:line="100" w:lineRule="exact"/>
        <w:rPr>
          <w:rFonts w:ascii="Times New Roman" w:cs="Times New Roman" w:eastAsia="Times New Roman" w:hAnsi="Times New Roman"/>
          <w:sz w:val="14"/>
          <w:szCs w:val="14"/>
          <w:color w:val="auto"/>
        </w:rPr>
      </w:pPr>
    </w:p>
    <w:p>
      <w:pPr>
        <w:ind w:left="2120" w:hanging="327"/>
        <w:spacing w:after="0"/>
        <w:tabs>
          <w:tab w:leader="none" w:pos="21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dependence of our future success on the general economy and its impact on the industries in which we invest;</w:t>
      </w:r>
    </w:p>
    <w:p>
      <w:pPr>
        <w:spacing w:after="0" w:line="100" w:lineRule="exact"/>
        <w:rPr>
          <w:rFonts w:ascii="Times New Roman" w:cs="Times New Roman" w:eastAsia="Times New Roman" w:hAnsi="Times New Roman"/>
          <w:sz w:val="14"/>
          <w:szCs w:val="14"/>
          <w:color w:val="auto"/>
        </w:rPr>
      </w:pPr>
    </w:p>
    <w:p>
      <w:pPr>
        <w:ind w:left="2120" w:hanging="327"/>
        <w:spacing w:after="0"/>
        <w:tabs>
          <w:tab w:leader="none" w:pos="2120" w:val="left"/>
        </w:tabs>
        <w:numPr>
          <w:ilvl w:val="0"/>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 economic downturn and its impacts on the ability of our portfolio companies to operate and the investment opportunities available to us;</w:t>
      </w:r>
    </w:p>
    <w:p>
      <w:pPr>
        <w:spacing w:after="0" w:line="112" w:lineRule="exact"/>
        <w:rPr>
          <w:rFonts w:ascii="Times New Roman" w:cs="Times New Roman" w:eastAsia="Times New Roman" w:hAnsi="Times New Roman"/>
          <w:sz w:val="13"/>
          <w:szCs w:val="13"/>
          <w:color w:val="auto"/>
        </w:rPr>
      </w:pPr>
    </w:p>
    <w:p>
      <w:pPr>
        <w:ind w:left="2120" w:right="259" w:hanging="327"/>
        <w:spacing w:after="0" w:line="265" w:lineRule="auto"/>
        <w:tabs>
          <w:tab w:leader="none" w:pos="21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geopolitical conditions, including the ongoing conflict between Ukraine and Russia, ongoing conflicts in the Middle East, the ongoing turmoil in Europe, and U.S. and China relations, and their impact on financial market volatility, global economic markets, and various sectors, industries and markets for commodities globally;</w:t>
      </w:r>
    </w:p>
    <w:p>
      <w:pPr>
        <w:spacing w:after="0" w:line="63" w:lineRule="exact"/>
        <w:rPr>
          <w:rFonts w:ascii="Times New Roman" w:cs="Times New Roman" w:eastAsia="Times New Roman" w:hAnsi="Times New Roman"/>
          <w:sz w:val="14"/>
          <w:szCs w:val="14"/>
          <w:color w:val="auto"/>
        </w:rPr>
      </w:pPr>
    </w:p>
    <w:p>
      <w:pPr>
        <w:ind w:left="2120" w:right="559" w:hanging="327"/>
        <w:spacing w:after="0" w:line="281" w:lineRule="auto"/>
        <w:tabs>
          <w:tab w:leader="none" w:pos="21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uncertainty associated with the imposition of tariffs and trade barriers and changes in trade policies and its impact on our portfolio companies and our financial condition;</w:t>
      </w:r>
    </w:p>
    <w:p>
      <w:pPr>
        <w:spacing w:after="0" w:line="52" w:lineRule="exact"/>
        <w:rPr>
          <w:rFonts w:ascii="Times New Roman" w:cs="Times New Roman" w:eastAsia="Times New Roman" w:hAnsi="Times New Roman"/>
          <w:sz w:val="14"/>
          <w:szCs w:val="14"/>
          <w:color w:val="auto"/>
        </w:rPr>
      </w:pPr>
    </w:p>
    <w:p>
      <w:pPr>
        <w:ind w:left="2120" w:hanging="327"/>
        <w:spacing w:after="0"/>
        <w:tabs>
          <w:tab w:leader="none" w:pos="21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ability of our portfolio companies to achieve their objectives;</w:t>
      </w:r>
    </w:p>
    <w:p>
      <w:pPr>
        <w:spacing w:after="0" w:line="100" w:lineRule="exact"/>
        <w:rPr>
          <w:rFonts w:ascii="Times New Roman" w:cs="Times New Roman" w:eastAsia="Times New Roman" w:hAnsi="Times New Roman"/>
          <w:sz w:val="14"/>
          <w:szCs w:val="14"/>
          <w:color w:val="auto"/>
        </w:rPr>
      </w:pPr>
    </w:p>
    <w:p>
      <w:pPr>
        <w:ind w:left="2120" w:hanging="327"/>
        <w:spacing w:after="0"/>
        <w:tabs>
          <w:tab w:leader="none" w:pos="21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expected financing and investments;</w:t>
      </w:r>
    </w:p>
    <w:p>
      <w:pPr>
        <w:spacing w:after="0" w:line="100" w:lineRule="exact"/>
        <w:rPr>
          <w:rFonts w:ascii="Times New Roman" w:cs="Times New Roman" w:eastAsia="Times New Roman" w:hAnsi="Times New Roman"/>
          <w:sz w:val="14"/>
          <w:szCs w:val="14"/>
          <w:color w:val="auto"/>
        </w:rPr>
      </w:pPr>
    </w:p>
    <w:p>
      <w:pPr>
        <w:ind w:left="2120" w:hanging="327"/>
        <w:spacing w:after="0"/>
        <w:tabs>
          <w:tab w:leader="none" w:pos="21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adequacy of our cash resources and working capital;</w:t>
      </w:r>
    </w:p>
    <w:p>
      <w:pPr>
        <w:spacing w:after="0" w:line="100" w:lineRule="exact"/>
        <w:rPr>
          <w:rFonts w:ascii="Times New Roman" w:cs="Times New Roman" w:eastAsia="Times New Roman" w:hAnsi="Times New Roman"/>
          <w:sz w:val="14"/>
          <w:szCs w:val="14"/>
          <w:color w:val="auto"/>
        </w:rPr>
      </w:pPr>
    </w:p>
    <w:p>
      <w:pPr>
        <w:ind w:left="2120" w:hanging="327"/>
        <w:spacing w:after="0"/>
        <w:tabs>
          <w:tab w:leader="none" w:pos="21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timing of cash flows, if any, from the operations of our portfolio companies;</w:t>
      </w:r>
    </w:p>
    <w:p>
      <w:pPr>
        <w:spacing w:after="0" w:line="100" w:lineRule="exact"/>
        <w:rPr>
          <w:rFonts w:ascii="Times New Roman" w:cs="Times New Roman" w:eastAsia="Times New Roman" w:hAnsi="Times New Roman"/>
          <w:sz w:val="14"/>
          <w:szCs w:val="14"/>
          <w:color w:val="auto"/>
        </w:rPr>
      </w:pPr>
    </w:p>
    <w:p>
      <w:pPr>
        <w:ind w:left="2120" w:hanging="327"/>
        <w:spacing w:after="0"/>
        <w:tabs>
          <w:tab w:leader="none" w:pos="21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ability of our investment advisor to identify suitable investments for us and to monitor and administer our investments;</w:t>
      </w:r>
    </w:p>
    <w:p>
      <w:pPr>
        <w:spacing w:after="0" w:line="100" w:lineRule="exact"/>
        <w:rPr>
          <w:rFonts w:ascii="Times New Roman" w:cs="Times New Roman" w:eastAsia="Times New Roman" w:hAnsi="Times New Roman"/>
          <w:sz w:val="14"/>
          <w:szCs w:val="14"/>
          <w:color w:val="auto"/>
        </w:rPr>
      </w:pPr>
    </w:p>
    <w:p>
      <w:pPr>
        <w:ind w:left="2120" w:hanging="327"/>
        <w:spacing w:after="0"/>
        <w:tabs>
          <w:tab w:leader="none" w:pos="21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ability of our investment advisor to attract and retain highly talented professionals;</w:t>
      </w:r>
    </w:p>
    <w:p>
      <w:pPr>
        <w:spacing w:after="0" w:line="100" w:lineRule="exact"/>
        <w:rPr>
          <w:rFonts w:ascii="Times New Roman" w:cs="Times New Roman" w:eastAsia="Times New Roman" w:hAnsi="Times New Roman"/>
          <w:sz w:val="14"/>
          <w:szCs w:val="14"/>
          <w:color w:val="auto"/>
        </w:rPr>
      </w:pPr>
    </w:p>
    <w:p>
      <w:pPr>
        <w:ind w:left="2120" w:hanging="327"/>
        <w:spacing w:after="0"/>
        <w:tabs>
          <w:tab w:leader="none" w:pos="21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regulatory structure and tax treatment;</w:t>
      </w:r>
    </w:p>
    <w:p>
      <w:pPr>
        <w:spacing w:after="0" w:line="100" w:lineRule="exact"/>
        <w:rPr>
          <w:rFonts w:ascii="Times New Roman" w:cs="Times New Roman" w:eastAsia="Times New Roman" w:hAnsi="Times New Roman"/>
          <w:sz w:val="14"/>
          <w:szCs w:val="14"/>
          <w:color w:val="auto"/>
        </w:rPr>
      </w:pPr>
    </w:p>
    <w:p>
      <w:pPr>
        <w:ind w:left="2120" w:hanging="327"/>
        <w:spacing w:after="0"/>
        <w:tabs>
          <w:tab w:leader="none" w:pos="21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operate as a BDC and a RIC and each of the SBIC Funds to operate as an SBIC;</w:t>
      </w:r>
    </w:p>
    <w:p>
      <w:pPr>
        <w:spacing w:after="0" w:line="100" w:lineRule="exact"/>
        <w:rPr>
          <w:rFonts w:ascii="Times New Roman" w:cs="Times New Roman" w:eastAsia="Times New Roman" w:hAnsi="Times New Roman"/>
          <w:sz w:val="14"/>
          <w:szCs w:val="14"/>
          <w:color w:val="auto"/>
        </w:rPr>
      </w:pPr>
    </w:p>
    <w:p>
      <w:pPr>
        <w:ind w:left="2120" w:hanging="327"/>
        <w:spacing w:after="0"/>
        <w:tabs>
          <w:tab w:leader="none" w:pos="21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timing, form and amount of any dividend distributions;</w:t>
      </w:r>
    </w:p>
    <w:p>
      <w:pPr>
        <w:spacing w:after="0" w:line="100" w:lineRule="exact"/>
        <w:rPr>
          <w:rFonts w:ascii="Times New Roman" w:cs="Times New Roman" w:eastAsia="Times New Roman" w:hAnsi="Times New Roman"/>
          <w:sz w:val="14"/>
          <w:szCs w:val="14"/>
          <w:color w:val="auto"/>
        </w:rPr>
      </w:pPr>
    </w:p>
    <w:p>
      <w:pPr>
        <w:ind w:left="2120" w:hanging="327"/>
        <w:spacing w:after="0"/>
        <w:tabs>
          <w:tab w:leader="none" w:pos="21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interest rate volatility and the elevated level of inflation on our business and portfolio companies;</w:t>
      </w:r>
    </w:p>
    <w:p>
      <w:pPr>
        <w:spacing w:after="0" w:line="12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16</w:t>
      </w:r>
    </w:p>
    <w:p>
      <w:pPr>
        <w:sectPr>
          <w:pgSz w:w="11900" w:h="16838" w:orient="portrait"/>
          <w:cols w:equalWidth="0" w:num="1">
            <w:col w:w="10159"/>
          </w:cols>
          <w:pgMar w:left="300" w:top="384" w:right="1440"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9" w:lineRule="exact"/>
        <w:rPr>
          <w:sz w:val="20"/>
          <w:szCs w:val="20"/>
          <w:color w:val="auto"/>
        </w:rPr>
      </w:pPr>
    </w:p>
    <w:p>
      <w:pPr>
        <w:ind w:left="2120" w:hanging="327"/>
        <w:spacing w:after="0"/>
        <w:tabs>
          <w:tab w:leader="none" w:pos="21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valuation of any investments in portfolio companies, particularly those having no liquid trading market; and</w:t>
      </w:r>
    </w:p>
    <w:p>
      <w:pPr>
        <w:spacing w:after="0" w:line="100" w:lineRule="exact"/>
        <w:rPr>
          <w:rFonts w:ascii="Times New Roman" w:cs="Times New Roman" w:eastAsia="Times New Roman" w:hAnsi="Times New Roman"/>
          <w:sz w:val="14"/>
          <w:szCs w:val="14"/>
          <w:color w:val="auto"/>
        </w:rPr>
      </w:pPr>
    </w:p>
    <w:p>
      <w:pPr>
        <w:ind w:left="2120" w:hanging="327"/>
        <w:spacing w:after="0"/>
        <w:tabs>
          <w:tab w:leader="none" w:pos="21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recover unrealized losses.</w:t>
      </w:r>
    </w:p>
    <w:p>
      <w:pPr>
        <w:spacing w:after="0" w:line="174" w:lineRule="exact"/>
        <w:rPr>
          <w:sz w:val="20"/>
          <w:szCs w:val="20"/>
          <w:color w:val="auto"/>
        </w:rPr>
      </w:pPr>
    </w:p>
    <w:p>
      <w:pPr>
        <w:jc w:val="both"/>
        <w:ind w:left="1380" w:right="359" w:firstLine="341"/>
        <w:spacing w:after="0" w:line="265" w:lineRule="auto"/>
        <w:rPr>
          <w:sz w:val="20"/>
          <w:szCs w:val="20"/>
          <w:color w:val="auto"/>
        </w:rPr>
      </w:pPr>
      <w:r>
        <w:rPr>
          <w:rFonts w:ascii="Times New Roman" w:cs="Times New Roman" w:eastAsia="Times New Roman" w:hAnsi="Times New Roman"/>
          <w:sz w:val="14"/>
          <w:szCs w:val="14"/>
          <w:color w:val="auto"/>
        </w:rPr>
        <w:t>These statements are not guarantees of future performance and are subject to risks, uncertainties and other factors, some of which are beyond our control and difficult to predict and could cause actual results to differ materially from those expressed or forecasted in the forward-looking statements, including without limitation:</w:t>
      </w:r>
    </w:p>
    <w:p>
      <w:pPr>
        <w:spacing w:after="0" w:line="63" w:lineRule="exact"/>
        <w:rPr>
          <w:sz w:val="20"/>
          <w:szCs w:val="20"/>
          <w:color w:val="auto"/>
        </w:rPr>
      </w:pPr>
    </w:p>
    <w:p>
      <w:pPr>
        <w:ind w:left="2120" w:right="299" w:hanging="327"/>
        <w:spacing w:after="0" w:line="265" w:lineRule="auto"/>
        <w:tabs>
          <w:tab w:leader="none" w:pos="21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economic downturn and significant disruptions to our portfolio companies, including supply chain disruptions, labor shortages, and uncertainty associated with the imposition of tariffs, could impair our portfolio companies’ ability to continue to operate, which could lead to the loss of some or all of our investments in such portfolio companies;</w:t>
      </w:r>
    </w:p>
    <w:p>
      <w:pPr>
        <w:spacing w:after="0" w:line="63" w:lineRule="exact"/>
        <w:rPr>
          <w:rFonts w:ascii="Times New Roman" w:cs="Times New Roman" w:eastAsia="Times New Roman" w:hAnsi="Times New Roman"/>
          <w:sz w:val="14"/>
          <w:szCs w:val="14"/>
          <w:color w:val="auto"/>
        </w:rPr>
      </w:pPr>
    </w:p>
    <w:p>
      <w:pPr>
        <w:ind w:left="2120" w:hanging="327"/>
        <w:spacing w:after="0"/>
        <w:tabs>
          <w:tab w:leader="none" w:pos="21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contraction of available credit and/or an inability to access the equity markets could impair our lending and investment activities;</w:t>
      </w:r>
    </w:p>
    <w:p>
      <w:pPr>
        <w:spacing w:after="0" w:line="100" w:lineRule="exact"/>
        <w:rPr>
          <w:rFonts w:ascii="Times New Roman" w:cs="Times New Roman" w:eastAsia="Times New Roman" w:hAnsi="Times New Roman"/>
          <w:sz w:val="14"/>
          <w:szCs w:val="14"/>
          <w:color w:val="auto"/>
        </w:rPr>
      </w:pPr>
    </w:p>
    <w:p>
      <w:pPr>
        <w:ind w:left="2120" w:hanging="327"/>
        <w:spacing w:after="0"/>
        <w:tabs>
          <w:tab w:leader="none" w:pos="21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interest rate volatility could adversely affect our results, particularly because we use leverage as part of our investment strategy;</w:t>
      </w:r>
    </w:p>
    <w:p>
      <w:pPr>
        <w:spacing w:after="0" w:line="100" w:lineRule="exact"/>
        <w:rPr>
          <w:rFonts w:ascii="Times New Roman" w:cs="Times New Roman" w:eastAsia="Times New Roman" w:hAnsi="Times New Roman"/>
          <w:sz w:val="14"/>
          <w:szCs w:val="14"/>
          <w:color w:val="auto"/>
        </w:rPr>
      </w:pPr>
    </w:p>
    <w:p>
      <w:pPr>
        <w:ind w:left="2120" w:right="319" w:hanging="327"/>
        <w:spacing w:after="0" w:line="281" w:lineRule="auto"/>
        <w:tabs>
          <w:tab w:leader="none" w:pos="21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elevated level of inflation could adversely affect our business, results of operations and financial condition of our portfolio companies, which may, in turn, impact the valuation of such portfolio companies; and</w:t>
      </w:r>
    </w:p>
    <w:p>
      <w:pPr>
        <w:spacing w:after="0" w:line="50" w:lineRule="exact"/>
        <w:rPr>
          <w:rFonts w:ascii="Times New Roman" w:cs="Times New Roman" w:eastAsia="Times New Roman" w:hAnsi="Times New Roman"/>
          <w:sz w:val="14"/>
          <w:szCs w:val="14"/>
          <w:color w:val="auto"/>
        </w:rPr>
      </w:pPr>
    </w:p>
    <w:p>
      <w:pPr>
        <w:ind w:left="2120" w:right="419" w:hanging="327"/>
        <w:spacing w:after="0" w:line="266" w:lineRule="auto"/>
        <w:tabs>
          <w:tab w:leader="none" w:pos="21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risks, uncertainties and other factors we identify in the section titled “</w:t>
      </w:r>
      <w:r>
        <w:rPr>
          <w:rFonts w:ascii="Times New Roman" w:cs="Times New Roman" w:eastAsia="Times New Roman" w:hAnsi="Times New Roman"/>
          <w:sz w:val="14"/>
          <w:szCs w:val="14"/>
          <w:i w:val="1"/>
          <w:iCs w:val="1"/>
          <w:color w:val="auto"/>
        </w:rPr>
        <w:t>Risk Factors</w:t>
      </w:r>
      <w:r>
        <w:rPr>
          <w:rFonts w:ascii="Times New Roman" w:cs="Times New Roman" w:eastAsia="Times New Roman" w:hAnsi="Times New Roman"/>
          <w:sz w:val="14"/>
          <w:szCs w:val="14"/>
          <w:color w:val="auto"/>
        </w:rPr>
        <w:t>” in this prospectus and in Part I, Item 1A of our most recent Annual Report on Form 10-K, in Part II, Item 1A of any subsequent Quarterly Report on Form 10-Q, and those discussed in other documents we file with the SEC.</w:t>
      </w:r>
    </w:p>
    <w:p>
      <w:pPr>
        <w:spacing w:after="0" w:line="136" w:lineRule="exact"/>
        <w:rPr>
          <w:sz w:val="20"/>
          <w:szCs w:val="20"/>
          <w:color w:val="auto"/>
        </w:rPr>
      </w:pPr>
    </w:p>
    <w:p>
      <w:pPr>
        <w:ind w:left="1380" w:right="259" w:firstLine="341"/>
        <w:spacing w:after="0" w:line="252"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Although we believe that the assumptions on which these forward-looking statements are based are reasonable, any of those assumptions could prove to be inaccurate, and as a result, the forward-looking statements based on those assumptions also could be inaccurate. Important assumptions include our ability to originate new debt investments, certain margins and levels of profitability and the availability of additional capital. In light of these and other uncertainties, the inclusion of a projection or forward-looking statement in this prospectus should not be regarded as a representation by us that our plans and objectives will be achieved. These risks and uncertainties include those described or identified in “</w:t>
      </w:r>
      <w:r>
        <w:rPr>
          <w:rFonts w:ascii="Times New Roman" w:cs="Times New Roman" w:eastAsia="Times New Roman" w:hAnsi="Times New Roman"/>
          <w:sz w:val="14"/>
          <w:szCs w:val="14"/>
          <w:i w:val="1"/>
          <w:iCs w:val="1"/>
          <w:color w:val="auto"/>
        </w:rPr>
        <w:t>Risk Factors</w:t>
      </w:r>
      <w:r>
        <w:rPr>
          <w:rFonts w:ascii="Times New Roman" w:cs="Times New Roman" w:eastAsia="Times New Roman" w:hAnsi="Times New Roman"/>
          <w:sz w:val="14"/>
          <w:szCs w:val="14"/>
          <w:color w:val="auto"/>
        </w:rPr>
        <w:t xml:space="preserve">” in Part I, Item 1A of our most recent </w:t>
      </w:r>
      <w:hyperlink r:id="rId49">
        <w:r>
          <w:rPr>
            <w:rFonts w:ascii="Times New Roman" w:cs="Times New Roman" w:eastAsia="Times New Roman" w:hAnsi="Times New Roman"/>
            <w:sz w:val="14"/>
            <w:szCs w:val="14"/>
            <w:u w:val="single" w:color="auto"/>
            <w:color w:val="0000EE"/>
          </w:rPr>
          <w:t>Annual Report on Form 10-K</w:t>
        </w:r>
      </w:hyperlink>
      <w:r>
        <w:rPr>
          <w:rFonts w:ascii="Times New Roman" w:cs="Times New Roman" w:eastAsia="Times New Roman" w:hAnsi="Times New Roman"/>
          <w:sz w:val="14"/>
          <w:szCs w:val="14"/>
          <w:color w:val="auto"/>
        </w:rPr>
        <w:t>, in Part II, Item 1A of our most recent Quarterly Report on Form 10-Q, and elsewhere in this prospectus, including the documents we incorporate by reference. You should not place undue reliance on these forward-looking statements, which are based on information available to us as of the applicable date of this prospectus, including any documents incorporated by reference, and while we believe such information forms, or will form,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on these statements. Except as otherwise required by federal securities laws, we do not undertake to publicly update or revise any forward-looking statements, whether as a result of new information, future events or otherwise. These forward-looking statements do not meet the safe harbor for forward-looking statements pursuant to Section 27A of the Securities Act or Section 21E of the Exchange Act.</w:t>
      </w:r>
    </w:p>
    <w:p>
      <w:pPr>
        <w:spacing w:after="0" w:line="9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17</w:t>
      </w:r>
    </w:p>
    <w:p>
      <w:pPr>
        <w:sectPr>
          <w:pgSz w:w="11900" w:h="16838" w:orient="portrait"/>
          <w:cols w:equalWidth="0" w:num="1">
            <w:col w:w="10159"/>
          </w:cols>
          <w:pgMar w:left="300" w:top="384" w:right="1440"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0">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7"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4"/>
          <w:szCs w:val="14"/>
          <w:b w:val="1"/>
          <w:bCs w:val="1"/>
          <w:color w:val="auto"/>
        </w:rPr>
        <w:t>THE EXCHANGE OFFER</w:t>
      </w:r>
    </w:p>
    <w:p>
      <w:pPr>
        <w:spacing w:after="0" w:line="174"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b w:val="1"/>
          <w:bCs w:val="1"/>
          <w:color w:val="auto"/>
        </w:rPr>
        <w:t>Purpose and Effect of the Exchange Offer</w:t>
      </w:r>
    </w:p>
    <w:p>
      <w:pPr>
        <w:spacing w:after="0" w:line="92" w:lineRule="exact"/>
        <w:rPr>
          <w:sz w:val="20"/>
          <w:szCs w:val="20"/>
          <w:color w:val="auto"/>
        </w:rPr>
      </w:pPr>
    </w:p>
    <w:p>
      <w:pPr>
        <w:ind w:left="1380" w:right="259" w:firstLine="341"/>
        <w:spacing w:after="0" w:line="255" w:lineRule="auto"/>
        <w:rPr>
          <w:sz w:val="20"/>
          <w:szCs w:val="20"/>
          <w:color w:val="auto"/>
        </w:rPr>
      </w:pPr>
      <w:r>
        <w:rPr>
          <w:rFonts w:ascii="Times New Roman" w:cs="Times New Roman" w:eastAsia="Times New Roman" w:hAnsi="Times New Roman"/>
          <w:sz w:val="14"/>
          <w:szCs w:val="14"/>
          <w:color w:val="auto"/>
        </w:rPr>
        <w:t>We issued $120,000,000 aggregate principal amount of the Restricted Notes in a transaction not requiring registration under the Securities Act on May 29, 2026. The Restricted Notes were originally issued pursuant to the Note Purchase Agreement, dated May 29, 2026, by and between us and the initial purchasers of the Restricted Notes (the “Note Purchase Agreement”), and the Exchange Notes will be issued pursuant to a base indenture dated as of February 2, 2018, and a seventh supplemental indenture to be entered into by and between us and U.S. Bank Trust Company, National Association, as trustee. We refer to the base indenture and the seventh supplemental indenture collectively as the “Indenture” and to U.S. Bank Trust Company, National Association as the “trustee” or “U.S. Bank.”</w:t>
      </w:r>
    </w:p>
    <w:p>
      <w:pPr>
        <w:spacing w:after="0" w:line="146" w:lineRule="exact"/>
        <w:rPr>
          <w:sz w:val="20"/>
          <w:szCs w:val="20"/>
          <w:color w:val="auto"/>
        </w:rPr>
      </w:pPr>
    </w:p>
    <w:p>
      <w:pPr>
        <w:ind w:left="1380" w:right="359" w:firstLine="341"/>
        <w:spacing w:after="0" w:line="265" w:lineRule="auto"/>
        <w:rPr>
          <w:sz w:val="20"/>
          <w:szCs w:val="20"/>
          <w:color w:val="auto"/>
        </w:rPr>
      </w:pPr>
      <w:r>
        <w:rPr>
          <w:rFonts w:ascii="Times New Roman" w:cs="Times New Roman" w:eastAsia="Times New Roman" w:hAnsi="Times New Roman"/>
          <w:sz w:val="14"/>
          <w:szCs w:val="14"/>
          <w:color w:val="auto"/>
        </w:rPr>
        <w:t>In connection with the issuance of the Restricted Notes, we entered into a Registration Rights Agreement, which requires that we file this registration statement under the Securities Act with respect to the Exchange Notes to be issued in the exchange offer and, upon the effectiveness of this registration statement, offer to you the opportunity to exchange your Restricted Notes for a like principal amount of Exchange Notes.</w:t>
      </w:r>
    </w:p>
    <w:p>
      <w:pPr>
        <w:spacing w:after="0" w:line="136"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3"/>
          <w:szCs w:val="13"/>
          <w:color w:val="auto"/>
        </w:rPr>
        <w:t>Under the Registration Rights Agreement, we agreed, for the benefit of the holders of the Restricted Notes, to use commercially reasonable efforts</w:t>
      </w:r>
    </w:p>
    <w:p>
      <w:pPr>
        <w:spacing w:after="0" w:line="33"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color w:val="auto"/>
        </w:rPr>
        <w:t>to:</w:t>
      </w:r>
    </w:p>
    <w:p>
      <w:pPr>
        <w:spacing w:after="0" w:line="86" w:lineRule="exact"/>
        <w:rPr>
          <w:sz w:val="20"/>
          <w:szCs w:val="20"/>
          <w:color w:val="auto"/>
        </w:rPr>
      </w:pPr>
    </w:p>
    <w:p>
      <w:pPr>
        <w:ind w:left="2120" w:right="359" w:hanging="327"/>
        <w:spacing w:after="0" w:line="260" w:lineRule="auto"/>
        <w:tabs>
          <w:tab w:leader="none" w:pos="21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file the Exchange Offer Registration Statement with respect to a registered offer to exchange the Restricted Notes for the Exchange Notes having terms substantially identical to the Restricted Notes being exchanged, except that the transfer restrictions and registration rights relating to the Restricted Notes will not apply to the Exchange Notes, and the Exchange Notes will not provide for the payment of additional interest in the event of a registration default;</w:t>
      </w:r>
    </w:p>
    <w:p>
      <w:pPr>
        <w:spacing w:after="0" w:line="66" w:lineRule="exact"/>
        <w:rPr>
          <w:rFonts w:ascii="Times New Roman" w:cs="Times New Roman" w:eastAsia="Times New Roman" w:hAnsi="Times New Roman"/>
          <w:sz w:val="14"/>
          <w:szCs w:val="14"/>
          <w:color w:val="auto"/>
        </w:rPr>
      </w:pPr>
    </w:p>
    <w:p>
      <w:pPr>
        <w:ind w:left="2120" w:hanging="327"/>
        <w:spacing w:after="0"/>
        <w:tabs>
          <w:tab w:leader="none" w:pos="21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cause the exchange offer registration statement to become or be declared effective by the SEC under the Securities Act; and</w:t>
      </w:r>
    </w:p>
    <w:p>
      <w:pPr>
        <w:spacing w:after="0" w:line="100" w:lineRule="exact"/>
        <w:rPr>
          <w:rFonts w:ascii="Times New Roman" w:cs="Times New Roman" w:eastAsia="Times New Roman" w:hAnsi="Times New Roman"/>
          <w:sz w:val="14"/>
          <w:szCs w:val="14"/>
          <w:color w:val="auto"/>
        </w:rPr>
      </w:pPr>
    </w:p>
    <w:p>
      <w:pPr>
        <w:ind w:left="2120" w:right="379" w:hanging="327"/>
        <w:spacing w:after="0" w:line="281" w:lineRule="auto"/>
        <w:tabs>
          <w:tab w:leader="none" w:pos="21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consummate the exchange offer on the earliest practicable date after the exchange offer registration statement has been declared effective but in no event later than 365 days after the issue date.</w:t>
      </w:r>
    </w:p>
    <w:p>
      <w:pPr>
        <w:spacing w:after="0" w:line="125" w:lineRule="exact"/>
        <w:rPr>
          <w:sz w:val="20"/>
          <w:szCs w:val="20"/>
          <w:color w:val="auto"/>
        </w:rPr>
      </w:pPr>
    </w:p>
    <w:p>
      <w:pPr>
        <w:ind w:left="1380" w:right="299" w:firstLine="341"/>
        <w:spacing w:after="0" w:line="275" w:lineRule="auto"/>
        <w:rPr>
          <w:sz w:val="20"/>
          <w:szCs w:val="20"/>
          <w:color w:val="auto"/>
        </w:rPr>
      </w:pPr>
      <w:r>
        <w:rPr>
          <w:rFonts w:ascii="Times New Roman" w:cs="Times New Roman" w:eastAsia="Times New Roman" w:hAnsi="Times New Roman"/>
          <w:sz w:val="13"/>
          <w:szCs w:val="13"/>
          <w:color w:val="auto"/>
        </w:rPr>
        <w:t xml:space="preserve">We also agreed to keep the Exchange Offer Registration Statement effective for not less than the minimum period required under applicable federal and state securities laws to consummate the exchange offer; </w:t>
      </w:r>
      <w:r>
        <w:rPr>
          <w:rFonts w:ascii="Times New Roman" w:cs="Times New Roman" w:eastAsia="Times New Roman" w:hAnsi="Times New Roman"/>
          <w:sz w:val="13"/>
          <w:szCs w:val="13"/>
          <w:i w:val="1"/>
          <w:iCs w:val="1"/>
          <w:color w:val="auto"/>
        </w:rPr>
        <w:t>provided, however</w:t>
      </w:r>
      <w:r>
        <w:rPr>
          <w:rFonts w:ascii="Times New Roman" w:cs="Times New Roman" w:eastAsia="Times New Roman" w:hAnsi="Times New Roman"/>
          <w:sz w:val="13"/>
          <w:szCs w:val="13"/>
          <w:color w:val="auto"/>
        </w:rPr>
        <w:t xml:space="preserve">, that in no event shall such period be less than 20 business days after the commencement of the exchange offer. If there is a Registration Default, the interest rate borne by the affected series of Restricted Notes will increase by 0.25% per annum for the first 90-day period following the occurrence of such Registration Default and will increase by an additional 0.25% per annum with respect to the subsequent 90-day period, for a maximum of 0.50% per annum as set forth in the Registration Rights Agreement. Additional Interest due pursuant to any Registration Default will be paid in cash on the relevant interest payment date to holders of record on the relevant regular record dates. Following the cure of all Registration Defaults relating to any particular Restricted Notes, the interest rate borne by the Restricted Notes will be reduced to the original interest rate borne by Restricted Notes; </w:t>
      </w:r>
      <w:r>
        <w:rPr>
          <w:rFonts w:ascii="Times New Roman" w:cs="Times New Roman" w:eastAsia="Times New Roman" w:hAnsi="Times New Roman"/>
          <w:sz w:val="13"/>
          <w:szCs w:val="13"/>
          <w:i w:val="1"/>
          <w:iCs w:val="1"/>
          <w:color w:val="auto"/>
        </w:rPr>
        <w:t>provided, however</w:t>
      </w:r>
      <w:r>
        <w:rPr>
          <w:rFonts w:ascii="Times New Roman" w:cs="Times New Roman" w:eastAsia="Times New Roman" w:hAnsi="Times New Roman"/>
          <w:sz w:val="13"/>
          <w:szCs w:val="13"/>
          <w:color w:val="auto"/>
        </w:rPr>
        <w:t>, that, if after any such reduction in interest rate, a different Registration Default occurs, the interest rate borne by the Restricted Notes will again be increased pursuant to the foregoing provisions.</w:t>
      </w:r>
    </w:p>
    <w:p>
      <w:pPr>
        <w:spacing w:after="0" w:line="133" w:lineRule="exact"/>
        <w:rPr>
          <w:sz w:val="20"/>
          <w:szCs w:val="20"/>
          <w:color w:val="auto"/>
        </w:rPr>
      </w:pPr>
    </w:p>
    <w:p>
      <w:pPr>
        <w:jc w:val="both"/>
        <w:ind w:left="1380" w:right="499" w:firstLine="341"/>
        <w:spacing w:after="0" w:line="265" w:lineRule="auto"/>
        <w:rPr>
          <w:sz w:val="20"/>
          <w:szCs w:val="20"/>
          <w:color w:val="auto"/>
        </w:rPr>
      </w:pPr>
      <w:r>
        <w:rPr>
          <w:rFonts w:ascii="Times New Roman" w:cs="Times New Roman" w:eastAsia="Times New Roman" w:hAnsi="Times New Roman"/>
          <w:sz w:val="14"/>
          <w:szCs w:val="14"/>
          <w:color w:val="auto"/>
        </w:rPr>
        <w:t>If, for any reason, we are not able to effect the exchange offer on or before 365 days from the issue date of the Registration Rights Agreement, upon any note holder’s request, we will be obligated to file a shelf registration statement covering the resale of the Notes and use our commercially reasonable efforts to cause such registration statement to be declared effective.</w:t>
      </w:r>
    </w:p>
    <w:p>
      <w:pPr>
        <w:spacing w:after="0" w:line="136" w:lineRule="exact"/>
        <w:rPr>
          <w:sz w:val="20"/>
          <w:szCs w:val="20"/>
          <w:color w:val="auto"/>
        </w:rPr>
      </w:pPr>
    </w:p>
    <w:p>
      <w:pPr>
        <w:ind w:left="1380" w:right="379" w:firstLine="341"/>
        <w:spacing w:after="0" w:line="281" w:lineRule="auto"/>
        <w:rPr>
          <w:sz w:val="20"/>
          <w:szCs w:val="20"/>
          <w:color w:val="auto"/>
        </w:rPr>
      </w:pPr>
      <w:r>
        <w:rPr>
          <w:rFonts w:ascii="Times New Roman" w:cs="Times New Roman" w:eastAsia="Times New Roman" w:hAnsi="Times New Roman"/>
          <w:sz w:val="14"/>
          <w:szCs w:val="14"/>
          <w:color w:val="auto"/>
        </w:rPr>
        <w:t>The Exchange Notes will be issued without a restrictive legend and, except as set forth below, you may resell or otherwise transfer them without compliance without additional registration under the Securities Act.</w:t>
      </w:r>
    </w:p>
    <w:p>
      <w:pPr>
        <w:spacing w:after="0" w:line="7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18</w:t>
      </w:r>
    </w:p>
    <w:p>
      <w:pPr>
        <w:sectPr>
          <w:pgSz w:w="11900" w:h="16838" w:orient="portrait"/>
          <w:cols w:equalWidth="0" w:num="1">
            <w:col w:w="10159"/>
          </w:cols>
          <w:pgMar w:left="300" w:top="384" w:right="1440"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1">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9" w:lineRule="exact"/>
        <w:rPr>
          <w:sz w:val="20"/>
          <w:szCs w:val="20"/>
          <w:color w:val="auto"/>
        </w:rPr>
      </w:pPr>
    </w:p>
    <w:p>
      <w:pPr>
        <w:ind w:left="1380" w:right="559"/>
        <w:spacing w:after="0" w:line="281" w:lineRule="auto"/>
        <w:rPr>
          <w:sz w:val="20"/>
          <w:szCs w:val="20"/>
          <w:color w:val="auto"/>
        </w:rPr>
      </w:pPr>
      <w:r>
        <w:rPr>
          <w:rFonts w:ascii="Times New Roman" w:cs="Times New Roman" w:eastAsia="Times New Roman" w:hAnsi="Times New Roman"/>
          <w:sz w:val="14"/>
          <w:szCs w:val="14"/>
          <w:color w:val="auto"/>
        </w:rPr>
        <w:t>After we complete the exchange offer, our obligation to register the exchange of Exchange Notes for Restricted Notes will terminate. A copy of the Registration Rights Agreement has been filed as an exhibit to the registration statement of which this prospectus is a part.</w:t>
      </w:r>
    </w:p>
    <w:p>
      <w:pPr>
        <w:spacing w:after="0" w:line="123" w:lineRule="exact"/>
        <w:rPr>
          <w:sz w:val="20"/>
          <w:szCs w:val="20"/>
          <w:color w:val="auto"/>
        </w:rPr>
      </w:pPr>
    </w:p>
    <w:p>
      <w:pPr>
        <w:ind w:left="1380" w:right="319" w:firstLine="341"/>
        <w:spacing w:after="0" w:line="258" w:lineRule="auto"/>
        <w:rPr>
          <w:sz w:val="20"/>
          <w:szCs w:val="20"/>
          <w:color w:val="auto"/>
        </w:rPr>
      </w:pPr>
      <w:r>
        <w:rPr>
          <w:rFonts w:ascii="Times New Roman" w:cs="Times New Roman" w:eastAsia="Times New Roman" w:hAnsi="Times New Roman"/>
          <w:sz w:val="14"/>
          <w:szCs w:val="14"/>
          <w:color w:val="auto"/>
        </w:rPr>
        <w:t xml:space="preserve">Based on interpretations by the staff of the SEC set forth in no-action letters issued to third parties unrelated to us, including </w:t>
      </w:r>
      <w:r>
        <w:rPr>
          <w:rFonts w:ascii="Times New Roman" w:cs="Times New Roman" w:eastAsia="Times New Roman" w:hAnsi="Times New Roman"/>
          <w:sz w:val="14"/>
          <w:szCs w:val="14"/>
          <w:i w:val="1"/>
          <w:iCs w:val="1"/>
          <w:color w:val="auto"/>
        </w:rPr>
        <w:t>Exxon Capital</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Holdings Corp.</w:t>
      </w:r>
      <w:r>
        <w:rPr>
          <w:rFonts w:ascii="Times New Roman" w:cs="Times New Roman" w:eastAsia="Times New Roman" w:hAnsi="Times New Roman"/>
          <w:sz w:val="14"/>
          <w:szCs w:val="14"/>
          <w:color w:val="auto"/>
        </w:rPr>
        <w:t>, SEC no-action letter (April 13, 1988),</w:t>
      </w:r>
      <w:r>
        <w:rPr>
          <w:rFonts w:ascii="Times New Roman" w:cs="Times New Roman" w:eastAsia="Times New Roman" w:hAnsi="Times New Roman"/>
          <w:sz w:val="14"/>
          <w:szCs w:val="14"/>
          <w:i w:val="1"/>
          <w:iCs w:val="1"/>
          <w:color w:val="auto"/>
        </w:rPr>
        <w:t xml:space="preserve"> Morgan, Stanley &amp; Co. Inc.</w:t>
      </w:r>
      <w:r>
        <w:rPr>
          <w:rFonts w:ascii="Times New Roman" w:cs="Times New Roman" w:eastAsia="Times New Roman" w:hAnsi="Times New Roman"/>
          <w:sz w:val="14"/>
          <w:szCs w:val="14"/>
          <w:color w:val="auto"/>
        </w:rPr>
        <w:t>, SEC no-action letter (June 5, 1991) and</w:t>
      </w:r>
      <w:r>
        <w:rPr>
          <w:rFonts w:ascii="Times New Roman" w:cs="Times New Roman" w:eastAsia="Times New Roman" w:hAnsi="Times New Roman"/>
          <w:sz w:val="14"/>
          <w:szCs w:val="14"/>
          <w:i w:val="1"/>
          <w:iCs w:val="1"/>
          <w:color w:val="auto"/>
        </w:rPr>
        <w:t xml:space="preserve"> Shearman &amp; Sterling</w:t>
      </w:r>
      <w:r>
        <w:rPr>
          <w:rFonts w:ascii="Times New Roman" w:cs="Times New Roman" w:eastAsia="Times New Roman" w:hAnsi="Times New Roman"/>
          <w:sz w:val="14"/>
          <w:szCs w:val="14"/>
          <w:color w:val="auto"/>
        </w:rPr>
        <w:t>, SEC</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no-action letter (July 2, 1993), subject to the limitations described in the succeeding three paragraphs, we believe that you may resell or otherwise transfer the Exchange Notes issued to you in the exchange offer without compliance with the registration and prospectus delivery requirements of the Securities Act. Our belief, however, is based on your representations to us that:</w:t>
      </w:r>
    </w:p>
    <w:p>
      <w:pPr>
        <w:spacing w:after="0" w:line="68" w:lineRule="exact"/>
        <w:rPr>
          <w:sz w:val="20"/>
          <w:szCs w:val="20"/>
          <w:color w:val="auto"/>
        </w:rPr>
      </w:pPr>
    </w:p>
    <w:p>
      <w:pPr>
        <w:ind w:left="2120" w:hanging="327"/>
        <w:spacing w:after="0"/>
        <w:tabs>
          <w:tab w:leader="none" w:pos="21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you are acquiring the Exchange Notes in the ordinary course of your business;</w:t>
      </w:r>
    </w:p>
    <w:p>
      <w:pPr>
        <w:spacing w:after="0" w:line="100" w:lineRule="exact"/>
        <w:rPr>
          <w:rFonts w:ascii="Times New Roman" w:cs="Times New Roman" w:eastAsia="Times New Roman" w:hAnsi="Times New Roman"/>
          <w:sz w:val="14"/>
          <w:szCs w:val="14"/>
          <w:color w:val="auto"/>
        </w:rPr>
      </w:pPr>
    </w:p>
    <w:p>
      <w:pPr>
        <w:ind w:left="2120" w:hanging="327"/>
        <w:spacing w:after="0"/>
        <w:tabs>
          <w:tab w:leader="none" w:pos="21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you are not engaging in and do not intend to engage in a distribution of the Exchange Notes;</w:t>
      </w:r>
    </w:p>
    <w:p>
      <w:pPr>
        <w:spacing w:after="0" w:line="100" w:lineRule="exact"/>
        <w:rPr>
          <w:rFonts w:ascii="Times New Roman" w:cs="Times New Roman" w:eastAsia="Times New Roman" w:hAnsi="Times New Roman"/>
          <w:sz w:val="14"/>
          <w:szCs w:val="14"/>
          <w:color w:val="auto"/>
        </w:rPr>
      </w:pPr>
    </w:p>
    <w:p>
      <w:pPr>
        <w:ind w:left="2120" w:hanging="327"/>
        <w:spacing w:after="0"/>
        <w:tabs>
          <w:tab w:leader="none" w:pos="21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you do not have an arrangement or understanding with any person or entity to participate in the distribution of the Exchange Notes;</w:t>
      </w:r>
    </w:p>
    <w:p>
      <w:pPr>
        <w:spacing w:after="0" w:line="100" w:lineRule="exact"/>
        <w:rPr>
          <w:rFonts w:ascii="Times New Roman" w:cs="Times New Roman" w:eastAsia="Times New Roman" w:hAnsi="Times New Roman"/>
          <w:sz w:val="14"/>
          <w:szCs w:val="14"/>
          <w:color w:val="auto"/>
        </w:rPr>
      </w:pPr>
    </w:p>
    <w:p>
      <w:pPr>
        <w:ind w:left="2120" w:hanging="327"/>
        <w:spacing w:after="0"/>
        <w:tabs>
          <w:tab w:leader="none" w:pos="21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you are not our “affiliate” as that term is defined in Rule 405 under the Securities Act;</w:t>
      </w:r>
    </w:p>
    <w:p>
      <w:pPr>
        <w:spacing w:after="0" w:line="100" w:lineRule="exact"/>
        <w:rPr>
          <w:rFonts w:ascii="Times New Roman" w:cs="Times New Roman" w:eastAsia="Times New Roman" w:hAnsi="Times New Roman"/>
          <w:sz w:val="14"/>
          <w:szCs w:val="14"/>
          <w:color w:val="auto"/>
        </w:rPr>
      </w:pPr>
    </w:p>
    <w:p>
      <w:pPr>
        <w:ind w:left="2120" w:hanging="327"/>
        <w:spacing w:after="0"/>
        <w:tabs>
          <w:tab w:leader="none" w:pos="21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you are not a broker-dealer tendering Restricted Notes acquired directly from us for your own account; and</w:t>
      </w:r>
    </w:p>
    <w:p>
      <w:pPr>
        <w:spacing w:after="0" w:line="100" w:lineRule="exact"/>
        <w:rPr>
          <w:rFonts w:ascii="Times New Roman" w:cs="Times New Roman" w:eastAsia="Times New Roman" w:hAnsi="Times New Roman"/>
          <w:sz w:val="14"/>
          <w:szCs w:val="14"/>
          <w:color w:val="auto"/>
        </w:rPr>
      </w:pPr>
    </w:p>
    <w:p>
      <w:pPr>
        <w:ind w:left="2120" w:hanging="327"/>
        <w:spacing w:after="0"/>
        <w:tabs>
          <w:tab w:leader="none" w:pos="21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you are not acting on behalf of any person that could not truthfully make these representations.</w:t>
      </w:r>
    </w:p>
    <w:p>
      <w:pPr>
        <w:spacing w:after="0" w:line="174" w:lineRule="exact"/>
        <w:rPr>
          <w:sz w:val="20"/>
          <w:szCs w:val="20"/>
          <w:color w:val="auto"/>
        </w:rPr>
      </w:pPr>
    </w:p>
    <w:p>
      <w:pPr>
        <w:ind w:left="1380" w:right="819" w:firstLine="341"/>
        <w:spacing w:after="0" w:line="265" w:lineRule="auto"/>
        <w:rPr>
          <w:sz w:val="20"/>
          <w:szCs w:val="20"/>
          <w:color w:val="auto"/>
        </w:rPr>
      </w:pPr>
      <w:r>
        <w:rPr>
          <w:rFonts w:ascii="Times New Roman" w:cs="Times New Roman" w:eastAsia="Times New Roman" w:hAnsi="Times New Roman"/>
          <w:sz w:val="14"/>
          <w:szCs w:val="14"/>
          <w:color w:val="auto"/>
        </w:rPr>
        <w:t>If you cannot make the representations described above, you may not participate in the exchange offer, you may not rely on the staff’s interpretations discussed above, and you must, in the absence of an exemption therefrom, comply with registration and the prospectus delivery requirements of the Securities Act in order to resell your Restricted Notes.</w:t>
      </w:r>
    </w:p>
    <w:p>
      <w:pPr>
        <w:spacing w:after="0" w:line="136" w:lineRule="exact"/>
        <w:rPr>
          <w:sz w:val="20"/>
          <w:szCs w:val="20"/>
          <w:color w:val="auto"/>
        </w:rPr>
      </w:pPr>
    </w:p>
    <w:p>
      <w:pPr>
        <w:ind w:left="1380" w:right="419" w:firstLine="341"/>
        <w:spacing w:after="0" w:line="265" w:lineRule="auto"/>
        <w:rPr>
          <w:sz w:val="20"/>
          <w:szCs w:val="20"/>
          <w:color w:val="auto"/>
        </w:rPr>
      </w:pPr>
      <w:r>
        <w:rPr>
          <w:rFonts w:ascii="Times New Roman" w:cs="Times New Roman" w:eastAsia="Times New Roman" w:hAnsi="Times New Roman"/>
          <w:sz w:val="14"/>
          <w:szCs w:val="14"/>
          <w:color w:val="auto"/>
        </w:rPr>
        <w:t>Each broker-dealer that receives Exchange Notes for its own account in the exchange offer for Restricted Notes that were acquired as a result of market-making or other trading activities must acknowledge that it will comply with the prospectus delivery requirements of the Securities Act in connection with any resale or other transfer of the Exchange Notes received in the exchange offer. See “</w:t>
      </w:r>
      <w:r>
        <w:rPr>
          <w:rFonts w:ascii="Times New Roman" w:cs="Times New Roman" w:eastAsia="Times New Roman" w:hAnsi="Times New Roman"/>
          <w:sz w:val="14"/>
          <w:szCs w:val="14"/>
          <w:i w:val="1"/>
          <w:iCs w:val="1"/>
          <w:color w:val="auto"/>
        </w:rPr>
        <w:t>Plan of Distribution</w:t>
      </w:r>
      <w:r>
        <w:rPr>
          <w:rFonts w:ascii="Times New Roman" w:cs="Times New Roman" w:eastAsia="Times New Roman" w:hAnsi="Times New Roman"/>
          <w:sz w:val="14"/>
          <w:szCs w:val="14"/>
          <w:color w:val="auto"/>
        </w:rPr>
        <w:t>.”</w:t>
      </w:r>
    </w:p>
    <w:p>
      <w:pPr>
        <w:spacing w:after="0" w:line="136" w:lineRule="exact"/>
        <w:rPr>
          <w:sz w:val="20"/>
          <w:szCs w:val="20"/>
          <w:color w:val="auto"/>
        </w:rPr>
      </w:pPr>
    </w:p>
    <w:p>
      <w:pPr>
        <w:ind w:left="1380" w:right="439" w:firstLine="341"/>
        <w:spacing w:after="0" w:line="281" w:lineRule="auto"/>
        <w:rPr>
          <w:sz w:val="20"/>
          <w:szCs w:val="20"/>
          <w:color w:val="auto"/>
        </w:rPr>
      </w:pPr>
      <w:r>
        <w:rPr>
          <w:rFonts w:ascii="Times New Roman" w:cs="Times New Roman" w:eastAsia="Times New Roman" w:hAnsi="Times New Roman"/>
          <w:sz w:val="14"/>
          <w:szCs w:val="14"/>
          <w:color w:val="auto"/>
        </w:rPr>
        <w:t>We have not asked the staff for a no-action letter in connection with the exchange offer, however, and we cannot assure you that the staff would make a similar determination with respect to the exchange offer.</w:t>
      </w:r>
    </w:p>
    <w:p>
      <w:pPr>
        <w:spacing w:after="0" w:line="125" w:lineRule="exact"/>
        <w:rPr>
          <w:sz w:val="20"/>
          <w:szCs w:val="20"/>
          <w:color w:val="auto"/>
        </w:rPr>
      </w:pPr>
    </w:p>
    <w:p>
      <w:pPr>
        <w:ind w:left="1380" w:right="259" w:firstLine="341"/>
        <w:spacing w:after="0" w:line="257" w:lineRule="auto"/>
        <w:rPr>
          <w:sz w:val="20"/>
          <w:szCs w:val="20"/>
          <w:color w:val="auto"/>
        </w:rPr>
      </w:pPr>
      <w:r>
        <w:rPr>
          <w:rFonts w:ascii="Times New Roman" w:cs="Times New Roman" w:eastAsia="Times New Roman" w:hAnsi="Times New Roman"/>
          <w:sz w:val="14"/>
          <w:szCs w:val="14"/>
          <w:color w:val="auto"/>
        </w:rPr>
        <w:t>If you are not eligible to participate in the exchange offer, you can request, within 365 days of the issue date of the Registration Rights Agreement, that we file a “shelf” registration statement pursuant to Rule 415 under the Securities Act. In the event that we are obligated to file a shelf registration statement, we will be required to use commercially reasonable efforts to keep the shelf registration statement effective to the extent necessary to ensure that it is available for resales of Registered Notes for a period of at least one year following the effective date of such shelf registration statement. See “—</w:t>
      </w:r>
      <w:r>
        <w:rPr>
          <w:rFonts w:ascii="Times New Roman" w:cs="Times New Roman" w:eastAsia="Times New Roman" w:hAnsi="Times New Roman"/>
          <w:sz w:val="14"/>
          <w:szCs w:val="14"/>
          <w:i w:val="1"/>
          <w:iCs w:val="1"/>
          <w:color w:val="auto"/>
        </w:rPr>
        <w:t>Procedures for Tendering Restricted Notes</w:t>
      </w:r>
      <w:r>
        <w:rPr>
          <w:rFonts w:ascii="Times New Roman" w:cs="Times New Roman" w:eastAsia="Times New Roman" w:hAnsi="Times New Roman"/>
          <w:sz w:val="14"/>
          <w:szCs w:val="14"/>
          <w:color w:val="auto"/>
        </w:rPr>
        <w:t>.”</w:t>
      </w:r>
    </w:p>
    <w:p>
      <w:pPr>
        <w:spacing w:after="0" w:line="224"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b w:val="1"/>
          <w:bCs w:val="1"/>
          <w:color w:val="auto"/>
        </w:rPr>
        <w:t>Consequences of Failure to Exchange</w:t>
      </w:r>
    </w:p>
    <w:p>
      <w:pPr>
        <w:spacing w:after="0" w:line="92"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4"/>
          <w:szCs w:val="14"/>
          <w:color w:val="auto"/>
        </w:rPr>
        <w:t>If you do not participate or validly tender your Restricted Notes in the exchange offer:</w:t>
      </w:r>
    </w:p>
    <w:p>
      <w:pPr>
        <w:spacing w:after="0" w:line="101" w:lineRule="exact"/>
        <w:rPr>
          <w:sz w:val="20"/>
          <w:szCs w:val="20"/>
          <w:color w:val="auto"/>
        </w:rPr>
      </w:pPr>
    </w:p>
    <w:p>
      <w:pPr>
        <w:ind w:left="2120" w:right="359" w:hanging="327"/>
        <w:spacing w:after="0" w:line="281" w:lineRule="auto"/>
        <w:tabs>
          <w:tab w:leader="none" w:pos="21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you will retain your Restricted Notes that are not registered under the Securities Act and they will continue to be subject to restrictions on transfer that are described in the legend on the Restricted Notes;</w:t>
      </w:r>
    </w:p>
    <w:p>
      <w:pPr>
        <w:spacing w:after="0" w:line="52" w:lineRule="exact"/>
        <w:rPr>
          <w:rFonts w:ascii="Times New Roman" w:cs="Times New Roman" w:eastAsia="Times New Roman" w:hAnsi="Times New Roman"/>
          <w:sz w:val="14"/>
          <w:szCs w:val="14"/>
          <w:color w:val="auto"/>
        </w:rPr>
      </w:pPr>
    </w:p>
    <w:p>
      <w:pPr>
        <w:ind w:left="2120" w:right="379" w:hanging="327"/>
        <w:spacing w:after="0" w:line="265" w:lineRule="auto"/>
        <w:tabs>
          <w:tab w:leader="none" w:pos="21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you will not be able to require us to register your Restricted Notes under the Securities Act unless, as set forth above, you do not receive freely tradable Exchange Notes in the exchange offer or are not eligible to participate in the exchange offer, and we are obligated to file a shelf registration statement;</w:t>
      </w:r>
    </w:p>
    <w:p>
      <w:pPr>
        <w:spacing w:after="0" w:line="8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19</w:t>
      </w:r>
    </w:p>
    <w:p>
      <w:pPr>
        <w:sectPr>
          <w:pgSz w:w="11900" w:h="16838" w:orient="portrait"/>
          <w:cols w:equalWidth="0" w:num="1">
            <w:col w:w="10159"/>
          </w:cols>
          <w:pgMar w:left="300" w:top="384" w:right="1440"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2">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9" w:lineRule="exact"/>
        <w:rPr>
          <w:sz w:val="20"/>
          <w:szCs w:val="20"/>
          <w:color w:val="auto"/>
        </w:rPr>
      </w:pPr>
    </w:p>
    <w:p>
      <w:pPr>
        <w:ind w:left="2120" w:right="399" w:hanging="327"/>
        <w:spacing w:after="0" w:line="281" w:lineRule="auto"/>
        <w:tabs>
          <w:tab w:leader="none" w:pos="21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you will not be able to resell or otherwise transfer your Restricted Notes unless they are registered under the Securities Act or unless you offer to resell or transfer them pursuant to an exemption under the Securities Act; and</w:t>
      </w:r>
    </w:p>
    <w:p>
      <w:pPr>
        <w:spacing w:after="0" w:line="52" w:lineRule="exact"/>
        <w:rPr>
          <w:rFonts w:ascii="Times New Roman" w:cs="Times New Roman" w:eastAsia="Times New Roman" w:hAnsi="Times New Roman"/>
          <w:sz w:val="14"/>
          <w:szCs w:val="14"/>
          <w:color w:val="auto"/>
        </w:rPr>
      </w:pPr>
    </w:p>
    <w:p>
      <w:pPr>
        <w:ind w:left="2120" w:right="279" w:hanging="327"/>
        <w:spacing w:after="0" w:line="281" w:lineRule="auto"/>
        <w:tabs>
          <w:tab w:leader="none" w:pos="21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trading market for your Restricted Notes will become more limited to the extent that other holders of Restricted Notes participate in the exchange offer.</w:t>
      </w:r>
    </w:p>
    <w:p>
      <w:pPr>
        <w:spacing w:after="0" w:line="207"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b w:val="1"/>
          <w:bCs w:val="1"/>
          <w:color w:val="auto"/>
        </w:rPr>
        <w:t>Terms of the Exchange Offer</w:t>
      </w:r>
    </w:p>
    <w:p>
      <w:pPr>
        <w:spacing w:after="0" w:line="92" w:lineRule="exact"/>
        <w:rPr>
          <w:sz w:val="20"/>
          <w:szCs w:val="20"/>
          <w:color w:val="auto"/>
        </w:rPr>
      </w:pPr>
    </w:p>
    <w:p>
      <w:pPr>
        <w:ind w:left="1380" w:right="359" w:firstLine="341"/>
        <w:spacing w:after="0" w:line="257" w:lineRule="auto"/>
        <w:rPr>
          <w:sz w:val="20"/>
          <w:szCs w:val="20"/>
          <w:color w:val="auto"/>
        </w:rPr>
      </w:pPr>
      <w:r>
        <w:rPr>
          <w:rFonts w:ascii="Times New Roman" w:cs="Times New Roman" w:eastAsia="Times New Roman" w:hAnsi="Times New Roman"/>
          <w:sz w:val="14"/>
          <w:szCs w:val="14"/>
          <w:color w:val="auto"/>
        </w:rPr>
        <w:t>Upon the terms and subject to the conditions set forth in this prospectus and in the accompanying letter of transmittal, we will accept any and all Restricted Notes validly tendered and not withdrawn prior to [•] [a.m./p.m.], New York City time, on the expiration date of the exchange offer. We will issue $1,000 principal amount of the Exchange Notes in exchange for each $1,000 principal amount of the Restricted Notes accepted in the exchange offer. You may tender some or all of your Restricted Notes pursuant to the exchange offer; however, Restricted Notes may be tendered only in denominations of $2,000 and integral multiples of $1,000 in excess thereof.</w:t>
      </w:r>
    </w:p>
    <w:p>
      <w:pPr>
        <w:spacing w:after="0" w:line="143"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4"/>
          <w:szCs w:val="14"/>
          <w:color w:val="auto"/>
        </w:rPr>
        <w:t>The Exchange Notes issued to you in the exchange offer will be delivered by credit to the accounts at DTC of the applicable DTC participants.</w:t>
      </w:r>
    </w:p>
    <w:p>
      <w:pPr>
        <w:spacing w:after="0" w:line="174" w:lineRule="exact"/>
        <w:rPr>
          <w:sz w:val="20"/>
          <w:szCs w:val="20"/>
          <w:color w:val="auto"/>
        </w:rPr>
      </w:pPr>
    </w:p>
    <w:p>
      <w:pPr>
        <w:ind w:left="1380" w:right="359" w:firstLine="341"/>
        <w:spacing w:after="0" w:line="257" w:lineRule="auto"/>
        <w:rPr>
          <w:sz w:val="20"/>
          <w:szCs w:val="20"/>
          <w:color w:val="auto"/>
        </w:rPr>
      </w:pPr>
      <w:r>
        <w:rPr>
          <w:rFonts w:ascii="Times New Roman" w:cs="Times New Roman" w:eastAsia="Times New Roman" w:hAnsi="Times New Roman"/>
          <w:sz w:val="14"/>
          <w:szCs w:val="14"/>
          <w:color w:val="auto"/>
        </w:rPr>
        <w:t>The form and terms of the Exchange Notes are substantially identical to those of the Restricted Notes, except that the transfer restrictions and registration rights relating to the Restricted Notes will not apply to the Exchange Notes, and the Exchange Notes will not provide for the payment of additional interest in the event of a registration default. In addition, the Exchange Notes will bear a different CUSIP number than the Restricted Notes. The Exchange Notes will be entitled to the benefits of the Note Purchase Agreement that authorized the issuance of the Restricted Notes, as set forth in the Indenture.</w:t>
      </w:r>
    </w:p>
    <w:p>
      <w:pPr>
        <w:spacing w:after="0" w:line="143" w:lineRule="exact"/>
        <w:rPr>
          <w:sz w:val="20"/>
          <w:szCs w:val="20"/>
          <w:color w:val="auto"/>
        </w:rPr>
      </w:pPr>
    </w:p>
    <w:p>
      <w:pPr>
        <w:ind w:left="1380" w:right="339" w:firstLine="341"/>
        <w:spacing w:after="0" w:line="260" w:lineRule="auto"/>
        <w:rPr>
          <w:sz w:val="20"/>
          <w:szCs w:val="20"/>
          <w:color w:val="auto"/>
        </w:rPr>
      </w:pPr>
      <w:r>
        <w:rPr>
          <w:rFonts w:ascii="Times New Roman" w:cs="Times New Roman" w:eastAsia="Times New Roman" w:hAnsi="Times New Roman"/>
          <w:sz w:val="14"/>
          <w:szCs w:val="14"/>
          <w:color w:val="auto"/>
        </w:rPr>
        <w:t>As of the date of this prospectus, $120,000,000 aggregate principal amount of the Restricted Notes are outstanding and registered in the name of Cede &amp; Co., as nominee for DTC. This prospectus, together with the letter of transmittal, is being sent to the registered holder and to others believed to have beneficial interests in the Restricted Notes. We intend to conduct the exchange offer in accordance with the applicable requirements of the Exchange Act and the rules and regulations of the SEC promulgated under the Exchange Act.</w:t>
      </w:r>
    </w:p>
    <w:p>
      <w:pPr>
        <w:spacing w:after="0" w:line="140" w:lineRule="exact"/>
        <w:rPr>
          <w:sz w:val="20"/>
          <w:szCs w:val="20"/>
          <w:color w:val="auto"/>
        </w:rPr>
      </w:pPr>
    </w:p>
    <w:p>
      <w:pPr>
        <w:ind w:left="1380" w:right="299" w:firstLine="341"/>
        <w:spacing w:after="0" w:line="257" w:lineRule="auto"/>
        <w:rPr>
          <w:sz w:val="20"/>
          <w:szCs w:val="20"/>
          <w:color w:val="auto"/>
        </w:rPr>
      </w:pPr>
      <w:r>
        <w:rPr>
          <w:rFonts w:ascii="Times New Roman" w:cs="Times New Roman" w:eastAsia="Times New Roman" w:hAnsi="Times New Roman"/>
          <w:sz w:val="14"/>
          <w:szCs w:val="14"/>
          <w:color w:val="auto"/>
        </w:rPr>
        <w:t>We will be deemed to have accepted validly tendered Restricted Notes if and when we have given written notice of our acceptance to U.S. Bank, the exchange agent for the exchange offer. The exchange agent will act as our agent for the purpose of receiving from us the Exchange Notes for the tendering noteholders. If we do not accept any tendered Restricted Notes because of an invalid tender, the occurrence of certain other events set forth in this prospectus or otherwise, we will return such Restricted Notes by credit to the accounts at DTC of the applicable DTC participants, without expense, to the tendering noteholder as promptly as practicable after the expiration date of the exchange offer.</w:t>
      </w:r>
    </w:p>
    <w:p>
      <w:pPr>
        <w:spacing w:after="0" w:line="141" w:lineRule="exact"/>
        <w:rPr>
          <w:sz w:val="20"/>
          <w:szCs w:val="20"/>
          <w:color w:val="auto"/>
        </w:rPr>
      </w:pPr>
    </w:p>
    <w:p>
      <w:pPr>
        <w:jc w:val="both"/>
        <w:ind w:left="1380" w:right="379" w:firstLine="341"/>
        <w:spacing w:after="0" w:line="266" w:lineRule="auto"/>
        <w:rPr>
          <w:sz w:val="20"/>
          <w:szCs w:val="20"/>
          <w:color w:val="auto"/>
        </w:rPr>
      </w:pPr>
      <w:r>
        <w:rPr>
          <w:rFonts w:ascii="Times New Roman" w:cs="Times New Roman" w:eastAsia="Times New Roman" w:hAnsi="Times New Roman"/>
          <w:sz w:val="14"/>
          <w:szCs w:val="14"/>
          <w:color w:val="auto"/>
        </w:rPr>
        <w:t>You will not be required to pay brokerage commissions or fees or transfer taxes, except as set forth under “</w:t>
      </w:r>
      <w:r>
        <w:rPr>
          <w:rFonts w:ascii="Times New Roman" w:cs="Times New Roman" w:eastAsia="Times New Roman" w:hAnsi="Times New Roman"/>
          <w:sz w:val="14"/>
          <w:szCs w:val="14"/>
          <w:i w:val="1"/>
          <w:iCs w:val="1"/>
          <w:color w:val="auto"/>
        </w:rPr>
        <w:t>—Transfer Taxes</w:t>
      </w:r>
      <w:r>
        <w:rPr>
          <w:rFonts w:ascii="Times New Roman" w:cs="Times New Roman" w:eastAsia="Times New Roman" w:hAnsi="Times New Roman"/>
          <w:sz w:val="14"/>
          <w:szCs w:val="14"/>
          <w:color w:val="auto"/>
        </w:rPr>
        <w:t>,” with respect to the exchange of your Restricted Notes in the exchange offer. We will pay all charges and expenses, other than certain applicable taxes, in connection with the exchange offer. See “—</w:t>
      </w:r>
      <w:r>
        <w:rPr>
          <w:rFonts w:ascii="Times New Roman" w:cs="Times New Roman" w:eastAsia="Times New Roman" w:hAnsi="Times New Roman"/>
          <w:sz w:val="14"/>
          <w:szCs w:val="14"/>
          <w:i w:val="1"/>
          <w:iCs w:val="1"/>
          <w:color w:val="auto"/>
        </w:rPr>
        <w:t>Fees and Expenses</w:t>
      </w:r>
      <w:r>
        <w:rPr>
          <w:rFonts w:ascii="Times New Roman" w:cs="Times New Roman" w:eastAsia="Times New Roman" w:hAnsi="Times New Roman"/>
          <w:sz w:val="14"/>
          <w:szCs w:val="14"/>
          <w:color w:val="auto"/>
        </w:rPr>
        <w:t>.”</w:t>
      </w:r>
    </w:p>
    <w:p>
      <w:pPr>
        <w:spacing w:after="0" w:line="218"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b w:val="1"/>
          <w:bCs w:val="1"/>
          <w:color w:val="auto"/>
        </w:rPr>
        <w:t>Expiration Date; Extension; Amendment</w:t>
      </w:r>
    </w:p>
    <w:p>
      <w:pPr>
        <w:spacing w:after="0" w:line="92" w:lineRule="exact"/>
        <w:rPr>
          <w:sz w:val="20"/>
          <w:szCs w:val="20"/>
          <w:color w:val="auto"/>
        </w:rPr>
      </w:pPr>
    </w:p>
    <w:p>
      <w:pPr>
        <w:ind w:left="1380" w:right="359" w:firstLine="341"/>
        <w:spacing w:after="0" w:line="295" w:lineRule="auto"/>
        <w:rPr>
          <w:sz w:val="20"/>
          <w:szCs w:val="20"/>
          <w:color w:val="auto"/>
        </w:rPr>
      </w:pPr>
      <w:r>
        <w:rPr>
          <w:rFonts w:ascii="Times New Roman" w:cs="Times New Roman" w:eastAsia="Times New Roman" w:hAnsi="Times New Roman"/>
          <w:sz w:val="13"/>
          <w:szCs w:val="13"/>
          <w:color w:val="auto"/>
        </w:rPr>
        <w:t>The expiration date for the exchange offer will be [●] [a.m./p.m.], New York City time, on [●], 2026, unless we determine, in our sole discretion, to extend the exchange offer, in which case it will expire at the later date and time to which it is extended. We do not currently intend to extend the exchange offer, although we reserve the right to do so. If we extend the exchange offer, we may delay acceptance of any Restricted Notes by giving</w:t>
      </w:r>
    </w:p>
    <w:p>
      <w:pPr>
        <w:spacing w:after="0" w:line="6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20</w:t>
      </w:r>
    </w:p>
    <w:p>
      <w:pPr>
        <w:sectPr>
          <w:pgSz w:w="11900" w:h="16838" w:orient="portrait"/>
          <w:cols w:equalWidth="0" w:num="1">
            <w:col w:w="10159"/>
          </w:cols>
          <w:pgMar w:left="300" w:top="384" w:right="1440"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3">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9" w:lineRule="exact"/>
        <w:rPr>
          <w:sz w:val="20"/>
          <w:szCs w:val="20"/>
          <w:color w:val="auto"/>
        </w:rPr>
      </w:pPr>
    </w:p>
    <w:p>
      <w:pPr>
        <w:jc w:val="both"/>
        <w:ind w:left="1380" w:right="359"/>
        <w:spacing w:after="0" w:line="265" w:lineRule="auto"/>
        <w:rPr>
          <w:sz w:val="20"/>
          <w:szCs w:val="20"/>
          <w:color w:val="auto"/>
        </w:rPr>
      </w:pPr>
      <w:r>
        <w:rPr>
          <w:rFonts w:ascii="Times New Roman" w:cs="Times New Roman" w:eastAsia="Times New Roman" w:hAnsi="Times New Roman"/>
          <w:sz w:val="14"/>
          <w:szCs w:val="14"/>
          <w:color w:val="auto"/>
        </w:rPr>
        <w:t>oral (any such oral notice to be promptly confirmed in writing) or written notice of the extension to the exchange agent and give each registered holder of Restricted Notes notice by means of a press release or other public announcement of any extension prior to [●] [a.m./p.m.], New York City time, on the next business day after the scheduled expiration date.</w:t>
      </w:r>
    </w:p>
    <w:p>
      <w:pPr>
        <w:spacing w:after="0" w:line="136"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4"/>
          <w:szCs w:val="14"/>
          <w:color w:val="auto"/>
        </w:rPr>
        <w:t>We also reserve the right, in our sole discretion:</w:t>
      </w:r>
    </w:p>
    <w:p>
      <w:pPr>
        <w:spacing w:after="0" w:line="101" w:lineRule="exact"/>
        <w:rPr>
          <w:sz w:val="20"/>
          <w:szCs w:val="20"/>
          <w:color w:val="auto"/>
        </w:rPr>
      </w:pPr>
    </w:p>
    <w:p>
      <w:pPr>
        <w:ind w:left="2120" w:right="459" w:hanging="327"/>
        <w:spacing w:after="0" w:line="281" w:lineRule="auto"/>
        <w:tabs>
          <w:tab w:leader="none" w:pos="21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accept tendered Restricted Notes upon the expiration of the exchange offer, and extend the exchange offer with respect to untendered Restricted Notes;</w:t>
      </w:r>
    </w:p>
    <w:p>
      <w:pPr>
        <w:spacing w:after="0" w:line="52" w:lineRule="exact"/>
        <w:rPr>
          <w:rFonts w:ascii="Times New Roman" w:cs="Times New Roman" w:eastAsia="Times New Roman" w:hAnsi="Times New Roman"/>
          <w:sz w:val="14"/>
          <w:szCs w:val="14"/>
          <w:color w:val="auto"/>
        </w:rPr>
      </w:pPr>
    </w:p>
    <w:p>
      <w:pPr>
        <w:ind w:left="2120" w:right="279" w:hanging="327"/>
        <w:spacing w:after="0" w:line="260" w:lineRule="auto"/>
        <w:tabs>
          <w:tab w:leader="none" w:pos="21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subject to applicable law, to delay accepting any Restricted Notes, to extend the exchange offer or to terminate the exchange offer if, in our reasonable judgment, any of the conditions set forth under “—</w:t>
      </w:r>
      <w:r>
        <w:rPr>
          <w:rFonts w:ascii="Times New Roman" w:cs="Times New Roman" w:eastAsia="Times New Roman" w:hAnsi="Times New Roman"/>
          <w:sz w:val="14"/>
          <w:szCs w:val="14"/>
          <w:i w:val="1"/>
          <w:iCs w:val="1"/>
          <w:color w:val="auto"/>
        </w:rPr>
        <w:t>Conditions</w:t>
      </w:r>
      <w:r>
        <w:rPr>
          <w:rFonts w:ascii="Times New Roman" w:cs="Times New Roman" w:eastAsia="Times New Roman" w:hAnsi="Times New Roman"/>
          <w:sz w:val="14"/>
          <w:szCs w:val="14"/>
          <w:color w:val="auto"/>
        </w:rPr>
        <w:t>” have not been satisfied or waived, to terminate the exchange offer by giving oral (any such oral notice to be promptly confirmed in writing) or written notice of such delay or termination to the exchange agent; or</w:t>
      </w:r>
    </w:p>
    <w:p>
      <w:pPr>
        <w:spacing w:after="0" w:line="66" w:lineRule="exact"/>
        <w:rPr>
          <w:rFonts w:ascii="Times New Roman" w:cs="Times New Roman" w:eastAsia="Times New Roman" w:hAnsi="Times New Roman"/>
          <w:sz w:val="14"/>
          <w:szCs w:val="14"/>
          <w:color w:val="auto"/>
        </w:rPr>
      </w:pPr>
    </w:p>
    <w:p>
      <w:pPr>
        <w:ind w:left="2120" w:right="259" w:hanging="327"/>
        <w:spacing w:after="0" w:line="281" w:lineRule="auto"/>
        <w:tabs>
          <w:tab w:leader="none" w:pos="21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amend or waive the terms and conditions of the exchange offer in any manner by complying with Rule 14e-l(d) under the Exchange Act, to the extent that rule applies.</w:t>
      </w:r>
    </w:p>
    <w:p>
      <w:pPr>
        <w:spacing w:after="0" w:line="125" w:lineRule="exact"/>
        <w:rPr>
          <w:sz w:val="20"/>
          <w:szCs w:val="20"/>
          <w:color w:val="auto"/>
        </w:rPr>
      </w:pPr>
    </w:p>
    <w:p>
      <w:pPr>
        <w:ind w:left="1380" w:right="319" w:firstLine="341"/>
        <w:spacing w:after="0" w:line="265" w:lineRule="auto"/>
        <w:rPr>
          <w:sz w:val="20"/>
          <w:szCs w:val="20"/>
          <w:color w:val="auto"/>
        </w:rPr>
      </w:pPr>
      <w:r>
        <w:rPr>
          <w:rFonts w:ascii="Times New Roman" w:cs="Times New Roman" w:eastAsia="Times New Roman" w:hAnsi="Times New Roman"/>
          <w:sz w:val="14"/>
          <w:szCs w:val="14"/>
          <w:color w:val="auto"/>
        </w:rPr>
        <w:t>We will notify you as promptly as we can of any extension, termination or amendment. In addition, we acknowledge and undertake to comply with the provisions of Rule 14e-l(c) under the Exchange Act, which requires us to issue the Exchange Notes, or return the Restricted Notes tendered for exchange, promptly after the termination or withdrawal of the exchange offer.</w:t>
      </w:r>
    </w:p>
    <w:p>
      <w:pPr>
        <w:spacing w:after="0" w:line="218"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b w:val="1"/>
          <w:bCs w:val="1"/>
          <w:color w:val="auto"/>
        </w:rPr>
        <w:t>Procedures for Tendering Restricted Notes</w:t>
      </w:r>
    </w:p>
    <w:p>
      <w:pPr>
        <w:spacing w:after="0" w:line="92" w:lineRule="exact"/>
        <w:rPr>
          <w:sz w:val="20"/>
          <w:szCs w:val="20"/>
          <w:color w:val="auto"/>
        </w:rPr>
      </w:pPr>
    </w:p>
    <w:p>
      <w:pPr>
        <w:ind w:left="1380" w:right="339" w:firstLine="341"/>
        <w:spacing w:after="0" w:line="257" w:lineRule="auto"/>
        <w:rPr>
          <w:sz w:val="20"/>
          <w:szCs w:val="20"/>
          <w:color w:val="auto"/>
        </w:rPr>
      </w:pPr>
      <w:r>
        <w:rPr>
          <w:rFonts w:ascii="Times New Roman" w:cs="Times New Roman" w:eastAsia="Times New Roman" w:hAnsi="Times New Roman"/>
          <w:sz w:val="14"/>
          <w:szCs w:val="14"/>
          <w:color w:val="auto"/>
        </w:rPr>
        <w:t>The Restricted Notes are represented by global securities without interest coupons in fully registered form, registered in the name of Cede &amp; Co., as nominee for DTC. Beneficial interests in the global securities are held by direct or indirect participants in DTC through certificate-less depositary interests and are shown on, and transfers of these interests are effected only through, records maintained in book-entry form by DTC with respect to its participants. You are not entitled to receive certificated Restricted Notes in exchange for your beneficial interest in these global securities except in limited circumstances described in “</w:t>
      </w:r>
      <w:r>
        <w:rPr>
          <w:rFonts w:ascii="Times New Roman" w:cs="Times New Roman" w:eastAsia="Times New Roman" w:hAnsi="Times New Roman"/>
          <w:sz w:val="14"/>
          <w:szCs w:val="14"/>
          <w:i w:val="1"/>
          <w:iCs w:val="1"/>
          <w:color w:val="auto"/>
        </w:rPr>
        <w:t>Description of the Exchange Notes—Book-Entry, Settlement and Clearance.</w:t>
      </w:r>
      <w:r>
        <w:rPr>
          <w:rFonts w:ascii="Times New Roman" w:cs="Times New Roman" w:eastAsia="Times New Roman" w:hAnsi="Times New Roman"/>
          <w:sz w:val="14"/>
          <w:szCs w:val="14"/>
          <w:color w:val="auto"/>
        </w:rPr>
        <w:t>”</w:t>
      </w:r>
    </w:p>
    <w:p>
      <w:pPr>
        <w:spacing w:after="0" w:line="143" w:lineRule="exact"/>
        <w:rPr>
          <w:sz w:val="20"/>
          <w:szCs w:val="20"/>
          <w:color w:val="auto"/>
        </w:rPr>
      </w:pPr>
    </w:p>
    <w:p>
      <w:pPr>
        <w:ind w:left="1380" w:right="279" w:firstLine="341"/>
        <w:spacing w:after="0" w:line="253" w:lineRule="auto"/>
        <w:rPr>
          <w:sz w:val="20"/>
          <w:szCs w:val="20"/>
          <w:color w:val="auto"/>
        </w:rPr>
      </w:pPr>
      <w:r>
        <w:rPr>
          <w:rFonts w:ascii="Times New Roman" w:cs="Times New Roman" w:eastAsia="Times New Roman" w:hAnsi="Times New Roman"/>
          <w:sz w:val="14"/>
          <w:szCs w:val="14"/>
          <w:color w:val="auto"/>
        </w:rPr>
        <w:t>Accordingly, you must tender your Restricted Notes pursuant to DTC’s ATOP procedures. As the DTC’s ATOP system is the only method of processing exchange offers through DTC, you must instruct a participant in DTC to transmit to the exchange agent on or prior to the expiration date for the exchange offer a computer- generated message transmitted by means of the ATOP system and received by the exchange agent and forming a part of a confirmation of book-entry transfer, in which you acknowledge and agree to be bound by the terms of the letter of transmittal, instead of sending a signed, hard copy letter of transmittal. DTC is obligated to communicate those electronic instructions to the exchange agent. To tender Restricted Notes through the ATOP system, the electronic instructions sent to DTC and transmitted by DTC to the exchange agent must contain the character by which the participant acknowledges its receipt of, and agrees to be bound by, the letter of transmittal, including the representations to us described above under “—</w:t>
      </w:r>
      <w:r>
        <w:rPr>
          <w:rFonts w:ascii="Times New Roman" w:cs="Times New Roman" w:eastAsia="Times New Roman" w:hAnsi="Times New Roman"/>
          <w:sz w:val="14"/>
          <w:szCs w:val="14"/>
          <w:i w:val="1"/>
          <w:iCs w:val="1"/>
          <w:color w:val="auto"/>
        </w:rPr>
        <w:t>Purpose and Effect of the Exchange Offer</w:t>
      </w:r>
      <w:r>
        <w:rPr>
          <w:rFonts w:ascii="Times New Roman" w:cs="Times New Roman" w:eastAsia="Times New Roman" w:hAnsi="Times New Roman"/>
          <w:sz w:val="14"/>
          <w:szCs w:val="14"/>
          <w:color w:val="auto"/>
        </w:rPr>
        <w:t>,” and be received by the exchange agent prior to [●] [a.m./p.m.], New York City time, on the expiration date.</w:t>
      </w:r>
    </w:p>
    <w:p>
      <w:pPr>
        <w:spacing w:after="0" w:line="147" w:lineRule="exact"/>
        <w:rPr>
          <w:sz w:val="20"/>
          <w:szCs w:val="20"/>
          <w:color w:val="auto"/>
        </w:rPr>
      </w:pPr>
    </w:p>
    <w:p>
      <w:pPr>
        <w:ind w:left="1380" w:right="339" w:firstLine="341"/>
        <w:spacing w:after="0" w:line="260" w:lineRule="auto"/>
        <w:rPr>
          <w:sz w:val="20"/>
          <w:szCs w:val="20"/>
          <w:color w:val="auto"/>
        </w:rPr>
      </w:pPr>
      <w:r>
        <w:rPr>
          <w:rFonts w:ascii="Times New Roman" w:cs="Times New Roman" w:eastAsia="Times New Roman" w:hAnsi="Times New Roman"/>
          <w:sz w:val="14"/>
          <w:szCs w:val="14"/>
          <w:color w:val="auto"/>
        </w:rPr>
        <w:t>If you hold Restricted Notes through a broker, dealer, commercial bank, trust company, other financial institution or other nominee, each referred to herein as an “intermediary,” and you wish to tender your Restricted Notes, you should contact such intermediary promptly and instruct such intermediary to tender on your behalf. So long as the Restricted Notes are in book-entry form represented by global securities, Restricted Notes may only be tendered by your intermediary pursuant to DTC’s ATOP procedures.</w:t>
      </w:r>
    </w:p>
    <w:p>
      <w:pPr>
        <w:spacing w:after="0" w:line="8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21</w:t>
      </w:r>
    </w:p>
    <w:p>
      <w:pPr>
        <w:sectPr>
          <w:pgSz w:w="11900" w:h="16838" w:orient="portrait"/>
          <w:cols w:equalWidth="0" w:num="1">
            <w:col w:w="10159"/>
          </w:cols>
          <w:pgMar w:left="300" w:top="384" w:right="1440"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4">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9" w:lineRule="exact"/>
        <w:rPr>
          <w:sz w:val="20"/>
          <w:szCs w:val="20"/>
          <w:color w:val="auto"/>
        </w:rPr>
      </w:pPr>
    </w:p>
    <w:p>
      <w:pPr>
        <w:ind w:left="1380" w:right="279" w:firstLine="341"/>
        <w:spacing w:after="0" w:line="321" w:lineRule="auto"/>
        <w:rPr>
          <w:sz w:val="20"/>
          <w:szCs w:val="20"/>
          <w:color w:val="auto"/>
        </w:rPr>
      </w:pPr>
      <w:r>
        <w:rPr>
          <w:rFonts w:ascii="Times New Roman" w:cs="Times New Roman" w:eastAsia="Times New Roman" w:hAnsi="Times New Roman"/>
          <w:sz w:val="13"/>
          <w:szCs w:val="13"/>
          <w:color w:val="auto"/>
        </w:rPr>
        <w:t>If you tender a Restricted Note and you do not properly withdraw the tender prior to the expiration date, you will have made an agreement with us to participate in the exchange offer in accordance with the terms and subject to the conditions set forth in this prospectus and in the letter of transmittal.</w:t>
      </w:r>
    </w:p>
    <w:p>
      <w:pPr>
        <w:spacing w:after="0" w:line="102" w:lineRule="exact"/>
        <w:rPr>
          <w:sz w:val="20"/>
          <w:szCs w:val="20"/>
          <w:color w:val="auto"/>
        </w:rPr>
      </w:pPr>
    </w:p>
    <w:p>
      <w:pPr>
        <w:ind w:left="1380" w:right="319" w:firstLine="341"/>
        <w:spacing w:after="0" w:line="257" w:lineRule="auto"/>
        <w:rPr>
          <w:sz w:val="20"/>
          <w:szCs w:val="20"/>
          <w:color w:val="auto"/>
        </w:rPr>
      </w:pPr>
      <w:r>
        <w:rPr>
          <w:rFonts w:ascii="Times New Roman" w:cs="Times New Roman" w:eastAsia="Times New Roman" w:hAnsi="Times New Roman"/>
          <w:sz w:val="14"/>
          <w:szCs w:val="14"/>
          <w:color w:val="auto"/>
        </w:rPr>
        <w:t>We will determine, in our sole discretion, all questions regarding the validity, form, eligibility, including time of receipt, acceptance and withdrawal of tendered Restricted Notes. Our determination will be final and binding. We reserve the absolute right to reject any and all Restricted Notes not validly tendered or any Restricted Notes our acceptance of which would, in the opinion of our counsel, be unlawful. We also reserve the right to waive any defects, irregularities or conditions of tender as to certain Restricted Notes. Our interpretation of the terms and conditions of the exchange offer, including the instructions in the letter of transmittal, will be final and binding on all parties.</w:t>
      </w:r>
    </w:p>
    <w:p>
      <w:pPr>
        <w:spacing w:after="0" w:line="143" w:lineRule="exact"/>
        <w:rPr>
          <w:sz w:val="20"/>
          <w:szCs w:val="20"/>
          <w:color w:val="auto"/>
        </w:rPr>
      </w:pPr>
    </w:p>
    <w:p>
      <w:pPr>
        <w:ind w:left="1380" w:right="259" w:firstLine="341"/>
        <w:spacing w:after="0" w:line="257" w:lineRule="auto"/>
        <w:rPr>
          <w:sz w:val="20"/>
          <w:szCs w:val="20"/>
          <w:color w:val="auto"/>
        </w:rPr>
      </w:pPr>
      <w:r>
        <w:rPr>
          <w:rFonts w:ascii="Times New Roman" w:cs="Times New Roman" w:eastAsia="Times New Roman" w:hAnsi="Times New Roman"/>
          <w:sz w:val="14"/>
          <w:szCs w:val="14"/>
          <w:color w:val="auto"/>
        </w:rPr>
        <w:t>You must cure any defects or irregularities in connection with tenders of your Restricted Notes within the time period that we determine unless we waive that defect or irregularity. Although we intend to notify you of defects or irregularities with respect to your tender of Restricted Notes, neither we, the exchange agent nor any other person will incur any liability for failure to give this notification. Your tender will not be deemed to have been made and your Restricted Notes will be returned to you unless otherwise provided in the letter of transmittal, as soon as practicable following the expiration of the exchange offer, if:</w:t>
      </w:r>
    </w:p>
    <w:p>
      <w:pPr>
        <w:spacing w:after="0" w:line="69" w:lineRule="exact"/>
        <w:rPr>
          <w:sz w:val="20"/>
          <w:szCs w:val="20"/>
          <w:color w:val="auto"/>
        </w:rPr>
      </w:pPr>
    </w:p>
    <w:p>
      <w:pPr>
        <w:ind w:left="2120" w:hanging="327"/>
        <w:spacing w:after="0"/>
        <w:tabs>
          <w:tab w:leader="none" w:pos="21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you invalidly tender your Restricted Notes;</w:t>
      </w:r>
    </w:p>
    <w:p>
      <w:pPr>
        <w:spacing w:after="0" w:line="100" w:lineRule="exact"/>
        <w:rPr>
          <w:rFonts w:ascii="Times New Roman" w:cs="Times New Roman" w:eastAsia="Times New Roman" w:hAnsi="Times New Roman"/>
          <w:sz w:val="14"/>
          <w:szCs w:val="14"/>
          <w:color w:val="auto"/>
        </w:rPr>
      </w:pPr>
    </w:p>
    <w:p>
      <w:pPr>
        <w:ind w:left="2120" w:hanging="327"/>
        <w:spacing w:after="0"/>
        <w:tabs>
          <w:tab w:leader="none" w:pos="21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you have not cured any defects or irregularities in your tender; and</w:t>
      </w:r>
    </w:p>
    <w:p>
      <w:pPr>
        <w:spacing w:after="0" w:line="100" w:lineRule="exact"/>
        <w:rPr>
          <w:rFonts w:ascii="Times New Roman" w:cs="Times New Roman" w:eastAsia="Times New Roman" w:hAnsi="Times New Roman"/>
          <w:sz w:val="14"/>
          <w:szCs w:val="14"/>
          <w:color w:val="auto"/>
        </w:rPr>
      </w:pPr>
    </w:p>
    <w:p>
      <w:pPr>
        <w:ind w:left="2120" w:hanging="327"/>
        <w:spacing w:after="0"/>
        <w:tabs>
          <w:tab w:leader="none" w:pos="21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have not waived those defects, irregularities or invalid tender. In addition, we reserve the right in our sole discretion to:</w:t>
      </w:r>
    </w:p>
    <w:p>
      <w:pPr>
        <w:spacing w:after="0" w:line="100" w:lineRule="exact"/>
        <w:rPr>
          <w:rFonts w:ascii="Times New Roman" w:cs="Times New Roman" w:eastAsia="Times New Roman" w:hAnsi="Times New Roman"/>
          <w:sz w:val="14"/>
          <w:szCs w:val="14"/>
          <w:color w:val="auto"/>
        </w:rPr>
      </w:pPr>
    </w:p>
    <w:p>
      <w:pPr>
        <w:ind w:left="2120" w:right="319" w:hanging="327"/>
        <w:spacing w:after="0" w:line="281" w:lineRule="auto"/>
        <w:tabs>
          <w:tab w:leader="none" w:pos="21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purchase or make offers for, or offer Exchange Notes for, any Restricted Notes that remain outstanding subsequent to the expiration of the exchange offer;</w:t>
      </w:r>
    </w:p>
    <w:p>
      <w:pPr>
        <w:spacing w:after="0" w:line="52" w:lineRule="exact"/>
        <w:rPr>
          <w:rFonts w:ascii="Times New Roman" w:cs="Times New Roman" w:eastAsia="Times New Roman" w:hAnsi="Times New Roman"/>
          <w:sz w:val="14"/>
          <w:szCs w:val="14"/>
          <w:color w:val="auto"/>
        </w:rPr>
      </w:pPr>
    </w:p>
    <w:p>
      <w:pPr>
        <w:ind w:left="2120" w:hanging="327"/>
        <w:spacing w:after="0"/>
        <w:tabs>
          <w:tab w:leader="none" w:pos="21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terminate the exchange offer; and</w:t>
      </w:r>
    </w:p>
    <w:p>
      <w:pPr>
        <w:spacing w:after="0" w:line="100" w:lineRule="exact"/>
        <w:rPr>
          <w:rFonts w:ascii="Times New Roman" w:cs="Times New Roman" w:eastAsia="Times New Roman" w:hAnsi="Times New Roman"/>
          <w:sz w:val="14"/>
          <w:szCs w:val="14"/>
          <w:color w:val="auto"/>
        </w:rPr>
      </w:pPr>
    </w:p>
    <w:p>
      <w:pPr>
        <w:ind w:left="2120" w:hanging="327"/>
        <w:spacing w:after="0"/>
        <w:tabs>
          <w:tab w:leader="none" w:pos="21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the extent permitted by applicable law, purchase Restricted Notes in the open market, in privately negotiated transactions or otherwise.</w:t>
      </w:r>
    </w:p>
    <w:p>
      <w:pPr>
        <w:spacing w:after="0" w:line="174"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4"/>
          <w:szCs w:val="14"/>
          <w:color w:val="auto"/>
        </w:rPr>
        <w:t>The terms of any of these purchases of or offers for Restricted Notes could differ from the terms of the exchange offer.</w:t>
      </w:r>
    </w:p>
    <w:p>
      <w:pPr>
        <w:spacing w:after="0" w:line="174" w:lineRule="exact"/>
        <w:rPr>
          <w:sz w:val="20"/>
          <w:szCs w:val="20"/>
          <w:color w:val="auto"/>
        </w:rPr>
      </w:pPr>
    </w:p>
    <w:p>
      <w:pPr>
        <w:ind w:left="1380" w:right="279" w:firstLine="341"/>
        <w:spacing w:after="0" w:line="254" w:lineRule="auto"/>
        <w:rPr>
          <w:sz w:val="20"/>
          <w:szCs w:val="20"/>
          <w:color w:val="auto"/>
        </w:rPr>
      </w:pPr>
      <w:r>
        <w:rPr>
          <w:rFonts w:ascii="Times New Roman" w:cs="Times New Roman" w:eastAsia="Times New Roman" w:hAnsi="Times New Roman"/>
          <w:sz w:val="14"/>
          <w:szCs w:val="14"/>
          <w:color w:val="auto"/>
        </w:rPr>
        <w:t>In all cases, the issuance of Exchange Notes for Restricted Notes that are accepted for exchange in the exchange offer will be made only after timely receipt by the exchange agent of a timely book-entry confirmation of your Restricted Notes into the exchange agent’s account at DTC, a computer-generated message instead of the Letter of Transmittal, and all other required documents. If any tendered Restricted Notes are not accepted for any reason set forth in the terms and conditions of the exchange offer or if Restricted Notes are submitted for a greater principal amount than you indicate your desire to exchange, the unaccepted or non-exchanged Restricted Notes, or Restricted Notes in substitution therefor, will be returned without expense to you by credit to the accounts at DTC of the applicable DTC participant, as promptly as practicable after rejection of tender or the expiration or termination of the exchange offer.</w:t>
      </w:r>
    </w:p>
    <w:p>
      <w:pPr>
        <w:spacing w:after="0" w:line="229"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b w:val="1"/>
          <w:bCs w:val="1"/>
          <w:color w:val="auto"/>
        </w:rPr>
        <w:t>Book-Entry Transfer</w:t>
      </w:r>
    </w:p>
    <w:p>
      <w:pPr>
        <w:spacing w:after="0" w:line="92" w:lineRule="exact"/>
        <w:rPr>
          <w:sz w:val="20"/>
          <w:szCs w:val="20"/>
          <w:color w:val="auto"/>
        </w:rPr>
      </w:pPr>
    </w:p>
    <w:p>
      <w:pPr>
        <w:jc w:val="both"/>
        <w:ind w:left="1380" w:right="419" w:firstLine="341"/>
        <w:spacing w:after="0" w:line="260" w:lineRule="auto"/>
        <w:rPr>
          <w:sz w:val="20"/>
          <w:szCs w:val="20"/>
          <w:color w:val="auto"/>
        </w:rPr>
      </w:pPr>
      <w:r>
        <w:rPr>
          <w:rFonts w:ascii="Times New Roman" w:cs="Times New Roman" w:eastAsia="Times New Roman" w:hAnsi="Times New Roman"/>
          <w:sz w:val="14"/>
          <w:szCs w:val="14"/>
          <w:color w:val="auto"/>
        </w:rPr>
        <w:t>The exchange agent will make a request to establish an account with respect to the Restricted Notes at DTC for purposes of the exchange offer after the date of this prospectus, and any financial institution that is a participant in DTC’s systems may make book-entry delivery of Restricted Notes being tendered by causing DTC to transfer such Restricted Notes into the exchange agent’s account at DTC in accordance with DTC’s procedures for transfer.</w:t>
      </w:r>
    </w:p>
    <w:p>
      <w:pPr>
        <w:spacing w:after="0" w:line="8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22</w:t>
      </w:r>
    </w:p>
    <w:p>
      <w:pPr>
        <w:sectPr>
          <w:pgSz w:w="11900" w:h="16838" w:orient="portrait"/>
          <w:cols w:equalWidth="0" w:num="1">
            <w:col w:w="10159"/>
          </w:cols>
          <w:pgMar w:left="300" w:top="384" w:right="1440"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5">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9" w:lineRule="exact"/>
        <w:rPr>
          <w:sz w:val="20"/>
          <w:szCs w:val="20"/>
          <w:color w:val="auto"/>
        </w:rPr>
      </w:pPr>
    </w:p>
    <w:p>
      <w:pPr>
        <w:ind w:left="1380" w:right="359" w:firstLine="341"/>
        <w:spacing w:after="0" w:line="254" w:lineRule="auto"/>
        <w:rPr>
          <w:sz w:val="20"/>
          <w:szCs w:val="20"/>
          <w:color w:val="auto"/>
        </w:rPr>
      </w:pPr>
      <w:r>
        <w:rPr>
          <w:rFonts w:ascii="Times New Roman" w:cs="Times New Roman" w:eastAsia="Times New Roman" w:hAnsi="Times New Roman"/>
          <w:sz w:val="14"/>
          <w:szCs w:val="14"/>
          <w:color w:val="auto"/>
        </w:rPr>
        <w:t>Any DTC participant wishing to tender Restricted Notes in the exchange offer (whether on its own behalf or on behalf of the beneficial owner of Restricted Notes) should transmit its acceptance to DTC sufficiently far in advance of the expiration of the exchange offer so as to permit DTC to take the following actions prior to [●] [a.m./p.m.], New York City time, on the expiration date. DTC will verify such acceptance, execute a book-entry transfer of the tendered Restricted Notes into the exchange agent’s account at DTC and then send to the exchange agent a confirmation of such book-entry transfer. The confirmation of such book-entry transfer will include a confirmation that such DTC participant acknowledges and agrees (on behalf of itself and on behalf of any beneficial owner of the applicable Restricted Notes) to be bound by the letter of transmittal. All of the foregoing, together with any other required documents, must be delivered to and received by the exchange agent prior to [●] [a.m./p.m.], New York City time, on the expiration date.</w:t>
      </w:r>
    </w:p>
    <w:p>
      <w:pPr>
        <w:spacing w:after="0" w:line="226"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b w:val="1"/>
          <w:bCs w:val="1"/>
          <w:color w:val="auto"/>
        </w:rPr>
        <w:t>No Guaranteed Delivery Procedures</w:t>
      </w:r>
    </w:p>
    <w:p>
      <w:pPr>
        <w:spacing w:after="0" w:line="92"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4"/>
          <w:szCs w:val="14"/>
          <w:color w:val="auto"/>
        </w:rPr>
        <w:t>Guaranteed delivery procedures are not available in connection with the exchange offer.</w:t>
      </w:r>
    </w:p>
    <w:p>
      <w:pPr>
        <w:spacing w:after="0" w:line="256"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b w:val="1"/>
          <w:bCs w:val="1"/>
          <w:color w:val="auto"/>
        </w:rPr>
        <w:t>Withdrawal Rights</w:t>
      </w:r>
    </w:p>
    <w:p>
      <w:pPr>
        <w:spacing w:after="0" w:line="92" w:lineRule="exact"/>
        <w:rPr>
          <w:sz w:val="20"/>
          <w:szCs w:val="20"/>
          <w:color w:val="auto"/>
        </w:rPr>
      </w:pPr>
    </w:p>
    <w:p>
      <w:pPr>
        <w:ind w:left="1380" w:right="739" w:firstLine="341"/>
        <w:spacing w:after="0" w:line="281" w:lineRule="auto"/>
        <w:rPr>
          <w:sz w:val="20"/>
          <w:szCs w:val="20"/>
          <w:color w:val="auto"/>
        </w:rPr>
      </w:pPr>
      <w:r>
        <w:rPr>
          <w:rFonts w:ascii="Times New Roman" w:cs="Times New Roman" w:eastAsia="Times New Roman" w:hAnsi="Times New Roman"/>
          <w:sz w:val="14"/>
          <w:szCs w:val="14"/>
          <w:color w:val="auto"/>
        </w:rPr>
        <w:t>You may withdraw tenders of your Restricted Notes at any time prior to [●] [a.m./p.m.], New York City time, on the expiration date of the exchange offer.</w:t>
      </w:r>
    </w:p>
    <w:p>
      <w:pPr>
        <w:spacing w:after="0" w:line="125" w:lineRule="exact"/>
        <w:rPr>
          <w:sz w:val="20"/>
          <w:szCs w:val="20"/>
          <w:color w:val="auto"/>
        </w:rPr>
      </w:pPr>
    </w:p>
    <w:p>
      <w:pPr>
        <w:ind w:left="1380" w:right="419" w:firstLine="341"/>
        <w:spacing w:after="0" w:line="281" w:lineRule="auto"/>
        <w:rPr>
          <w:sz w:val="20"/>
          <w:szCs w:val="20"/>
          <w:color w:val="auto"/>
        </w:rPr>
      </w:pPr>
      <w:r>
        <w:rPr>
          <w:rFonts w:ascii="Times New Roman" w:cs="Times New Roman" w:eastAsia="Times New Roman" w:hAnsi="Times New Roman"/>
          <w:sz w:val="14"/>
          <w:szCs w:val="14"/>
          <w:color w:val="auto"/>
        </w:rPr>
        <w:t>For your withdrawal to be effective, the exchange agent must receive an electronic ATOP transmission of the notice of withdrawal at its address set forth below under “—</w:t>
      </w:r>
      <w:r>
        <w:rPr>
          <w:rFonts w:ascii="Times New Roman" w:cs="Times New Roman" w:eastAsia="Times New Roman" w:hAnsi="Times New Roman"/>
          <w:sz w:val="14"/>
          <w:szCs w:val="14"/>
          <w:i w:val="1"/>
          <w:iCs w:val="1"/>
          <w:color w:val="auto"/>
        </w:rPr>
        <w:t>Exchange Agent</w:t>
      </w:r>
      <w:r>
        <w:rPr>
          <w:rFonts w:ascii="Times New Roman" w:cs="Times New Roman" w:eastAsia="Times New Roman" w:hAnsi="Times New Roman"/>
          <w:sz w:val="14"/>
          <w:szCs w:val="14"/>
          <w:color w:val="auto"/>
        </w:rPr>
        <w:t>,” prior to [●] [a.m./p.m.], New York City time, on the expiration date.</w:t>
      </w:r>
    </w:p>
    <w:p>
      <w:pPr>
        <w:spacing w:after="0" w:line="125"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4"/>
          <w:szCs w:val="14"/>
          <w:color w:val="auto"/>
        </w:rPr>
        <w:t>The notice of withdrawal must:</w:t>
      </w:r>
    </w:p>
    <w:p>
      <w:pPr>
        <w:spacing w:after="0" w:line="101" w:lineRule="exact"/>
        <w:rPr>
          <w:sz w:val="20"/>
          <w:szCs w:val="20"/>
          <w:color w:val="auto"/>
        </w:rPr>
      </w:pPr>
    </w:p>
    <w:p>
      <w:pPr>
        <w:ind w:left="2120" w:hanging="327"/>
        <w:spacing w:after="0"/>
        <w:tabs>
          <w:tab w:leader="none" w:pos="21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specify the name and DTC account number of the DTC participant that tendered such Restricted Notes;</w:t>
      </w:r>
    </w:p>
    <w:p>
      <w:pPr>
        <w:spacing w:after="0" w:line="100" w:lineRule="exact"/>
        <w:rPr>
          <w:rFonts w:ascii="Times New Roman" w:cs="Times New Roman" w:eastAsia="Times New Roman" w:hAnsi="Times New Roman"/>
          <w:sz w:val="14"/>
          <w:szCs w:val="14"/>
          <w:color w:val="auto"/>
        </w:rPr>
      </w:pPr>
    </w:p>
    <w:p>
      <w:pPr>
        <w:ind w:left="2120" w:hanging="327"/>
        <w:spacing w:after="0"/>
        <w:tabs>
          <w:tab w:leader="none" w:pos="21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specify the principal amount of Restricted Notes to be withdrawn;</w:t>
      </w:r>
    </w:p>
    <w:p>
      <w:pPr>
        <w:spacing w:after="0" w:line="100" w:lineRule="exact"/>
        <w:rPr>
          <w:rFonts w:ascii="Times New Roman" w:cs="Times New Roman" w:eastAsia="Times New Roman" w:hAnsi="Times New Roman"/>
          <w:sz w:val="14"/>
          <w:szCs w:val="14"/>
          <w:color w:val="auto"/>
        </w:rPr>
      </w:pPr>
    </w:p>
    <w:p>
      <w:pPr>
        <w:ind w:left="2120" w:hanging="327"/>
        <w:spacing w:after="0"/>
        <w:tabs>
          <w:tab w:leader="none" w:pos="21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specify the name and account number of the DTC participant to which the withdrawn Restricted Notes should be credited; and</w:t>
      </w:r>
    </w:p>
    <w:p>
      <w:pPr>
        <w:spacing w:after="0" w:line="100" w:lineRule="exact"/>
        <w:rPr>
          <w:rFonts w:ascii="Times New Roman" w:cs="Times New Roman" w:eastAsia="Times New Roman" w:hAnsi="Times New Roman"/>
          <w:sz w:val="14"/>
          <w:szCs w:val="14"/>
          <w:color w:val="auto"/>
        </w:rPr>
      </w:pPr>
    </w:p>
    <w:p>
      <w:pPr>
        <w:ind w:left="2120" w:hanging="327"/>
        <w:spacing w:after="0"/>
        <w:tabs>
          <w:tab w:leader="none" w:pos="21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contain a statement that the holder is withdrawing its election to have the Restricted Notes exchanged.</w:t>
      </w:r>
    </w:p>
    <w:p>
      <w:pPr>
        <w:spacing w:after="0" w:line="174" w:lineRule="exact"/>
        <w:rPr>
          <w:sz w:val="20"/>
          <w:szCs w:val="20"/>
          <w:color w:val="auto"/>
        </w:rPr>
      </w:pPr>
    </w:p>
    <w:p>
      <w:pPr>
        <w:ind w:left="1380" w:right="379" w:firstLine="341"/>
        <w:spacing w:after="0" w:line="255" w:lineRule="auto"/>
        <w:rPr>
          <w:sz w:val="20"/>
          <w:szCs w:val="20"/>
          <w:color w:val="auto"/>
        </w:rPr>
      </w:pPr>
      <w:r>
        <w:rPr>
          <w:rFonts w:ascii="Times New Roman" w:cs="Times New Roman" w:eastAsia="Times New Roman" w:hAnsi="Times New Roman"/>
          <w:sz w:val="14"/>
          <w:szCs w:val="14"/>
          <w:color w:val="auto"/>
        </w:rPr>
        <w:t>We will determine all questions regarding the validity, form and eligibility, including time of receipt, of withdrawal notices. Our determination will be final and binding on all parties. Any Restricted Notes that have been withdrawn will be deemed not to have been validly tendered for exchange for purposes of the exchange offer. Any Restricted Notes that have been tendered for exchange but that are withdrawn and not exchanged will be returned by credit to the account at DTC of the applicable DTC participant without cost as soon as practicable after withdrawal. Properly withdrawn Restricted Notes may be retendered by following one of the procedures described under “—</w:t>
      </w:r>
      <w:r>
        <w:rPr>
          <w:rFonts w:ascii="Times New Roman" w:cs="Times New Roman" w:eastAsia="Times New Roman" w:hAnsi="Times New Roman"/>
          <w:sz w:val="14"/>
          <w:szCs w:val="14"/>
          <w:i w:val="1"/>
          <w:iCs w:val="1"/>
          <w:color w:val="auto"/>
        </w:rPr>
        <w:t>Procedures for Tendering Restricted Notes</w:t>
      </w:r>
      <w:r>
        <w:rPr>
          <w:rFonts w:ascii="Times New Roman" w:cs="Times New Roman" w:eastAsia="Times New Roman" w:hAnsi="Times New Roman"/>
          <w:sz w:val="14"/>
          <w:szCs w:val="14"/>
          <w:color w:val="auto"/>
        </w:rPr>
        <w:t>” above at any time on or prior to [●] [a.m./p.m.], New York City time, on the expiration date.</w:t>
      </w:r>
    </w:p>
    <w:p>
      <w:pPr>
        <w:spacing w:after="0" w:line="227"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b w:val="1"/>
          <w:bCs w:val="1"/>
          <w:color w:val="auto"/>
        </w:rPr>
        <w:t>No Appraisal or Dissenters’ Rights</w:t>
      </w:r>
    </w:p>
    <w:p>
      <w:pPr>
        <w:spacing w:after="0" w:line="92"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4"/>
          <w:szCs w:val="14"/>
          <w:color w:val="auto"/>
        </w:rPr>
        <w:t>You do not have any appraisal or dissenters’ rights in connection with the exchange offer.</w:t>
      </w:r>
    </w:p>
    <w:p>
      <w:pPr>
        <w:spacing w:after="0" w:line="256"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b w:val="1"/>
          <w:bCs w:val="1"/>
          <w:color w:val="auto"/>
        </w:rPr>
        <w:t>Conditions</w:t>
      </w:r>
    </w:p>
    <w:p>
      <w:pPr>
        <w:spacing w:after="0" w:line="92" w:lineRule="exact"/>
        <w:rPr>
          <w:sz w:val="20"/>
          <w:szCs w:val="20"/>
          <w:color w:val="auto"/>
        </w:rPr>
      </w:pPr>
    </w:p>
    <w:p>
      <w:pPr>
        <w:ind w:left="1380" w:right="259" w:firstLine="341"/>
        <w:spacing w:after="0" w:line="281" w:lineRule="auto"/>
        <w:rPr>
          <w:sz w:val="20"/>
          <w:szCs w:val="20"/>
          <w:color w:val="auto"/>
        </w:rPr>
      </w:pPr>
      <w:r>
        <w:rPr>
          <w:rFonts w:ascii="Times New Roman" w:cs="Times New Roman" w:eastAsia="Times New Roman" w:hAnsi="Times New Roman"/>
          <w:sz w:val="14"/>
          <w:szCs w:val="14"/>
          <w:color w:val="auto"/>
        </w:rPr>
        <w:t>Notwithstanding any other provision of the exchange offer, and subject to our obligations under the Registration Rights Agreement, we will not be required to accept for exchange, or to issue Exchange Notes in</w:t>
      </w:r>
    </w:p>
    <w:p>
      <w:pPr>
        <w:spacing w:after="0" w:line="7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23</w:t>
      </w:r>
    </w:p>
    <w:p>
      <w:pPr>
        <w:sectPr>
          <w:pgSz w:w="11900" w:h="16838" w:orient="portrait"/>
          <w:cols w:equalWidth="0" w:num="1">
            <w:col w:w="10159"/>
          </w:cols>
          <w:pgMar w:left="300" w:top="384" w:right="1440"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6">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9" w:lineRule="exact"/>
        <w:rPr>
          <w:sz w:val="20"/>
          <w:szCs w:val="20"/>
          <w:color w:val="auto"/>
        </w:rPr>
      </w:pPr>
    </w:p>
    <w:p>
      <w:pPr>
        <w:ind w:left="1380" w:right="539"/>
        <w:spacing w:after="0" w:line="281" w:lineRule="auto"/>
        <w:rPr>
          <w:sz w:val="20"/>
          <w:szCs w:val="20"/>
          <w:color w:val="auto"/>
        </w:rPr>
      </w:pPr>
      <w:r>
        <w:rPr>
          <w:rFonts w:ascii="Times New Roman" w:cs="Times New Roman" w:eastAsia="Times New Roman" w:hAnsi="Times New Roman"/>
          <w:sz w:val="14"/>
          <w:szCs w:val="14"/>
          <w:color w:val="auto"/>
        </w:rPr>
        <w:t>exchange for, any Restricted Notes and may terminate or amend the exchange offer, if at any time before the acceptance of any Restricted Notes for exchange any one of the following events occurs:</w:t>
      </w:r>
    </w:p>
    <w:p>
      <w:pPr>
        <w:spacing w:after="0" w:line="52" w:lineRule="exact"/>
        <w:rPr>
          <w:sz w:val="20"/>
          <w:szCs w:val="20"/>
          <w:color w:val="auto"/>
        </w:rPr>
      </w:pPr>
    </w:p>
    <w:p>
      <w:pPr>
        <w:ind w:left="2120" w:right="739" w:hanging="327"/>
        <w:spacing w:after="0" w:line="281" w:lineRule="auto"/>
        <w:tabs>
          <w:tab w:leader="none" w:pos="21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injunction, order or decree has been issued by any court or any governmental agency that would prohibit, prevent or otherwise materially impair our ability to complete the exchange offer; or</w:t>
      </w:r>
    </w:p>
    <w:p>
      <w:pPr>
        <w:spacing w:after="0" w:line="52" w:lineRule="exact"/>
        <w:rPr>
          <w:rFonts w:ascii="Times New Roman" w:cs="Times New Roman" w:eastAsia="Times New Roman" w:hAnsi="Times New Roman"/>
          <w:sz w:val="14"/>
          <w:szCs w:val="14"/>
          <w:color w:val="auto"/>
        </w:rPr>
      </w:pPr>
    </w:p>
    <w:p>
      <w:pPr>
        <w:ind w:left="2120" w:hanging="327"/>
        <w:spacing w:after="0"/>
        <w:tabs>
          <w:tab w:leader="none" w:pos="21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exchange offer violates any applicable law or any applicable interpretation of the staff of the SEC.</w:t>
      </w:r>
    </w:p>
    <w:p>
      <w:pPr>
        <w:spacing w:after="0" w:line="174" w:lineRule="exact"/>
        <w:rPr>
          <w:sz w:val="20"/>
          <w:szCs w:val="20"/>
          <w:color w:val="auto"/>
        </w:rPr>
      </w:pPr>
    </w:p>
    <w:p>
      <w:pPr>
        <w:ind w:left="1380" w:right="259" w:firstLine="341"/>
        <w:spacing w:after="0" w:line="257" w:lineRule="auto"/>
        <w:rPr>
          <w:sz w:val="20"/>
          <w:szCs w:val="20"/>
          <w:color w:val="auto"/>
        </w:rPr>
      </w:pPr>
      <w:r>
        <w:rPr>
          <w:rFonts w:ascii="Times New Roman" w:cs="Times New Roman" w:eastAsia="Times New Roman" w:hAnsi="Times New Roman"/>
          <w:sz w:val="14"/>
          <w:szCs w:val="14"/>
          <w:color w:val="auto"/>
        </w:rPr>
        <w:t>These conditions are for our sole benefit, and we may assert them regardless of the circumstances giving rise to them, subject to applicable law. We also may waive in whole or in part at any time and from time to time any particular condition in our sole discretion. If we waive a condition, we may be required, in order to comply with applicable securities laws, to extend the expiration date of the exchange offer. Our failure at any time to exercise any of the foregoing rights will not be deemed a waiver of these rights, and these rights will be deemed ongoing rights which may be asserted at any time and from time to time.</w:t>
      </w:r>
    </w:p>
    <w:p>
      <w:pPr>
        <w:spacing w:after="0" w:line="143" w:lineRule="exact"/>
        <w:rPr>
          <w:sz w:val="20"/>
          <w:szCs w:val="20"/>
          <w:color w:val="auto"/>
        </w:rPr>
      </w:pPr>
    </w:p>
    <w:p>
      <w:pPr>
        <w:ind w:left="1380" w:right="519" w:firstLine="341"/>
        <w:spacing w:after="0" w:line="265" w:lineRule="auto"/>
        <w:rPr>
          <w:sz w:val="20"/>
          <w:szCs w:val="20"/>
          <w:color w:val="auto"/>
        </w:rPr>
      </w:pPr>
      <w:r>
        <w:rPr>
          <w:rFonts w:ascii="Times New Roman" w:cs="Times New Roman" w:eastAsia="Times New Roman" w:hAnsi="Times New Roman"/>
          <w:sz w:val="14"/>
          <w:szCs w:val="14"/>
          <w:color w:val="auto"/>
        </w:rPr>
        <w:t>In addition, we will not accept for exchange any Restricted Notes validly tendered, and no Exchange Notes will be issued in exchange for any tendered Restricted Notes, if, at the time the Restricted Notes are tendered, any stop order is threatened by the SEC or in effect with respect to the registration statement of which this prospectus is a part or the qualification of the Indenture under the Trust Indenture Act of 1939, as amended.</w:t>
      </w:r>
    </w:p>
    <w:p>
      <w:pPr>
        <w:spacing w:after="0" w:line="136"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4"/>
          <w:szCs w:val="14"/>
          <w:color w:val="auto"/>
        </w:rPr>
        <w:t>The exchange offer is not conditioned on any minimum principal amount of Restricted Notes being tendered for exchange.</w:t>
      </w:r>
    </w:p>
    <w:p>
      <w:pPr>
        <w:spacing w:after="0" w:line="256"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b w:val="1"/>
          <w:bCs w:val="1"/>
          <w:color w:val="auto"/>
        </w:rPr>
        <w:t>Exchange Agent</w:t>
      </w:r>
    </w:p>
    <w:p>
      <w:pPr>
        <w:spacing w:after="0" w:line="92" w:lineRule="exact"/>
        <w:rPr>
          <w:sz w:val="20"/>
          <w:szCs w:val="20"/>
          <w:color w:val="auto"/>
        </w:rPr>
      </w:pPr>
    </w:p>
    <w:p>
      <w:pPr>
        <w:ind w:left="1380" w:right="459" w:firstLine="341"/>
        <w:spacing w:after="0" w:line="281" w:lineRule="auto"/>
        <w:rPr>
          <w:sz w:val="20"/>
          <w:szCs w:val="20"/>
          <w:color w:val="auto"/>
        </w:rPr>
      </w:pPr>
      <w:r>
        <w:rPr>
          <w:rFonts w:ascii="Times New Roman" w:cs="Times New Roman" w:eastAsia="Times New Roman" w:hAnsi="Times New Roman"/>
          <w:sz w:val="14"/>
          <w:szCs w:val="14"/>
          <w:color w:val="auto"/>
        </w:rPr>
        <w:t>We have appointed U.S. Bank as exchange agent for the exchange offer. Questions, requests for assistance and requests for additional copies of this prospectus, the Letter of Transmittal and other related documents should be directed to the exchange agent addressed as follows:</w:t>
      </w:r>
    </w:p>
    <w:p>
      <w:pPr>
        <w:spacing w:after="0" w:line="1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U.S. Bank, as Exchange Agent</w:t>
      </w:r>
    </w:p>
    <w:p>
      <w:pPr>
        <w:spacing w:after="0" w:line="17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i w:val="1"/>
          <w:iCs w:val="1"/>
          <w:color w:val="auto"/>
        </w:rPr>
        <w:t>By Registered or Certified Mail, By Hand or Overnight Delivery on or before</w:t>
      </w:r>
    </w:p>
    <w:p>
      <w:pPr>
        <w:spacing w:after="0" w:line="2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 [a.m./p.m.] New York City Time, on the Expiration Date:</w:t>
      </w:r>
    </w:p>
    <w:p>
      <w:pPr>
        <w:spacing w:after="0" w:line="159"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4"/>
          <w:szCs w:val="14"/>
          <w:color w:val="auto"/>
        </w:rPr>
        <w:t>Attn: Specialized Finance Dept.</w:t>
      </w:r>
    </w:p>
    <w:p>
      <w:pPr>
        <w:spacing w:after="0" w:line="17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U.S. Bank National Association</w:t>
      </w:r>
    </w:p>
    <w:p>
      <w:pPr>
        <w:spacing w:after="0" w:line="2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111 Fillmore Avenue E.</w:t>
      </w:r>
    </w:p>
    <w:p>
      <w:pPr>
        <w:spacing w:after="0" w:line="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St. Paul, MN 55107</w:t>
      </w:r>
    </w:p>
    <w:p>
      <w:pPr>
        <w:spacing w:after="0" w:line="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Email: cts.specfinance@usbank.com</w:t>
      </w:r>
    </w:p>
    <w:p>
      <w:pPr>
        <w:spacing w:after="0" w:line="15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i w:val="1"/>
          <w:iCs w:val="1"/>
          <w:color w:val="auto"/>
        </w:rPr>
        <w:t>For Information or Confirmation by Telephone Call:</w:t>
      </w:r>
    </w:p>
    <w:p>
      <w:pPr>
        <w:spacing w:after="0" w:line="17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(800) 934-6802</w:t>
      </w:r>
    </w:p>
    <w:p>
      <w:pPr>
        <w:spacing w:after="0" w:line="172" w:lineRule="exact"/>
        <w:rPr>
          <w:sz w:val="20"/>
          <w:szCs w:val="20"/>
          <w:color w:val="auto"/>
        </w:rPr>
      </w:pPr>
    </w:p>
    <w:p>
      <w:pPr>
        <w:ind w:left="1380" w:right="379" w:firstLine="341"/>
        <w:spacing w:after="0" w:line="266" w:lineRule="auto"/>
        <w:rPr>
          <w:sz w:val="20"/>
          <w:szCs w:val="20"/>
          <w:color w:val="auto"/>
        </w:rPr>
      </w:pPr>
      <w:r>
        <w:rPr>
          <w:rFonts w:ascii="Times New Roman" w:cs="Times New Roman" w:eastAsia="Times New Roman" w:hAnsi="Times New Roman"/>
          <w:sz w:val="14"/>
          <w:szCs w:val="14"/>
          <w:b w:val="1"/>
          <w:bCs w:val="1"/>
          <w:color w:val="auto"/>
        </w:rPr>
        <w:t>DELIVERY OF A LETTER OF TRANSMITTAL TO AN ADDRESS OTHER THAN AS SET FORTH ABOVE, OR TRANSMISSION OF SUCH LETTER OF TRANSMITTAL VIA EMAIL OTHER THAN AS SET FORTH ABOVE, WILL NOT CONSTITUTE A VALID DELIVERY.</w:t>
      </w:r>
    </w:p>
    <w:p>
      <w:pPr>
        <w:spacing w:after="0" w:line="136"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4"/>
          <w:szCs w:val="14"/>
          <w:color w:val="auto"/>
        </w:rPr>
        <w:t>The exchange agent also acts as the trustee under the Indenture.</w:t>
      </w:r>
    </w:p>
    <w:p>
      <w:pPr>
        <w:spacing w:after="0" w:line="256"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b w:val="1"/>
          <w:bCs w:val="1"/>
          <w:color w:val="auto"/>
        </w:rPr>
        <w:t>Fees and Expenses</w:t>
      </w:r>
    </w:p>
    <w:p>
      <w:pPr>
        <w:spacing w:after="0" w:line="92"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4"/>
          <w:szCs w:val="14"/>
          <w:color w:val="auto"/>
        </w:rPr>
        <w:t>We will not pay brokers, dealers or others soliciting acceptances of the exchange offer. The principal solicitation is being made by mail.</w:t>
      </w:r>
    </w:p>
    <w:p>
      <w:pPr>
        <w:spacing w:after="0" w:line="21"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color w:val="auto"/>
        </w:rPr>
        <w:t>Additional solicitations, however, may be made in person, by email or by telephone by our officers and employees.</w:t>
      </w:r>
    </w:p>
    <w:p>
      <w:pPr>
        <w:spacing w:after="0" w:line="10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24</w:t>
      </w:r>
    </w:p>
    <w:p>
      <w:pPr>
        <w:sectPr>
          <w:pgSz w:w="11900" w:h="16838" w:orient="portrait"/>
          <w:cols w:equalWidth="0" w:num="1">
            <w:col w:w="10159"/>
          </w:cols>
          <w:pgMar w:left="300" w:top="384" w:right="1440"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7">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9" w:lineRule="exact"/>
        <w:rPr>
          <w:sz w:val="20"/>
          <w:szCs w:val="20"/>
          <w:color w:val="auto"/>
        </w:rPr>
      </w:pPr>
    </w:p>
    <w:p>
      <w:pPr>
        <w:jc w:val="both"/>
        <w:ind w:left="1380" w:right="799" w:firstLine="341"/>
        <w:spacing w:after="0" w:line="321" w:lineRule="auto"/>
        <w:rPr>
          <w:sz w:val="20"/>
          <w:szCs w:val="20"/>
          <w:color w:val="auto"/>
        </w:rPr>
      </w:pPr>
      <w:r>
        <w:rPr>
          <w:rFonts w:ascii="Times New Roman" w:cs="Times New Roman" w:eastAsia="Times New Roman" w:hAnsi="Times New Roman"/>
          <w:sz w:val="13"/>
          <w:szCs w:val="13"/>
          <w:color w:val="auto"/>
        </w:rPr>
        <w:t>We will pay the estimated cash expenses to be incurred in connection with the exchange offer. These are estimated in the aggregate to be approximately $100,000 which includes fees and expenses of the exchange agent and accounting, legal, printing and related fees and expenses.</w:t>
      </w:r>
    </w:p>
    <w:p>
      <w:pPr>
        <w:spacing w:after="0" w:line="184"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b w:val="1"/>
          <w:bCs w:val="1"/>
          <w:color w:val="auto"/>
        </w:rPr>
        <w:t>Transfer Taxes</w:t>
      </w:r>
    </w:p>
    <w:p>
      <w:pPr>
        <w:spacing w:after="0" w:line="92" w:lineRule="exact"/>
        <w:rPr>
          <w:sz w:val="20"/>
          <w:szCs w:val="20"/>
          <w:color w:val="auto"/>
        </w:rPr>
      </w:pPr>
    </w:p>
    <w:p>
      <w:pPr>
        <w:ind w:left="1380" w:right="259" w:firstLine="341"/>
        <w:spacing w:after="0" w:line="257" w:lineRule="auto"/>
        <w:rPr>
          <w:sz w:val="20"/>
          <w:szCs w:val="20"/>
          <w:color w:val="auto"/>
        </w:rPr>
      </w:pPr>
      <w:r>
        <w:rPr>
          <w:rFonts w:ascii="Times New Roman" w:cs="Times New Roman" w:eastAsia="Times New Roman" w:hAnsi="Times New Roman"/>
          <w:sz w:val="14"/>
          <w:szCs w:val="14"/>
          <w:color w:val="auto"/>
        </w:rPr>
        <w:t>You will not be obligated to pay any transfer taxes in connection with a tender of your Restricted Notes unless Exchange Notes are to be registered in the name of, or Restricted Notes (or any portion thereof) not tendered or not accepted in the exchange offer are to be returned to, a person other than the registered tendering holder of the Restricted Notes, in which event the registered tendering holder will be responsible for the payment of any applicable transfer tax. In addition, tendering holders will be responsible for any transfer tax imposed for any reason other than the transfer of Restricted Notes to, or upon the order of, us pursuant to the exchange offer.</w:t>
      </w:r>
    </w:p>
    <w:p>
      <w:pPr>
        <w:spacing w:after="0" w:line="224"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b w:val="1"/>
          <w:bCs w:val="1"/>
          <w:color w:val="auto"/>
        </w:rPr>
        <w:t>Accounting Treatment</w:t>
      </w:r>
    </w:p>
    <w:p>
      <w:pPr>
        <w:spacing w:after="0" w:line="92" w:lineRule="exact"/>
        <w:rPr>
          <w:sz w:val="20"/>
          <w:szCs w:val="20"/>
          <w:color w:val="auto"/>
        </w:rPr>
      </w:pPr>
    </w:p>
    <w:p>
      <w:pPr>
        <w:ind w:left="1380" w:right="259" w:firstLine="341"/>
        <w:spacing w:after="0" w:line="260" w:lineRule="auto"/>
        <w:rPr>
          <w:sz w:val="20"/>
          <w:szCs w:val="20"/>
          <w:color w:val="auto"/>
        </w:rPr>
      </w:pPr>
      <w:r>
        <w:rPr>
          <w:rFonts w:ascii="Times New Roman" w:cs="Times New Roman" w:eastAsia="Times New Roman" w:hAnsi="Times New Roman"/>
          <w:sz w:val="14"/>
          <w:szCs w:val="14"/>
          <w:color w:val="auto"/>
        </w:rPr>
        <w:t>We will not recognize any gain or loss for accounting purposes upon the consummation of the exchange offer. We will amortize the expense of the exchange offer over the term of the Exchange Notes under generally accepted accounting principles in the United States of America (“GAAP”). The unamortized debt issuance costs are reflected in the carrying value of the Company’s unsecured notes as presented in the Consolidated Statements of Assets and Liabilities. Debt issuance costs are amortized through the life of the Notes and recorded as interest expense.</w:t>
      </w:r>
    </w:p>
    <w:p>
      <w:pPr>
        <w:spacing w:after="0" w:line="8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25</w:t>
      </w:r>
    </w:p>
    <w:p>
      <w:pPr>
        <w:sectPr>
          <w:pgSz w:w="11900" w:h="16838" w:orient="portrait"/>
          <w:cols w:equalWidth="0" w:num="1">
            <w:col w:w="10159"/>
          </w:cols>
          <w:pgMar w:left="300" w:top="384" w:right="1440"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8">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7"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DESCRIPTION OF THE EXCHANGE NOTES</w:t>
      </w:r>
    </w:p>
    <w:p>
      <w:pPr>
        <w:spacing w:after="0" w:line="176" w:lineRule="exact"/>
        <w:rPr>
          <w:sz w:val="20"/>
          <w:szCs w:val="20"/>
          <w:color w:val="auto"/>
        </w:rPr>
      </w:pPr>
    </w:p>
    <w:p>
      <w:pPr>
        <w:ind w:left="1380" w:right="279" w:firstLine="341"/>
        <w:spacing w:after="0" w:line="257" w:lineRule="auto"/>
        <w:rPr>
          <w:sz w:val="20"/>
          <w:szCs w:val="20"/>
          <w:color w:val="auto"/>
        </w:rPr>
      </w:pPr>
      <w:r>
        <w:rPr>
          <w:rFonts w:ascii="Times New Roman" w:cs="Times New Roman" w:eastAsia="Times New Roman" w:hAnsi="Times New Roman"/>
          <w:sz w:val="14"/>
          <w:szCs w:val="14"/>
          <w:color w:val="auto"/>
        </w:rPr>
        <w:t>We issued the Restricted Notes under the Note Purchase Agreement, and will issue the Exchange Notes under the Indenture. The terms of the Exchange Notes include those expressly set forth in the Indenture and those made part of the Indenture by reference to the Trust Indenture Act of 1939, as amended. The following description is a summary of the material provisions of the Notes and the Indenture and does not purport to be complete. This summary is subject to and is qualified by reference to all the provisions of the Notes and the Indenture, including the definitions of certain terms used in the Indenture. We urge you to read these documents because they, and not this description, define your rights as a holder of the Notes.</w:t>
      </w:r>
    </w:p>
    <w:p>
      <w:pPr>
        <w:spacing w:after="0" w:line="143" w:lineRule="exact"/>
        <w:rPr>
          <w:sz w:val="20"/>
          <w:szCs w:val="20"/>
          <w:color w:val="auto"/>
        </w:rPr>
      </w:pPr>
    </w:p>
    <w:p>
      <w:pPr>
        <w:jc w:val="both"/>
        <w:ind w:left="1380" w:right="359" w:firstLine="341"/>
        <w:spacing w:after="0" w:line="265" w:lineRule="auto"/>
        <w:rPr>
          <w:sz w:val="20"/>
          <w:szCs w:val="20"/>
          <w:color w:val="auto"/>
        </w:rPr>
      </w:pPr>
      <w:r>
        <w:rPr>
          <w:rFonts w:ascii="Times New Roman" w:cs="Times New Roman" w:eastAsia="Times New Roman" w:hAnsi="Times New Roman"/>
          <w:sz w:val="14"/>
          <w:szCs w:val="14"/>
          <w:color w:val="auto"/>
        </w:rPr>
        <w:t>For purposes of this description, references to “we,” “our” and “us” refer only to the Company and not to any of its current or future subsidiaries and references to “subsidiaries” refer only to our consolidated subsidiaries and exclude any investments held by the Company in the ordinary course of business which are not, under GAAP, consolidated on the financial statements of the Company and its subsidiaries.</w:t>
      </w:r>
    </w:p>
    <w:p>
      <w:pPr>
        <w:spacing w:after="0" w:line="218"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b w:val="1"/>
          <w:bCs w:val="1"/>
          <w:color w:val="auto"/>
        </w:rPr>
        <w:t>General</w:t>
      </w:r>
    </w:p>
    <w:p>
      <w:pPr>
        <w:spacing w:after="0" w:line="92" w:lineRule="exact"/>
        <w:rPr>
          <w:sz w:val="20"/>
          <w:szCs w:val="20"/>
          <w:color w:val="auto"/>
        </w:rPr>
      </w:pPr>
    </w:p>
    <w:p>
      <w:pPr>
        <w:ind w:left="1380" w:right="279" w:firstLine="341"/>
        <w:spacing w:after="0" w:line="257" w:lineRule="auto"/>
        <w:rPr>
          <w:sz w:val="20"/>
          <w:szCs w:val="20"/>
          <w:color w:val="auto"/>
        </w:rPr>
      </w:pPr>
      <w:r>
        <w:rPr>
          <w:rFonts w:ascii="Times New Roman" w:cs="Times New Roman" w:eastAsia="Times New Roman" w:hAnsi="Times New Roman"/>
          <w:sz w:val="14"/>
          <w:szCs w:val="14"/>
          <w:color w:val="auto"/>
        </w:rPr>
        <w:t>The Restricted Notes are, and the Exchange Notes will be our direct, general unsecured obligations ranking equally in right of payment with all of our other senior unsecured indebtedness from time to time outstanding. The Restricted Notes are, and the Exchange Notes will be issued in an aggregate principal amount of $120,000,000. The Notes will mature on June 1, 2029, unless previously redeemed or repurchased in full by us as provided below under “—</w:t>
      </w:r>
      <w:r>
        <w:rPr>
          <w:rFonts w:ascii="Times New Roman" w:cs="Times New Roman" w:eastAsia="Times New Roman" w:hAnsi="Times New Roman"/>
          <w:sz w:val="14"/>
          <w:szCs w:val="14"/>
          <w:i w:val="1"/>
          <w:iCs w:val="1"/>
          <w:color w:val="auto"/>
        </w:rPr>
        <w:t>Optional Redemption</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or</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Offer to Repurchase Upon a Change of Control Repurchase Event.</w:t>
      </w:r>
      <w:r>
        <w:rPr>
          <w:rFonts w:ascii="Times New Roman" w:cs="Times New Roman" w:eastAsia="Times New Roman" w:hAnsi="Times New Roman"/>
          <w:sz w:val="14"/>
          <w:szCs w:val="14"/>
          <w:color w:val="auto"/>
        </w:rPr>
        <w:t>” The Exchange Notes and the Restricted Notes that remain outstanding after the exchange offer will be a single series under the Indenture.</w:t>
      </w:r>
    </w:p>
    <w:p>
      <w:pPr>
        <w:spacing w:after="0" w:line="143" w:lineRule="exact"/>
        <w:rPr>
          <w:sz w:val="20"/>
          <w:szCs w:val="20"/>
          <w:color w:val="auto"/>
        </w:rPr>
      </w:pPr>
    </w:p>
    <w:p>
      <w:pPr>
        <w:ind w:left="1380" w:right="279" w:firstLine="341"/>
        <w:spacing w:after="0" w:line="254" w:lineRule="auto"/>
        <w:rPr>
          <w:sz w:val="20"/>
          <w:szCs w:val="20"/>
          <w:color w:val="auto"/>
        </w:rPr>
      </w:pPr>
      <w:r>
        <w:rPr>
          <w:rFonts w:ascii="Times New Roman" w:cs="Times New Roman" w:eastAsia="Times New Roman" w:hAnsi="Times New Roman"/>
          <w:sz w:val="14"/>
          <w:szCs w:val="14"/>
          <w:color w:val="auto"/>
        </w:rPr>
        <w:t>The Restricted Notes bear, and the Exchange Notes will bear interest at the rate of 6.625% per annum from May 29, 2026, or from the most recent date on which interest has been paid or duly provided for to the stated maturity or date of earlier redemption. Interest on the Notes will be payable semi-annually in arrears on June 1 and December 1 of each year, beginning on December 1, 2026 (if an interest payment date falls on a day that is not a business day, then the applicable interest payment will be made on the next succeeding business day and no additional interest will accrue as a result of such delayed payment), to the persons in whose names such notes were registered at 5:00 p.m. New York City time (the “close of business”) on the immediately preceding May 31 and November 30 (whether or not a business day), respectively. The term “business day” means, with respect to any of the Notes, any day other than a Saturday, a Sunday or a day on which banking institutions in New York or the city in which the corporate trust office of the trustee is located are authorized or obligated by law or executive order to close.</w:t>
      </w:r>
    </w:p>
    <w:p>
      <w:pPr>
        <w:spacing w:after="0" w:line="144" w:lineRule="exact"/>
        <w:rPr>
          <w:sz w:val="20"/>
          <w:szCs w:val="20"/>
          <w:color w:val="auto"/>
        </w:rPr>
      </w:pPr>
    </w:p>
    <w:p>
      <w:pPr>
        <w:jc w:val="both"/>
        <w:ind w:left="1380" w:right="259" w:firstLine="341"/>
        <w:spacing w:after="0" w:line="260" w:lineRule="auto"/>
        <w:rPr>
          <w:sz w:val="20"/>
          <w:szCs w:val="20"/>
          <w:color w:val="auto"/>
        </w:rPr>
      </w:pPr>
      <w:r>
        <w:rPr>
          <w:rFonts w:ascii="Times New Roman" w:cs="Times New Roman" w:eastAsia="Times New Roman" w:hAnsi="Times New Roman"/>
          <w:sz w:val="14"/>
          <w:szCs w:val="14"/>
          <w:color w:val="auto"/>
        </w:rPr>
        <w:t>Interest payments in respect of the Notes will equal the amount of interest accrued from and including the immediately preceding interest payment date in respect of which interest has been paid or duly provided for (or from and including the date of issue, if no interest has been paid or duly provided for with respect to the Notes), to, but excluding, the applicable interest payment date or stated maturity date or date of early redemption, as the case may be. Interest on the Notes will be computed on the basis of a 360-day year composed of twelve 30-day months.</w:t>
      </w:r>
    </w:p>
    <w:p>
      <w:pPr>
        <w:spacing w:after="0" w:line="140"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4"/>
          <w:szCs w:val="14"/>
          <w:color w:val="auto"/>
        </w:rPr>
        <w:t>We issued the Restricted Notes initially in aggregate principal amount of $120,000,000 under the Note Purchase Agreement. Neither the Note</w:t>
      </w:r>
    </w:p>
    <w:p>
      <w:pPr>
        <w:spacing w:after="0" w:line="21"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color w:val="auto"/>
        </w:rPr>
        <w:t>Purchase Agreement nor the Indenture limit the amount of debt that may be issued by us or our subsidiaries but do contain a covenant regarding our</w:t>
      </w:r>
    </w:p>
    <w:p>
      <w:pPr>
        <w:spacing w:after="0" w:line="6"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color w:val="auto"/>
        </w:rPr>
        <w:t>asset coverage that would have to be satisfied at the time of incurrence of additional indebtedness. See “—</w:t>
      </w:r>
      <w:r>
        <w:rPr>
          <w:rFonts w:ascii="Times New Roman" w:cs="Times New Roman" w:eastAsia="Times New Roman" w:hAnsi="Times New Roman"/>
          <w:sz w:val="14"/>
          <w:szCs w:val="14"/>
          <w:i w:val="1"/>
          <w:iCs w:val="1"/>
          <w:color w:val="auto"/>
        </w:rPr>
        <w:t>Covenants</w:t>
      </w:r>
      <w:r>
        <w:rPr>
          <w:rFonts w:ascii="Times New Roman" w:cs="Times New Roman" w:eastAsia="Times New Roman" w:hAnsi="Times New Roman"/>
          <w:sz w:val="14"/>
          <w:szCs w:val="14"/>
          <w:color w:val="auto"/>
        </w:rPr>
        <w:t>”. Neither the Note Purchase</w:t>
      </w:r>
    </w:p>
    <w:p>
      <w:pPr>
        <w:spacing w:after="0" w:line="6"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color w:val="auto"/>
        </w:rPr>
        <w:t>Agreement nor the Indenture contain any financial covenants and do not restrict us from paying dividends or issuing or repurchasing our other</w:t>
      </w:r>
    </w:p>
    <w:p>
      <w:pPr>
        <w:spacing w:after="0" w:line="6"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color w:val="auto"/>
        </w:rPr>
        <w:t>securities. Other than restrictions and other provisions described under “</w:t>
      </w:r>
      <w:r>
        <w:rPr>
          <w:rFonts w:ascii="Times New Roman" w:cs="Times New Roman" w:eastAsia="Times New Roman" w:hAnsi="Times New Roman"/>
          <w:sz w:val="14"/>
          <w:szCs w:val="14"/>
          <w:i w:val="1"/>
          <w:iCs w:val="1"/>
          <w:color w:val="auto"/>
        </w:rPr>
        <w:t>Offer to Repurchase Upon a Change of Control Repurchase Event</w:t>
      </w:r>
      <w:r>
        <w:rPr>
          <w:rFonts w:ascii="Times New Roman" w:cs="Times New Roman" w:eastAsia="Times New Roman" w:hAnsi="Times New Roman"/>
          <w:sz w:val="14"/>
          <w:szCs w:val="14"/>
          <w:color w:val="auto"/>
        </w:rPr>
        <w:t>” and</w:t>
      </w:r>
    </w:p>
    <w:p>
      <w:pPr>
        <w:spacing w:after="0" w:line="6"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Merger, Consolidation or Sale of Assets</w:t>
      </w:r>
      <w:r>
        <w:rPr>
          <w:rFonts w:ascii="Times New Roman" w:cs="Times New Roman" w:eastAsia="Times New Roman" w:hAnsi="Times New Roman"/>
          <w:sz w:val="14"/>
          <w:szCs w:val="14"/>
          <w:color w:val="auto"/>
        </w:rPr>
        <w:t>” below, neither the Note Purchase Agreement nor the Indenture contain any covenants or other provisions</w:t>
      </w:r>
    </w:p>
    <w:p>
      <w:pPr>
        <w:spacing w:after="0" w:line="10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26</w:t>
      </w:r>
    </w:p>
    <w:p>
      <w:pPr>
        <w:sectPr>
          <w:pgSz w:w="11900" w:h="16838" w:orient="portrait"/>
          <w:cols w:equalWidth="0" w:num="1">
            <w:col w:w="10159"/>
          </w:cols>
          <w:pgMar w:left="300" w:top="384" w:right="1440"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9">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9" w:lineRule="exact"/>
        <w:rPr>
          <w:sz w:val="20"/>
          <w:szCs w:val="20"/>
          <w:color w:val="auto"/>
        </w:rPr>
      </w:pPr>
    </w:p>
    <w:p>
      <w:pPr>
        <w:ind w:left="1380" w:right="279"/>
        <w:spacing w:after="0" w:line="254" w:lineRule="auto"/>
        <w:rPr>
          <w:sz w:val="20"/>
          <w:szCs w:val="20"/>
          <w:color w:val="auto"/>
        </w:rPr>
      </w:pPr>
      <w:r>
        <w:rPr>
          <w:rFonts w:ascii="Times New Roman" w:cs="Times New Roman" w:eastAsia="Times New Roman" w:hAnsi="Times New Roman"/>
          <w:sz w:val="14"/>
          <w:szCs w:val="14"/>
          <w:color w:val="auto"/>
        </w:rPr>
        <w:t xml:space="preserve">designed to afford holders of the Notes protection in the event of a highly leveraged transaction involving us or in the event of a decline in our credit rating as the result of a takeover, recapitalization, highly leveraged transaction or similar restructuring involving us that could adversely affect such holders. We may, without the consent of the holders, issue additional Notes under the Indenture with the same terms (except for the issue date, offering price and, if applicable, the initial interest payment date) and with the same CUSIP number as the Notes offered hereby in an unlimited aggregate principal amount;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such additional Notes must either be issued in a “qualified reopening” for U.S. federal income tax purposes, with no more than a de minimis amount of original issue discount, or otherwise be part of the same issue as the Notes offered hereby for U.S. federal income tax purposes.</w:t>
      </w:r>
    </w:p>
    <w:p>
      <w:pPr>
        <w:spacing w:after="0" w:line="147"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4"/>
          <w:szCs w:val="14"/>
          <w:color w:val="auto"/>
        </w:rPr>
        <w:t>We do not intend to list the Notes on any securities exchange or any automated dealer quotation system.</w:t>
      </w:r>
    </w:p>
    <w:p>
      <w:pPr>
        <w:spacing w:after="0" w:line="256"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b w:val="1"/>
          <w:bCs w:val="1"/>
          <w:color w:val="auto"/>
        </w:rPr>
        <w:t>Payments on the Notes; Paying Agent and Registrar; Transfer and Exchange</w:t>
      </w:r>
    </w:p>
    <w:p>
      <w:pPr>
        <w:spacing w:after="0" w:line="92" w:lineRule="exact"/>
        <w:rPr>
          <w:sz w:val="20"/>
          <w:szCs w:val="20"/>
          <w:color w:val="auto"/>
        </w:rPr>
      </w:pPr>
    </w:p>
    <w:p>
      <w:pPr>
        <w:ind w:left="1380" w:right="259" w:firstLine="341"/>
        <w:spacing w:after="0" w:line="255" w:lineRule="auto"/>
        <w:rPr>
          <w:sz w:val="20"/>
          <w:szCs w:val="20"/>
          <w:color w:val="auto"/>
        </w:rPr>
      </w:pPr>
      <w:r>
        <w:rPr>
          <w:rFonts w:ascii="Times New Roman" w:cs="Times New Roman" w:eastAsia="Times New Roman" w:hAnsi="Times New Roman"/>
          <w:sz w:val="14"/>
          <w:szCs w:val="14"/>
          <w:color w:val="auto"/>
        </w:rPr>
        <w:t xml:space="preserve">We will pay the principal of, and interest on, the Notes in global form registered in the name of or held by DTC or its nominee in immediately available funds to DTC or its nominee, as the case may be, as the registered holder of such Global Note (as defined below). Payment of principal of (and premium, if any) and any such interest on the Notes will be made at the corporate trust office of the paying agent, in such coin or currency of the United States of America as at the time of payment is legal tender for payment of public and private debts;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however, that, in the case of notes that are not in global form, at our option payment of interest may be made by check mailed to the address of the person entitled thereto as such address shall appear in the security register.</w:t>
      </w:r>
    </w:p>
    <w:p>
      <w:pPr>
        <w:spacing w:after="0" w:line="146" w:lineRule="exact"/>
        <w:rPr>
          <w:sz w:val="20"/>
          <w:szCs w:val="20"/>
          <w:color w:val="auto"/>
        </w:rPr>
      </w:pPr>
    </w:p>
    <w:p>
      <w:pPr>
        <w:ind w:left="1380" w:right="259" w:firstLine="341"/>
        <w:spacing w:after="0" w:line="260" w:lineRule="auto"/>
        <w:rPr>
          <w:sz w:val="20"/>
          <w:szCs w:val="20"/>
          <w:color w:val="auto"/>
        </w:rPr>
      </w:pPr>
      <w:r>
        <w:rPr>
          <w:rFonts w:ascii="Times New Roman" w:cs="Times New Roman" w:eastAsia="Times New Roman" w:hAnsi="Times New Roman"/>
          <w:sz w:val="14"/>
          <w:szCs w:val="14"/>
          <w:color w:val="auto"/>
        </w:rPr>
        <w:t>A holder of Notes may transfer or exchange Notes at the office of the registrar in accordance with the Indenture. A holder may be required, among other things, to furnish appropriate endorsements and transfer documents. No service charge will be imposed by us, the trustee or the registrar for any registration of transfer or exchange of Notes, but we may require a holder to pay a sum sufficient to cover any transfer tax or other similar governmental charge required by law or permitted by the Indenture. The registered holder of a Note will be treated as its owner for all purposes.</w:t>
      </w:r>
    </w:p>
    <w:p>
      <w:pPr>
        <w:spacing w:after="0" w:line="221"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b w:val="1"/>
          <w:bCs w:val="1"/>
          <w:color w:val="auto"/>
        </w:rPr>
        <w:t>Ranking</w:t>
      </w:r>
    </w:p>
    <w:p>
      <w:pPr>
        <w:spacing w:after="0" w:line="92"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4"/>
          <w:szCs w:val="14"/>
          <w:color w:val="auto"/>
        </w:rPr>
        <w:t>The Notes will be our direct, general unsecured obligations and will rank:</w:t>
      </w:r>
    </w:p>
    <w:p>
      <w:pPr>
        <w:spacing w:after="0" w:line="99" w:lineRule="exact"/>
        <w:rPr>
          <w:sz w:val="20"/>
          <w:szCs w:val="20"/>
          <w:color w:val="auto"/>
        </w:rPr>
      </w:pPr>
    </w:p>
    <w:p>
      <w:pPr>
        <w:ind w:left="2120" w:right="799" w:hanging="327"/>
        <w:spacing w:after="0" w:line="284" w:lineRule="auto"/>
        <w:tabs>
          <w:tab w:leader="none" w:pos="21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pari passu </w:t>
      </w:r>
      <w:r>
        <w:rPr>
          <w:rFonts w:ascii="Times New Roman" w:cs="Times New Roman" w:eastAsia="Times New Roman" w:hAnsi="Times New Roman"/>
          <w:sz w:val="14"/>
          <w:szCs w:val="14"/>
          <w:color w:val="auto"/>
        </w:rPr>
        <w:t>with our existing and future unsecured, unsubordinated indebtedness, including, as of June 29, 2026, $200.0 million in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aggregate principal amount outstanding of our 2030 Notes;</w:t>
      </w:r>
    </w:p>
    <w:p>
      <w:pPr>
        <w:spacing w:after="0" w:line="50" w:lineRule="exact"/>
        <w:rPr>
          <w:rFonts w:ascii="Times New Roman" w:cs="Times New Roman" w:eastAsia="Times New Roman" w:hAnsi="Times New Roman"/>
          <w:sz w:val="14"/>
          <w:szCs w:val="14"/>
          <w:color w:val="auto"/>
        </w:rPr>
      </w:pPr>
    </w:p>
    <w:p>
      <w:pPr>
        <w:ind w:left="2120" w:hanging="327"/>
        <w:spacing w:after="0"/>
        <w:tabs>
          <w:tab w:leader="none" w:pos="21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senior to any series of preferred stock that we may issue in the future;</w:t>
      </w:r>
    </w:p>
    <w:p>
      <w:pPr>
        <w:spacing w:after="0" w:line="100" w:lineRule="exact"/>
        <w:rPr>
          <w:rFonts w:ascii="Times New Roman" w:cs="Times New Roman" w:eastAsia="Times New Roman" w:hAnsi="Times New Roman"/>
          <w:sz w:val="14"/>
          <w:szCs w:val="14"/>
          <w:color w:val="auto"/>
        </w:rPr>
      </w:pPr>
    </w:p>
    <w:p>
      <w:pPr>
        <w:ind w:left="2120" w:hanging="327"/>
        <w:spacing w:after="0"/>
        <w:tabs>
          <w:tab w:leader="none" w:pos="21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senior to any of our future indebtedness that expressly provides that it is subordinated to the Exchange Notes;</w:t>
      </w:r>
    </w:p>
    <w:p>
      <w:pPr>
        <w:spacing w:after="0" w:line="100" w:lineRule="exact"/>
        <w:rPr>
          <w:rFonts w:ascii="Times New Roman" w:cs="Times New Roman" w:eastAsia="Times New Roman" w:hAnsi="Times New Roman"/>
          <w:sz w:val="14"/>
          <w:szCs w:val="14"/>
          <w:color w:val="auto"/>
        </w:rPr>
      </w:pPr>
    </w:p>
    <w:p>
      <w:pPr>
        <w:ind w:left="2120" w:right="379" w:hanging="327"/>
        <w:spacing w:after="0" w:line="265" w:lineRule="auto"/>
        <w:tabs>
          <w:tab w:leader="none" w:pos="21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effectively subordinated to all of our existing and future secured indebtedness (including indebtedness that is initially unsecured to which we subsequently grant security), to the extent of the value of the assets securing such indebtedness, including, without limitation, as of June 29, 2026, $11.1 million in our secured borrowings; and</w:t>
      </w:r>
    </w:p>
    <w:p>
      <w:pPr>
        <w:spacing w:after="0" w:line="63" w:lineRule="exact"/>
        <w:rPr>
          <w:rFonts w:ascii="Times New Roman" w:cs="Times New Roman" w:eastAsia="Times New Roman" w:hAnsi="Times New Roman"/>
          <w:sz w:val="14"/>
          <w:szCs w:val="14"/>
          <w:color w:val="auto"/>
        </w:rPr>
      </w:pPr>
    </w:p>
    <w:p>
      <w:pPr>
        <w:ind w:left="2120" w:right="339" w:hanging="327"/>
        <w:spacing w:after="0" w:line="265" w:lineRule="auto"/>
        <w:tabs>
          <w:tab w:leader="none" w:pos="21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structurally subordinated to all existing and future indebtedness and other obligations of any of our subsidiaries, including, without limitation, as of June 29, 2026, $112.7 million in outstanding borrowings under the SPV Credit Facility and $296.0 million in outstanding SBA debentures.</w:t>
      </w:r>
    </w:p>
    <w:p>
      <w:pPr>
        <w:spacing w:after="0" w:line="136" w:lineRule="exact"/>
        <w:rPr>
          <w:sz w:val="20"/>
          <w:szCs w:val="20"/>
          <w:color w:val="auto"/>
        </w:rPr>
      </w:pPr>
    </w:p>
    <w:p>
      <w:pPr>
        <w:ind w:left="1380" w:right="579" w:firstLine="341"/>
        <w:spacing w:after="0" w:line="265" w:lineRule="auto"/>
        <w:rPr>
          <w:sz w:val="20"/>
          <w:szCs w:val="20"/>
          <w:color w:val="auto"/>
        </w:rPr>
      </w:pPr>
      <w:r>
        <w:rPr>
          <w:rFonts w:ascii="Times New Roman" w:cs="Times New Roman" w:eastAsia="Times New Roman" w:hAnsi="Times New Roman"/>
          <w:sz w:val="14"/>
          <w:szCs w:val="14"/>
          <w:color w:val="auto"/>
        </w:rPr>
        <w:t>As of June 29, 2026, we had approximately $739.8 million in aggregate principal amount of debt outstanding, $419.8 million of which was indebtedness secured primarily by our assets or the assets of our subsidiaries. Our capitalization will not change as a result of issuing the Exchange Notes. See “</w:t>
      </w:r>
      <w:r>
        <w:rPr>
          <w:rFonts w:ascii="Times New Roman" w:cs="Times New Roman" w:eastAsia="Times New Roman" w:hAnsi="Times New Roman"/>
          <w:sz w:val="14"/>
          <w:szCs w:val="14"/>
          <w:i w:val="1"/>
          <w:iCs w:val="1"/>
          <w:color w:val="auto"/>
        </w:rPr>
        <w:t>Use of Proceeds.</w:t>
      </w:r>
      <w:r>
        <w:rPr>
          <w:rFonts w:ascii="Times New Roman" w:cs="Times New Roman" w:eastAsia="Times New Roman" w:hAnsi="Times New Roman"/>
          <w:sz w:val="14"/>
          <w:szCs w:val="14"/>
          <w:color w:val="auto"/>
        </w:rPr>
        <w:t>”</w:t>
      </w:r>
    </w:p>
    <w:p>
      <w:pPr>
        <w:spacing w:after="0" w:line="8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27</w:t>
      </w:r>
    </w:p>
    <w:p>
      <w:pPr>
        <w:sectPr>
          <w:pgSz w:w="11900" w:h="16838" w:orient="portrait"/>
          <w:cols w:equalWidth="0" w:num="1">
            <w:col w:w="10159"/>
          </w:cols>
          <w:pgMar w:left="300" w:top="384" w:right="1440"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0">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9" w:lineRule="exact"/>
        <w:rPr>
          <w:sz w:val="20"/>
          <w:szCs w:val="20"/>
          <w:color w:val="auto"/>
        </w:rPr>
      </w:pPr>
    </w:p>
    <w:p>
      <w:pPr>
        <w:ind w:left="1380" w:right="379" w:firstLine="341"/>
        <w:spacing w:after="0" w:line="265" w:lineRule="auto"/>
        <w:rPr>
          <w:sz w:val="20"/>
          <w:szCs w:val="20"/>
          <w:color w:val="auto"/>
        </w:rPr>
      </w:pPr>
      <w:r>
        <w:rPr>
          <w:rFonts w:ascii="Times New Roman" w:cs="Times New Roman" w:eastAsia="Times New Roman" w:hAnsi="Times New Roman"/>
          <w:sz w:val="14"/>
          <w:szCs w:val="14"/>
          <w:color w:val="auto"/>
        </w:rPr>
        <w:t>In the event of our bankruptcy, liquidation, reorganization or other winding up, our assets that secure secured debt will be available to pay obligations on the Notes only after all indebtedness under such secured debt has been repaid in full from such assets. We advise you that there may not be sufficient assets remaining to pay amounts due on any or all the Notes then outstanding.</w:t>
      </w:r>
    </w:p>
    <w:p>
      <w:pPr>
        <w:spacing w:after="0" w:line="218"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b w:val="1"/>
          <w:bCs w:val="1"/>
          <w:color w:val="auto"/>
        </w:rPr>
        <w:t>Optional Redemption</w:t>
      </w:r>
    </w:p>
    <w:p>
      <w:pPr>
        <w:spacing w:after="0" w:line="92"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4"/>
          <w:szCs w:val="14"/>
          <w:color w:val="auto"/>
        </w:rPr>
        <w:t>We may redeem some or all of the Notes at any time, or from time to time.</w:t>
      </w:r>
    </w:p>
    <w:p>
      <w:pPr>
        <w:spacing w:after="0" w:line="174" w:lineRule="exact"/>
        <w:rPr>
          <w:sz w:val="20"/>
          <w:szCs w:val="20"/>
          <w:color w:val="auto"/>
        </w:rPr>
      </w:pPr>
    </w:p>
    <w:p>
      <w:pPr>
        <w:ind w:left="1380" w:right="399" w:firstLine="341"/>
        <w:spacing w:after="0" w:line="260" w:lineRule="auto"/>
        <w:rPr>
          <w:sz w:val="20"/>
          <w:szCs w:val="20"/>
          <w:color w:val="auto"/>
        </w:rPr>
      </w:pPr>
      <w:r>
        <w:rPr>
          <w:rFonts w:ascii="Times New Roman" w:cs="Times New Roman" w:eastAsia="Times New Roman" w:hAnsi="Times New Roman"/>
          <w:sz w:val="14"/>
          <w:szCs w:val="14"/>
          <w:color w:val="auto"/>
        </w:rPr>
        <w:t>Prior to the Par Call Date, we may, at our option, upon notice as provided below, prepay at any time all, or from time to time any part of, the Notes, in an amount not less than 10% of the aggregate principal amount of the Notes then outstanding in the case of a partial prepayment, at 100% of the principal amount so prepaid, and the Prepayment Settlement Amount (as defined below) determined for the prepayment date with respect to such principal amount. With respect to any Note, an amount equal to the “Prepayment Settlement Amount” as follows:</w:t>
      </w:r>
    </w:p>
    <w:p>
      <w:pPr>
        <w:spacing w:after="0" w:line="140"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4"/>
          <w:szCs w:val="14"/>
          <w:color w:val="auto"/>
        </w:rPr>
        <w:t>Prior to the Par Call Date, the prepayment settlement amount shall equal the Make-Whole Amount.</w:t>
      </w:r>
    </w:p>
    <w:p>
      <w:pPr>
        <w:spacing w:after="0" w:line="174"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4"/>
          <w:szCs w:val="14"/>
          <w:color w:val="auto"/>
        </w:rPr>
        <w:t>On or after the Par Call Date, the prepayment settlement amount shall equal accrued and unpaid interest thereon to, but excluding, the redemption</w:t>
      </w:r>
    </w:p>
    <w:p>
      <w:pPr>
        <w:spacing w:after="0" w:line="21"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color w:val="auto"/>
        </w:rPr>
        <w:t>date.</w:t>
      </w:r>
    </w:p>
    <w:p>
      <w:pPr>
        <w:spacing w:after="0" w:line="159" w:lineRule="exact"/>
        <w:rPr>
          <w:sz w:val="20"/>
          <w:szCs w:val="20"/>
          <w:color w:val="auto"/>
        </w:rPr>
      </w:pPr>
    </w:p>
    <w:p>
      <w:pPr>
        <w:ind w:left="1380" w:right="279" w:firstLine="341"/>
        <w:spacing w:after="0" w:line="295" w:lineRule="auto"/>
        <w:rPr>
          <w:sz w:val="20"/>
          <w:szCs w:val="20"/>
          <w:color w:val="auto"/>
        </w:rPr>
      </w:pPr>
      <w:r>
        <w:rPr>
          <w:rFonts w:ascii="Times New Roman" w:cs="Times New Roman" w:eastAsia="Times New Roman" w:hAnsi="Times New Roman"/>
          <w:sz w:val="13"/>
          <w:szCs w:val="13"/>
          <w:color w:val="auto"/>
        </w:rPr>
        <w:t>The “Make-Whole Amount” means, with respect to any Note, an amount equal to the excess, if any, of the Discounted Value of the Remaining Scheduled Payments with respect to the Called Principal of such Note over the amount of such Called Principal, provided that the Make-Whole Amount may in no event be less than zero. For the purposes of determining the Make-Whole Amount, the following terms have the following meanings:</w:t>
      </w:r>
    </w:p>
    <w:p>
      <w:pPr>
        <w:spacing w:after="0" w:line="35" w:lineRule="exact"/>
        <w:rPr>
          <w:sz w:val="20"/>
          <w:szCs w:val="20"/>
          <w:color w:val="auto"/>
        </w:rPr>
      </w:pPr>
    </w:p>
    <w:p>
      <w:pPr>
        <w:ind w:left="1720" w:right="679" w:firstLine="328"/>
        <w:spacing w:after="0" w:line="281" w:lineRule="auto"/>
        <w:rPr>
          <w:sz w:val="20"/>
          <w:szCs w:val="20"/>
          <w:color w:val="auto"/>
        </w:rPr>
      </w:pPr>
      <w:r>
        <w:rPr>
          <w:rFonts w:ascii="Times New Roman" w:cs="Times New Roman" w:eastAsia="Times New Roman" w:hAnsi="Times New Roman"/>
          <w:sz w:val="14"/>
          <w:szCs w:val="14"/>
          <w:color w:val="auto"/>
        </w:rPr>
        <w:t>“Called Principal” means, with respect to any Note, the principal of such Note that is to be prepaid or has become or is declared to be immediately due and payable, as the context requires.</w:t>
      </w:r>
    </w:p>
    <w:p>
      <w:pPr>
        <w:spacing w:after="0" w:line="42" w:lineRule="exact"/>
        <w:rPr>
          <w:sz w:val="20"/>
          <w:szCs w:val="20"/>
          <w:color w:val="auto"/>
        </w:rPr>
      </w:pPr>
    </w:p>
    <w:p>
      <w:pPr>
        <w:ind w:left="1720" w:right="379" w:firstLine="328"/>
        <w:spacing w:after="0" w:line="260" w:lineRule="auto"/>
        <w:rPr>
          <w:sz w:val="20"/>
          <w:szCs w:val="20"/>
          <w:color w:val="auto"/>
        </w:rPr>
      </w:pPr>
      <w:r>
        <w:rPr>
          <w:rFonts w:ascii="Times New Roman" w:cs="Times New Roman" w:eastAsia="Times New Roman" w:hAnsi="Times New Roman"/>
          <w:sz w:val="14"/>
          <w:szCs w:val="14"/>
          <w:color w:val="auto"/>
        </w:rPr>
        <w:t>“Discounted Value” means, with respect to the Called Principal of any Note, the amount obtained by discounting all Remaining Scheduled Payments with respect to such Called Principal from their respective scheduled due dates to the Settlement Date with respect to such Called Principal, in accordance with accepted financial practice and at a discount factor (applied on the same periodic basis as that on which interest on the Notes is payable) equal to the Reinvestment Yield with respect to such Called Principal.</w:t>
      </w:r>
    </w:p>
    <w:p>
      <w:pPr>
        <w:spacing w:after="0" w:line="56" w:lineRule="exact"/>
        <w:rPr>
          <w:sz w:val="20"/>
          <w:szCs w:val="20"/>
          <w:color w:val="auto"/>
        </w:rPr>
      </w:pPr>
    </w:p>
    <w:p>
      <w:pPr>
        <w:ind w:left="1720" w:right="259" w:firstLine="328"/>
        <w:spacing w:after="0" w:line="270" w:lineRule="auto"/>
        <w:rPr>
          <w:sz w:val="20"/>
          <w:szCs w:val="20"/>
          <w:color w:val="auto"/>
        </w:rPr>
      </w:pPr>
      <w:r>
        <w:rPr>
          <w:rFonts w:ascii="Times New Roman" w:cs="Times New Roman" w:eastAsia="Times New Roman" w:hAnsi="Times New Roman"/>
          <w:sz w:val="13"/>
          <w:szCs w:val="13"/>
          <w:color w:val="auto"/>
        </w:rPr>
        <w:t>“Reinvestment Yield” means, with respect to the Called Principal of any Note, the sum of (a) 0.50% plus (b) the yield to maturity implied by the “Ask Yield(s)” reported as of 10:00 a.m. (New York City time) on the second Business Day preceding the Settlement Date with respect to such Called Principal, on the display designated as “Page PX1” (or such other display as may replace Page PX1) on Bloomberg Financial Markets for the most recently issued actively traded on-the-run U.S. Treasury securities (“Reported”) having a maturity equal to the Remaining Average Life of such Called Principal as of such Settlement Date. If there are no such U.S. Treasury securities Reported having a maturity equal to such Remaining Average Life, then such implied yield to maturity will be determined by (i) converting U.S. Treasury bill quotations to bond equivalent yields in accordance with accepted financial practice and (ii) interpolating linearly between the “Ask Yields” Reported for the applicable most recently issued actively traded on-the- run U.S. Treasury securities with the maturities (1) closest to and greater than such Remaining Average Life and (2) closest to and less than such Remaining Average Life. The Reinvestment Yield shall be rounded to the number of decimal places as appears in the interest rate of the applicable Note. If such yields are not Reported or the yields Reported as of such time are not ascertainable (including by way of interpolation), then “Reinvestment Yield” means, with respect to the Called Principal of any Note, the sum of (x) 0.50% plus</w:t>
      </w:r>
    </w:p>
    <w:p>
      <w:pPr>
        <w:spacing w:after="0" w:line="7" w:lineRule="exact"/>
        <w:rPr>
          <w:sz w:val="20"/>
          <w:szCs w:val="20"/>
          <w:color w:val="auto"/>
        </w:rPr>
      </w:pPr>
    </w:p>
    <w:p>
      <w:pPr>
        <w:ind w:left="1720" w:right="279" w:hanging="4"/>
        <w:spacing w:after="0" w:line="254" w:lineRule="auto"/>
        <w:tabs>
          <w:tab w:leader="none" w:pos="1917"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yield to maturity implied by the U.S. Treasury constant maturity yields reported, for the latest day for which such yields have been so reported as of the second Business Day preceding the Settlement Date with respect to such Called Principal, in Federal Reserve Statistical Release H.15 (or any comparable</w:t>
      </w:r>
    </w:p>
    <w:p>
      <w:pPr>
        <w:spacing w:after="0" w:line="9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28</w:t>
      </w:r>
    </w:p>
    <w:p>
      <w:pPr>
        <w:sectPr>
          <w:pgSz w:w="11900" w:h="16838" w:orient="portrait"/>
          <w:cols w:equalWidth="0" w:num="1">
            <w:col w:w="10159"/>
          </w:cols>
          <w:pgMar w:left="300" w:top="384" w:right="1440"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1">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9" w:lineRule="exact"/>
        <w:rPr>
          <w:sz w:val="20"/>
          <w:szCs w:val="20"/>
          <w:color w:val="auto"/>
        </w:rPr>
      </w:pPr>
    </w:p>
    <w:p>
      <w:pPr>
        <w:ind w:left="1720" w:right="259"/>
        <w:spacing w:after="0" w:line="255" w:lineRule="auto"/>
        <w:rPr>
          <w:sz w:val="20"/>
          <w:szCs w:val="20"/>
          <w:color w:val="auto"/>
        </w:rPr>
      </w:pPr>
      <w:r>
        <w:rPr>
          <w:rFonts w:ascii="Times New Roman" w:cs="Times New Roman" w:eastAsia="Times New Roman" w:hAnsi="Times New Roman"/>
          <w:sz w:val="14"/>
          <w:szCs w:val="14"/>
          <w:color w:val="auto"/>
        </w:rPr>
        <w:t>successor publication) for the U.S. Treasury constant maturity having a term equal to the Remaining Average Life of such Called Principal as of such Settlement Date. If there is no such U.S. Treasury constant maturity having a term equal to such Remaining Average Life, such implied yield to maturity will be determined by interpolating linearly between (1) the U.S. Treasury constant maturity so reported with the term closest to and greater than such Remaining Average Life and (2) the U.S. Treasury constant maturity so reported with the term closest to and less than such Remaining Average Life. The Reinvestment Yield shall be rounded to the number of decimal places as appears in the interest rate of the applicable Note.</w:t>
      </w:r>
    </w:p>
    <w:p>
      <w:pPr>
        <w:spacing w:after="0" w:line="62" w:lineRule="exact"/>
        <w:rPr>
          <w:sz w:val="20"/>
          <w:szCs w:val="20"/>
          <w:color w:val="auto"/>
        </w:rPr>
      </w:pPr>
    </w:p>
    <w:p>
      <w:pPr>
        <w:ind w:left="1720" w:right="339" w:firstLine="328"/>
        <w:spacing w:after="0" w:line="257" w:lineRule="auto"/>
        <w:rPr>
          <w:sz w:val="20"/>
          <w:szCs w:val="20"/>
          <w:color w:val="auto"/>
        </w:rPr>
      </w:pPr>
      <w:r>
        <w:rPr>
          <w:rFonts w:ascii="Times New Roman" w:cs="Times New Roman" w:eastAsia="Times New Roman" w:hAnsi="Times New Roman"/>
          <w:sz w:val="14"/>
          <w:szCs w:val="14"/>
          <w:color w:val="auto"/>
        </w:rPr>
        <w:t>“Remaining Average Life” means, with respect to any Called Principal, the number of years obtained by dividing (i) such Called Principal into (ii) the sum of the products obtained by multiplying (a) the principal component of each Remaining Scheduled Payment with respect to such Called Principal by (b) the number of years, computed on the basis of a 360-day year comprised of twelve 30-day months and calculated to two decimal places, that will elapse between the Settlement Date with respect to such Called Principal and the scheduled due date of such Remaining Scheduled Payment.</w:t>
      </w:r>
    </w:p>
    <w:p>
      <w:pPr>
        <w:spacing w:after="0" w:line="59" w:lineRule="exact"/>
        <w:rPr>
          <w:sz w:val="20"/>
          <w:szCs w:val="20"/>
          <w:color w:val="auto"/>
        </w:rPr>
      </w:pPr>
    </w:p>
    <w:p>
      <w:pPr>
        <w:ind w:left="1720" w:right="359" w:firstLine="328"/>
        <w:spacing w:after="0" w:line="257" w:lineRule="auto"/>
        <w:rPr>
          <w:sz w:val="20"/>
          <w:szCs w:val="20"/>
          <w:color w:val="auto"/>
        </w:rPr>
      </w:pPr>
      <w:r>
        <w:rPr>
          <w:rFonts w:ascii="Times New Roman" w:cs="Times New Roman" w:eastAsia="Times New Roman" w:hAnsi="Times New Roman"/>
          <w:sz w:val="14"/>
          <w:szCs w:val="14"/>
          <w:color w:val="auto"/>
        </w:rPr>
        <w:t>“Remaining Scheduled Payments” means, with respect to the Called Principal of any Note, all payments of such Called Principal and interest thereon that would be due after the Settlement Date with respect to such Called Principal if no payment of such Called Principal were made prior to its scheduled due date, provided that if such Settlement Date is not a date on which interest payments are due to be made under the Notes, then the amount of the next succeeding scheduled interest payment will be reduced by the amount of interest accrued to such Settlement Date and required to be paid on such Settlement Date.</w:t>
      </w:r>
    </w:p>
    <w:p>
      <w:pPr>
        <w:spacing w:after="0" w:line="59" w:lineRule="exact"/>
        <w:rPr>
          <w:sz w:val="20"/>
          <w:szCs w:val="20"/>
          <w:color w:val="auto"/>
        </w:rPr>
      </w:pPr>
    </w:p>
    <w:p>
      <w:pPr>
        <w:ind w:left="1720" w:right="439" w:firstLine="328"/>
        <w:spacing w:after="0" w:line="281" w:lineRule="auto"/>
        <w:rPr>
          <w:sz w:val="20"/>
          <w:szCs w:val="20"/>
          <w:color w:val="auto"/>
        </w:rPr>
      </w:pPr>
      <w:r>
        <w:rPr>
          <w:rFonts w:ascii="Times New Roman" w:cs="Times New Roman" w:eastAsia="Times New Roman" w:hAnsi="Times New Roman"/>
          <w:sz w:val="14"/>
          <w:szCs w:val="14"/>
          <w:color w:val="auto"/>
        </w:rPr>
        <w:t>“Settlement Date” means, with respect to the Called Principal of any Note, the date on which such Called Principal is to be prepaid or has become or is declared to be immediately due and payable, as the context requires.</w:t>
      </w:r>
    </w:p>
    <w:p>
      <w:pPr>
        <w:spacing w:after="0" w:line="125" w:lineRule="exact"/>
        <w:rPr>
          <w:sz w:val="20"/>
          <w:szCs w:val="20"/>
          <w:color w:val="auto"/>
        </w:rPr>
      </w:pPr>
    </w:p>
    <w:p>
      <w:pPr>
        <w:ind w:left="1380" w:right="419" w:firstLine="341"/>
        <w:spacing w:after="0" w:line="281" w:lineRule="auto"/>
        <w:rPr>
          <w:sz w:val="20"/>
          <w:szCs w:val="20"/>
          <w:color w:val="auto"/>
        </w:rPr>
      </w:pPr>
      <w:r>
        <w:rPr>
          <w:rFonts w:ascii="Times New Roman" w:cs="Times New Roman" w:eastAsia="Times New Roman" w:hAnsi="Times New Roman"/>
          <w:sz w:val="14"/>
          <w:szCs w:val="14"/>
          <w:color w:val="auto"/>
        </w:rPr>
        <w:t>Notice of any redemption will be mailed or electronically delivered (or otherwise transmitted in accordance with the depositary’s procedures) at least 10 days but not more than 60 days before the redemption date to each holder of Notes to be redeemed.</w:t>
      </w:r>
    </w:p>
    <w:p>
      <w:pPr>
        <w:spacing w:after="0" w:line="125" w:lineRule="exact"/>
        <w:rPr>
          <w:sz w:val="20"/>
          <w:szCs w:val="20"/>
          <w:color w:val="auto"/>
        </w:rPr>
      </w:pPr>
    </w:p>
    <w:p>
      <w:pPr>
        <w:ind w:left="1380" w:right="339" w:firstLine="341"/>
        <w:spacing w:after="0" w:line="255" w:lineRule="auto"/>
        <w:rPr>
          <w:sz w:val="20"/>
          <w:szCs w:val="20"/>
          <w:color w:val="auto"/>
        </w:rPr>
      </w:pPr>
      <w:r>
        <w:rPr>
          <w:rFonts w:ascii="Times New Roman" w:cs="Times New Roman" w:eastAsia="Times New Roman" w:hAnsi="Times New Roman"/>
          <w:sz w:val="14"/>
          <w:szCs w:val="14"/>
          <w:color w:val="auto"/>
        </w:rPr>
        <w:t>In the case of a partial redemption, selection of the Notes for redemption will be made pro rata. No Notes of a principal amount of $2,000 or less will be redeemed in part. If any Note is to be redeemed in part only, the notice of redemption that relates to the Note will state the portion of the principal amount of the note to be redeemed. A new Note in a principal amount equal to the unredeemed portion of the Note will be issued in the name of the holder of the Note upon surrender for cancellation of the original note. For so long as the Notes are held by DTC (or another depositary), the redemption of the Notes shall be done in accordance with the policies and procedures of the depositary. Any exercise of our option to redeem the Notes will be done in compliance with the 1940 Act.</w:t>
      </w:r>
    </w:p>
    <w:p>
      <w:pPr>
        <w:spacing w:after="0" w:line="146" w:lineRule="exact"/>
        <w:rPr>
          <w:sz w:val="20"/>
          <w:szCs w:val="20"/>
          <w:color w:val="auto"/>
        </w:rPr>
      </w:pPr>
    </w:p>
    <w:p>
      <w:pPr>
        <w:ind w:left="1380" w:right="639" w:firstLine="341"/>
        <w:spacing w:after="0" w:line="281" w:lineRule="auto"/>
        <w:rPr>
          <w:sz w:val="20"/>
          <w:szCs w:val="20"/>
          <w:color w:val="auto"/>
        </w:rPr>
      </w:pPr>
      <w:r>
        <w:rPr>
          <w:rFonts w:ascii="Times New Roman" w:cs="Times New Roman" w:eastAsia="Times New Roman" w:hAnsi="Times New Roman"/>
          <w:sz w:val="14"/>
          <w:szCs w:val="14"/>
          <w:color w:val="auto"/>
        </w:rPr>
        <w:t>Unless we default in payment of the redemption price, on and after the redemption date interest will cease to accrue on the notes or portions thereof called for redemption.</w:t>
      </w:r>
    </w:p>
    <w:p>
      <w:pPr>
        <w:spacing w:after="0" w:line="207"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b w:val="1"/>
          <w:bCs w:val="1"/>
          <w:color w:val="auto"/>
        </w:rPr>
        <w:t>Offer to Repurchase Upon a Change of Control Repurchase Event</w:t>
      </w:r>
    </w:p>
    <w:p>
      <w:pPr>
        <w:spacing w:after="0" w:line="92" w:lineRule="exact"/>
        <w:rPr>
          <w:sz w:val="20"/>
          <w:szCs w:val="20"/>
          <w:color w:val="auto"/>
        </w:rPr>
      </w:pPr>
    </w:p>
    <w:p>
      <w:pPr>
        <w:ind w:left="1380" w:right="239" w:firstLine="341"/>
        <w:spacing w:after="0" w:line="260" w:lineRule="auto"/>
        <w:rPr>
          <w:sz w:val="20"/>
          <w:szCs w:val="20"/>
          <w:color w:val="auto"/>
        </w:rPr>
      </w:pPr>
      <w:r>
        <w:rPr>
          <w:rFonts w:ascii="Times New Roman" w:cs="Times New Roman" w:eastAsia="Times New Roman" w:hAnsi="Times New Roman"/>
          <w:sz w:val="14"/>
          <w:szCs w:val="14"/>
          <w:color w:val="auto"/>
        </w:rPr>
        <w:t>If a Change of Control Repurchase Event occurs with respect to the Notes, unless we have exercised our right to redeem the Notes in full, we will make an offer to each holder of the Notes to repurchase all or any part (in minimum denominations of $2,000 and integral multiples of $1,000 principal amount in excess thereof) of that holder’s Notes at a repurchase price in cash equal to 100% of the aggregate principal amount of Notes repurchased plus any accrued and unpaid interest on the Notes repurchased to, but excluding, the date of purchase.</w:t>
      </w:r>
    </w:p>
    <w:p>
      <w:pPr>
        <w:spacing w:after="0" w:line="140" w:lineRule="exact"/>
        <w:rPr>
          <w:sz w:val="20"/>
          <w:szCs w:val="20"/>
          <w:color w:val="auto"/>
        </w:rPr>
      </w:pPr>
    </w:p>
    <w:p>
      <w:pPr>
        <w:ind w:left="1380" w:right="639" w:firstLine="341"/>
        <w:spacing w:after="0" w:line="281" w:lineRule="auto"/>
        <w:rPr>
          <w:sz w:val="20"/>
          <w:szCs w:val="20"/>
          <w:color w:val="auto"/>
        </w:rPr>
      </w:pPr>
      <w:r>
        <w:rPr>
          <w:rFonts w:ascii="Times New Roman" w:cs="Times New Roman" w:eastAsia="Times New Roman" w:hAnsi="Times New Roman"/>
          <w:sz w:val="14"/>
          <w:szCs w:val="14"/>
          <w:color w:val="auto"/>
        </w:rPr>
        <w:t>The definition of “Change of Control” means the Company ceases to be managed by the investment advisor or an affiliate of the investment advisor.</w:t>
      </w:r>
    </w:p>
    <w:p>
      <w:pPr>
        <w:spacing w:after="0" w:line="7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29</w:t>
      </w:r>
    </w:p>
    <w:p>
      <w:pPr>
        <w:sectPr>
          <w:pgSz w:w="11900" w:h="16838" w:orient="portrait"/>
          <w:cols w:equalWidth="0" w:num="1">
            <w:col w:w="10159"/>
          </w:cols>
          <w:pgMar w:left="300" w:top="384" w:right="1440"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2">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9" w:lineRule="exact"/>
        <w:rPr>
          <w:sz w:val="20"/>
          <w:szCs w:val="20"/>
          <w:color w:val="auto"/>
        </w:rPr>
      </w:pPr>
    </w:p>
    <w:p>
      <w:pPr>
        <w:ind w:left="1380" w:right="259" w:firstLine="341"/>
        <w:spacing w:after="0" w:line="253" w:lineRule="auto"/>
        <w:rPr>
          <w:sz w:val="20"/>
          <w:szCs w:val="20"/>
          <w:color w:val="auto"/>
        </w:rPr>
      </w:pPr>
      <w:r>
        <w:rPr>
          <w:rFonts w:ascii="Times New Roman" w:cs="Times New Roman" w:eastAsia="Times New Roman" w:hAnsi="Times New Roman"/>
          <w:sz w:val="14"/>
          <w:szCs w:val="14"/>
          <w:color w:val="auto"/>
        </w:rPr>
        <w:t>Within 30 days following any Change of Control Repurchase Event or, at our option, prior to any Change of Control, but after the public announcement of the Change of Control, we will send a notice to each holder and the trustee describing the transaction or transactions that constitute or may constitute the Change of Control Repurchase Event with respect to the Notes and offering to repurchase the Notes on the payment date specified in the notice, which date will be no earlier than 30 days and no later than 60 days from the date such notice is sent. The notice shall, if sent prior to the date of consummation of the Change of Control, state that the offer to purchase is conditioned on the Change of Control Repurchase Event with respect to the Notes occurring on or prior to the payment date specified in the notice. We will comply with the requirements of Rule 14e-l under the Exchange Act and any other securities laws and regulations thereunder to the extent those laws and regulations are applicable in connection with the repurchase of the Notes as a result of a Change of Control Repurchase Event. To the extent that the provisions of any securities laws or regulations conflict with the Change of Control Repurchase Event provisions of the Notes, we will comply with the applicable securities laws and regulations and will not be deemed to have breached our obligations under the Change of Control Repurchase Event provisions of the Notes by virtue of such conflict.</w:t>
      </w:r>
    </w:p>
    <w:p>
      <w:pPr>
        <w:spacing w:after="0" w:line="145" w:lineRule="exact"/>
        <w:rPr>
          <w:sz w:val="20"/>
          <w:szCs w:val="20"/>
          <w:color w:val="auto"/>
        </w:rPr>
      </w:pPr>
    </w:p>
    <w:p>
      <w:pPr>
        <w:ind w:left="1380" w:right="279" w:firstLine="341"/>
        <w:spacing w:after="0" w:line="281" w:lineRule="auto"/>
        <w:rPr>
          <w:sz w:val="20"/>
          <w:szCs w:val="20"/>
          <w:color w:val="auto"/>
        </w:rPr>
      </w:pPr>
      <w:r>
        <w:rPr>
          <w:rFonts w:ascii="Times New Roman" w:cs="Times New Roman" w:eastAsia="Times New Roman" w:hAnsi="Times New Roman"/>
          <w:sz w:val="14"/>
          <w:szCs w:val="14"/>
          <w:color w:val="auto"/>
        </w:rPr>
        <w:t>On a Change of Control Repurchase Event payment date, subject to extension if necessary to comply with the provisions of the 1940 Act, we will, to the extent lawful:</w:t>
      </w:r>
    </w:p>
    <w:p>
      <w:pPr>
        <w:spacing w:after="0" w:line="52" w:lineRule="exact"/>
        <w:rPr>
          <w:sz w:val="20"/>
          <w:szCs w:val="20"/>
          <w:color w:val="auto"/>
        </w:rPr>
      </w:pPr>
    </w:p>
    <w:p>
      <w:pPr>
        <w:ind w:left="2120" w:hanging="411"/>
        <w:spacing w:after="0"/>
        <w:tabs>
          <w:tab w:leader="none" w:pos="21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accept for payment all Notes or portions of Notes properly tendered pursuant to our offer;</w:t>
      </w:r>
    </w:p>
    <w:p>
      <w:pPr>
        <w:spacing w:after="0" w:line="100" w:lineRule="exact"/>
        <w:rPr>
          <w:rFonts w:ascii="Times New Roman" w:cs="Times New Roman" w:eastAsia="Times New Roman" w:hAnsi="Times New Roman"/>
          <w:sz w:val="14"/>
          <w:szCs w:val="14"/>
          <w:color w:val="auto"/>
        </w:rPr>
      </w:pPr>
    </w:p>
    <w:p>
      <w:pPr>
        <w:ind w:left="2120" w:right="739" w:hanging="411"/>
        <w:spacing w:after="0" w:line="281" w:lineRule="auto"/>
        <w:tabs>
          <w:tab w:leader="none" w:pos="21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deposit with the paying agent an amount equal to the aggregate purchase price in respect of all Notes or portions of Notes properly tendered; and</w:t>
      </w:r>
    </w:p>
    <w:p>
      <w:pPr>
        <w:spacing w:after="0" w:line="52" w:lineRule="exact"/>
        <w:rPr>
          <w:rFonts w:ascii="Times New Roman" w:cs="Times New Roman" w:eastAsia="Times New Roman" w:hAnsi="Times New Roman"/>
          <w:sz w:val="14"/>
          <w:szCs w:val="14"/>
          <w:color w:val="auto"/>
        </w:rPr>
      </w:pPr>
    </w:p>
    <w:p>
      <w:pPr>
        <w:ind w:left="2120" w:right="679" w:hanging="411"/>
        <w:spacing w:after="0" w:line="281" w:lineRule="auto"/>
        <w:tabs>
          <w:tab w:leader="none" w:pos="21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deliver or cause to be delivered to the trustee the Notes properly accepted, together with an officers’ certificate stating the aggregate principal amount of Notes being purchased by us.</w:t>
      </w:r>
    </w:p>
    <w:p>
      <w:pPr>
        <w:spacing w:after="0" w:line="125" w:lineRule="exact"/>
        <w:rPr>
          <w:sz w:val="20"/>
          <w:szCs w:val="20"/>
          <w:color w:val="auto"/>
        </w:rPr>
      </w:pPr>
    </w:p>
    <w:p>
      <w:pPr>
        <w:ind w:left="1380" w:right="379" w:firstLine="341"/>
        <w:spacing w:after="0" w:line="295" w:lineRule="auto"/>
        <w:rPr>
          <w:sz w:val="20"/>
          <w:szCs w:val="20"/>
          <w:color w:val="auto"/>
        </w:rPr>
      </w:pPr>
      <w:r>
        <w:rPr>
          <w:rFonts w:ascii="Times New Roman" w:cs="Times New Roman" w:eastAsia="Times New Roman" w:hAnsi="Times New Roman"/>
          <w:sz w:val="13"/>
          <w:szCs w:val="13"/>
          <w:color w:val="auto"/>
        </w:rPr>
        <w:t>The paying agent will promptly remit to each holder of Notes properly tendered the purchase price for the Notes, and the trustee will promptly authenticate and mail (or cause to be transferred by book-entry) to each holder new Notes equal in principal amount to any unpurchased portion of any Notes surrendered; provided that each new Note will be in a minimum principal amount of $2,000 or an integral multiple of $1,000 in excess thereof.</w:t>
      </w:r>
    </w:p>
    <w:p>
      <w:pPr>
        <w:spacing w:after="0" w:line="118" w:lineRule="exact"/>
        <w:rPr>
          <w:sz w:val="20"/>
          <w:szCs w:val="20"/>
          <w:color w:val="auto"/>
        </w:rPr>
      </w:pPr>
    </w:p>
    <w:p>
      <w:pPr>
        <w:ind w:left="1380" w:right="459" w:firstLine="341"/>
        <w:spacing w:after="0" w:line="265" w:lineRule="auto"/>
        <w:rPr>
          <w:sz w:val="20"/>
          <w:szCs w:val="20"/>
          <w:color w:val="auto"/>
        </w:rPr>
      </w:pPr>
      <w:r>
        <w:rPr>
          <w:rFonts w:ascii="Times New Roman" w:cs="Times New Roman" w:eastAsia="Times New Roman" w:hAnsi="Times New Roman"/>
          <w:sz w:val="14"/>
          <w:szCs w:val="14"/>
          <w:color w:val="auto"/>
        </w:rPr>
        <w:t>We will not be required to make an offer to repurchase the Notes upon a Change of Control Repurchase Event if a third party makes an offer in respect of the Notes in the manner, at the times and otherwise in compliance with the requirements for an offer made by us and such third party purchases all Notes properly tendered and not withdrawn under its offer.</w:t>
      </w:r>
    </w:p>
    <w:p>
      <w:pPr>
        <w:spacing w:after="0" w:line="136" w:lineRule="exact"/>
        <w:rPr>
          <w:sz w:val="20"/>
          <w:szCs w:val="20"/>
          <w:color w:val="auto"/>
        </w:rPr>
      </w:pPr>
    </w:p>
    <w:p>
      <w:pPr>
        <w:ind w:left="1380" w:right="259" w:firstLine="341"/>
        <w:spacing w:after="0" w:line="252" w:lineRule="auto"/>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color w:val="auto"/>
        </w:rPr>
        <w:t>The source of funds that will be required to repurchase Notes in the event of a Change of Control Repurchase Event will be our available cash or cash generated from our operations or other potential sources, including funds provided by a purchaser in the Change of Control transaction, borrowings, sales of assets or sales of equity. We cannot assure you that sufficient funds from such sources will be available at the time of any Change of Control Repurchase Event to make required repurchases of Notes tendered. For a general discussion of our indebtedness, see “</w:t>
      </w:r>
      <w:r>
        <w:rPr>
          <w:rFonts w:ascii="Times New Roman" w:cs="Times New Roman" w:eastAsia="Times New Roman" w:hAnsi="Times New Roman"/>
          <w:sz w:val="14"/>
          <w:szCs w:val="14"/>
          <w:i w:val="1"/>
          <w:iCs w:val="1"/>
          <w:color w:val="auto"/>
        </w:rPr>
        <w:t>Management’s Discussion</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and Analysis of Financial Condition and Results of Operations—Liquidity and Capital Resources</w:t>
      </w:r>
      <w:r>
        <w:rPr>
          <w:rFonts w:ascii="Times New Roman" w:cs="Times New Roman" w:eastAsia="Times New Roman" w:hAnsi="Times New Roman"/>
          <w:sz w:val="14"/>
          <w:szCs w:val="14"/>
          <w:color w:val="auto"/>
        </w:rPr>
        <w:t>” in our</w:t>
      </w:r>
      <w:r>
        <w:rPr>
          <w:rFonts w:ascii="Times New Roman" w:cs="Times New Roman" w:eastAsia="Times New Roman" w:hAnsi="Times New Roman"/>
          <w:sz w:val="14"/>
          <w:szCs w:val="14"/>
          <w:i w:val="1"/>
          <w:iCs w:val="1"/>
          <w:color w:val="auto"/>
        </w:rPr>
        <w:t xml:space="preserve"> </w:t>
      </w:r>
      <w:hyperlink r:id="rId63">
        <w:r>
          <w:rPr>
            <w:rFonts w:ascii="Times New Roman" w:cs="Times New Roman" w:eastAsia="Times New Roman" w:hAnsi="Times New Roman"/>
            <w:sz w:val="14"/>
            <w:szCs w:val="14"/>
            <w:u w:val="single" w:color="auto"/>
            <w:color w:val="0000EE"/>
          </w:rPr>
          <w:t>Quarterly Report on Form 10-Q</w:t>
        </w:r>
        <w:r>
          <w:rPr>
            <w:rFonts w:ascii="Times New Roman" w:cs="Times New Roman" w:eastAsia="Times New Roman" w:hAnsi="Times New Roman"/>
            <w:sz w:val="14"/>
            <w:szCs w:val="14"/>
            <w:i w:val="1"/>
            <w:iCs w:val="1"/>
            <w:u w:val="single" w:color="auto"/>
            <w:color w:val="auto"/>
          </w:rPr>
          <w:t xml:space="preserve"> </w:t>
        </w:r>
      </w:hyperlink>
      <w:r>
        <w:rPr>
          <w:rFonts w:ascii="Times New Roman" w:cs="Times New Roman" w:eastAsia="Times New Roman" w:hAnsi="Times New Roman"/>
          <w:sz w:val="14"/>
          <w:szCs w:val="14"/>
          <w:color w:val="auto"/>
        </w:rPr>
        <w:t>for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the fiscal</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quarter ended March 31, 2026. Before making any such repurchase of Notes, we would have to comply with any applicable restrictions in our debt instruments in effect at the time. If we are required to repurchase Notes upon a Change of Control Repurchase Event, the financial effect of this repurchase could cause a default under our existing or future debt instruments, even if the Change of Control Repurchase Event itself would not cause a default. It is possible that we will not have sufficient funds at the time of the Change of Control Repurchase Event to make the required repurchase of the Notes or our other debt. See “</w:t>
      </w:r>
      <w:r>
        <w:rPr>
          <w:rFonts w:ascii="Times New Roman" w:cs="Times New Roman" w:eastAsia="Times New Roman" w:hAnsi="Times New Roman"/>
          <w:sz w:val="14"/>
          <w:szCs w:val="14"/>
          <w:i w:val="1"/>
          <w:iCs w:val="1"/>
          <w:color w:val="auto"/>
        </w:rPr>
        <w:t>Risk Factors—Risks Relating to the Exchange Notes—We may not be able to repurchase the Exchange Notes upon a</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Change of Control Repurchase Event.</w:t>
      </w:r>
      <w:r>
        <w:rPr>
          <w:rFonts w:ascii="Times New Roman" w:cs="Times New Roman" w:eastAsia="Times New Roman" w:hAnsi="Times New Roman"/>
          <w:sz w:val="14"/>
          <w:szCs w:val="14"/>
          <w:color w:val="auto"/>
        </w:rPr>
        <w:t>”</w:t>
      </w:r>
    </w:p>
    <w:p>
      <w:pPr>
        <w:spacing w:after="0" w:line="9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30</w:t>
      </w:r>
    </w:p>
    <w:p>
      <w:pPr>
        <w:sectPr>
          <w:pgSz w:w="11900" w:h="16838" w:orient="portrait"/>
          <w:cols w:equalWidth="0" w:num="1">
            <w:col w:w="10159"/>
          </w:cols>
          <w:pgMar w:left="300" w:top="384" w:right="1440"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4">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7"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b w:val="1"/>
          <w:bCs w:val="1"/>
          <w:color w:val="auto"/>
        </w:rPr>
        <w:t>Merger, Consolidation or Asset Sale</w:t>
      </w:r>
    </w:p>
    <w:p>
      <w:pPr>
        <w:spacing w:after="0" w:line="92" w:lineRule="exact"/>
        <w:rPr>
          <w:sz w:val="20"/>
          <w:szCs w:val="20"/>
          <w:color w:val="auto"/>
        </w:rPr>
      </w:pPr>
    </w:p>
    <w:p>
      <w:pPr>
        <w:ind w:left="1380" w:right="659" w:firstLine="341"/>
        <w:spacing w:after="0" w:line="281" w:lineRule="auto"/>
        <w:rPr>
          <w:sz w:val="20"/>
          <w:szCs w:val="20"/>
          <w:color w:val="auto"/>
        </w:rPr>
      </w:pPr>
      <w:r>
        <w:rPr>
          <w:rFonts w:ascii="Times New Roman" w:cs="Times New Roman" w:eastAsia="Times New Roman" w:hAnsi="Times New Roman"/>
          <w:sz w:val="14"/>
          <w:szCs w:val="14"/>
          <w:color w:val="auto"/>
        </w:rPr>
        <w:t>Under the terms of the Indenture, we are generally permitted to consolidate or merge with another entity. We are also permitted to sell all or substantially all of our assets to another entity. However, we may not take any of these actions unless all the following conditions are met:</w:t>
      </w:r>
    </w:p>
    <w:p>
      <w:pPr>
        <w:spacing w:after="0" w:line="52" w:lineRule="exact"/>
        <w:rPr>
          <w:sz w:val="20"/>
          <w:szCs w:val="20"/>
          <w:color w:val="auto"/>
        </w:rPr>
      </w:pPr>
    </w:p>
    <w:p>
      <w:pPr>
        <w:ind w:left="2120" w:right="539" w:hanging="327"/>
        <w:spacing w:after="0" w:line="281" w:lineRule="auto"/>
        <w:tabs>
          <w:tab w:leader="none" w:pos="21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where we merge out of existence or convey or transfer all or substantially all of our assets, the resulting entity must agree to be legally responsible for our obligations under the Notes;</w:t>
      </w:r>
    </w:p>
    <w:p>
      <w:pPr>
        <w:spacing w:after="0" w:line="52" w:lineRule="exact"/>
        <w:rPr>
          <w:rFonts w:ascii="Times New Roman" w:cs="Times New Roman" w:eastAsia="Times New Roman" w:hAnsi="Times New Roman"/>
          <w:sz w:val="14"/>
          <w:szCs w:val="14"/>
          <w:color w:val="auto"/>
        </w:rPr>
      </w:pPr>
    </w:p>
    <w:p>
      <w:pPr>
        <w:ind w:left="2120" w:hanging="327"/>
        <w:spacing w:after="0"/>
        <w:tabs>
          <w:tab w:leader="none" w:pos="21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immediately after giving effect to the transaction, no default or Event of Default shall have occurred and be continuing; and</w:t>
      </w:r>
    </w:p>
    <w:p>
      <w:pPr>
        <w:spacing w:after="0" w:line="100" w:lineRule="exact"/>
        <w:rPr>
          <w:rFonts w:ascii="Times New Roman" w:cs="Times New Roman" w:eastAsia="Times New Roman" w:hAnsi="Times New Roman"/>
          <w:sz w:val="14"/>
          <w:szCs w:val="14"/>
          <w:color w:val="auto"/>
        </w:rPr>
      </w:pPr>
    </w:p>
    <w:p>
      <w:pPr>
        <w:ind w:left="2120" w:hanging="327"/>
        <w:spacing w:after="0"/>
        <w:tabs>
          <w:tab w:leader="none" w:pos="21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must deliver certain certificates and documents to the trustee.</w:t>
      </w:r>
    </w:p>
    <w:p>
      <w:pPr>
        <w:spacing w:after="0" w:line="174" w:lineRule="exact"/>
        <w:rPr>
          <w:sz w:val="20"/>
          <w:szCs w:val="20"/>
          <w:color w:val="auto"/>
        </w:rPr>
      </w:pPr>
    </w:p>
    <w:p>
      <w:pPr>
        <w:jc w:val="both"/>
        <w:ind w:left="1380" w:right="499" w:firstLine="341"/>
        <w:spacing w:after="0" w:line="265" w:lineRule="auto"/>
        <w:rPr>
          <w:sz w:val="20"/>
          <w:szCs w:val="20"/>
          <w:color w:val="auto"/>
        </w:rPr>
      </w:pPr>
      <w:r>
        <w:rPr>
          <w:rFonts w:ascii="Times New Roman" w:cs="Times New Roman" w:eastAsia="Times New Roman" w:hAnsi="Times New Roman"/>
          <w:sz w:val="14"/>
          <w:szCs w:val="14"/>
          <w:color w:val="auto"/>
        </w:rPr>
        <w:t>An assumption by any person of obligations under the Notes and the Indenture might be deemed for U.S. federal income tax purposes to be an exchange of the Notes for new Notes by the holders thereof, resulting in recognition of gain or loss for such purposes and possibly other adverse tax consequences to the holders. Holders should consult their own tax advisors regarding the tax consequences of such an assumption.</w:t>
      </w:r>
    </w:p>
    <w:p>
      <w:pPr>
        <w:spacing w:after="0" w:line="218"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b w:val="1"/>
          <w:bCs w:val="1"/>
          <w:i w:val="1"/>
          <w:iCs w:val="1"/>
          <w:color w:val="auto"/>
        </w:rPr>
        <w:t>Covenants</w:t>
      </w:r>
    </w:p>
    <w:p>
      <w:pPr>
        <w:spacing w:after="0" w:line="92" w:lineRule="exact"/>
        <w:rPr>
          <w:sz w:val="20"/>
          <w:szCs w:val="20"/>
          <w:color w:val="auto"/>
        </w:rPr>
      </w:pPr>
    </w:p>
    <w:p>
      <w:pPr>
        <w:ind w:left="1380" w:right="739" w:firstLine="341"/>
        <w:spacing w:after="0" w:line="265" w:lineRule="auto"/>
        <w:rPr>
          <w:sz w:val="20"/>
          <w:szCs w:val="20"/>
          <w:color w:val="auto"/>
        </w:rPr>
      </w:pPr>
      <w:r>
        <w:rPr>
          <w:rFonts w:ascii="Times New Roman" w:cs="Times New Roman" w:eastAsia="Times New Roman" w:hAnsi="Times New Roman"/>
          <w:sz w:val="14"/>
          <w:szCs w:val="14"/>
          <w:color w:val="auto"/>
        </w:rPr>
        <w:t>In addition to the covenants described in the Base Indenture, as well as standard covenants relating to payment of principal and interest, maintaining books and records and an office where payments may be made or securities can be surrendered for payment and related matters, the following covenants will apply to the Notes:</w:t>
      </w:r>
    </w:p>
    <w:p>
      <w:pPr>
        <w:spacing w:after="0" w:line="63" w:lineRule="exact"/>
        <w:rPr>
          <w:sz w:val="20"/>
          <w:szCs w:val="20"/>
          <w:color w:val="auto"/>
        </w:rPr>
      </w:pPr>
    </w:p>
    <w:p>
      <w:pPr>
        <w:ind w:left="2120" w:right="279" w:hanging="327"/>
        <w:spacing w:after="0" w:line="253" w:lineRule="auto"/>
        <w:tabs>
          <w:tab w:leader="none" w:pos="21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will, and will cause our subsidiaries to, comply with all laws, ordinances or governmental rules or regulations to which we are subject (including the Employee Retirement Income Security Act of 1974 and the rules and regulations promulgated thereunder (“ERISA”), any and all federal, state, local, and foreign statutes, laws, regulations, ordinances, rules, judgments, orders, decrees, permits, concessions, grants, franchises, licenses, agreements or governmental restrictions relating to pollution and the protection of the environment or the release of any materials into the environment, including those related to hazardous materials, the USA PATRIOT Act and any applicable anti-money laundering, anti-corruption or sanctions laws) and will obtain and maintain in effect all licenses, certificates, permits, franchises and other governmental authorizations necessary to the ownership of our respective properties or to the conduct of their respective businesses, in each case to the extent necessary to ensure that non-compliance with such laws, ordinances or governmental rules or regulations or failures to obtain or maintain in effect such licenses, certificates, permits, franchises and other governmental authorizations would not, individually or in the aggregate, reasonably be expected to have a Material Adverse Effect.</w:t>
      </w:r>
    </w:p>
    <w:p>
      <w:pPr>
        <w:spacing w:after="0" w:line="71" w:lineRule="exact"/>
        <w:rPr>
          <w:rFonts w:ascii="Times New Roman" w:cs="Times New Roman" w:eastAsia="Times New Roman" w:hAnsi="Times New Roman"/>
          <w:sz w:val="14"/>
          <w:szCs w:val="14"/>
          <w:color w:val="auto"/>
        </w:rPr>
      </w:pPr>
    </w:p>
    <w:p>
      <w:pPr>
        <w:ind w:left="2120" w:right="339" w:hanging="327"/>
        <w:spacing w:after="0" w:line="265" w:lineRule="auto"/>
        <w:tabs>
          <w:tab w:leader="none" w:pos="21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will, and will cause our subsidiaries to, maintain, customary insurance with respect to our respective properties and businesses against such casualties and contingencies, of such types, on such terms and in such amounts (including deductibles, co-insurance and self-insurance, if adequate reserves are maintained with respect thereto).</w:t>
      </w:r>
    </w:p>
    <w:p>
      <w:pPr>
        <w:spacing w:after="0" w:line="63" w:lineRule="exact"/>
        <w:rPr>
          <w:rFonts w:ascii="Times New Roman" w:cs="Times New Roman" w:eastAsia="Times New Roman" w:hAnsi="Times New Roman"/>
          <w:sz w:val="14"/>
          <w:szCs w:val="14"/>
          <w:color w:val="auto"/>
        </w:rPr>
      </w:pPr>
    </w:p>
    <w:p>
      <w:pPr>
        <w:ind w:left="2120" w:right="259" w:hanging="327"/>
        <w:spacing w:after="0" w:line="254" w:lineRule="auto"/>
        <w:tabs>
          <w:tab w:leader="none" w:pos="21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We will, and will cause our subsidiaries to, file all federal, state and other material tax returns required to be filed in any jurisdiction and to pay and discharge all taxes shown to be due and payable on such returns and all other taxes, assessments, governmental charges, or levies imposed on them or any of our respective properties, assets, income or franchises, to the extent the same have become due and payable and before they have become delinquent and all material claims for which sums have become due and payable that have or might become a lien on such properties or assets,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such payment is not necessary if (i) the amount, applicability or validity thereof is contested on a timely basis in good faith and in appropriate proceedings, we establish adequate reserves therefor or (ii) such nonpayment would not have a Material Adverse Effect.</w:t>
      </w:r>
    </w:p>
    <w:p>
      <w:pPr>
        <w:spacing w:after="0" w:line="73" w:lineRule="exact"/>
        <w:rPr>
          <w:rFonts w:ascii="Times New Roman" w:cs="Times New Roman" w:eastAsia="Times New Roman" w:hAnsi="Times New Roman"/>
          <w:sz w:val="14"/>
          <w:szCs w:val="14"/>
          <w:color w:val="auto"/>
        </w:rPr>
      </w:pPr>
    </w:p>
    <w:p>
      <w:pPr>
        <w:ind w:left="2120" w:right="419" w:hanging="327"/>
        <w:spacing w:after="0" w:line="265" w:lineRule="auto"/>
        <w:tabs>
          <w:tab w:leader="none" w:pos="21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will at all times preserve and keep our corporate existence and the corporate existence of our subsidiaries in full force and effect, unless, with respect to our subsidiaries, we determine the termination of or failure to preserve such corporate existence would not have a Material Adverse Effect.</w:t>
      </w:r>
    </w:p>
    <w:p>
      <w:pPr>
        <w:spacing w:after="0" w:line="8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31</w:t>
      </w:r>
    </w:p>
    <w:p>
      <w:pPr>
        <w:sectPr>
          <w:pgSz w:w="11900" w:h="16838" w:orient="portrait"/>
          <w:cols w:equalWidth="0" w:num="1">
            <w:col w:w="10159"/>
          </w:cols>
          <w:pgMar w:left="300" w:top="384" w:right="1440"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5">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9" w:lineRule="exact"/>
        <w:rPr>
          <w:sz w:val="20"/>
          <w:szCs w:val="20"/>
          <w:color w:val="auto"/>
        </w:rPr>
      </w:pPr>
    </w:p>
    <w:p>
      <w:pPr>
        <w:ind w:left="2120" w:right="339" w:hanging="327"/>
        <w:spacing w:after="0" w:line="281" w:lineRule="auto"/>
        <w:tabs>
          <w:tab w:leader="none" w:pos="21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will, at our sole expense, use commercially reasonable efforts to maintain a credit rating on the Notes from at least one (1) “nationally recognized statistically rating organization” as designated by the SEC.</w:t>
      </w:r>
    </w:p>
    <w:p>
      <w:pPr>
        <w:spacing w:after="0" w:line="52" w:lineRule="exact"/>
        <w:rPr>
          <w:rFonts w:ascii="Times New Roman" w:cs="Times New Roman" w:eastAsia="Times New Roman" w:hAnsi="Times New Roman"/>
          <w:sz w:val="14"/>
          <w:szCs w:val="14"/>
          <w:color w:val="auto"/>
        </w:rPr>
      </w:pPr>
    </w:p>
    <w:p>
      <w:pPr>
        <w:ind w:left="2120" w:right="439" w:hanging="327"/>
        <w:spacing w:after="0" w:line="265" w:lineRule="auto"/>
        <w:tabs>
          <w:tab w:leader="none" w:pos="21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advance of any closing with respect to a Global Note, we shall have cleared the eligibility of such Global Note for settlement through the facilities of DTC prior to such closing, including, as required, by preparing, executing and delivering to DTC a Blanket Letter of Representations in the form provided by DTC.</w:t>
      </w:r>
    </w:p>
    <w:p>
      <w:pPr>
        <w:spacing w:after="0" w:line="63" w:lineRule="exact"/>
        <w:rPr>
          <w:rFonts w:ascii="Times New Roman" w:cs="Times New Roman" w:eastAsia="Times New Roman" w:hAnsi="Times New Roman"/>
          <w:sz w:val="14"/>
          <w:szCs w:val="14"/>
          <w:color w:val="auto"/>
        </w:rPr>
      </w:pPr>
    </w:p>
    <w:p>
      <w:pPr>
        <w:ind w:left="2120" w:right="259" w:hanging="327"/>
        <w:spacing w:after="0" w:line="281" w:lineRule="auto"/>
        <w:tabs>
          <w:tab w:leader="none" w:pos="21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payment obligations under the Indenture and the Notes shall at all times rank at least pari passu, without preference or priority, with all other unsecured and unsubordinated indebtedness.</w:t>
      </w:r>
    </w:p>
    <w:p>
      <w:pPr>
        <w:spacing w:after="0" w:line="52" w:lineRule="exact"/>
        <w:rPr>
          <w:rFonts w:ascii="Times New Roman" w:cs="Times New Roman" w:eastAsia="Times New Roman" w:hAnsi="Times New Roman"/>
          <w:sz w:val="14"/>
          <w:szCs w:val="14"/>
          <w:color w:val="auto"/>
        </w:rPr>
      </w:pPr>
    </w:p>
    <w:p>
      <w:pPr>
        <w:ind w:left="2120" w:right="339" w:hanging="327"/>
        <w:spacing w:after="0" w:line="255" w:lineRule="auto"/>
        <w:tabs>
          <w:tab w:leader="none" w:pos="21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will not, and will not permit our subsidiaries to, enter into directly or indirectly any transaction or group of related transactions (including the purchase, lease, sale or exchange of properties of any kind or the rendering of any service) with any affiliate (other than the Company or another subsidiary), except (i) in the ordinary course and pursuant to the reasonable requirements of our or such subsidiary’s business and upon fair and reasonable terms no less favorable to us or such Subsidiary than would be obtainable in a comparable arm’s-length transaction with a non-affiliate, or (ii) affiliate transactions permitted by the SPV Credit Facility or any comparable credit facility that we may establish.</w:t>
      </w:r>
    </w:p>
    <w:p>
      <w:pPr>
        <w:spacing w:after="0" w:line="72" w:lineRule="exact"/>
        <w:rPr>
          <w:rFonts w:ascii="Times New Roman" w:cs="Times New Roman" w:eastAsia="Times New Roman" w:hAnsi="Times New Roman"/>
          <w:sz w:val="14"/>
          <w:szCs w:val="14"/>
          <w:color w:val="auto"/>
        </w:rPr>
      </w:pPr>
    </w:p>
    <w:p>
      <w:pPr>
        <w:ind w:left="2120" w:right="299" w:hanging="327"/>
        <w:spacing w:after="0" w:line="257" w:lineRule="auto"/>
        <w:tabs>
          <w:tab w:leader="none" w:pos="21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will not, and will not permit our subsidiaries to, (a) become, own or control a person that is (i) listed on the Office of Foreign Asset Control’s list of “Specially Designated Nationals” or (ii) owned or controlled by a person in a sanctioned country (together, a “Blocked Person”), (b) have any investment in or engage in any transaction (including any transaction involving the proceeds of the Notes) with any person if such investment or transaction (i) would cause any holder to be in violation of, or subject to sanctions under U.S. economic sanctions laws, or (ii) is prohibited by or subject to sanctions under any U.S. economic sanctions laws.</w:t>
      </w:r>
    </w:p>
    <w:p>
      <w:pPr>
        <w:spacing w:after="0" w:line="69" w:lineRule="exact"/>
        <w:rPr>
          <w:rFonts w:ascii="Times New Roman" w:cs="Times New Roman" w:eastAsia="Times New Roman" w:hAnsi="Times New Roman"/>
          <w:sz w:val="14"/>
          <w:szCs w:val="14"/>
          <w:color w:val="auto"/>
        </w:rPr>
      </w:pPr>
    </w:p>
    <w:p>
      <w:pPr>
        <w:ind w:left="2120" w:right="279" w:hanging="327"/>
        <w:spacing w:after="0" w:line="276" w:lineRule="auto"/>
        <w:tabs>
          <w:tab w:leader="none" w:pos="2120" w:val="left"/>
        </w:tabs>
        <w:numPr>
          <w:ilvl w:val="0"/>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We will not and will not permit any of our subsidiaries to directly or indirectly create, incur, assume or permit to exist (upon the happening of a contingency or otherwise) any lien on or with respect to any property or asset of ours or such subsidiary, or any income or profits therefrom, or assign or otherwise convey any right to receive income or profits, except liens: (i) in respect of our outstanding borrowings,</w:t>
      </w:r>
    </w:p>
    <w:p>
      <w:pPr>
        <w:spacing w:after="0" w:line="1" w:lineRule="exact"/>
        <w:rPr>
          <w:rFonts w:ascii="Times New Roman" w:cs="Times New Roman" w:eastAsia="Times New Roman" w:hAnsi="Times New Roman"/>
          <w:sz w:val="13"/>
          <w:szCs w:val="13"/>
          <w:color w:val="auto"/>
        </w:rPr>
      </w:pPr>
    </w:p>
    <w:p>
      <w:pPr>
        <w:ind w:left="2120" w:right="239" w:firstLine="8"/>
        <w:spacing w:after="0" w:line="249" w:lineRule="auto"/>
        <w:tabs>
          <w:tab w:leader="none" w:pos="2325" w:val="left"/>
        </w:tabs>
        <w:numPr>
          <w:ilvl w:val="1"/>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certain special equity interests and permitted liens, (iii) on equity interests in the SBIC Funds created in favor of the SBA and any similar lenders to other designated subsidiaries, (iv) securing hedging agreements, (v) securing repurchase obligations in the ordinary course of business with respect to U.S. government securities, (vi) on assets securing other obligations if such obligation does not exceed $10,000,000 in aggregate principal amount, (vii) created pursuant to the collateral and security documents relating to the SPV Credit Facility and any comparable credit facility that we may form in the future, (viii) securing indebtedness permitted by analogous covenants set forth in any future credit facility, (ix) on our direct ownership in any finance lease obligations, designated subsidiary, and any similar assets or entities to secure obligations owed to a creditor, (x) existing on any property or asset prior to our acquisition thereof, provided that the lien is not created in contemplation of our acquisition and does not apply to any other property or assets, (xi) on margin stock,</w:t>
      </w:r>
    </w:p>
    <w:p>
      <w:pPr>
        <w:spacing w:after="0" w:line="3" w:lineRule="exact"/>
        <w:rPr>
          <w:rFonts w:ascii="Times New Roman" w:cs="Times New Roman" w:eastAsia="Times New Roman" w:hAnsi="Times New Roman"/>
          <w:sz w:val="14"/>
          <w:szCs w:val="14"/>
          <w:color w:val="auto"/>
        </w:rPr>
      </w:pPr>
    </w:p>
    <w:p>
      <w:pPr>
        <w:ind w:left="2120" w:right="399" w:firstLine="8"/>
        <w:spacing w:after="0" w:line="254" w:lineRule="auto"/>
        <w:tabs>
          <w:tab w:leader="none" w:pos="2395" w:val="left"/>
        </w:tabs>
        <w:numPr>
          <w:ilvl w:val="1"/>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imposed as a result of a taking under the exercise of eminent domain by a governmental body, and (xiii) on assets securing indebtedness so long as we are in compliance with the asset coverage ratio set forth in the Indenture after giving pro forma effect to such lien.</w:t>
      </w:r>
    </w:p>
    <w:p>
      <w:pPr>
        <w:spacing w:after="0" w:line="144" w:lineRule="exact"/>
        <w:rPr>
          <w:sz w:val="20"/>
          <w:szCs w:val="20"/>
          <w:color w:val="auto"/>
        </w:rPr>
      </w:pPr>
    </w:p>
    <w:p>
      <w:pPr>
        <w:ind w:left="1380" w:right="479" w:firstLine="341"/>
        <w:spacing w:after="0" w:line="321" w:lineRule="auto"/>
        <w:rPr>
          <w:sz w:val="20"/>
          <w:szCs w:val="20"/>
          <w:color w:val="auto"/>
        </w:rPr>
      </w:pPr>
      <w:r>
        <w:rPr>
          <w:rFonts w:ascii="Times New Roman" w:cs="Times New Roman" w:eastAsia="Times New Roman" w:hAnsi="Times New Roman"/>
          <w:sz w:val="13"/>
          <w:szCs w:val="13"/>
          <w:color w:val="auto"/>
        </w:rPr>
        <w:t>As used herein, the term “Material Adverse Effect” means a material adverse effect on (a) the business, operations, affairs, financial condition, assets or properties of us and our subsidiaries taken as a whole, or (b) our ability to perform our obligations under the Indenture and the Notes.</w:t>
      </w:r>
    </w:p>
    <w:p>
      <w:pPr>
        <w:spacing w:after="0" w:line="184"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b w:val="1"/>
          <w:bCs w:val="1"/>
          <w:color w:val="auto"/>
        </w:rPr>
        <w:t>Modification or Waiver</w:t>
      </w:r>
    </w:p>
    <w:p>
      <w:pPr>
        <w:spacing w:after="0" w:line="92"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4"/>
          <w:szCs w:val="14"/>
          <w:color w:val="auto"/>
        </w:rPr>
        <w:t>There are three types of changes we can make to the Indenture and the Notes issued thereunder.</w:t>
      </w:r>
    </w:p>
    <w:p>
      <w:pPr>
        <w:spacing w:after="0" w:line="12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32</w:t>
      </w:r>
    </w:p>
    <w:p>
      <w:pPr>
        <w:sectPr>
          <w:pgSz w:w="11900" w:h="16838" w:orient="portrait"/>
          <w:cols w:equalWidth="0" w:num="1">
            <w:col w:w="10159"/>
          </w:cols>
          <w:pgMar w:left="300" w:top="384" w:right="1440"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6">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7"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i w:val="1"/>
          <w:iCs w:val="1"/>
          <w:color w:val="auto"/>
        </w:rPr>
        <w:t>Changes Requiring Your Approval</w:t>
      </w:r>
    </w:p>
    <w:p>
      <w:pPr>
        <w:spacing w:after="0" w:line="92"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4"/>
          <w:szCs w:val="14"/>
          <w:color w:val="auto"/>
        </w:rPr>
        <w:t>First, there are changes that we cannot make to your Notes without your specific approval. The following is a list of those types of changes:</w:t>
      </w:r>
    </w:p>
    <w:p>
      <w:pPr>
        <w:spacing w:after="0" w:line="101" w:lineRule="exact"/>
        <w:rPr>
          <w:sz w:val="20"/>
          <w:szCs w:val="20"/>
          <w:color w:val="auto"/>
        </w:rPr>
      </w:pPr>
    </w:p>
    <w:p>
      <w:pPr>
        <w:ind w:left="2120" w:hanging="327"/>
        <w:spacing w:after="0"/>
        <w:tabs>
          <w:tab w:leader="none" w:pos="21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 the stated maturity of the principal of (or premium, if any, on) or any installment of principal of or interest on the Notes;</w:t>
      </w:r>
    </w:p>
    <w:p>
      <w:pPr>
        <w:spacing w:after="0" w:line="100" w:lineRule="exact"/>
        <w:rPr>
          <w:rFonts w:ascii="Times New Roman" w:cs="Times New Roman" w:eastAsia="Times New Roman" w:hAnsi="Times New Roman"/>
          <w:sz w:val="14"/>
          <w:szCs w:val="14"/>
          <w:color w:val="auto"/>
        </w:rPr>
      </w:pPr>
    </w:p>
    <w:p>
      <w:pPr>
        <w:ind w:left="2120" w:hanging="327"/>
        <w:spacing w:after="0"/>
        <w:tabs>
          <w:tab w:leader="none" w:pos="21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 any amounts due on the Notes or reduce the rate of interest on the Notes;</w:t>
      </w:r>
    </w:p>
    <w:p>
      <w:pPr>
        <w:spacing w:after="0" w:line="100" w:lineRule="exact"/>
        <w:rPr>
          <w:rFonts w:ascii="Times New Roman" w:cs="Times New Roman" w:eastAsia="Times New Roman" w:hAnsi="Times New Roman"/>
          <w:sz w:val="14"/>
          <w:szCs w:val="14"/>
          <w:color w:val="auto"/>
        </w:rPr>
      </w:pPr>
    </w:p>
    <w:p>
      <w:pPr>
        <w:ind w:left="2120" w:hanging="327"/>
        <w:spacing w:after="0"/>
        <w:tabs>
          <w:tab w:leader="none" w:pos="21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 the amount of principal payable upon acceleration of the maturity of a Note following a default;</w:t>
      </w:r>
    </w:p>
    <w:p>
      <w:pPr>
        <w:spacing w:after="0" w:line="100" w:lineRule="exact"/>
        <w:rPr>
          <w:rFonts w:ascii="Times New Roman" w:cs="Times New Roman" w:eastAsia="Times New Roman" w:hAnsi="Times New Roman"/>
          <w:sz w:val="14"/>
          <w:szCs w:val="14"/>
          <w:color w:val="auto"/>
        </w:rPr>
      </w:pPr>
    </w:p>
    <w:p>
      <w:pPr>
        <w:ind w:left="2120" w:hanging="327"/>
        <w:spacing w:after="0"/>
        <w:tabs>
          <w:tab w:leader="none" w:pos="21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 the place or currency of payment on a Note;</w:t>
      </w:r>
    </w:p>
    <w:p>
      <w:pPr>
        <w:spacing w:after="0" w:line="100" w:lineRule="exact"/>
        <w:rPr>
          <w:rFonts w:ascii="Times New Roman" w:cs="Times New Roman" w:eastAsia="Times New Roman" w:hAnsi="Times New Roman"/>
          <w:sz w:val="14"/>
          <w:szCs w:val="14"/>
          <w:color w:val="auto"/>
        </w:rPr>
      </w:pPr>
    </w:p>
    <w:p>
      <w:pPr>
        <w:ind w:left="2120" w:hanging="327"/>
        <w:spacing w:after="0"/>
        <w:tabs>
          <w:tab w:leader="none" w:pos="21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impair your right to sue for payment;</w:t>
      </w:r>
    </w:p>
    <w:p>
      <w:pPr>
        <w:spacing w:after="0" w:line="100" w:lineRule="exact"/>
        <w:rPr>
          <w:rFonts w:ascii="Times New Roman" w:cs="Times New Roman" w:eastAsia="Times New Roman" w:hAnsi="Times New Roman"/>
          <w:sz w:val="14"/>
          <w:szCs w:val="14"/>
          <w:color w:val="auto"/>
        </w:rPr>
      </w:pPr>
    </w:p>
    <w:p>
      <w:pPr>
        <w:ind w:left="2120" w:hanging="327"/>
        <w:spacing w:after="0"/>
        <w:tabs>
          <w:tab w:leader="none" w:pos="21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 the percentage of holders of Notes whose consent is needed to modify or amend the Indenture; and</w:t>
      </w:r>
    </w:p>
    <w:p>
      <w:pPr>
        <w:spacing w:after="0" w:line="100" w:lineRule="exact"/>
        <w:rPr>
          <w:rFonts w:ascii="Times New Roman" w:cs="Times New Roman" w:eastAsia="Times New Roman" w:hAnsi="Times New Roman"/>
          <w:sz w:val="14"/>
          <w:szCs w:val="14"/>
          <w:color w:val="auto"/>
        </w:rPr>
      </w:pPr>
    </w:p>
    <w:p>
      <w:pPr>
        <w:jc w:val="both"/>
        <w:ind w:left="2120" w:right="579" w:hanging="327"/>
        <w:spacing w:after="0" w:line="265" w:lineRule="auto"/>
        <w:tabs>
          <w:tab w:leader="none" w:pos="21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 the percentage of holders of Notes whose consent is needed to waive compliance with certain provisions of the Indenture or to waive certain defaults or reduce the percentage of holders of Notes required to satisfy quorum or voting requirements at a meeting of holders of the Notes.</w:t>
      </w:r>
    </w:p>
    <w:p>
      <w:pPr>
        <w:spacing w:after="0" w:line="218"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i w:val="1"/>
          <w:iCs w:val="1"/>
          <w:color w:val="auto"/>
        </w:rPr>
        <w:t>Changes Not Requiring Approval</w:t>
      </w:r>
    </w:p>
    <w:p>
      <w:pPr>
        <w:spacing w:after="0" w:line="92" w:lineRule="exact"/>
        <w:rPr>
          <w:sz w:val="20"/>
          <w:szCs w:val="20"/>
          <w:color w:val="auto"/>
        </w:rPr>
      </w:pPr>
    </w:p>
    <w:p>
      <w:pPr>
        <w:ind w:left="1380" w:right="459" w:firstLine="341"/>
        <w:spacing w:after="0" w:line="281" w:lineRule="auto"/>
        <w:rPr>
          <w:sz w:val="20"/>
          <w:szCs w:val="20"/>
          <w:color w:val="auto"/>
        </w:rPr>
      </w:pPr>
      <w:r>
        <w:rPr>
          <w:rFonts w:ascii="Times New Roman" w:cs="Times New Roman" w:eastAsia="Times New Roman" w:hAnsi="Times New Roman"/>
          <w:sz w:val="14"/>
          <w:szCs w:val="14"/>
          <w:color w:val="auto"/>
        </w:rPr>
        <w:t>The second type of change does not require any vote by the holders of the Notes. This type is limited to clarifications and certain other changes that would not adversely affect holders of the Notes in any material respect.</w:t>
      </w:r>
    </w:p>
    <w:p>
      <w:pPr>
        <w:spacing w:after="0" w:line="207"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i w:val="1"/>
          <w:iCs w:val="1"/>
          <w:color w:val="auto"/>
        </w:rPr>
        <w:t>Changes Requiring Majority Approval</w:t>
      </w:r>
    </w:p>
    <w:p>
      <w:pPr>
        <w:spacing w:after="0" w:line="92"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4"/>
          <w:szCs w:val="14"/>
          <w:color w:val="auto"/>
        </w:rPr>
        <w:t>Any other change to the Indenture and the Notes would require the following approval:</w:t>
      </w:r>
    </w:p>
    <w:p>
      <w:pPr>
        <w:spacing w:after="0" w:line="101" w:lineRule="exact"/>
        <w:rPr>
          <w:sz w:val="20"/>
          <w:szCs w:val="20"/>
          <w:color w:val="auto"/>
        </w:rPr>
      </w:pPr>
    </w:p>
    <w:p>
      <w:pPr>
        <w:ind w:left="2120" w:hanging="327"/>
        <w:spacing w:after="0"/>
        <w:tabs>
          <w:tab w:leader="none" w:pos="21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change affects only the Notes, it must be approved by the holders of a majority in principal amount of the Notes; and</w:t>
      </w:r>
    </w:p>
    <w:p>
      <w:pPr>
        <w:spacing w:after="0" w:line="100" w:lineRule="exact"/>
        <w:rPr>
          <w:rFonts w:ascii="Times New Roman" w:cs="Times New Roman" w:eastAsia="Times New Roman" w:hAnsi="Times New Roman"/>
          <w:sz w:val="14"/>
          <w:szCs w:val="14"/>
          <w:color w:val="auto"/>
        </w:rPr>
      </w:pPr>
    </w:p>
    <w:p>
      <w:pPr>
        <w:ind w:left="2120" w:right="259" w:hanging="327"/>
        <w:spacing w:after="0" w:line="321" w:lineRule="auto"/>
        <w:tabs>
          <w:tab w:leader="none" w:pos="2120" w:val="left"/>
        </w:tabs>
        <w:numPr>
          <w:ilvl w:val="0"/>
          <w:numId w:val="2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the change affects more than one series of debt securities issued under the same indenture, it must be approved by the holders of a majority in principal amount of all of the series affected by the change, with all affected series voting together as one class for this purpose.</w:t>
      </w:r>
    </w:p>
    <w:p>
      <w:pPr>
        <w:spacing w:after="0" w:line="102" w:lineRule="exact"/>
        <w:rPr>
          <w:sz w:val="20"/>
          <w:szCs w:val="20"/>
          <w:color w:val="auto"/>
        </w:rPr>
      </w:pPr>
    </w:p>
    <w:p>
      <w:pPr>
        <w:ind w:left="1380" w:right="539" w:firstLine="341"/>
        <w:spacing w:after="0" w:line="265" w:lineRule="auto"/>
        <w:rPr>
          <w:sz w:val="20"/>
          <w:szCs w:val="20"/>
          <w:color w:val="auto"/>
        </w:rPr>
      </w:pPr>
      <w:r>
        <w:rPr>
          <w:rFonts w:ascii="Times New Roman" w:cs="Times New Roman" w:eastAsia="Times New Roman" w:hAnsi="Times New Roman"/>
          <w:sz w:val="14"/>
          <w:szCs w:val="14"/>
          <w:color w:val="auto"/>
        </w:rPr>
        <w:t>In each case, the required approval must be given by written consent. The holders of a majority in principal amount of all of the series of debt securities issued under an indenture, voting together as one class for this purpose, may waive our compliance with some of our covenants in that indenture.</w:t>
      </w:r>
    </w:p>
    <w:p>
      <w:pPr>
        <w:spacing w:after="0" w:line="134" w:lineRule="exact"/>
        <w:rPr>
          <w:sz w:val="20"/>
          <w:szCs w:val="20"/>
          <w:color w:val="auto"/>
        </w:rPr>
      </w:pPr>
    </w:p>
    <w:p>
      <w:pPr>
        <w:ind w:left="1380" w:right="339" w:firstLine="341"/>
        <w:spacing w:after="0" w:line="284" w:lineRule="auto"/>
        <w:rPr>
          <w:sz w:val="20"/>
          <w:szCs w:val="20"/>
          <w:color w:val="auto"/>
        </w:rPr>
      </w:pPr>
      <w:r>
        <w:rPr>
          <w:rFonts w:ascii="Times New Roman" w:cs="Times New Roman" w:eastAsia="Times New Roman" w:hAnsi="Times New Roman"/>
          <w:sz w:val="14"/>
          <w:szCs w:val="14"/>
          <w:color w:val="auto"/>
        </w:rPr>
        <w:t>However, we cannot obtain a waiver of a payment default or of any of the matters covered by the bullet points included above under “—</w:t>
      </w:r>
      <w:r>
        <w:rPr>
          <w:rFonts w:ascii="Times New Roman" w:cs="Times New Roman" w:eastAsia="Times New Roman" w:hAnsi="Times New Roman"/>
          <w:sz w:val="14"/>
          <w:szCs w:val="14"/>
          <w:i w:val="1"/>
          <w:iCs w:val="1"/>
          <w:color w:val="auto"/>
        </w:rPr>
        <w:t>Changes</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Requiring Your Approval</w:t>
      </w:r>
      <w:r>
        <w:rPr>
          <w:rFonts w:ascii="Times New Roman" w:cs="Times New Roman" w:eastAsia="Times New Roman" w:hAnsi="Times New Roman"/>
          <w:sz w:val="14"/>
          <w:szCs w:val="14"/>
          <w:color w:val="auto"/>
        </w:rPr>
        <w:t>.”</w:t>
      </w:r>
    </w:p>
    <w:p>
      <w:pPr>
        <w:spacing w:after="0" w:line="205"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i w:val="1"/>
          <w:iCs w:val="1"/>
          <w:color w:val="auto"/>
        </w:rPr>
        <w:t>Further Details Concerning Voting</w:t>
      </w:r>
    </w:p>
    <w:p>
      <w:pPr>
        <w:spacing w:after="0" w:line="92"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4"/>
          <w:szCs w:val="14"/>
          <w:color w:val="auto"/>
        </w:rPr>
        <w:t>When taking a vote, we will use the following rules to decide how much principal to attribute to the Notes:</w:t>
      </w:r>
    </w:p>
    <w:p>
      <w:pPr>
        <w:spacing w:after="0" w:line="174" w:lineRule="exact"/>
        <w:rPr>
          <w:sz w:val="20"/>
          <w:szCs w:val="20"/>
          <w:color w:val="auto"/>
        </w:rPr>
      </w:pPr>
    </w:p>
    <w:p>
      <w:pPr>
        <w:ind w:left="1380" w:right="299" w:firstLine="341"/>
        <w:spacing w:after="0" w:line="265" w:lineRule="auto"/>
        <w:rPr>
          <w:sz w:val="20"/>
          <w:szCs w:val="20"/>
          <w:color w:val="auto"/>
        </w:rPr>
      </w:pPr>
      <w:r>
        <w:rPr>
          <w:rFonts w:ascii="Times New Roman" w:cs="Times New Roman" w:eastAsia="Times New Roman" w:hAnsi="Times New Roman"/>
          <w:sz w:val="14"/>
          <w:szCs w:val="14"/>
          <w:color w:val="auto"/>
        </w:rPr>
        <w:t>The Notes will not be considered outstanding, and therefore not eligible to vote, if we have deposited or set aside in trust money for their payment or redemption or if we or any affiliate of ours own any Notes. The Notes will also not be eligible to vote if they have been fully defeased as described later under “—</w:t>
      </w:r>
      <w:r>
        <w:rPr>
          <w:rFonts w:ascii="Times New Roman" w:cs="Times New Roman" w:eastAsia="Times New Roman" w:hAnsi="Times New Roman"/>
          <w:sz w:val="14"/>
          <w:szCs w:val="14"/>
          <w:i w:val="1"/>
          <w:iCs w:val="1"/>
          <w:color w:val="auto"/>
        </w:rPr>
        <w:t>Defeasance —Full Defeasance</w:t>
      </w:r>
      <w:r>
        <w:rPr>
          <w:rFonts w:ascii="Times New Roman" w:cs="Times New Roman" w:eastAsia="Times New Roman" w:hAnsi="Times New Roman"/>
          <w:sz w:val="14"/>
          <w:szCs w:val="14"/>
          <w:color w:val="auto"/>
        </w:rPr>
        <w:t>” below.</w:t>
      </w:r>
    </w:p>
    <w:p>
      <w:pPr>
        <w:spacing w:after="0" w:line="8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33</w:t>
      </w:r>
    </w:p>
    <w:p>
      <w:pPr>
        <w:sectPr>
          <w:pgSz w:w="11900" w:h="16838" w:orient="portrait"/>
          <w:cols w:equalWidth="0" w:num="1">
            <w:col w:w="10159"/>
          </w:cols>
          <w:pgMar w:left="300" w:top="384" w:right="1440"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7">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7"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b w:val="1"/>
          <w:bCs w:val="1"/>
          <w:color w:val="auto"/>
        </w:rPr>
        <w:t>Events of Default</w:t>
      </w:r>
    </w:p>
    <w:p>
      <w:pPr>
        <w:spacing w:after="0" w:line="92" w:lineRule="exact"/>
        <w:rPr>
          <w:sz w:val="20"/>
          <w:szCs w:val="20"/>
          <w:color w:val="auto"/>
        </w:rPr>
      </w:pPr>
    </w:p>
    <w:p>
      <w:pPr>
        <w:ind w:left="1380" w:right="859" w:firstLine="341"/>
        <w:spacing w:after="0" w:line="281" w:lineRule="auto"/>
        <w:rPr>
          <w:sz w:val="20"/>
          <w:szCs w:val="20"/>
          <w:color w:val="auto"/>
        </w:rPr>
      </w:pPr>
      <w:r>
        <w:rPr>
          <w:rFonts w:ascii="Times New Roman" w:cs="Times New Roman" w:eastAsia="Times New Roman" w:hAnsi="Times New Roman"/>
          <w:sz w:val="14"/>
          <w:szCs w:val="14"/>
          <w:color w:val="auto"/>
        </w:rPr>
        <w:t>You will have rights if an Event of Default occurs in respect of the Notes and the Event of Default is not cured, as described later in this subsection.</w:t>
      </w:r>
    </w:p>
    <w:p>
      <w:pPr>
        <w:spacing w:after="0" w:line="125"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4"/>
          <w:szCs w:val="14"/>
          <w:color w:val="auto"/>
        </w:rPr>
        <w:t>The term “Event of Default” in respect of the Notes means any of the following:</w:t>
      </w:r>
    </w:p>
    <w:p>
      <w:pPr>
        <w:spacing w:after="0" w:line="101" w:lineRule="exact"/>
        <w:rPr>
          <w:sz w:val="20"/>
          <w:szCs w:val="20"/>
          <w:color w:val="auto"/>
        </w:rPr>
      </w:pPr>
    </w:p>
    <w:p>
      <w:pPr>
        <w:ind w:left="2120" w:right="379" w:hanging="327"/>
        <w:spacing w:after="0" w:line="281" w:lineRule="auto"/>
        <w:tabs>
          <w:tab w:leader="none" w:pos="21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do not pay the principal of or Make-Whole Amount, if any, on any Note when due and payable, whether at maturity or at a date fixed for prepayment or by declaration or otherwise;</w:t>
      </w:r>
    </w:p>
    <w:p>
      <w:pPr>
        <w:spacing w:after="0" w:line="52" w:lineRule="exact"/>
        <w:rPr>
          <w:rFonts w:ascii="Times New Roman" w:cs="Times New Roman" w:eastAsia="Times New Roman" w:hAnsi="Times New Roman"/>
          <w:sz w:val="14"/>
          <w:szCs w:val="14"/>
          <w:color w:val="auto"/>
        </w:rPr>
      </w:pPr>
    </w:p>
    <w:p>
      <w:pPr>
        <w:ind w:left="2120" w:right="259" w:hanging="327"/>
        <w:spacing w:after="0" w:line="281" w:lineRule="auto"/>
        <w:tabs>
          <w:tab w:leader="none" w:pos="21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do not pay interest on any Note to which we have knowledge on such Note for more than five (5) business days after the same becomes due and payable;</w:t>
      </w:r>
    </w:p>
    <w:p>
      <w:pPr>
        <w:spacing w:after="0" w:line="52" w:lineRule="exact"/>
        <w:rPr>
          <w:rFonts w:ascii="Times New Roman" w:cs="Times New Roman" w:eastAsia="Times New Roman" w:hAnsi="Times New Roman"/>
          <w:sz w:val="14"/>
          <w:szCs w:val="14"/>
          <w:color w:val="auto"/>
        </w:rPr>
      </w:pPr>
    </w:p>
    <w:p>
      <w:pPr>
        <w:ind w:left="2120" w:right="339" w:hanging="327"/>
        <w:spacing w:after="0" w:line="281" w:lineRule="auto"/>
        <w:tabs>
          <w:tab w:leader="none" w:pos="21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the last business day of each of twenty-four consecutive calendar months, the Notes have an asset coverage (as such term is defined in the 1940 Act) of less than 100%;</w:t>
      </w:r>
    </w:p>
    <w:p>
      <w:pPr>
        <w:spacing w:after="0" w:line="52" w:lineRule="exact"/>
        <w:rPr>
          <w:rFonts w:ascii="Times New Roman" w:cs="Times New Roman" w:eastAsia="Times New Roman" w:hAnsi="Times New Roman"/>
          <w:sz w:val="14"/>
          <w:szCs w:val="14"/>
          <w:color w:val="auto"/>
        </w:rPr>
      </w:pPr>
    </w:p>
    <w:p>
      <w:pPr>
        <w:ind w:left="2120" w:right="499" w:hanging="327"/>
        <w:spacing w:after="0" w:line="281" w:lineRule="auto"/>
        <w:tabs>
          <w:tab w:leader="none" w:pos="21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default in the performance of or compliance with any term contained in the Indenture, other than the event of default provisions set forth in the first two bullet points and the requirement to delivery quarterly financial statements;</w:t>
      </w:r>
    </w:p>
    <w:p>
      <w:pPr>
        <w:spacing w:after="0" w:line="52" w:lineRule="exact"/>
        <w:rPr>
          <w:rFonts w:ascii="Times New Roman" w:cs="Times New Roman" w:eastAsia="Times New Roman" w:hAnsi="Times New Roman"/>
          <w:sz w:val="14"/>
          <w:szCs w:val="14"/>
          <w:color w:val="auto"/>
        </w:rPr>
      </w:pPr>
    </w:p>
    <w:p>
      <w:pPr>
        <w:ind w:left="2120" w:right="279" w:hanging="327"/>
        <w:spacing w:after="0" w:line="265" w:lineRule="auto"/>
        <w:tabs>
          <w:tab w:leader="none" w:pos="21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representation or warranty made in writing by or on our behalf or by any of our officers or any writing furnished in connection with the transactions contemplated by the Note Purchase Agreement proves to have been false or incorrect in any material respect on the date as of which made;</w:t>
      </w:r>
    </w:p>
    <w:p>
      <w:pPr>
        <w:spacing w:after="0" w:line="63" w:lineRule="exact"/>
        <w:rPr>
          <w:rFonts w:ascii="Times New Roman" w:cs="Times New Roman" w:eastAsia="Times New Roman" w:hAnsi="Times New Roman"/>
          <w:sz w:val="14"/>
          <w:szCs w:val="14"/>
          <w:color w:val="auto"/>
        </w:rPr>
      </w:pPr>
    </w:p>
    <w:p>
      <w:pPr>
        <w:ind w:left="2120" w:right="619" w:hanging="327"/>
        <w:spacing w:after="0" w:line="281" w:lineRule="auto"/>
        <w:tabs>
          <w:tab w:leader="none" w:pos="21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file for bankruptcy or certain other events of bankruptcy, insolvency, or reorganization involving us or our subsidiaries occur and remain uncured; and</w:t>
      </w:r>
    </w:p>
    <w:p>
      <w:pPr>
        <w:spacing w:after="0" w:line="52" w:lineRule="exact"/>
        <w:rPr>
          <w:rFonts w:ascii="Times New Roman" w:cs="Times New Roman" w:eastAsia="Times New Roman" w:hAnsi="Times New Roman"/>
          <w:sz w:val="14"/>
          <w:szCs w:val="14"/>
          <w:color w:val="auto"/>
        </w:rPr>
      </w:pPr>
    </w:p>
    <w:p>
      <w:pPr>
        <w:ind w:left="2120" w:hanging="327"/>
        <w:spacing w:after="0"/>
        <w:tabs>
          <w:tab w:leader="none" w:pos="21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matters relating to our compliance with ERISA occur.</w:t>
      </w:r>
    </w:p>
    <w:p>
      <w:pPr>
        <w:spacing w:after="0" w:line="174" w:lineRule="exact"/>
        <w:rPr>
          <w:sz w:val="20"/>
          <w:szCs w:val="20"/>
          <w:color w:val="auto"/>
        </w:rPr>
      </w:pPr>
    </w:p>
    <w:p>
      <w:pPr>
        <w:ind w:left="1380" w:right="679" w:firstLine="341"/>
        <w:spacing w:after="0" w:line="265" w:lineRule="auto"/>
        <w:rPr>
          <w:sz w:val="20"/>
          <w:szCs w:val="20"/>
          <w:color w:val="auto"/>
        </w:rPr>
      </w:pPr>
      <w:r>
        <w:rPr>
          <w:rFonts w:ascii="Times New Roman" w:cs="Times New Roman" w:eastAsia="Times New Roman" w:hAnsi="Times New Roman"/>
          <w:sz w:val="14"/>
          <w:szCs w:val="14"/>
          <w:color w:val="auto"/>
        </w:rPr>
        <w:t>If an event of default occurs and is continuing, then the holders of at least 50% in aggregate principal amount of the outstanding Notes may declare the entire principal amount of all outstanding Notes to be due and immediately payable, by a notice in writing to us, and upon any such declaration such principal shall become immediately due and payable.</w:t>
      </w:r>
    </w:p>
    <w:p>
      <w:pPr>
        <w:spacing w:after="0" w:line="136" w:lineRule="exact"/>
        <w:rPr>
          <w:sz w:val="20"/>
          <w:szCs w:val="20"/>
          <w:color w:val="auto"/>
        </w:rPr>
      </w:pPr>
    </w:p>
    <w:p>
      <w:pPr>
        <w:ind w:left="1380" w:right="239" w:firstLine="341"/>
        <w:spacing w:after="0" w:line="253" w:lineRule="auto"/>
        <w:rPr>
          <w:sz w:val="20"/>
          <w:szCs w:val="20"/>
          <w:color w:val="auto"/>
        </w:rPr>
      </w:pPr>
      <w:r>
        <w:rPr>
          <w:rFonts w:ascii="Times New Roman" w:cs="Times New Roman" w:eastAsia="Times New Roman" w:hAnsi="Times New Roman"/>
          <w:sz w:val="14"/>
          <w:szCs w:val="14"/>
          <w:color w:val="auto"/>
        </w:rPr>
        <w:t>At any time after a declaration of acceleration with respect to the Notes has been made and before a judgment or decree for payment of the money due has been obtained, the holders of a majority in principal amount of the outstanding Notes, by written notice to us, may rescind and annul such declaration and its consequences if (i) we have paid a sum sufficient to pay all overdue installments of interest, if any, on all outstanding Notes, the principal of (and premium, if any, on) all outstanding Notes that have become due otherwise than by such declaration of acceleration and interest thereon at the rate or rates borne by or provided for in the Notes, to the extent that payment of such interest is lawful interest upon overdue installments of interest at the rate or rates borne by or provided for in the Notes, (ii) we have not paid any amounts that have become due solely by reason of such declaration, and (iii) all events of default with respect to the Notes, other than the nonpayment of the principal of (or premium, if any, on) or interest on the Notes that have become due solely by such declaration of acceleration, have been cured or waived. No such rescission will affect any subsequent default or impair any right consequent thereon.</w:t>
      </w:r>
    </w:p>
    <w:p>
      <w:pPr>
        <w:spacing w:after="0" w:line="147" w:lineRule="exact"/>
        <w:rPr>
          <w:sz w:val="20"/>
          <w:szCs w:val="20"/>
          <w:color w:val="auto"/>
        </w:rPr>
      </w:pPr>
    </w:p>
    <w:p>
      <w:pPr>
        <w:ind w:left="1380" w:right="339" w:firstLine="341"/>
        <w:spacing w:after="0" w:line="281" w:lineRule="auto"/>
        <w:rPr>
          <w:sz w:val="20"/>
          <w:szCs w:val="20"/>
          <w:color w:val="auto"/>
        </w:rPr>
      </w:pPr>
      <w:r>
        <w:rPr>
          <w:rFonts w:ascii="Times New Roman" w:cs="Times New Roman" w:eastAsia="Times New Roman" w:hAnsi="Times New Roman"/>
          <w:sz w:val="13"/>
          <w:szCs w:val="13"/>
          <w:color w:val="auto"/>
        </w:rPr>
        <w:t>Notwithstanding any other provision in the Indenture, the holder of any Note shall have the right, which is absolute and unconditional, to receive payment of the principal of (and the Make-Whole Amount, if any, on) and all accrued and unpaid interest thereon (including interest accrued thereon at the rate of interest per annum that is 2.00% above the rate of interest then in effect on the applicable Notes) on such Note on the stated maturity or maturity expressed in such Note (or, in the case of redemption, on the redemption date or, in the case of repayment at the option of the holders, on the repayment date) and to institute suit for the enforcement of any such payment, and such rights shall not be impaired without the consent of such holder.</w:t>
      </w:r>
    </w:p>
    <w:p>
      <w:pPr>
        <w:spacing w:after="0" w:line="7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34</w:t>
      </w:r>
    </w:p>
    <w:p>
      <w:pPr>
        <w:sectPr>
          <w:pgSz w:w="11900" w:h="16838" w:orient="portrait"/>
          <w:cols w:equalWidth="0" w:num="1">
            <w:col w:w="10159"/>
          </w:cols>
          <w:pgMar w:left="300" w:top="384" w:right="1440"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8">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7"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b w:val="1"/>
          <w:bCs w:val="1"/>
          <w:color w:val="auto"/>
        </w:rPr>
        <w:t>Satisfaction and Discharge</w:t>
      </w:r>
    </w:p>
    <w:p>
      <w:pPr>
        <w:spacing w:after="0" w:line="92"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4"/>
          <w:szCs w:val="14"/>
          <w:color w:val="auto"/>
        </w:rPr>
        <w:t>The Indenture will be discharged and will cease to be of further effect with respect to the Notes when:</w:t>
      </w:r>
    </w:p>
    <w:p>
      <w:pPr>
        <w:spacing w:after="0" w:line="101" w:lineRule="exact"/>
        <w:rPr>
          <w:sz w:val="20"/>
          <w:szCs w:val="20"/>
          <w:color w:val="auto"/>
        </w:rPr>
      </w:pPr>
    </w:p>
    <w:p>
      <w:pPr>
        <w:ind w:left="2120" w:hanging="327"/>
        <w:spacing w:after="0"/>
        <w:tabs>
          <w:tab w:leader="none" w:pos="21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Either all the Notes that have been authenticated have been delivered to the trustee for cancellation; or</w:t>
      </w:r>
    </w:p>
    <w:p>
      <w:pPr>
        <w:spacing w:after="0" w:line="100" w:lineRule="exact"/>
        <w:rPr>
          <w:rFonts w:ascii="Times New Roman" w:cs="Times New Roman" w:eastAsia="Times New Roman" w:hAnsi="Times New Roman"/>
          <w:sz w:val="14"/>
          <w:szCs w:val="14"/>
          <w:color w:val="auto"/>
        </w:rPr>
      </w:pPr>
    </w:p>
    <w:p>
      <w:pPr>
        <w:ind w:left="2480" w:hanging="258"/>
        <w:spacing w:after="0"/>
        <w:tabs>
          <w:tab w:leader="none" w:pos="2480" w:val="left"/>
        </w:tabs>
        <w:numPr>
          <w:ilvl w:val="1"/>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the Notes that have not been delivered to the trustee for cancellation:</w:t>
      </w:r>
    </w:p>
    <w:p>
      <w:pPr>
        <w:spacing w:after="0" w:line="100" w:lineRule="exact"/>
        <w:rPr>
          <w:rFonts w:ascii="Times New Roman" w:cs="Times New Roman" w:eastAsia="Times New Roman" w:hAnsi="Times New Roman"/>
          <w:sz w:val="14"/>
          <w:szCs w:val="14"/>
          <w:color w:val="auto"/>
        </w:rPr>
      </w:pPr>
    </w:p>
    <w:p>
      <w:pPr>
        <w:ind w:left="2480" w:hanging="258"/>
        <w:spacing w:after="0"/>
        <w:tabs>
          <w:tab w:leader="none" w:pos="2480" w:val="left"/>
        </w:tabs>
        <w:numPr>
          <w:ilvl w:val="1"/>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have become due and payable, or</w:t>
      </w:r>
    </w:p>
    <w:p>
      <w:pPr>
        <w:spacing w:after="0" w:line="100" w:lineRule="exact"/>
        <w:rPr>
          <w:rFonts w:ascii="Times New Roman" w:cs="Times New Roman" w:eastAsia="Times New Roman" w:hAnsi="Times New Roman"/>
          <w:sz w:val="14"/>
          <w:szCs w:val="14"/>
          <w:color w:val="auto"/>
        </w:rPr>
      </w:pPr>
    </w:p>
    <w:p>
      <w:pPr>
        <w:ind w:left="2120" w:hanging="327"/>
        <w:spacing w:after="0"/>
        <w:tabs>
          <w:tab w:leader="none" w:pos="21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will become due and payable at their stated maturity within one year, or</w:t>
      </w:r>
    </w:p>
    <w:p>
      <w:pPr>
        <w:spacing w:after="0" w:line="100" w:lineRule="exact"/>
        <w:rPr>
          <w:rFonts w:ascii="Times New Roman" w:cs="Times New Roman" w:eastAsia="Times New Roman" w:hAnsi="Times New Roman"/>
          <w:sz w:val="14"/>
          <w:szCs w:val="14"/>
          <w:color w:val="auto"/>
        </w:rPr>
      </w:pPr>
    </w:p>
    <w:p>
      <w:pPr>
        <w:ind w:left="2120" w:hanging="327"/>
        <w:spacing w:after="0"/>
        <w:tabs>
          <w:tab w:leader="none" w:pos="21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are to be called for redemption within one year,</w:t>
      </w:r>
    </w:p>
    <w:p>
      <w:pPr>
        <w:spacing w:after="0" w:line="174" w:lineRule="exact"/>
        <w:rPr>
          <w:sz w:val="20"/>
          <w:szCs w:val="20"/>
          <w:color w:val="auto"/>
        </w:rPr>
      </w:pPr>
    </w:p>
    <w:p>
      <w:pPr>
        <w:jc w:val="both"/>
        <w:ind w:left="1380" w:right="319" w:firstLine="341"/>
        <w:spacing w:after="0" w:line="260" w:lineRule="auto"/>
        <w:rPr>
          <w:sz w:val="20"/>
          <w:szCs w:val="20"/>
          <w:color w:val="auto"/>
        </w:rPr>
      </w:pPr>
      <w:r>
        <w:rPr>
          <w:rFonts w:ascii="Times New Roman" w:cs="Times New Roman" w:eastAsia="Times New Roman" w:hAnsi="Times New Roman"/>
          <w:sz w:val="14"/>
          <w:szCs w:val="14"/>
          <w:color w:val="auto"/>
        </w:rPr>
        <w:t>and we, in the case of the first, second and third sub-bullets above, have irrevocably deposited or caused to be deposited with the trustee, as trust, funds in trust solely for the benefit of the holders of the Notes, in amounts as will be sufficient, to pay and discharge the entire indebtedness (including all principal, premium, if any, and interest) on such Notes not previously delivered to the trustee for cancellation (in the case of Notes that have become due and payable on or prior to the date of such deposit) or to the stated maturity or redemption date, as the case may be;</w:t>
      </w:r>
    </w:p>
    <w:p>
      <w:pPr>
        <w:spacing w:after="0" w:line="66" w:lineRule="exact"/>
        <w:rPr>
          <w:sz w:val="20"/>
          <w:szCs w:val="20"/>
          <w:color w:val="auto"/>
        </w:rPr>
      </w:pPr>
    </w:p>
    <w:p>
      <w:pPr>
        <w:ind w:left="2120" w:hanging="327"/>
        <w:spacing w:after="0"/>
        <w:tabs>
          <w:tab w:leader="none" w:pos="21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have paid or caused to be paid all other sums payable by us under the Indenture with respect to the Notes; and</w:t>
      </w:r>
    </w:p>
    <w:p>
      <w:pPr>
        <w:spacing w:after="0" w:line="100" w:lineRule="exact"/>
        <w:rPr>
          <w:rFonts w:ascii="Times New Roman" w:cs="Times New Roman" w:eastAsia="Times New Roman" w:hAnsi="Times New Roman"/>
          <w:sz w:val="14"/>
          <w:szCs w:val="14"/>
          <w:color w:val="auto"/>
        </w:rPr>
      </w:pPr>
    </w:p>
    <w:p>
      <w:pPr>
        <w:ind w:left="2120" w:right="579" w:hanging="327"/>
        <w:spacing w:after="0" w:line="281" w:lineRule="auto"/>
        <w:tabs>
          <w:tab w:leader="none" w:pos="21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have delivered to the trustee an officers’ certificate and legal opinion, each stating that all conditions precedent provided for in the Indenture relating to the satisfaction and discharge of the Indenture and the Notes have been complied with.</w:t>
      </w:r>
    </w:p>
    <w:p>
      <w:pPr>
        <w:spacing w:after="0" w:line="207"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b w:val="1"/>
          <w:bCs w:val="1"/>
          <w:color w:val="auto"/>
        </w:rPr>
        <w:t>Defeasance</w:t>
      </w:r>
    </w:p>
    <w:p>
      <w:pPr>
        <w:spacing w:after="0" w:line="92" w:lineRule="exact"/>
        <w:rPr>
          <w:sz w:val="20"/>
          <w:szCs w:val="20"/>
          <w:color w:val="auto"/>
        </w:rPr>
      </w:pPr>
    </w:p>
    <w:p>
      <w:pPr>
        <w:ind w:left="1380" w:right="299" w:firstLine="341"/>
        <w:spacing w:after="0" w:line="260" w:lineRule="auto"/>
        <w:rPr>
          <w:sz w:val="20"/>
          <w:szCs w:val="20"/>
          <w:color w:val="auto"/>
        </w:rPr>
      </w:pPr>
      <w:r>
        <w:rPr>
          <w:rFonts w:ascii="Times New Roman" w:cs="Times New Roman" w:eastAsia="Times New Roman" w:hAnsi="Times New Roman"/>
          <w:sz w:val="14"/>
          <w:szCs w:val="14"/>
          <w:color w:val="auto"/>
        </w:rPr>
        <w:t>The following provisions will be applicable to the Notes. “Defeasance” means that, by depositing with a trustee an amount of cash and/or government securities sufficient to pay all principal and interest, if any, on the Notes when due and satisfying any additional conditions noted below, we will be deemed to have been discharged from our obligations under the Notes. In the event of a “covenant defeasance,” upon depositing such funds and satisfying similar conditions discussed below we would be released from certain covenants under the Indenture relating to the Notes.</w:t>
      </w:r>
    </w:p>
    <w:p>
      <w:pPr>
        <w:spacing w:after="0" w:line="221"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i w:val="1"/>
          <w:iCs w:val="1"/>
          <w:color w:val="auto"/>
        </w:rPr>
        <w:t>Covenant Defeasance</w:t>
      </w:r>
    </w:p>
    <w:p>
      <w:pPr>
        <w:spacing w:after="0" w:line="92" w:lineRule="exact"/>
        <w:rPr>
          <w:sz w:val="20"/>
          <w:szCs w:val="20"/>
          <w:color w:val="auto"/>
        </w:rPr>
      </w:pPr>
    </w:p>
    <w:p>
      <w:pPr>
        <w:ind w:left="1380" w:right="279" w:firstLine="341"/>
        <w:spacing w:after="0" w:line="260" w:lineRule="auto"/>
        <w:rPr>
          <w:sz w:val="20"/>
          <w:szCs w:val="20"/>
          <w:color w:val="auto"/>
        </w:rPr>
      </w:pPr>
      <w:r>
        <w:rPr>
          <w:rFonts w:ascii="Times New Roman" w:cs="Times New Roman" w:eastAsia="Times New Roman" w:hAnsi="Times New Roman"/>
          <w:sz w:val="14"/>
          <w:szCs w:val="14"/>
          <w:color w:val="auto"/>
        </w:rPr>
        <w:t>Under current U.S. federal income tax law and the Indenture, we can make the deposit described below and be released from some of the restrictive covenants in the Indenture under which the Notes were issued. This is called “covenant defeasance.” In that event, you would lose the protection of those restrictive covenants but would gain the protection of having money and government securities set aside in trust to repay your Notes. In order to achieve covenant defeasance, the following must occur:</w:t>
      </w:r>
    </w:p>
    <w:p>
      <w:pPr>
        <w:spacing w:after="0" w:line="66" w:lineRule="exact"/>
        <w:rPr>
          <w:sz w:val="20"/>
          <w:szCs w:val="20"/>
          <w:color w:val="auto"/>
        </w:rPr>
      </w:pPr>
    </w:p>
    <w:p>
      <w:pPr>
        <w:jc w:val="both"/>
        <w:ind w:left="2120" w:right="379" w:hanging="327"/>
        <w:spacing w:after="0" w:line="265" w:lineRule="auto"/>
        <w:tabs>
          <w:tab w:leader="none" w:pos="21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Since the Notes are denominated in U.S. dollars, we must deposit in trust for the benefit of all holders of the Notes a combination of cash and U.S. government or U.S. government agency notes or bonds that will generate enough cash to make interest, principal and any other payments on the Notes on their various due dates;</w:t>
      </w:r>
    </w:p>
    <w:p>
      <w:pPr>
        <w:spacing w:after="0" w:line="63" w:lineRule="exact"/>
        <w:rPr>
          <w:rFonts w:ascii="Times New Roman" w:cs="Times New Roman" w:eastAsia="Times New Roman" w:hAnsi="Times New Roman"/>
          <w:sz w:val="14"/>
          <w:szCs w:val="14"/>
          <w:color w:val="auto"/>
        </w:rPr>
      </w:pPr>
    </w:p>
    <w:p>
      <w:pPr>
        <w:ind w:left="2120" w:right="319" w:hanging="327"/>
        <w:spacing w:after="0" w:line="281" w:lineRule="auto"/>
        <w:tabs>
          <w:tab w:leader="none" w:pos="21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must deliver to the trustee a legal opinion of our counsel confirming that, under current U.S. federal income tax law, we may make the above deposit without causing you to be taxed on the Notes any differently than if we did not make the deposit;</w:t>
      </w:r>
    </w:p>
    <w:p>
      <w:pPr>
        <w:spacing w:after="0" w:line="52" w:lineRule="exact"/>
        <w:rPr>
          <w:rFonts w:ascii="Times New Roman" w:cs="Times New Roman" w:eastAsia="Times New Roman" w:hAnsi="Times New Roman"/>
          <w:sz w:val="14"/>
          <w:szCs w:val="14"/>
          <w:color w:val="auto"/>
        </w:rPr>
      </w:pPr>
    </w:p>
    <w:p>
      <w:pPr>
        <w:jc w:val="both"/>
        <w:ind w:left="2120" w:right="519" w:hanging="327"/>
        <w:spacing w:after="0" w:line="265" w:lineRule="auto"/>
        <w:tabs>
          <w:tab w:leader="none" w:pos="21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must deliver to the trustee a legal opinion of our counsel stating that the above deposit does not require registration by us under the 1940 Act, and a legal opinion and officers’ certificate stating that all conditions precedent to covenant defeasance have been complied with;</w:t>
      </w:r>
    </w:p>
    <w:p>
      <w:pPr>
        <w:spacing w:after="0" w:line="8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35</w:t>
      </w:r>
    </w:p>
    <w:p>
      <w:pPr>
        <w:sectPr>
          <w:pgSz w:w="11900" w:h="16838" w:orient="portrait"/>
          <w:cols w:equalWidth="0" w:num="1">
            <w:col w:w="10159"/>
          </w:cols>
          <w:pgMar w:left="300" w:top="384" w:right="1440"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9">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9" w:lineRule="exact"/>
        <w:rPr>
          <w:sz w:val="20"/>
          <w:szCs w:val="20"/>
          <w:color w:val="auto"/>
        </w:rPr>
      </w:pPr>
    </w:p>
    <w:p>
      <w:pPr>
        <w:ind w:left="2120" w:right="299" w:hanging="327"/>
        <w:spacing w:after="0" w:line="281" w:lineRule="auto"/>
        <w:tabs>
          <w:tab w:leader="none" w:pos="21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Defeasance must not result in a breach or violation of, or result in a default under, the Indenture or any of our other material agreements or instruments; and</w:t>
      </w:r>
    </w:p>
    <w:p>
      <w:pPr>
        <w:spacing w:after="0" w:line="52" w:lineRule="exact"/>
        <w:rPr>
          <w:rFonts w:ascii="Times New Roman" w:cs="Times New Roman" w:eastAsia="Times New Roman" w:hAnsi="Times New Roman"/>
          <w:sz w:val="14"/>
          <w:szCs w:val="14"/>
          <w:color w:val="auto"/>
        </w:rPr>
      </w:pPr>
    </w:p>
    <w:p>
      <w:pPr>
        <w:ind w:left="2120" w:right="339" w:hanging="327"/>
        <w:spacing w:after="0" w:line="281" w:lineRule="auto"/>
        <w:tabs>
          <w:tab w:leader="none" w:pos="21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default or Event of Default with respect to the Notes shall have occurred and be continuing and no defaults or events of default related to bankruptcy, insolvency or reorganization shall occur during the next 90 days.</w:t>
      </w:r>
    </w:p>
    <w:p>
      <w:pPr>
        <w:spacing w:after="0" w:line="125" w:lineRule="exact"/>
        <w:rPr>
          <w:sz w:val="20"/>
          <w:szCs w:val="20"/>
          <w:color w:val="auto"/>
        </w:rPr>
      </w:pPr>
    </w:p>
    <w:p>
      <w:pPr>
        <w:ind w:left="1380" w:right="259" w:firstLine="341"/>
        <w:spacing w:after="0" w:line="260" w:lineRule="auto"/>
        <w:rPr>
          <w:sz w:val="20"/>
          <w:szCs w:val="20"/>
          <w:color w:val="auto"/>
        </w:rPr>
      </w:pPr>
      <w:r>
        <w:rPr>
          <w:rFonts w:ascii="Times New Roman" w:cs="Times New Roman" w:eastAsia="Times New Roman" w:hAnsi="Times New Roman"/>
          <w:sz w:val="14"/>
          <w:szCs w:val="14"/>
          <w:color w:val="auto"/>
        </w:rPr>
        <w:t>If we accomplish covenant defeasance, you can still look to us for repayment of the Notes if there were a shortfall in the trust deposit or the trustee is prevented from making payment. In fact, if one of the remaining Events of Default occurred (such as our bankruptcy) and the Notes became immediately due and payable, there might be a shortfall. Depending on the event causing the default, you may not be able to obtain payment of the shortfall.</w:t>
      </w:r>
    </w:p>
    <w:p>
      <w:pPr>
        <w:spacing w:after="0" w:line="221"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i w:val="1"/>
          <w:iCs w:val="1"/>
          <w:color w:val="auto"/>
        </w:rPr>
        <w:t>Full Defeasance</w:t>
      </w:r>
    </w:p>
    <w:p>
      <w:pPr>
        <w:spacing w:after="0" w:line="92" w:lineRule="exact"/>
        <w:rPr>
          <w:sz w:val="20"/>
          <w:szCs w:val="20"/>
          <w:color w:val="auto"/>
        </w:rPr>
      </w:pPr>
    </w:p>
    <w:p>
      <w:pPr>
        <w:ind w:left="1380" w:right="259" w:firstLine="341"/>
        <w:spacing w:after="0" w:line="255" w:lineRule="auto"/>
        <w:rPr>
          <w:sz w:val="20"/>
          <w:szCs w:val="20"/>
          <w:color w:val="auto"/>
        </w:rPr>
      </w:pPr>
      <w:r>
        <w:rPr>
          <w:rFonts w:ascii="Times New Roman" w:cs="Times New Roman" w:eastAsia="Times New Roman" w:hAnsi="Times New Roman"/>
          <w:sz w:val="14"/>
          <w:szCs w:val="14"/>
          <w:color w:val="auto"/>
        </w:rPr>
        <w:t>The Notes are subject to full defeasance. Full defeasance means that we can legally release ourselves from all payment and other obligations on the Notes, subject to the satisfaction of certain conditions, including, but not limited to that (a) we have received from, or there has been published by, the Internal Revenue Service (the “IRS”) a ruling, or (b) there is a change in U.S. federal income tax law, in either case to the effect that the holders of the Notes and any coupons appertaining thereto will not recognize income, gain or loss for U.S. federal income tax purposes as a result of such defeasance and will be subject to U.S. federal income tax on the same amounts, in the same manner and at the same times as would have been the case if such defeasance had not occurred (called “full defeasance”), and that we put in place the following other arrangements for you to be repaid:</w:t>
      </w:r>
    </w:p>
    <w:p>
      <w:pPr>
        <w:spacing w:after="0" w:line="72" w:lineRule="exact"/>
        <w:rPr>
          <w:sz w:val="20"/>
          <w:szCs w:val="20"/>
          <w:color w:val="auto"/>
        </w:rPr>
      </w:pPr>
    </w:p>
    <w:p>
      <w:pPr>
        <w:jc w:val="both"/>
        <w:ind w:left="2120" w:right="379" w:hanging="327"/>
        <w:spacing w:after="0" w:line="265" w:lineRule="auto"/>
        <w:tabs>
          <w:tab w:leader="none" w:pos="21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Since the Notes are denominated in U.S. dollars, we must deposit in trust for the benefit of all holders of the Notes a combination of cash and U.S. government or U.S. government agency notes or bonds that will generate enough cash to make interest, principal and any other payments on the Notes on their various due dates;</w:t>
      </w:r>
    </w:p>
    <w:p>
      <w:pPr>
        <w:spacing w:after="0" w:line="63" w:lineRule="exact"/>
        <w:rPr>
          <w:rFonts w:ascii="Times New Roman" w:cs="Times New Roman" w:eastAsia="Times New Roman" w:hAnsi="Times New Roman"/>
          <w:sz w:val="14"/>
          <w:szCs w:val="14"/>
          <w:color w:val="auto"/>
        </w:rPr>
      </w:pPr>
    </w:p>
    <w:p>
      <w:pPr>
        <w:ind w:left="2120" w:right="319" w:hanging="327"/>
        <w:spacing w:after="0" w:line="281" w:lineRule="auto"/>
        <w:tabs>
          <w:tab w:leader="none" w:pos="21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must deliver to the trustee a legal opinion of our counsel confirming that, under current U.S. federal income tax law, we may make the above deposit without causing you to be taxed on the Notes any differently than if we did not make the deposit;</w:t>
      </w:r>
    </w:p>
    <w:p>
      <w:pPr>
        <w:spacing w:after="0" w:line="52" w:lineRule="exact"/>
        <w:rPr>
          <w:rFonts w:ascii="Times New Roman" w:cs="Times New Roman" w:eastAsia="Times New Roman" w:hAnsi="Times New Roman"/>
          <w:sz w:val="14"/>
          <w:szCs w:val="14"/>
          <w:color w:val="auto"/>
        </w:rPr>
      </w:pPr>
    </w:p>
    <w:p>
      <w:pPr>
        <w:jc w:val="both"/>
        <w:ind w:left="2120" w:right="519" w:hanging="327"/>
        <w:spacing w:after="0" w:line="265" w:lineRule="auto"/>
        <w:tabs>
          <w:tab w:leader="none" w:pos="21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must deliver to the trustee a legal opinion of our counsel stating that the above deposit does not require registration by us under the 1940 Act, and a legal opinion and officers’ certificate stating that all conditions precedent to covenant defeasance have been complied with;</w:t>
      </w:r>
    </w:p>
    <w:p>
      <w:pPr>
        <w:spacing w:after="0" w:line="63" w:lineRule="exact"/>
        <w:rPr>
          <w:rFonts w:ascii="Times New Roman" w:cs="Times New Roman" w:eastAsia="Times New Roman" w:hAnsi="Times New Roman"/>
          <w:sz w:val="14"/>
          <w:szCs w:val="14"/>
          <w:color w:val="auto"/>
        </w:rPr>
      </w:pPr>
    </w:p>
    <w:p>
      <w:pPr>
        <w:ind w:left="2120" w:right="299" w:hanging="327"/>
        <w:spacing w:after="0" w:line="281" w:lineRule="auto"/>
        <w:tabs>
          <w:tab w:leader="none" w:pos="21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Defeasance must not result in a breach or violation of, or result in a default under, the Indenture or any of our other material agreements or instruments; and</w:t>
      </w:r>
    </w:p>
    <w:p>
      <w:pPr>
        <w:spacing w:after="0" w:line="52" w:lineRule="exact"/>
        <w:rPr>
          <w:rFonts w:ascii="Times New Roman" w:cs="Times New Roman" w:eastAsia="Times New Roman" w:hAnsi="Times New Roman"/>
          <w:sz w:val="14"/>
          <w:szCs w:val="14"/>
          <w:color w:val="auto"/>
        </w:rPr>
      </w:pPr>
    </w:p>
    <w:p>
      <w:pPr>
        <w:ind w:left="2120" w:right="339" w:hanging="327"/>
        <w:spacing w:after="0" w:line="281" w:lineRule="auto"/>
        <w:tabs>
          <w:tab w:leader="none" w:pos="21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default or Event of Default with respect to the Notes shall have occurred and be continuing and no defaults or events of default related to bankruptcy, insolvency or reorganization shall occur during the next 90 days.</w:t>
      </w:r>
    </w:p>
    <w:p>
      <w:pPr>
        <w:spacing w:after="0" w:line="125" w:lineRule="exact"/>
        <w:rPr>
          <w:sz w:val="20"/>
          <w:szCs w:val="20"/>
          <w:color w:val="auto"/>
        </w:rPr>
      </w:pPr>
    </w:p>
    <w:p>
      <w:pPr>
        <w:jc w:val="both"/>
        <w:ind w:left="1380" w:right="299" w:firstLine="341"/>
        <w:spacing w:after="0" w:line="265" w:lineRule="auto"/>
        <w:rPr>
          <w:sz w:val="20"/>
          <w:szCs w:val="20"/>
          <w:color w:val="auto"/>
        </w:rPr>
      </w:pPr>
      <w:r>
        <w:rPr>
          <w:rFonts w:ascii="Times New Roman" w:cs="Times New Roman" w:eastAsia="Times New Roman" w:hAnsi="Times New Roman"/>
          <w:sz w:val="14"/>
          <w:szCs w:val="14"/>
          <w:color w:val="auto"/>
        </w:rPr>
        <w:t>If we ever did accomplish full defeasance, as described above, you would have to rely solely on the trust deposit for repayment of the Notes. You could not look to us for repayment in the unlikely event of any shortfall. Conversely, the trust deposit would most likely be protected from claims of our lenders and other creditors if we ever became bankrupt or insolvent.</w:t>
      </w:r>
    </w:p>
    <w:p>
      <w:pPr>
        <w:spacing w:after="0" w:line="218"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b w:val="1"/>
          <w:bCs w:val="1"/>
          <w:color w:val="auto"/>
        </w:rPr>
        <w:t>Trustee</w:t>
      </w:r>
    </w:p>
    <w:p>
      <w:pPr>
        <w:spacing w:after="0" w:line="92" w:lineRule="exact"/>
        <w:rPr>
          <w:sz w:val="20"/>
          <w:szCs w:val="20"/>
          <w:color w:val="auto"/>
        </w:rPr>
      </w:pPr>
    </w:p>
    <w:p>
      <w:pPr>
        <w:ind w:left="1380" w:right="279" w:firstLine="341"/>
        <w:spacing w:after="0" w:line="260" w:lineRule="auto"/>
        <w:rPr>
          <w:sz w:val="20"/>
          <w:szCs w:val="20"/>
          <w:color w:val="auto"/>
        </w:rPr>
      </w:pPr>
      <w:r>
        <w:rPr>
          <w:rFonts w:ascii="Times New Roman" w:cs="Times New Roman" w:eastAsia="Times New Roman" w:hAnsi="Times New Roman"/>
          <w:sz w:val="14"/>
          <w:szCs w:val="14"/>
          <w:color w:val="auto"/>
        </w:rPr>
        <w:t>U.S. Bank is the trustee, security registrar and paying agent. U.S. Bank, in each of its capacities, including without limitation as trustee, security registrar and paying agent, assumes no responsibility for the accuracy or completeness of the information concerning us or our affiliates or any other party contained in this prospectus or the related documents or for any failure by us or any other party to disclose events that may have occurred and may affect the significance or accuracy of such information, or for any information provided to it by us,</w:t>
      </w:r>
    </w:p>
    <w:p>
      <w:pPr>
        <w:spacing w:after="0" w:line="8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36</w:t>
      </w:r>
    </w:p>
    <w:p>
      <w:pPr>
        <w:sectPr>
          <w:pgSz w:w="11900" w:h="16838" w:orient="portrait"/>
          <w:cols w:equalWidth="0" w:num="1">
            <w:col w:w="10159"/>
          </w:cols>
          <w:pgMar w:left="300" w:top="384" w:right="1440"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0">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9" w:lineRule="exact"/>
        <w:rPr>
          <w:sz w:val="20"/>
          <w:szCs w:val="20"/>
          <w:color w:val="auto"/>
        </w:rPr>
      </w:pPr>
    </w:p>
    <w:p>
      <w:pPr>
        <w:ind w:left="1380" w:right="299"/>
        <w:spacing w:after="0" w:line="281" w:lineRule="auto"/>
        <w:rPr>
          <w:sz w:val="20"/>
          <w:szCs w:val="20"/>
          <w:color w:val="auto"/>
        </w:rPr>
      </w:pPr>
      <w:r>
        <w:rPr>
          <w:rFonts w:ascii="Times New Roman" w:cs="Times New Roman" w:eastAsia="Times New Roman" w:hAnsi="Times New Roman"/>
          <w:sz w:val="14"/>
          <w:szCs w:val="14"/>
          <w:color w:val="auto"/>
        </w:rPr>
        <w:t>including but not limited to settlement amounts and any other information. Neither the trustee nor any paying agent shall be responsible for determining whether any Change of Control Event has occurred and whether any Change of Control offer with respect to the Notes is required.</w:t>
      </w:r>
    </w:p>
    <w:p>
      <w:pPr>
        <w:spacing w:after="0" w:line="125"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4"/>
          <w:szCs w:val="14"/>
          <w:color w:val="auto"/>
        </w:rPr>
        <w:t>We may maintain banking relationships in the ordinary course of business with the trustee and its affiliates.</w:t>
      </w:r>
    </w:p>
    <w:p>
      <w:pPr>
        <w:spacing w:after="0" w:line="256"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b w:val="1"/>
          <w:bCs w:val="1"/>
          <w:color w:val="auto"/>
        </w:rPr>
        <w:t>Resignation and Removal of Trustee</w:t>
      </w:r>
    </w:p>
    <w:p>
      <w:pPr>
        <w:spacing w:after="0" w:line="92" w:lineRule="exact"/>
        <w:rPr>
          <w:sz w:val="20"/>
          <w:szCs w:val="20"/>
          <w:color w:val="auto"/>
        </w:rPr>
      </w:pPr>
    </w:p>
    <w:p>
      <w:pPr>
        <w:jc w:val="both"/>
        <w:ind w:left="1380" w:right="399" w:firstLine="341"/>
        <w:spacing w:after="0" w:line="265" w:lineRule="auto"/>
        <w:rPr>
          <w:sz w:val="20"/>
          <w:szCs w:val="20"/>
          <w:color w:val="auto"/>
        </w:rPr>
      </w:pPr>
      <w:r>
        <w:rPr>
          <w:rFonts w:ascii="Times New Roman" w:cs="Times New Roman" w:eastAsia="Times New Roman" w:hAnsi="Times New Roman"/>
          <w:sz w:val="14"/>
          <w:szCs w:val="14"/>
          <w:color w:val="auto"/>
        </w:rPr>
        <w:t>The trustee may resign or be removed with respect to the Notes provided that a successor trustee is appointed to act with respect to the Notes. In the event that two or more persons are acting as trustee with respect to different series of Indenture securities under the Indenture, each of the trustees will be a trustee of a trust separate and apart from the trust administered by any other trustee.</w:t>
      </w:r>
    </w:p>
    <w:p>
      <w:pPr>
        <w:spacing w:after="0" w:line="218"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b w:val="1"/>
          <w:bCs w:val="1"/>
          <w:color w:val="auto"/>
        </w:rPr>
        <w:t>Governing Law</w:t>
      </w:r>
    </w:p>
    <w:p>
      <w:pPr>
        <w:spacing w:after="0" w:line="92" w:lineRule="exact"/>
        <w:rPr>
          <w:sz w:val="20"/>
          <w:szCs w:val="20"/>
          <w:color w:val="auto"/>
        </w:rPr>
      </w:pPr>
    </w:p>
    <w:p>
      <w:pPr>
        <w:ind w:left="1380" w:right="479" w:firstLine="341"/>
        <w:spacing w:after="0" w:line="281" w:lineRule="auto"/>
        <w:rPr>
          <w:sz w:val="20"/>
          <w:szCs w:val="20"/>
          <w:color w:val="auto"/>
        </w:rPr>
      </w:pPr>
      <w:r>
        <w:rPr>
          <w:rFonts w:ascii="Times New Roman" w:cs="Times New Roman" w:eastAsia="Times New Roman" w:hAnsi="Times New Roman"/>
          <w:sz w:val="14"/>
          <w:szCs w:val="14"/>
          <w:color w:val="auto"/>
        </w:rPr>
        <w:t>The Indenture provides that it and the Notes shall be governed by and construed in accordance with the laws of the State of New York, without regard to principles of conflicts of laws that would cause the application of laws of another jurisdiction.</w:t>
      </w:r>
    </w:p>
    <w:p>
      <w:pPr>
        <w:spacing w:after="0" w:line="207"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b w:val="1"/>
          <w:bCs w:val="1"/>
          <w:color w:val="auto"/>
        </w:rPr>
        <w:t>Book-Entry, Settlement and Clearance</w:t>
      </w:r>
    </w:p>
    <w:p>
      <w:pPr>
        <w:spacing w:after="0" w:line="90"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4"/>
          <w:szCs w:val="14"/>
          <w:b w:val="1"/>
          <w:bCs w:val="1"/>
          <w:i w:val="1"/>
          <w:iCs w:val="1"/>
          <w:color w:val="auto"/>
        </w:rPr>
        <w:t>Global Notes</w:t>
      </w:r>
    </w:p>
    <w:p>
      <w:pPr>
        <w:spacing w:after="0" w:line="92" w:lineRule="exact"/>
        <w:rPr>
          <w:sz w:val="20"/>
          <w:szCs w:val="20"/>
          <w:color w:val="auto"/>
        </w:rPr>
      </w:pPr>
    </w:p>
    <w:p>
      <w:pPr>
        <w:ind w:left="1380" w:right="299" w:firstLine="341"/>
        <w:spacing w:after="0" w:line="265" w:lineRule="auto"/>
        <w:rPr>
          <w:sz w:val="20"/>
          <w:szCs w:val="20"/>
          <w:color w:val="auto"/>
        </w:rPr>
      </w:pPr>
      <w:r>
        <w:rPr>
          <w:rFonts w:ascii="Times New Roman" w:cs="Times New Roman" w:eastAsia="Times New Roman" w:hAnsi="Times New Roman"/>
          <w:sz w:val="14"/>
          <w:szCs w:val="14"/>
          <w:color w:val="auto"/>
        </w:rPr>
        <w:t>The Exchange Notes will be initially issued in the form of one or more registered Exchanged Notes in global form, without interest coupons (the “Global Notes”). Upon issuance, each of the Global Notes will be deposited with the trustee as custodian for DTC and registered in the name of Cede &amp; Co., as nominee of DTC.</w:t>
      </w:r>
    </w:p>
    <w:p>
      <w:pPr>
        <w:spacing w:after="0" w:line="136" w:lineRule="exact"/>
        <w:rPr>
          <w:sz w:val="20"/>
          <w:szCs w:val="20"/>
          <w:color w:val="auto"/>
        </w:rPr>
      </w:pPr>
    </w:p>
    <w:p>
      <w:pPr>
        <w:ind w:left="1380" w:right="379" w:firstLine="341"/>
        <w:spacing w:after="0" w:line="281" w:lineRule="auto"/>
        <w:rPr>
          <w:sz w:val="20"/>
          <w:szCs w:val="20"/>
          <w:color w:val="auto"/>
        </w:rPr>
      </w:pPr>
      <w:r>
        <w:rPr>
          <w:rFonts w:ascii="Times New Roman" w:cs="Times New Roman" w:eastAsia="Times New Roman" w:hAnsi="Times New Roman"/>
          <w:sz w:val="14"/>
          <w:szCs w:val="14"/>
          <w:color w:val="auto"/>
        </w:rPr>
        <w:t>Ownership of beneficial interests in a Global Note will be limited to persons who have accounts with DTC (“DTC participants”) or persons who hold interests through DTC participants. We expect that under procedures established by DTC:</w:t>
      </w:r>
    </w:p>
    <w:p>
      <w:pPr>
        <w:spacing w:after="0" w:line="52" w:lineRule="exact"/>
        <w:rPr>
          <w:sz w:val="20"/>
          <w:szCs w:val="20"/>
          <w:color w:val="auto"/>
        </w:rPr>
      </w:pPr>
    </w:p>
    <w:p>
      <w:pPr>
        <w:ind w:left="2120" w:right="359" w:hanging="327"/>
        <w:spacing w:after="0" w:line="281" w:lineRule="auto"/>
        <w:tabs>
          <w:tab w:leader="none" w:pos="21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upon deposit of a Global Note with DTC’s custodian, DTC will credit portions of the principal amount of the Global Note to the accounts of the DTC participants designated by the initial purchasers; and</w:t>
      </w:r>
    </w:p>
    <w:p>
      <w:pPr>
        <w:spacing w:after="0" w:line="52" w:lineRule="exact"/>
        <w:rPr>
          <w:rFonts w:ascii="Times New Roman" w:cs="Times New Roman" w:eastAsia="Times New Roman" w:hAnsi="Times New Roman"/>
          <w:sz w:val="14"/>
          <w:szCs w:val="14"/>
          <w:color w:val="auto"/>
        </w:rPr>
      </w:pPr>
    </w:p>
    <w:p>
      <w:pPr>
        <w:ind w:left="2120" w:right="439" w:hanging="327"/>
        <w:spacing w:after="0" w:line="265" w:lineRule="auto"/>
        <w:tabs>
          <w:tab w:leader="none" w:pos="21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ownership of beneficial interests in a Global Note will be shown on, and transfer of ownership of those interests will be effected only through, records maintained by DTC (with respect to interests of DTC participants) and the records of DTC participants (with respect to other owners of beneficial interests in the Global Note).</w:t>
      </w:r>
    </w:p>
    <w:p>
      <w:pPr>
        <w:spacing w:after="0" w:line="136" w:lineRule="exact"/>
        <w:rPr>
          <w:sz w:val="20"/>
          <w:szCs w:val="20"/>
          <w:color w:val="auto"/>
        </w:rPr>
      </w:pPr>
    </w:p>
    <w:p>
      <w:pPr>
        <w:ind w:left="1380" w:right="399" w:firstLine="341"/>
        <w:spacing w:after="0" w:line="281" w:lineRule="auto"/>
        <w:rPr>
          <w:sz w:val="20"/>
          <w:szCs w:val="20"/>
          <w:color w:val="auto"/>
        </w:rPr>
      </w:pPr>
      <w:r>
        <w:rPr>
          <w:rFonts w:ascii="Times New Roman" w:cs="Times New Roman" w:eastAsia="Times New Roman" w:hAnsi="Times New Roman"/>
          <w:sz w:val="14"/>
          <w:szCs w:val="14"/>
          <w:color w:val="auto"/>
        </w:rPr>
        <w:t>Beneficial interests in Global Notes may not be exchanged for Notes in physical, certificated form except in the limited circumstances described below.</w:t>
      </w:r>
    </w:p>
    <w:p>
      <w:pPr>
        <w:spacing w:after="0" w:line="207"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4"/>
          <w:szCs w:val="14"/>
          <w:b w:val="1"/>
          <w:bCs w:val="1"/>
          <w:i w:val="1"/>
          <w:iCs w:val="1"/>
          <w:color w:val="auto"/>
        </w:rPr>
        <w:t>Book-Entry Procedures for Global Notes</w:t>
      </w:r>
    </w:p>
    <w:p>
      <w:pPr>
        <w:spacing w:after="0" w:line="92" w:lineRule="exact"/>
        <w:rPr>
          <w:sz w:val="20"/>
          <w:szCs w:val="20"/>
          <w:color w:val="auto"/>
        </w:rPr>
      </w:pPr>
    </w:p>
    <w:p>
      <w:pPr>
        <w:ind w:left="1380" w:right="339" w:firstLine="341"/>
        <w:spacing w:after="0" w:line="265" w:lineRule="auto"/>
        <w:rPr>
          <w:sz w:val="20"/>
          <w:szCs w:val="20"/>
          <w:color w:val="auto"/>
        </w:rPr>
      </w:pPr>
      <w:r>
        <w:rPr>
          <w:rFonts w:ascii="Times New Roman" w:cs="Times New Roman" w:eastAsia="Times New Roman" w:hAnsi="Times New Roman"/>
          <w:sz w:val="14"/>
          <w:szCs w:val="14"/>
          <w:color w:val="auto"/>
        </w:rPr>
        <w:t>All interests in the Global Notes will be subject to the operations and procedures of DTC. We provide the following summary of those operations and procedures solely for the convenience of investors. The operations and procedures of DTC are controlled by that settlement system and may be changed at any time. Neither we, the trustee, nor the initial purchasers are responsible for those operations or procedures.</w:t>
      </w:r>
    </w:p>
    <w:p>
      <w:pPr>
        <w:spacing w:after="0" w:line="136"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4"/>
          <w:szCs w:val="14"/>
          <w:color w:val="auto"/>
        </w:rPr>
        <w:t>DTC has advised us that it is:</w:t>
      </w:r>
    </w:p>
    <w:p>
      <w:pPr>
        <w:spacing w:after="0" w:line="101" w:lineRule="exact"/>
        <w:rPr>
          <w:sz w:val="20"/>
          <w:szCs w:val="20"/>
          <w:color w:val="auto"/>
        </w:rPr>
      </w:pPr>
    </w:p>
    <w:p>
      <w:pPr>
        <w:ind w:left="2120" w:hanging="327"/>
        <w:spacing w:after="0"/>
        <w:tabs>
          <w:tab w:leader="none" w:pos="212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limited purpose trust company organized under the laws of the State of New York;</w:t>
      </w:r>
    </w:p>
    <w:p>
      <w:pPr>
        <w:spacing w:after="0" w:line="100" w:lineRule="exact"/>
        <w:rPr>
          <w:rFonts w:ascii="Times New Roman" w:cs="Times New Roman" w:eastAsia="Times New Roman" w:hAnsi="Times New Roman"/>
          <w:sz w:val="14"/>
          <w:szCs w:val="14"/>
          <w:color w:val="auto"/>
        </w:rPr>
      </w:pPr>
    </w:p>
    <w:p>
      <w:pPr>
        <w:ind w:left="2120" w:hanging="327"/>
        <w:spacing w:after="0"/>
        <w:tabs>
          <w:tab w:leader="none" w:pos="212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“banking organization” within the meaning of the New York State Banking Law;</w:t>
      </w:r>
    </w:p>
    <w:p>
      <w:pPr>
        <w:spacing w:after="0" w:line="100" w:lineRule="exact"/>
        <w:rPr>
          <w:rFonts w:ascii="Times New Roman" w:cs="Times New Roman" w:eastAsia="Times New Roman" w:hAnsi="Times New Roman"/>
          <w:sz w:val="14"/>
          <w:szCs w:val="14"/>
          <w:color w:val="auto"/>
        </w:rPr>
      </w:pPr>
    </w:p>
    <w:p>
      <w:pPr>
        <w:ind w:left="2120" w:hanging="327"/>
        <w:spacing w:after="0"/>
        <w:tabs>
          <w:tab w:leader="none" w:pos="212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member of the Federal Reserve System;</w:t>
      </w:r>
    </w:p>
    <w:p>
      <w:pPr>
        <w:spacing w:after="0" w:line="12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37</w:t>
      </w:r>
    </w:p>
    <w:p>
      <w:pPr>
        <w:sectPr>
          <w:pgSz w:w="11900" w:h="16838" w:orient="portrait"/>
          <w:cols w:equalWidth="0" w:num="1">
            <w:col w:w="10159"/>
          </w:cols>
          <w:pgMar w:left="300" w:top="384" w:right="1440"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1">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9" w:lineRule="exact"/>
        <w:rPr>
          <w:sz w:val="20"/>
          <w:szCs w:val="20"/>
          <w:color w:val="auto"/>
        </w:rPr>
      </w:pPr>
    </w:p>
    <w:p>
      <w:pPr>
        <w:ind w:left="2120" w:hanging="327"/>
        <w:spacing w:after="0"/>
        <w:tabs>
          <w:tab w:leader="none" w:pos="212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“clearing corporation” within the meaning of the Uniform Commercial Code; and</w:t>
      </w:r>
    </w:p>
    <w:p>
      <w:pPr>
        <w:spacing w:after="0" w:line="100" w:lineRule="exact"/>
        <w:rPr>
          <w:rFonts w:ascii="Times New Roman" w:cs="Times New Roman" w:eastAsia="Times New Roman" w:hAnsi="Times New Roman"/>
          <w:sz w:val="14"/>
          <w:szCs w:val="14"/>
          <w:color w:val="auto"/>
        </w:rPr>
      </w:pPr>
    </w:p>
    <w:p>
      <w:pPr>
        <w:ind w:left="2120" w:hanging="327"/>
        <w:spacing w:after="0"/>
        <w:tabs>
          <w:tab w:leader="none" w:pos="212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“clearing agency” registered under Section 17A of the Exchange Act.</w:t>
      </w:r>
    </w:p>
    <w:p>
      <w:pPr>
        <w:spacing w:after="0" w:line="174" w:lineRule="exact"/>
        <w:rPr>
          <w:sz w:val="20"/>
          <w:szCs w:val="20"/>
          <w:color w:val="auto"/>
        </w:rPr>
      </w:pPr>
    </w:p>
    <w:p>
      <w:pPr>
        <w:ind w:left="1380" w:right="299" w:firstLine="341"/>
        <w:spacing w:after="0" w:line="255" w:lineRule="auto"/>
        <w:rPr>
          <w:sz w:val="20"/>
          <w:szCs w:val="20"/>
          <w:color w:val="auto"/>
        </w:rPr>
      </w:pPr>
      <w:r>
        <w:rPr>
          <w:rFonts w:ascii="Times New Roman" w:cs="Times New Roman" w:eastAsia="Times New Roman" w:hAnsi="Times New Roman"/>
          <w:sz w:val="14"/>
          <w:szCs w:val="14"/>
          <w:color w:val="auto"/>
        </w:rPr>
        <w:t>DTC was created to hold securities for its participants and to facilitate the clearance and settlement of securities transactions between its participants through electronic book-entry changes to the accounts of its participants. DTC’s participants include securities brokers and dealers, including the initial purchasers; banks and trust companies; clearing corporations and other organizations. Indirect access to DTC’s system is also available to others such as banks, brokers, dealers and trust companies; these indirect participants clear through or maintain a custodial relationship with a DTC participant, either directly or indirectly. Investors who are not DTC participants may beneficially own securities held by or on behalf of DTC only through DTC participants or indirect participants in DTC.</w:t>
      </w:r>
    </w:p>
    <w:p>
      <w:pPr>
        <w:spacing w:after="0" w:line="146" w:lineRule="exact"/>
        <w:rPr>
          <w:sz w:val="20"/>
          <w:szCs w:val="20"/>
          <w:color w:val="auto"/>
        </w:rPr>
      </w:pPr>
    </w:p>
    <w:p>
      <w:pPr>
        <w:jc w:val="both"/>
        <w:ind w:left="1380" w:right="719" w:firstLine="341"/>
        <w:spacing w:after="0" w:line="321" w:lineRule="auto"/>
        <w:rPr>
          <w:sz w:val="20"/>
          <w:szCs w:val="20"/>
          <w:color w:val="auto"/>
        </w:rPr>
      </w:pPr>
      <w:r>
        <w:rPr>
          <w:rFonts w:ascii="Times New Roman" w:cs="Times New Roman" w:eastAsia="Times New Roman" w:hAnsi="Times New Roman"/>
          <w:sz w:val="13"/>
          <w:szCs w:val="13"/>
          <w:color w:val="auto"/>
        </w:rPr>
        <w:t>So long as DTC’s nominee is the registered owner of a Global Note, that nominee will be considered the sole owner or holder of the Notes represented by that Global Note for all purposes under the Indenture. Except as provided below, owners of beneficial interests in a Global Note:</w:t>
      </w:r>
    </w:p>
    <w:p>
      <w:pPr>
        <w:spacing w:after="0" w:line="29" w:lineRule="exact"/>
        <w:rPr>
          <w:sz w:val="20"/>
          <w:szCs w:val="20"/>
          <w:color w:val="auto"/>
        </w:rPr>
      </w:pPr>
    </w:p>
    <w:p>
      <w:pPr>
        <w:ind w:left="2120" w:hanging="327"/>
        <w:spacing w:after="0"/>
        <w:tabs>
          <w:tab w:leader="none" w:pos="212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will not be entitled to have Notes represented by the Global Note registered in their names;</w:t>
      </w:r>
    </w:p>
    <w:p>
      <w:pPr>
        <w:spacing w:after="0" w:line="100" w:lineRule="exact"/>
        <w:rPr>
          <w:rFonts w:ascii="Times New Roman" w:cs="Times New Roman" w:eastAsia="Times New Roman" w:hAnsi="Times New Roman"/>
          <w:sz w:val="14"/>
          <w:szCs w:val="14"/>
          <w:color w:val="auto"/>
        </w:rPr>
      </w:pPr>
    </w:p>
    <w:p>
      <w:pPr>
        <w:ind w:left="2120" w:hanging="327"/>
        <w:spacing w:after="0"/>
        <w:tabs>
          <w:tab w:leader="none" w:pos="212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will not receive or be entitled to receive physical, certificated Notes; and</w:t>
      </w:r>
    </w:p>
    <w:p>
      <w:pPr>
        <w:spacing w:after="0" w:line="100" w:lineRule="exact"/>
        <w:rPr>
          <w:rFonts w:ascii="Times New Roman" w:cs="Times New Roman" w:eastAsia="Times New Roman" w:hAnsi="Times New Roman"/>
          <w:sz w:val="14"/>
          <w:szCs w:val="14"/>
          <w:color w:val="auto"/>
        </w:rPr>
      </w:pPr>
    </w:p>
    <w:p>
      <w:pPr>
        <w:ind w:left="2120" w:right="359" w:hanging="327"/>
        <w:spacing w:after="0" w:line="281" w:lineRule="auto"/>
        <w:tabs>
          <w:tab w:leader="none" w:pos="212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will not be considered the owners or holders of the Notes under the Indenture for any purpose, including with respect to receiving notices or the giving of any direction, instruction or approval to the trustee under the Indenture.</w:t>
      </w:r>
    </w:p>
    <w:p>
      <w:pPr>
        <w:spacing w:after="0" w:line="125" w:lineRule="exact"/>
        <w:rPr>
          <w:sz w:val="20"/>
          <w:szCs w:val="20"/>
          <w:color w:val="auto"/>
        </w:rPr>
      </w:pPr>
    </w:p>
    <w:p>
      <w:pPr>
        <w:ind w:left="1380" w:right="279" w:firstLine="341"/>
        <w:spacing w:after="0" w:line="265" w:lineRule="auto"/>
        <w:rPr>
          <w:sz w:val="20"/>
          <w:szCs w:val="20"/>
          <w:color w:val="auto"/>
        </w:rPr>
      </w:pPr>
      <w:r>
        <w:rPr>
          <w:rFonts w:ascii="Times New Roman" w:cs="Times New Roman" w:eastAsia="Times New Roman" w:hAnsi="Times New Roman"/>
          <w:sz w:val="14"/>
          <w:szCs w:val="14"/>
          <w:color w:val="auto"/>
        </w:rPr>
        <w:t>As a result, each investor who owns a beneficial interest in a Global Note must rely on the procedures of DTC to exercise any rights of a holder of Notes under the Indenture (and, if the investor is not a participant or an indirect participant in DTC, on the procedures of the DTC participant through which the investor owns its interest).</w:t>
      </w:r>
    </w:p>
    <w:p>
      <w:pPr>
        <w:spacing w:after="0" w:line="136" w:lineRule="exact"/>
        <w:rPr>
          <w:sz w:val="20"/>
          <w:szCs w:val="20"/>
          <w:color w:val="auto"/>
        </w:rPr>
      </w:pPr>
    </w:p>
    <w:p>
      <w:pPr>
        <w:ind w:left="1380" w:right="339" w:firstLine="341"/>
        <w:spacing w:after="0" w:line="260" w:lineRule="auto"/>
        <w:rPr>
          <w:sz w:val="20"/>
          <w:szCs w:val="20"/>
          <w:color w:val="auto"/>
        </w:rPr>
      </w:pPr>
      <w:r>
        <w:rPr>
          <w:rFonts w:ascii="Times New Roman" w:cs="Times New Roman" w:eastAsia="Times New Roman" w:hAnsi="Times New Roman"/>
          <w:sz w:val="14"/>
          <w:szCs w:val="14"/>
          <w:color w:val="auto"/>
        </w:rPr>
        <w:t>Payments of principal and interest with respect to the Notes represented by a Global Note will be made by the paying agent to DTC’s nominee as the registered holder of the Global Note. Neither we nor the paying agent will have any responsibility or liability for the payment of amounts to owners of beneficial interests in a Global Note, for any aspect of the records relating to or payments made on account of those interests by DTC, or for maintaining, supervising or reviewing any records of DTC relating to those interests.</w:t>
      </w:r>
    </w:p>
    <w:p>
      <w:pPr>
        <w:spacing w:after="0" w:line="140" w:lineRule="exact"/>
        <w:rPr>
          <w:sz w:val="20"/>
          <w:szCs w:val="20"/>
          <w:color w:val="auto"/>
        </w:rPr>
      </w:pPr>
    </w:p>
    <w:p>
      <w:pPr>
        <w:ind w:left="1380" w:right="559" w:firstLine="341"/>
        <w:spacing w:after="0" w:line="281" w:lineRule="auto"/>
        <w:rPr>
          <w:sz w:val="20"/>
          <w:szCs w:val="20"/>
          <w:color w:val="auto"/>
        </w:rPr>
      </w:pPr>
      <w:r>
        <w:rPr>
          <w:rFonts w:ascii="Times New Roman" w:cs="Times New Roman" w:eastAsia="Times New Roman" w:hAnsi="Times New Roman"/>
          <w:sz w:val="14"/>
          <w:szCs w:val="14"/>
          <w:color w:val="auto"/>
        </w:rPr>
        <w:t>Payments by participants and indirect participants in DTC to the owners of beneficial interests in a Global Note will be governed by standing instructions and customary industry practice and will be the responsibility of those participants or indirect participants and DTC.</w:t>
      </w:r>
    </w:p>
    <w:p>
      <w:pPr>
        <w:spacing w:after="0" w:line="1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color w:val="auto"/>
        </w:rPr>
        <w:t>Transfers between participants in DTC will be effected under DTC’s procedures and will be settled in same-day funds.</w:t>
      </w:r>
    </w:p>
    <w:p>
      <w:pPr>
        <w:spacing w:after="0" w:line="256"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4"/>
          <w:szCs w:val="14"/>
          <w:b w:val="1"/>
          <w:bCs w:val="1"/>
          <w:i w:val="1"/>
          <w:iCs w:val="1"/>
          <w:color w:val="auto"/>
        </w:rPr>
        <w:t>Certificated Notes</w:t>
      </w:r>
    </w:p>
    <w:p>
      <w:pPr>
        <w:spacing w:after="0" w:line="92"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3"/>
          <w:szCs w:val="13"/>
          <w:color w:val="auto"/>
        </w:rPr>
        <w:t>Notes in physical, certificated form will be issued and delivered to each person that DTC identifies as a beneficial owner of the related Notes only</w:t>
      </w:r>
    </w:p>
    <w:p>
      <w:pPr>
        <w:spacing w:after="0" w:line="33"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color w:val="auto"/>
        </w:rPr>
        <w:t>if:</w:t>
      </w:r>
    </w:p>
    <w:p>
      <w:pPr>
        <w:spacing w:after="0" w:line="86" w:lineRule="exact"/>
        <w:rPr>
          <w:sz w:val="20"/>
          <w:szCs w:val="20"/>
          <w:color w:val="auto"/>
        </w:rPr>
      </w:pPr>
    </w:p>
    <w:p>
      <w:pPr>
        <w:ind w:left="2120" w:right="419" w:hanging="327"/>
        <w:spacing w:after="0" w:line="281" w:lineRule="auto"/>
        <w:tabs>
          <w:tab w:leader="none" w:pos="212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DTC notifies us at any time that it is unwilling or unable to continue as depositary for the Global Notes and a successor depositary is not appointed within 90 days;</w:t>
      </w:r>
    </w:p>
    <w:p>
      <w:pPr>
        <w:spacing w:after="0" w:line="52" w:lineRule="exact"/>
        <w:rPr>
          <w:rFonts w:ascii="Times New Roman" w:cs="Times New Roman" w:eastAsia="Times New Roman" w:hAnsi="Times New Roman"/>
          <w:sz w:val="14"/>
          <w:szCs w:val="14"/>
          <w:color w:val="auto"/>
        </w:rPr>
      </w:pPr>
    </w:p>
    <w:p>
      <w:pPr>
        <w:ind w:left="2120" w:hanging="327"/>
        <w:spacing w:after="0"/>
        <w:tabs>
          <w:tab w:leader="none" w:pos="212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DTC ceases to be registered as a clearing agency under the Exchange Act and a successor depositary is not appointed within 90 days; or</w:t>
      </w:r>
    </w:p>
    <w:p>
      <w:pPr>
        <w:spacing w:after="0" w:line="100" w:lineRule="exact"/>
        <w:rPr>
          <w:rFonts w:ascii="Times New Roman" w:cs="Times New Roman" w:eastAsia="Times New Roman" w:hAnsi="Times New Roman"/>
          <w:sz w:val="14"/>
          <w:szCs w:val="14"/>
          <w:color w:val="auto"/>
        </w:rPr>
      </w:pPr>
    </w:p>
    <w:p>
      <w:pPr>
        <w:ind w:left="2120" w:right="379" w:hanging="327"/>
        <w:spacing w:after="0" w:line="281" w:lineRule="auto"/>
        <w:tabs>
          <w:tab w:leader="none" w:pos="212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event of default with respect to the Notes has occurred and is continuing and such beneficial owner requests that its Notes be issued in physical, certificated form.</w:t>
      </w:r>
    </w:p>
    <w:p>
      <w:pPr>
        <w:spacing w:after="0" w:line="7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38</w:t>
      </w:r>
    </w:p>
    <w:p>
      <w:pPr>
        <w:sectPr>
          <w:pgSz w:w="11900" w:h="16838" w:orient="portrait"/>
          <w:cols w:equalWidth="0" w:num="1">
            <w:col w:w="10159"/>
          </w:cols>
          <w:pgMar w:left="300" w:top="384" w:right="1440"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2">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USE OF PROCEEDS</w:t>
      </w:r>
    </w:p>
    <w:p>
      <w:pPr>
        <w:spacing w:after="0" w:line="176" w:lineRule="exact"/>
        <w:rPr>
          <w:sz w:val="20"/>
          <w:szCs w:val="20"/>
          <w:color w:val="auto"/>
        </w:rPr>
      </w:pPr>
    </w:p>
    <w:p>
      <w:pPr>
        <w:ind w:left="1380" w:right="419" w:firstLine="341"/>
        <w:spacing w:after="0" w:line="279" w:lineRule="auto"/>
        <w:rPr>
          <w:sz w:val="20"/>
          <w:szCs w:val="20"/>
          <w:color w:val="auto"/>
        </w:rPr>
      </w:pPr>
      <w:r>
        <w:rPr>
          <w:rFonts w:ascii="Times New Roman" w:cs="Times New Roman" w:eastAsia="Times New Roman" w:hAnsi="Times New Roman"/>
          <w:sz w:val="13"/>
          <w:szCs w:val="13"/>
          <w:color w:val="auto"/>
        </w:rPr>
        <w:t>We will not receive any cash proceeds from the issuance of the Exchange Notes pursuant to the exchange offer. In consideration for issuing the Exchange Notes as contemplated in this prospectus, we will receive in exchange a like principal amount of Restricted Notes, the terms of which are substantially identical to the Exchange Notes. The Restricted Notes surrendered in exchange for the Exchange Notes will be retired and cancelled and cannot be reissued. Accordingly, the issuance of the Exchange Notes will not result in any change in our capitalization. We have agreed to bear the expenses of the exchange offer. These expenses are estimated to be approximately $100,000 in the aggregate, which includes fees and expenses of the exchange agent and accounting, legal, printing and related fees and expenses. No underwriter is being used in connection with the exchange offer.</w:t>
      </w:r>
    </w:p>
    <w:p>
      <w:pPr>
        <w:spacing w:after="0" w:line="7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39</w:t>
      </w:r>
    </w:p>
    <w:p>
      <w:pPr>
        <w:sectPr>
          <w:pgSz w:w="11900" w:h="16838" w:orient="portrait"/>
          <w:cols w:equalWidth="0" w:num="1">
            <w:col w:w="10159"/>
          </w:cols>
          <w:pgMar w:left="300" w:top="384" w:right="1440"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3">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FINANCIAL HIGHLIGHTS</w:t>
      </w:r>
    </w:p>
    <w:p>
      <w:pPr>
        <w:spacing w:after="0" w:line="176" w:lineRule="exact"/>
        <w:rPr>
          <w:sz w:val="20"/>
          <w:szCs w:val="20"/>
          <w:color w:val="auto"/>
        </w:rPr>
      </w:pPr>
    </w:p>
    <w:p>
      <w:pPr>
        <w:ind w:left="1380" w:right="279" w:firstLine="341"/>
        <w:spacing w:after="0" w:line="257"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financial highlights are intended to help a prospective investor understand the Company’s financial performance for the periods presented. Information about our financial highlights for the fiscal years ended December 31, 2025 to 2016 is located in the notes to our consolidated financial statements under the caption “</w:t>
      </w:r>
      <w:r>
        <w:rPr>
          <w:rFonts w:ascii="Times New Roman" w:cs="Times New Roman" w:eastAsia="Times New Roman" w:hAnsi="Times New Roman"/>
          <w:sz w:val="14"/>
          <w:szCs w:val="14"/>
          <w:i w:val="1"/>
          <w:iCs w:val="1"/>
          <w:color w:val="auto"/>
        </w:rPr>
        <w:t>Note 10. Financial Highlights</w:t>
      </w:r>
      <w:r>
        <w:rPr>
          <w:rFonts w:ascii="Times New Roman" w:cs="Times New Roman" w:eastAsia="Times New Roman" w:hAnsi="Times New Roman"/>
          <w:sz w:val="14"/>
          <w:szCs w:val="14"/>
          <w:color w:val="auto"/>
        </w:rPr>
        <w:t xml:space="preserve">” in Part II, Item 8 of our most recent </w:t>
      </w:r>
      <w:hyperlink r:id="rId74">
        <w:r>
          <w:rPr>
            <w:rFonts w:ascii="Times New Roman" w:cs="Times New Roman" w:eastAsia="Times New Roman" w:hAnsi="Times New Roman"/>
            <w:sz w:val="14"/>
            <w:szCs w:val="14"/>
            <w:u w:val="single" w:color="auto"/>
            <w:color w:val="0000EE"/>
          </w:rPr>
          <w:t>Annual Report on Form 10-K</w:t>
        </w:r>
      </w:hyperlink>
      <w:r>
        <w:rPr>
          <w:rFonts w:ascii="Times New Roman" w:cs="Times New Roman" w:eastAsia="Times New Roman" w:hAnsi="Times New Roman"/>
          <w:sz w:val="14"/>
          <w:szCs w:val="14"/>
          <w:color w:val="auto"/>
        </w:rPr>
        <w:t>, which has been audited by our independent registered public accounting firm whose reports thereon are incorporated by reference in this prospectus, and is incorporated herein by reference.</w:t>
      </w:r>
    </w:p>
    <w:p>
      <w:pPr>
        <w:spacing w:after="0" w:line="143" w:lineRule="exact"/>
        <w:rPr>
          <w:sz w:val="20"/>
          <w:szCs w:val="20"/>
          <w:color w:val="auto"/>
        </w:rPr>
      </w:pPr>
    </w:p>
    <w:p>
      <w:pPr>
        <w:jc w:val="both"/>
        <w:ind w:left="1380" w:right="659" w:firstLine="341"/>
        <w:spacing w:after="0" w:line="265"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Unaudited information about our financial highlights for the fiscal quarter ended March 31, 2026 is located in the notes to our consolidated financial statements under the caption “</w:t>
      </w:r>
      <w:r>
        <w:rPr>
          <w:rFonts w:ascii="Times New Roman" w:cs="Times New Roman" w:eastAsia="Times New Roman" w:hAnsi="Times New Roman"/>
          <w:sz w:val="14"/>
          <w:szCs w:val="14"/>
          <w:i w:val="1"/>
          <w:iCs w:val="1"/>
          <w:color w:val="auto"/>
        </w:rPr>
        <w:t>Note 10. Financial Highlights</w:t>
      </w:r>
      <w:r>
        <w:rPr>
          <w:rFonts w:ascii="Times New Roman" w:cs="Times New Roman" w:eastAsia="Times New Roman" w:hAnsi="Times New Roman"/>
          <w:sz w:val="14"/>
          <w:szCs w:val="14"/>
          <w:color w:val="auto"/>
        </w:rPr>
        <w:t xml:space="preserve">” in Part I, Item 1 of our most recent </w:t>
      </w:r>
      <w:hyperlink r:id="rId75">
        <w:r>
          <w:rPr>
            <w:rFonts w:ascii="Times New Roman" w:cs="Times New Roman" w:eastAsia="Times New Roman" w:hAnsi="Times New Roman"/>
            <w:sz w:val="14"/>
            <w:szCs w:val="14"/>
            <w:u w:val="single" w:color="auto"/>
            <w:color w:val="0000EE"/>
          </w:rPr>
          <w:t>Quarterly Report on Form 10-Q</w:t>
        </w:r>
      </w:hyperlink>
      <w:r>
        <w:rPr>
          <w:rFonts w:ascii="Times New Roman" w:cs="Times New Roman" w:eastAsia="Times New Roman" w:hAnsi="Times New Roman"/>
          <w:sz w:val="14"/>
          <w:szCs w:val="14"/>
          <w:color w:val="auto"/>
        </w:rPr>
        <w:t>, and is incorporated herein by reference.</w:t>
      </w:r>
    </w:p>
    <w:p>
      <w:pPr>
        <w:spacing w:after="0" w:line="8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40</w:t>
      </w:r>
    </w:p>
    <w:p>
      <w:pPr>
        <w:sectPr>
          <w:pgSz w:w="11900" w:h="16838" w:orient="portrait"/>
          <w:cols w:equalWidth="0" w:num="1">
            <w:col w:w="10159"/>
          </w:cols>
          <w:pgMar w:left="300" w:top="384" w:right="1440"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6">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7"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14"/>
          <w:szCs w:val="14"/>
          <w:b w:val="1"/>
          <w:bCs w:val="1"/>
          <w:color w:val="auto"/>
        </w:rPr>
        <w:t>MANAGEMENT’S DISCUSSION AND ANALYSIS OF FINANCIAL CONDITION AND RESULTS OF OPERATIONS</w:t>
      </w:r>
    </w:p>
    <w:p>
      <w:pPr>
        <w:spacing w:after="0" w:line="174" w:lineRule="exact"/>
        <w:rPr>
          <w:sz w:val="20"/>
          <w:szCs w:val="20"/>
          <w:color w:val="auto"/>
        </w:rPr>
      </w:pPr>
    </w:p>
    <w:p>
      <w:pPr>
        <w:ind w:left="1380" w:right="239" w:firstLine="341"/>
        <w:spacing w:after="0" w:line="261" w:lineRule="auto"/>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color w:val="auto"/>
        </w:rPr>
        <w:t>The information contained under the captions “</w:t>
      </w:r>
      <w:r>
        <w:rPr>
          <w:rFonts w:ascii="Times New Roman" w:cs="Times New Roman" w:eastAsia="Times New Roman" w:hAnsi="Times New Roman"/>
          <w:sz w:val="14"/>
          <w:szCs w:val="14"/>
          <w:i w:val="1"/>
          <w:iCs w:val="1"/>
          <w:color w:val="auto"/>
        </w:rPr>
        <w:t>Management’s Discussion and Analysis of Financial Condition and Results of Operations</w:t>
      </w:r>
      <w:r>
        <w:rPr>
          <w:rFonts w:ascii="Times New Roman" w:cs="Times New Roman" w:eastAsia="Times New Roman" w:hAnsi="Times New Roman"/>
          <w:sz w:val="14"/>
          <w:szCs w:val="14"/>
          <w:color w:val="auto"/>
        </w:rPr>
        <w:t xml:space="preserve">” in Part II, Item 7 of our </w:t>
      </w:r>
      <w:hyperlink r:id="rId77">
        <w:r>
          <w:rPr>
            <w:rFonts w:ascii="Times New Roman" w:cs="Times New Roman" w:eastAsia="Times New Roman" w:hAnsi="Times New Roman"/>
            <w:sz w:val="14"/>
            <w:szCs w:val="14"/>
            <w:u w:val="single" w:color="auto"/>
            <w:color w:val="0000EE"/>
          </w:rPr>
          <w:t>Annual Report on Form 10-K</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for the fiscal year ended December 31, 2025 and “</w:t>
      </w:r>
      <w:r>
        <w:rPr>
          <w:rFonts w:ascii="Times New Roman" w:cs="Times New Roman" w:eastAsia="Times New Roman" w:hAnsi="Times New Roman"/>
          <w:sz w:val="14"/>
          <w:szCs w:val="14"/>
          <w:i w:val="1"/>
          <w:iCs w:val="1"/>
          <w:color w:val="auto"/>
        </w:rPr>
        <w:t>Management’s Discussion and Analysis of Financial</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Condition and Results of Operations</w:t>
      </w:r>
      <w:r>
        <w:rPr>
          <w:rFonts w:ascii="Times New Roman" w:cs="Times New Roman" w:eastAsia="Times New Roman" w:hAnsi="Times New Roman"/>
          <w:sz w:val="14"/>
          <w:szCs w:val="14"/>
          <w:color w:val="auto"/>
        </w:rPr>
        <w:t>” in Part I, Item 2 of our</w:t>
      </w:r>
      <w:r>
        <w:rPr>
          <w:rFonts w:ascii="Times New Roman" w:cs="Times New Roman" w:eastAsia="Times New Roman" w:hAnsi="Times New Roman"/>
          <w:sz w:val="14"/>
          <w:szCs w:val="14"/>
          <w:i w:val="1"/>
          <w:iCs w:val="1"/>
          <w:color w:val="auto"/>
        </w:rPr>
        <w:t xml:space="preserve"> </w:t>
      </w:r>
      <w:hyperlink r:id="rId63">
        <w:r>
          <w:rPr>
            <w:rFonts w:ascii="Times New Roman" w:cs="Times New Roman" w:eastAsia="Times New Roman" w:hAnsi="Times New Roman"/>
            <w:sz w:val="14"/>
            <w:szCs w:val="14"/>
            <w:u w:val="single" w:color="auto"/>
            <w:color w:val="0000EE"/>
          </w:rPr>
          <w:t>Quarterly Report on Form 10-Q</w:t>
        </w:r>
        <w:r>
          <w:rPr>
            <w:rFonts w:ascii="Times New Roman" w:cs="Times New Roman" w:eastAsia="Times New Roman" w:hAnsi="Times New Roman"/>
            <w:sz w:val="14"/>
            <w:szCs w:val="14"/>
            <w:i w:val="1"/>
            <w:iCs w:val="1"/>
            <w:u w:val="single" w:color="auto"/>
            <w:color w:val="auto"/>
          </w:rPr>
          <w:t xml:space="preserve"> </w:t>
        </w:r>
      </w:hyperlink>
      <w:r>
        <w:rPr>
          <w:rFonts w:ascii="Times New Roman" w:cs="Times New Roman" w:eastAsia="Times New Roman" w:hAnsi="Times New Roman"/>
          <w:sz w:val="14"/>
          <w:szCs w:val="14"/>
          <w:color w:val="auto"/>
        </w:rPr>
        <w:t>for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the fiscal quarter ended March 31, 2026 is incorporated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by reference herein.</w:t>
      </w:r>
    </w:p>
    <w:p>
      <w:pPr>
        <w:spacing w:after="0" w:line="8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41</w:t>
      </w:r>
    </w:p>
    <w:p>
      <w:pPr>
        <w:sectPr>
          <w:pgSz w:w="11900" w:h="16838" w:orient="portrait"/>
          <w:cols w:equalWidth="0" w:num="1">
            <w:col w:w="10159"/>
          </w:cols>
          <w:pgMar w:left="300" w:top="384" w:right="1440"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8">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7"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QUANTITATIVE AND QUALITATIVE DISCLOSURES ABOUT MARKET RISK</w:t>
      </w:r>
    </w:p>
    <w:p>
      <w:pPr>
        <w:spacing w:after="0" w:line="174" w:lineRule="exact"/>
        <w:rPr>
          <w:sz w:val="20"/>
          <w:szCs w:val="20"/>
          <w:color w:val="auto"/>
        </w:rPr>
      </w:pPr>
    </w:p>
    <w:p>
      <w:pPr>
        <w:ind w:left="1380" w:right="339" w:firstLine="341"/>
        <w:spacing w:after="0" w:line="266" w:lineRule="auto"/>
        <w:rPr>
          <w:rFonts w:ascii="Times New Roman" w:cs="Times New Roman" w:eastAsia="Times New Roman" w:hAnsi="Times New Roman"/>
          <w:sz w:val="14"/>
          <w:szCs w:val="14"/>
          <w:color w:val="000000"/>
        </w:rPr>
      </w:pPr>
      <w:hyperlink r:id="rId79">
        <w:r>
          <w:rPr>
            <w:rFonts w:ascii="Times New Roman" w:cs="Times New Roman" w:eastAsia="Times New Roman" w:hAnsi="Times New Roman"/>
            <w:sz w:val="14"/>
            <w:szCs w:val="14"/>
            <w:color w:val="auto"/>
          </w:rPr>
          <w:t>The information contained under the captions “</w:t>
        </w:r>
        <w:r>
          <w:rPr>
            <w:rFonts w:ascii="Times New Roman" w:cs="Times New Roman" w:eastAsia="Times New Roman" w:hAnsi="Times New Roman"/>
            <w:sz w:val="14"/>
            <w:szCs w:val="14"/>
            <w:i w:val="1"/>
            <w:iCs w:val="1"/>
            <w:color w:val="auto"/>
          </w:rPr>
          <w:t>Quantitative and Qualitative Disclosures About Market Risk</w:t>
        </w:r>
        <w:r>
          <w:rPr>
            <w:rFonts w:ascii="Times New Roman" w:cs="Times New Roman" w:eastAsia="Times New Roman" w:hAnsi="Times New Roman"/>
            <w:sz w:val="14"/>
            <w:szCs w:val="14"/>
            <w:color w:val="auto"/>
          </w:rPr>
          <w:t xml:space="preserve">” in Part II, Item 7A of our </w:t>
        </w:r>
        <w:r>
          <w:rPr>
            <w:rFonts w:ascii="Times New Roman" w:cs="Times New Roman" w:eastAsia="Times New Roman" w:hAnsi="Times New Roman"/>
            <w:sz w:val="14"/>
            <w:szCs w:val="14"/>
            <w:u w:val="single" w:color="auto"/>
            <w:color w:val="0000EE"/>
          </w:rPr>
          <w:t>Annual</w:t>
        </w:r>
      </w:hyperlink>
      <w:r>
        <w:rPr>
          <w:rFonts w:ascii="Times New Roman" w:cs="Times New Roman" w:eastAsia="Times New Roman" w:hAnsi="Times New Roman"/>
          <w:sz w:val="14"/>
          <w:szCs w:val="14"/>
          <w:color w:val="auto"/>
        </w:rPr>
        <w:t xml:space="preserve"> </w:t>
      </w:r>
      <w:hyperlink r:id="rId79">
        <w:r>
          <w:rPr>
            <w:rFonts w:ascii="Times New Roman" w:cs="Times New Roman" w:eastAsia="Times New Roman" w:hAnsi="Times New Roman"/>
            <w:sz w:val="14"/>
            <w:szCs w:val="14"/>
            <w:u w:val="single" w:color="auto"/>
            <w:color w:val="0000EE"/>
          </w:rPr>
          <w:t>Report on Form 10-K</w:t>
        </w:r>
        <w:r>
          <w:rPr>
            <w:rFonts w:ascii="Times New Roman" w:cs="Times New Roman" w:eastAsia="Times New Roman" w:hAnsi="Times New Roman"/>
            <w:sz w:val="14"/>
            <w:szCs w:val="14"/>
            <w:color w:val="0000EE"/>
          </w:rPr>
          <w:t xml:space="preserve"> </w:t>
        </w:r>
        <w:r>
          <w:rPr>
            <w:rFonts w:ascii="Times New Roman" w:cs="Times New Roman" w:eastAsia="Times New Roman" w:hAnsi="Times New Roman"/>
            <w:sz w:val="14"/>
            <w:szCs w:val="14"/>
            <w:color w:val="000000"/>
          </w:rPr>
          <w:t>for the fiscal year ended December 31, 2025 and “</w:t>
        </w:r>
        <w:r>
          <w:rPr>
            <w:rFonts w:ascii="Times New Roman" w:cs="Times New Roman" w:eastAsia="Times New Roman" w:hAnsi="Times New Roman"/>
            <w:sz w:val="14"/>
            <w:szCs w:val="14"/>
            <w:i w:val="1"/>
            <w:iCs w:val="1"/>
            <w:color w:val="000000"/>
          </w:rPr>
          <w:t>Quantitative and Qualitative Disclosures About Market Risk</w:t>
        </w:r>
        <w:r>
          <w:rPr>
            <w:rFonts w:ascii="Times New Roman" w:cs="Times New Roman" w:eastAsia="Times New Roman" w:hAnsi="Times New Roman"/>
            <w:sz w:val="14"/>
            <w:szCs w:val="14"/>
            <w:color w:val="000000"/>
          </w:rPr>
          <w:t xml:space="preserve">” in Part I, Item </w:t>
        </w:r>
      </w:hyperlink>
      <w:r>
        <w:rPr>
          <w:rFonts w:ascii="Times New Roman" w:cs="Times New Roman" w:eastAsia="Times New Roman" w:hAnsi="Times New Roman"/>
          <w:sz w:val="14"/>
          <w:szCs w:val="14"/>
          <w:color w:val="0000EE"/>
        </w:rPr>
        <w:t xml:space="preserve">3 </w:t>
      </w:r>
      <w:r>
        <w:rPr>
          <w:rFonts w:ascii="Times New Roman" w:cs="Times New Roman" w:eastAsia="Times New Roman" w:hAnsi="Times New Roman"/>
          <w:sz w:val="14"/>
          <w:szCs w:val="14"/>
          <w:color w:val="000000"/>
        </w:rPr>
        <w:t xml:space="preserve">of our </w:t>
      </w:r>
      <w:hyperlink r:id="rId80">
        <w:r>
          <w:rPr>
            <w:rFonts w:ascii="Times New Roman" w:cs="Times New Roman" w:eastAsia="Times New Roman" w:hAnsi="Times New Roman"/>
            <w:sz w:val="14"/>
            <w:szCs w:val="14"/>
            <w:u w:val="single" w:color="auto"/>
            <w:color w:val="0000EE"/>
          </w:rPr>
          <w:t>Quarterly Report on Form 10-Q</w:t>
        </w:r>
        <w:r>
          <w:rPr>
            <w:rFonts w:ascii="Times New Roman" w:cs="Times New Roman" w:eastAsia="Times New Roman" w:hAnsi="Times New Roman"/>
            <w:sz w:val="14"/>
            <w:szCs w:val="14"/>
            <w:u w:val="single" w:color="auto"/>
            <w:color w:val="000000"/>
          </w:rPr>
          <w:t xml:space="preserve"> </w:t>
        </w:r>
      </w:hyperlink>
      <w:r>
        <w:rPr>
          <w:rFonts w:ascii="Times New Roman" w:cs="Times New Roman" w:eastAsia="Times New Roman" w:hAnsi="Times New Roman"/>
          <w:sz w:val="14"/>
          <w:szCs w:val="14"/>
          <w:color w:val="000000"/>
        </w:rPr>
        <w:t>for the fiscal quarter ended March 31, 2026 is incorporated by reference herein.</w:t>
      </w:r>
    </w:p>
    <w:p>
      <w:pPr>
        <w:spacing w:after="0" w:line="84" w:lineRule="exact"/>
        <w:rPr>
          <w:rFonts w:ascii="Times New Roman" w:cs="Times New Roman" w:eastAsia="Times New Roman" w:hAnsi="Times New Roman"/>
          <w:sz w:val="14"/>
          <w:szCs w:val="14"/>
          <w:color w:val="auto"/>
        </w:rPr>
      </w:pPr>
    </w:p>
    <w:p>
      <w:pPr>
        <w:ind w:left="5580"/>
        <w:spacing w:after="0"/>
        <w:rPr>
          <w:sz w:val="20"/>
          <w:szCs w:val="20"/>
          <w:color w:val="auto"/>
        </w:rPr>
      </w:pPr>
      <w:r>
        <w:rPr>
          <w:rFonts w:ascii="Times New Roman" w:cs="Times New Roman" w:eastAsia="Times New Roman" w:hAnsi="Times New Roman"/>
          <w:sz w:val="14"/>
          <w:szCs w:val="14"/>
          <w:color w:val="auto"/>
        </w:rPr>
        <w:t>42</w:t>
      </w:r>
    </w:p>
    <w:p>
      <w:pPr>
        <w:sectPr>
          <w:pgSz w:w="11900" w:h="16838" w:orient="portrait"/>
          <w:cols w:equalWidth="0" w:num="1">
            <w:col w:w="10159"/>
          </w:cols>
          <w:pgMar w:left="300" w:top="384" w:right="1440"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1">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BUSINESS</w:t>
      </w:r>
    </w:p>
    <w:p>
      <w:pPr>
        <w:spacing w:after="0" w:line="174" w:lineRule="exact"/>
        <w:rPr>
          <w:sz w:val="20"/>
          <w:szCs w:val="20"/>
          <w:color w:val="auto"/>
        </w:rPr>
      </w:pPr>
    </w:p>
    <w:p>
      <w:pPr>
        <w:ind w:left="1380" w:right="399" w:firstLine="341"/>
        <w:spacing w:after="0" w:line="296" w:lineRule="auto"/>
        <w:rPr>
          <w:rFonts w:ascii="Times New Roman" w:cs="Times New Roman" w:eastAsia="Times New Roman" w:hAnsi="Times New Roman"/>
          <w:sz w:val="13"/>
          <w:szCs w:val="13"/>
          <w:i w:val="1"/>
          <w:iCs w:val="1"/>
          <w:color w:val="0000EE"/>
        </w:rPr>
      </w:pPr>
      <w:hyperlink r:id="rId82">
        <w:r>
          <w:rPr>
            <w:rFonts w:ascii="Times New Roman" w:cs="Times New Roman" w:eastAsia="Times New Roman" w:hAnsi="Times New Roman"/>
            <w:sz w:val="13"/>
            <w:szCs w:val="13"/>
            <w:color w:val="auto"/>
          </w:rPr>
          <w:t>The information contained under the captions “</w:t>
        </w:r>
        <w:r>
          <w:rPr>
            <w:rFonts w:ascii="Times New Roman" w:cs="Times New Roman" w:eastAsia="Times New Roman" w:hAnsi="Times New Roman"/>
            <w:sz w:val="13"/>
            <w:szCs w:val="13"/>
            <w:i w:val="1"/>
            <w:iCs w:val="1"/>
            <w:u w:val="single" w:color="auto"/>
            <w:color w:val="0000EE"/>
          </w:rPr>
          <w:t>General</w:t>
        </w:r>
        <w:r>
          <w:rPr>
            <w:rFonts w:ascii="Times New Roman" w:cs="Times New Roman" w:eastAsia="Times New Roman" w:hAnsi="Times New Roman"/>
            <w:sz w:val="13"/>
            <w:szCs w:val="13"/>
            <w:color w:val="auto"/>
          </w:rPr>
          <w:t>” in Part I, Item 1, “</w:t>
        </w:r>
        <w:r>
          <w:rPr>
            <w:rFonts w:ascii="Times New Roman" w:cs="Times New Roman" w:eastAsia="Times New Roman" w:hAnsi="Times New Roman"/>
            <w:sz w:val="13"/>
            <w:szCs w:val="13"/>
            <w:i w:val="1"/>
            <w:iCs w:val="1"/>
            <w:u w:val="single" w:color="auto"/>
            <w:color w:val="0000EE"/>
          </w:rPr>
          <w:t>Legal Proceedings</w:t>
        </w:r>
        <w:r>
          <w:rPr>
            <w:rFonts w:ascii="Times New Roman" w:cs="Times New Roman" w:eastAsia="Times New Roman" w:hAnsi="Times New Roman"/>
            <w:sz w:val="13"/>
            <w:szCs w:val="13"/>
            <w:color w:val="auto"/>
          </w:rPr>
          <w:t>” in Part I, Item 3, and “</w:t>
        </w:r>
        <w:r>
          <w:rPr>
            <w:rFonts w:ascii="Times New Roman" w:cs="Times New Roman" w:eastAsia="Times New Roman" w:hAnsi="Times New Roman"/>
            <w:sz w:val="13"/>
            <w:szCs w:val="13"/>
            <w:i w:val="1"/>
            <w:iCs w:val="1"/>
            <w:u w:val="single" w:color="auto"/>
            <w:color w:val="0000EE"/>
          </w:rPr>
          <w:t>Price Range of Common</w:t>
        </w:r>
      </w:hyperlink>
      <w:r>
        <w:rPr>
          <w:rFonts w:ascii="Times New Roman" w:cs="Times New Roman" w:eastAsia="Times New Roman" w:hAnsi="Times New Roman"/>
          <w:sz w:val="13"/>
          <w:szCs w:val="13"/>
          <w:color w:val="auto"/>
        </w:rPr>
        <w:t xml:space="preserve"> </w:t>
      </w:r>
      <w:hyperlink r:id="rId83">
        <w:r>
          <w:rPr>
            <w:rFonts w:ascii="Times New Roman" w:cs="Times New Roman" w:eastAsia="Times New Roman" w:hAnsi="Times New Roman"/>
            <w:sz w:val="13"/>
            <w:szCs w:val="13"/>
            <w:i w:val="1"/>
            <w:iCs w:val="1"/>
            <w:u w:val="single" w:color="auto"/>
            <w:color w:val="0000EE"/>
          </w:rPr>
          <w:t>Stock</w:t>
        </w:r>
        <w:r>
          <w:rPr>
            <w:rFonts w:ascii="Times New Roman" w:cs="Times New Roman" w:eastAsia="Times New Roman" w:hAnsi="Times New Roman"/>
            <w:sz w:val="13"/>
            <w:szCs w:val="13"/>
            <w:color w:val="000000"/>
          </w:rPr>
          <w:t>” in Part II, Item 5 of our Annual Report on Form 10-K for the fiscal year ended December 31, 2025, “</w:t>
        </w:r>
        <w:r>
          <w:rPr>
            <w:rFonts w:ascii="Times New Roman" w:cs="Times New Roman" w:eastAsia="Times New Roman" w:hAnsi="Times New Roman"/>
            <w:sz w:val="13"/>
            <w:szCs w:val="13"/>
            <w:i w:val="1"/>
            <w:iCs w:val="1"/>
            <w:u w:val="single" w:color="auto"/>
            <w:color w:val="0000EE"/>
          </w:rPr>
          <w:t>Overview</w:t>
        </w:r>
        <w:r>
          <w:rPr>
            <w:rFonts w:ascii="Times New Roman" w:cs="Times New Roman" w:eastAsia="Times New Roman" w:hAnsi="Times New Roman"/>
            <w:sz w:val="13"/>
            <w:szCs w:val="13"/>
            <w:color w:val="000000"/>
          </w:rPr>
          <w:t>” in Part I, Item 2 and “</w:t>
        </w:r>
        <w:r>
          <w:rPr>
            <w:rFonts w:ascii="Times New Roman" w:cs="Times New Roman" w:eastAsia="Times New Roman" w:hAnsi="Times New Roman"/>
            <w:sz w:val="13"/>
            <w:szCs w:val="13"/>
            <w:i w:val="1"/>
            <w:iCs w:val="1"/>
            <w:u w:val="single" w:color="auto"/>
            <w:color w:val="0000EE"/>
          </w:rPr>
          <w:t>Legal</w:t>
        </w:r>
      </w:hyperlink>
      <w:r>
        <w:rPr>
          <w:rFonts w:ascii="Times New Roman" w:cs="Times New Roman" w:eastAsia="Times New Roman" w:hAnsi="Times New Roman"/>
          <w:sz w:val="13"/>
          <w:szCs w:val="13"/>
          <w:i w:val="1"/>
          <w:iCs w:val="1"/>
          <w:color w:val="0000EE"/>
        </w:rPr>
        <w:t xml:space="preserve"> </w:t>
      </w:r>
      <w:hyperlink r:id="rId83">
        <w:r>
          <w:rPr>
            <w:rFonts w:ascii="Times New Roman" w:cs="Times New Roman" w:eastAsia="Times New Roman" w:hAnsi="Times New Roman"/>
            <w:sz w:val="13"/>
            <w:szCs w:val="13"/>
            <w:i w:val="1"/>
            <w:iCs w:val="1"/>
            <w:u w:val="single" w:color="auto"/>
            <w:color w:val="0000EE"/>
          </w:rPr>
          <w:t>Proceedings</w:t>
        </w:r>
        <w:r>
          <w:rPr>
            <w:rFonts w:ascii="Times New Roman" w:cs="Times New Roman" w:eastAsia="Times New Roman" w:hAnsi="Times New Roman"/>
            <w:sz w:val="13"/>
            <w:szCs w:val="13"/>
            <w:color w:val="000000"/>
          </w:rPr>
          <w:t xml:space="preserve">” in Part II, Item 1 of our Quarterly Report on Form 10-Q for the fiscal quarter ended March 31, 2026 is incorporated by reference </w:t>
        </w:r>
      </w:hyperlink>
      <w:r>
        <w:rPr>
          <w:rFonts w:ascii="Times New Roman" w:cs="Times New Roman" w:eastAsia="Times New Roman" w:hAnsi="Times New Roman"/>
          <w:sz w:val="13"/>
          <w:szCs w:val="13"/>
          <w:i w:val="1"/>
          <w:iCs w:val="1"/>
          <w:color w:val="0000EE"/>
        </w:rPr>
        <w:t>herein.</w:t>
      </w:r>
    </w:p>
    <w:p>
      <w:pPr>
        <w:spacing w:after="0" w:line="119" w:lineRule="exact"/>
        <w:rPr>
          <w:rFonts w:ascii="Times New Roman" w:cs="Times New Roman" w:eastAsia="Times New Roman" w:hAnsi="Times New Roman"/>
          <w:sz w:val="13"/>
          <w:szCs w:val="13"/>
          <w:color w:val="auto"/>
        </w:rPr>
      </w:pPr>
    </w:p>
    <w:p>
      <w:pPr>
        <w:ind w:left="1720"/>
        <w:spacing w:after="0"/>
        <w:rPr>
          <w:sz w:val="20"/>
          <w:szCs w:val="20"/>
          <w:color w:val="auto"/>
        </w:rPr>
      </w:pPr>
      <w:r>
        <w:rPr>
          <w:rFonts w:ascii="Times New Roman" w:cs="Times New Roman" w:eastAsia="Times New Roman" w:hAnsi="Times New Roman"/>
          <w:sz w:val="14"/>
          <w:szCs w:val="14"/>
          <w:color w:val="auto"/>
        </w:rPr>
        <w:t>The following table lists the high and low closing sales price as a percentage of NAV on our common stock for the fiscal quarter ended March 31,</w:t>
      </w:r>
    </w:p>
    <w:p>
      <w:pPr>
        <w:spacing w:after="0" w:line="21" w:lineRule="exact"/>
        <w:rPr>
          <w:rFonts w:ascii="Times New Roman" w:cs="Times New Roman" w:eastAsia="Times New Roman" w:hAnsi="Times New Roman"/>
          <w:sz w:val="13"/>
          <w:szCs w:val="13"/>
          <w:color w:val="auto"/>
        </w:rPr>
      </w:pPr>
    </w:p>
    <w:p>
      <w:pPr>
        <w:ind w:left="1380"/>
        <w:spacing w:after="0"/>
        <w:rPr>
          <w:sz w:val="20"/>
          <w:szCs w:val="20"/>
          <w:color w:val="auto"/>
        </w:rPr>
      </w:pPr>
      <w:r>
        <w:rPr>
          <w:rFonts w:ascii="Times New Roman" w:cs="Times New Roman" w:eastAsia="Times New Roman" w:hAnsi="Times New Roman"/>
          <w:sz w:val="14"/>
          <w:szCs w:val="14"/>
          <w:color w:val="auto"/>
        </w:rPr>
        <w:t>2026:</w:t>
      </w:r>
    </w:p>
    <w:p>
      <w:pPr>
        <w:spacing w:after="0" w:line="164" w:lineRule="exact"/>
        <w:rPr>
          <w:rFonts w:ascii="Times New Roman" w:cs="Times New Roman" w:eastAsia="Times New Roman" w:hAnsi="Times New Roman"/>
          <w:sz w:val="13"/>
          <w:szCs w:val="13"/>
          <w:color w:val="auto"/>
        </w:rPr>
      </w:pPr>
    </w:p>
    <w:tbl>
      <w:tblPr>
        <w:tblLayout w:type="fixed"/>
        <w:tblInd w:w="1380" w:type="dxa"/>
        <w:tblCellMar>
          <w:top w:w="0" w:type="dxa"/>
          <w:left w:w="0" w:type="dxa"/>
          <w:bottom w:w="0" w:type="dxa"/>
          <w:right w:w="0" w:type="dxa"/>
        </w:tblCellMar>
      </w:tblPr>
      <w:tr>
        <w:trPr>
          <w:trHeight w:val="126"/>
        </w:trPr>
        <w:tc>
          <w:tcPr>
            <w:tcW w:w="3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60" w:type="dxa"/>
            <w:vAlign w:val="bottom"/>
            <w:gridSpan w:val="2"/>
          </w:tcPr>
          <w:p>
            <w:pPr>
              <w:jc w:val="center"/>
              <w:ind w:right="540"/>
              <w:spacing w:after="0"/>
              <w:rPr>
                <w:sz w:val="20"/>
                <w:szCs w:val="20"/>
                <w:color w:val="auto"/>
              </w:rPr>
            </w:pPr>
            <w:r>
              <w:rPr>
                <w:rFonts w:ascii="Times New Roman" w:cs="Times New Roman" w:eastAsia="Times New Roman" w:hAnsi="Times New Roman"/>
                <w:sz w:val="11"/>
                <w:szCs w:val="11"/>
                <w:b w:val="1"/>
                <w:bCs w:val="1"/>
                <w:color w:val="auto"/>
              </w:rPr>
              <w:t>Premium /</w:t>
            </w:r>
          </w:p>
        </w:tc>
        <w:tc>
          <w:tcPr>
            <w:tcW w:w="82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Premium /</w:t>
            </w:r>
          </w:p>
        </w:tc>
        <w:tc>
          <w:tcPr>
            <w:tcW w:w="0" w:type="dxa"/>
            <w:vAlign w:val="bottom"/>
          </w:tcPr>
          <w:p>
            <w:pPr>
              <w:spacing w:after="0"/>
              <w:rPr>
                <w:sz w:val="1"/>
                <w:szCs w:val="1"/>
                <w:color w:val="auto"/>
              </w:rPr>
            </w:pPr>
          </w:p>
        </w:tc>
      </w:tr>
      <w:tr>
        <w:trPr>
          <w:trHeight w:val="115"/>
        </w:trPr>
        <w:tc>
          <w:tcPr>
            <w:tcW w:w="320" w:type="dxa"/>
            <w:vAlign w:val="bottom"/>
          </w:tcPr>
          <w:p>
            <w:pPr>
              <w:spacing w:after="0"/>
              <w:rPr>
                <w:sz w:val="10"/>
                <w:szCs w:val="10"/>
                <w:color w:val="auto"/>
              </w:rPr>
            </w:pPr>
          </w:p>
        </w:tc>
        <w:tc>
          <w:tcPr>
            <w:tcW w:w="2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160" w:type="dxa"/>
            <w:vAlign w:val="bottom"/>
            <w:gridSpan w:val="2"/>
          </w:tcPr>
          <w:p>
            <w:pPr>
              <w:jc w:val="center"/>
              <w:ind w:right="540"/>
              <w:spacing w:after="0" w:line="115" w:lineRule="exact"/>
              <w:rPr>
                <w:sz w:val="20"/>
                <w:szCs w:val="20"/>
                <w:color w:val="auto"/>
              </w:rPr>
            </w:pPr>
            <w:r>
              <w:rPr>
                <w:rFonts w:ascii="Times New Roman" w:cs="Times New Roman" w:eastAsia="Times New Roman" w:hAnsi="Times New Roman"/>
                <w:sz w:val="11"/>
                <w:szCs w:val="11"/>
                <w:b w:val="1"/>
                <w:bCs w:val="1"/>
                <w:color w:val="auto"/>
              </w:rPr>
              <w:t>(Discount) of</w:t>
            </w:r>
          </w:p>
        </w:tc>
        <w:tc>
          <w:tcPr>
            <w:tcW w:w="820" w:type="dxa"/>
            <w:vAlign w:val="bottom"/>
            <w:gridSpan w:val="2"/>
          </w:tcPr>
          <w:p>
            <w:pPr>
              <w:jc w:val="center"/>
              <w:ind w:right="200"/>
              <w:spacing w:after="0" w:line="115" w:lineRule="exact"/>
              <w:rPr>
                <w:sz w:val="20"/>
                <w:szCs w:val="20"/>
                <w:color w:val="auto"/>
              </w:rPr>
            </w:pPr>
            <w:r>
              <w:rPr>
                <w:rFonts w:ascii="Times New Roman" w:cs="Times New Roman" w:eastAsia="Times New Roman" w:hAnsi="Times New Roman"/>
                <w:sz w:val="11"/>
                <w:szCs w:val="11"/>
                <w:b w:val="1"/>
                <w:bCs w:val="1"/>
                <w:color w:val="auto"/>
              </w:rPr>
              <w:t>(Discount) of</w:t>
            </w:r>
          </w:p>
        </w:tc>
        <w:tc>
          <w:tcPr>
            <w:tcW w:w="0" w:type="dxa"/>
            <w:vAlign w:val="bottom"/>
          </w:tcPr>
          <w:p>
            <w:pPr>
              <w:spacing w:after="0"/>
              <w:rPr>
                <w:sz w:val="1"/>
                <w:szCs w:val="1"/>
                <w:color w:val="auto"/>
              </w:rPr>
            </w:pPr>
          </w:p>
        </w:tc>
      </w:tr>
      <w:tr>
        <w:trPr>
          <w:trHeight w:val="115"/>
        </w:trPr>
        <w:tc>
          <w:tcPr>
            <w:tcW w:w="320" w:type="dxa"/>
            <w:vAlign w:val="bottom"/>
          </w:tcPr>
          <w:p>
            <w:pPr>
              <w:spacing w:after="0"/>
              <w:rPr>
                <w:sz w:val="10"/>
                <w:szCs w:val="10"/>
                <w:color w:val="auto"/>
              </w:rPr>
            </w:pPr>
          </w:p>
        </w:tc>
        <w:tc>
          <w:tcPr>
            <w:tcW w:w="2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60" w:type="dxa"/>
            <w:vAlign w:val="bottom"/>
            <w:gridSpan w:val="3"/>
            <w:vMerge w:val="restart"/>
          </w:tcPr>
          <w:p>
            <w:pPr>
              <w:spacing w:after="0"/>
              <w:rPr>
                <w:sz w:val="20"/>
                <w:szCs w:val="20"/>
                <w:color w:val="auto"/>
              </w:rPr>
            </w:pPr>
            <w:r>
              <w:rPr>
                <w:rFonts w:ascii="Times New Roman" w:cs="Times New Roman" w:eastAsia="Times New Roman" w:hAnsi="Times New Roman"/>
                <w:sz w:val="11"/>
                <w:szCs w:val="11"/>
                <w:b w:val="1"/>
                <w:bCs w:val="1"/>
                <w:color w:val="auto"/>
              </w:rPr>
              <w:t>High Closing</w:t>
            </w:r>
          </w:p>
        </w:tc>
        <w:tc>
          <w:tcPr>
            <w:tcW w:w="1040" w:type="dxa"/>
            <w:vAlign w:val="bottom"/>
            <w:gridSpan w:val="3"/>
            <w:vMerge w:val="restart"/>
          </w:tcPr>
          <w:p>
            <w:pPr>
              <w:spacing w:after="0"/>
              <w:rPr>
                <w:sz w:val="20"/>
                <w:szCs w:val="20"/>
                <w:color w:val="auto"/>
              </w:rPr>
            </w:pPr>
            <w:r>
              <w:rPr>
                <w:rFonts w:ascii="Times New Roman" w:cs="Times New Roman" w:eastAsia="Times New Roman" w:hAnsi="Times New Roman"/>
                <w:sz w:val="11"/>
                <w:szCs w:val="11"/>
                <w:b w:val="1"/>
                <w:bCs w:val="1"/>
                <w:color w:val="auto"/>
              </w:rPr>
              <w:t>Low Closing</w:t>
            </w:r>
          </w:p>
        </w:tc>
        <w:tc>
          <w:tcPr>
            <w:tcW w:w="1160" w:type="dxa"/>
            <w:vAlign w:val="bottom"/>
            <w:gridSpan w:val="2"/>
          </w:tcPr>
          <w:p>
            <w:pPr>
              <w:jc w:val="center"/>
              <w:ind w:right="540"/>
              <w:spacing w:after="0" w:line="115" w:lineRule="exact"/>
              <w:rPr>
                <w:sz w:val="20"/>
                <w:szCs w:val="20"/>
                <w:color w:val="auto"/>
              </w:rPr>
            </w:pPr>
            <w:r>
              <w:rPr>
                <w:rFonts w:ascii="Times New Roman" w:cs="Times New Roman" w:eastAsia="Times New Roman" w:hAnsi="Times New Roman"/>
                <w:sz w:val="11"/>
                <w:szCs w:val="11"/>
                <w:b w:val="1"/>
                <w:bCs w:val="1"/>
                <w:color w:val="auto"/>
              </w:rPr>
              <w:t>High Sales</w:t>
            </w:r>
          </w:p>
        </w:tc>
        <w:tc>
          <w:tcPr>
            <w:tcW w:w="820" w:type="dxa"/>
            <w:vAlign w:val="bottom"/>
            <w:gridSpan w:val="2"/>
          </w:tcPr>
          <w:p>
            <w:pPr>
              <w:jc w:val="center"/>
              <w:ind w:right="220"/>
              <w:spacing w:after="0" w:line="115" w:lineRule="exact"/>
              <w:rPr>
                <w:sz w:val="20"/>
                <w:szCs w:val="20"/>
                <w:color w:val="auto"/>
              </w:rPr>
            </w:pPr>
            <w:r>
              <w:rPr>
                <w:rFonts w:ascii="Times New Roman" w:cs="Times New Roman" w:eastAsia="Times New Roman" w:hAnsi="Times New Roman"/>
                <w:sz w:val="11"/>
                <w:szCs w:val="11"/>
                <w:b w:val="1"/>
                <w:bCs w:val="1"/>
                <w:color w:val="auto"/>
              </w:rPr>
              <w:t>Low Sales</w:t>
            </w:r>
          </w:p>
        </w:tc>
        <w:tc>
          <w:tcPr>
            <w:tcW w:w="0" w:type="dxa"/>
            <w:vAlign w:val="bottom"/>
          </w:tcPr>
          <w:p>
            <w:pPr>
              <w:spacing w:after="0"/>
              <w:rPr>
                <w:sz w:val="1"/>
                <w:szCs w:val="1"/>
                <w:color w:val="auto"/>
              </w:rPr>
            </w:pPr>
          </w:p>
        </w:tc>
      </w:tr>
      <w:tr>
        <w:trPr>
          <w:trHeight w:val="115"/>
        </w:trPr>
        <w:tc>
          <w:tcPr>
            <w:tcW w:w="32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w w:val="96"/>
              </w:rPr>
              <w:t>Period</w:t>
            </w:r>
          </w:p>
        </w:tc>
        <w:tc>
          <w:tcPr>
            <w:tcW w:w="2620" w:type="dxa"/>
            <w:vAlign w:val="bottom"/>
            <w:vMerge w:val="restart"/>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gridSpan w:val="3"/>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NAV</w:t>
            </w:r>
            <w:r>
              <w:rPr>
                <w:rFonts w:ascii="Times New Roman" w:cs="Times New Roman" w:eastAsia="Times New Roman" w:hAnsi="Times New Roman"/>
                <w:sz w:val="8"/>
                <w:szCs w:val="8"/>
                <w:b w:val="1"/>
                <w:bCs w:val="1"/>
                <w:color w:val="auto"/>
              </w:rPr>
              <w:t>(1)</w:t>
            </w:r>
          </w:p>
        </w:tc>
        <w:tc>
          <w:tcPr>
            <w:tcW w:w="220" w:type="dxa"/>
            <w:vAlign w:val="bottom"/>
          </w:tcPr>
          <w:p>
            <w:pPr>
              <w:spacing w:after="0"/>
              <w:rPr>
                <w:sz w:val="10"/>
                <w:szCs w:val="10"/>
                <w:color w:val="auto"/>
              </w:rPr>
            </w:pPr>
          </w:p>
        </w:tc>
        <w:tc>
          <w:tcPr>
            <w:tcW w:w="1060" w:type="dxa"/>
            <w:vAlign w:val="bottom"/>
            <w:gridSpan w:val="3"/>
            <w:vMerge w:val="continue"/>
          </w:tcPr>
          <w:p>
            <w:pPr>
              <w:spacing w:after="0"/>
              <w:rPr>
                <w:sz w:val="10"/>
                <w:szCs w:val="10"/>
                <w:color w:val="auto"/>
              </w:rPr>
            </w:pPr>
          </w:p>
        </w:tc>
        <w:tc>
          <w:tcPr>
            <w:tcW w:w="1040" w:type="dxa"/>
            <w:vAlign w:val="bottom"/>
            <w:gridSpan w:val="3"/>
            <w:vMerge w:val="continue"/>
          </w:tcPr>
          <w:p>
            <w:pPr>
              <w:spacing w:after="0"/>
              <w:rPr>
                <w:sz w:val="10"/>
                <w:szCs w:val="10"/>
                <w:color w:val="auto"/>
              </w:rPr>
            </w:pPr>
          </w:p>
        </w:tc>
        <w:tc>
          <w:tcPr>
            <w:tcW w:w="1160" w:type="dxa"/>
            <w:vAlign w:val="bottom"/>
            <w:gridSpan w:val="2"/>
          </w:tcPr>
          <w:p>
            <w:pPr>
              <w:jc w:val="center"/>
              <w:ind w:right="560"/>
              <w:spacing w:after="0" w:line="115" w:lineRule="exact"/>
              <w:rPr>
                <w:sz w:val="20"/>
                <w:szCs w:val="20"/>
                <w:color w:val="auto"/>
              </w:rPr>
            </w:pPr>
            <w:r>
              <w:rPr>
                <w:rFonts w:ascii="Times New Roman" w:cs="Times New Roman" w:eastAsia="Times New Roman" w:hAnsi="Times New Roman"/>
                <w:sz w:val="11"/>
                <w:szCs w:val="11"/>
                <w:b w:val="1"/>
                <w:bCs w:val="1"/>
                <w:color w:val="auto"/>
                <w:w w:val="98"/>
              </w:rPr>
              <w:t>Price</w:t>
            </w:r>
          </w:p>
        </w:tc>
        <w:tc>
          <w:tcPr>
            <w:tcW w:w="820" w:type="dxa"/>
            <w:vAlign w:val="bottom"/>
            <w:gridSpan w:val="2"/>
          </w:tcPr>
          <w:p>
            <w:pPr>
              <w:jc w:val="center"/>
              <w:ind w:right="220"/>
              <w:spacing w:after="0" w:line="115" w:lineRule="exact"/>
              <w:rPr>
                <w:sz w:val="20"/>
                <w:szCs w:val="20"/>
                <w:color w:val="auto"/>
              </w:rPr>
            </w:pPr>
            <w:r>
              <w:rPr>
                <w:rFonts w:ascii="Times New Roman" w:cs="Times New Roman" w:eastAsia="Times New Roman" w:hAnsi="Times New Roman"/>
                <w:sz w:val="11"/>
                <w:szCs w:val="11"/>
                <w:b w:val="1"/>
                <w:bCs w:val="1"/>
                <w:color w:val="auto"/>
                <w:w w:val="98"/>
              </w:rPr>
              <w:t>Price</w:t>
            </w:r>
          </w:p>
        </w:tc>
        <w:tc>
          <w:tcPr>
            <w:tcW w:w="0" w:type="dxa"/>
            <w:vAlign w:val="bottom"/>
          </w:tcPr>
          <w:p>
            <w:pPr>
              <w:spacing w:after="0"/>
              <w:rPr>
                <w:sz w:val="1"/>
                <w:szCs w:val="1"/>
                <w:color w:val="auto"/>
              </w:rPr>
            </w:pPr>
          </w:p>
        </w:tc>
      </w:tr>
      <w:tr>
        <w:trPr>
          <w:trHeight w:val="144"/>
        </w:trPr>
        <w:tc>
          <w:tcPr>
            <w:tcW w:w="320" w:type="dxa"/>
            <w:vAlign w:val="bottom"/>
            <w:tcBorders>
              <w:bottom w:val="single" w:sz="8" w:color="auto"/>
            </w:tcBorders>
            <w:vMerge w:val="continue"/>
          </w:tcPr>
          <w:p>
            <w:pPr>
              <w:spacing w:after="0"/>
              <w:rPr>
                <w:sz w:val="12"/>
                <w:szCs w:val="12"/>
                <w:color w:val="auto"/>
              </w:rPr>
            </w:pPr>
          </w:p>
        </w:tc>
        <w:tc>
          <w:tcPr>
            <w:tcW w:w="2620" w:type="dxa"/>
            <w:vAlign w:val="bottom"/>
            <w:vMerge w:val="continue"/>
          </w:tcPr>
          <w:p>
            <w:pPr>
              <w:spacing w:after="0"/>
              <w:rPr>
                <w:sz w:val="12"/>
                <w:szCs w:val="12"/>
                <w:color w:val="auto"/>
              </w:rPr>
            </w:pPr>
          </w:p>
        </w:tc>
        <w:tc>
          <w:tcPr>
            <w:tcW w:w="700" w:type="dxa"/>
            <w:vAlign w:val="bottom"/>
          </w:tcPr>
          <w:p>
            <w:pPr>
              <w:spacing w:after="0"/>
              <w:rPr>
                <w:sz w:val="12"/>
                <w:szCs w:val="12"/>
                <w:color w:val="auto"/>
              </w:rPr>
            </w:pPr>
          </w:p>
        </w:tc>
        <w:tc>
          <w:tcPr>
            <w:tcW w:w="60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gridSpan w:val="3"/>
          </w:tcPr>
          <w:p>
            <w:pPr>
              <w:ind w:left="60"/>
              <w:spacing w:after="0" w:line="124" w:lineRule="exact"/>
              <w:rPr>
                <w:sz w:val="20"/>
                <w:szCs w:val="20"/>
                <w:color w:val="auto"/>
              </w:rPr>
            </w:pPr>
            <w:r>
              <w:rPr>
                <w:rFonts w:ascii="Times New Roman" w:cs="Times New Roman" w:eastAsia="Times New Roman" w:hAnsi="Times New Roman"/>
                <w:sz w:val="11"/>
                <w:szCs w:val="11"/>
                <w:b w:val="1"/>
                <w:bCs w:val="1"/>
                <w:color w:val="auto"/>
              </w:rPr>
              <w:t>Sales Price</w:t>
            </w:r>
          </w:p>
        </w:tc>
        <w:tc>
          <w:tcPr>
            <w:tcW w:w="1040" w:type="dxa"/>
            <w:vAlign w:val="bottom"/>
            <w:gridSpan w:val="3"/>
          </w:tcPr>
          <w:p>
            <w:pPr>
              <w:ind w:left="40"/>
              <w:spacing w:after="0" w:line="124" w:lineRule="exact"/>
              <w:rPr>
                <w:sz w:val="20"/>
                <w:szCs w:val="20"/>
                <w:color w:val="auto"/>
              </w:rPr>
            </w:pPr>
            <w:r>
              <w:rPr>
                <w:rFonts w:ascii="Times New Roman" w:cs="Times New Roman" w:eastAsia="Times New Roman" w:hAnsi="Times New Roman"/>
                <w:sz w:val="11"/>
                <w:szCs w:val="11"/>
                <w:b w:val="1"/>
                <w:bCs w:val="1"/>
                <w:color w:val="auto"/>
              </w:rPr>
              <w:t>Sales Price</w:t>
            </w:r>
          </w:p>
        </w:tc>
        <w:tc>
          <w:tcPr>
            <w:tcW w:w="1160" w:type="dxa"/>
            <w:vAlign w:val="bottom"/>
            <w:gridSpan w:val="2"/>
          </w:tcPr>
          <w:p>
            <w:pPr>
              <w:jc w:val="center"/>
              <w:ind w:right="560"/>
              <w:spacing w:after="0" w:line="124" w:lineRule="exact"/>
              <w:rPr>
                <w:sz w:val="20"/>
                <w:szCs w:val="20"/>
                <w:color w:val="auto"/>
              </w:rPr>
            </w:pPr>
            <w:r>
              <w:rPr>
                <w:rFonts w:ascii="Times New Roman" w:cs="Times New Roman" w:eastAsia="Times New Roman" w:hAnsi="Times New Roman"/>
                <w:sz w:val="11"/>
                <w:szCs w:val="11"/>
                <w:b w:val="1"/>
                <w:bCs w:val="1"/>
                <w:color w:val="auto"/>
                <w:w w:val="97"/>
              </w:rPr>
              <w:t>to NAV</w:t>
            </w:r>
            <w:r>
              <w:rPr>
                <w:rFonts w:ascii="Times New Roman" w:cs="Times New Roman" w:eastAsia="Times New Roman" w:hAnsi="Times New Roman"/>
                <w:sz w:val="8"/>
                <w:szCs w:val="8"/>
                <w:b w:val="1"/>
                <w:bCs w:val="1"/>
                <w:color w:val="auto"/>
                <w:w w:val="97"/>
              </w:rPr>
              <w:t>(2)</w:t>
            </w:r>
          </w:p>
        </w:tc>
        <w:tc>
          <w:tcPr>
            <w:tcW w:w="820" w:type="dxa"/>
            <w:vAlign w:val="bottom"/>
            <w:gridSpan w:val="2"/>
          </w:tcPr>
          <w:p>
            <w:pPr>
              <w:jc w:val="center"/>
              <w:ind w:right="220"/>
              <w:spacing w:after="0" w:line="124" w:lineRule="exact"/>
              <w:rPr>
                <w:sz w:val="20"/>
                <w:szCs w:val="20"/>
                <w:color w:val="auto"/>
              </w:rPr>
            </w:pPr>
            <w:r>
              <w:rPr>
                <w:rFonts w:ascii="Times New Roman" w:cs="Times New Roman" w:eastAsia="Times New Roman" w:hAnsi="Times New Roman"/>
                <w:sz w:val="11"/>
                <w:szCs w:val="11"/>
                <w:b w:val="1"/>
                <w:bCs w:val="1"/>
                <w:color w:val="auto"/>
                <w:w w:val="97"/>
              </w:rPr>
              <w:t>to NAV</w:t>
            </w:r>
            <w:r>
              <w:rPr>
                <w:rFonts w:ascii="Times New Roman" w:cs="Times New Roman" w:eastAsia="Times New Roman" w:hAnsi="Times New Roman"/>
                <w:sz w:val="8"/>
                <w:szCs w:val="8"/>
                <w:b w:val="1"/>
                <w:bCs w:val="1"/>
                <w:color w:val="auto"/>
                <w:w w:val="97"/>
              </w:rPr>
              <w:t>(2)</w:t>
            </w:r>
          </w:p>
        </w:tc>
        <w:tc>
          <w:tcPr>
            <w:tcW w:w="0" w:type="dxa"/>
            <w:vAlign w:val="bottom"/>
          </w:tcPr>
          <w:p>
            <w:pPr>
              <w:spacing w:after="0"/>
              <w:rPr>
                <w:sz w:val="1"/>
                <w:szCs w:val="1"/>
                <w:color w:val="auto"/>
              </w:rPr>
            </w:pPr>
          </w:p>
        </w:tc>
      </w:tr>
      <w:tr>
        <w:trPr>
          <w:trHeight w:val="121"/>
        </w:trPr>
        <w:tc>
          <w:tcPr>
            <w:tcW w:w="2940" w:type="dxa"/>
            <w:vAlign w:val="bottom"/>
            <w:tcBorders>
              <w:top w:val="single" w:sz="8" w:color="CCEEFF"/>
            </w:tcBorders>
            <w:gridSpan w:val="2"/>
            <w:shd w:val="clear" w:color="auto" w:fill="CCEEFF"/>
          </w:tcPr>
          <w:p>
            <w:pPr>
              <w:spacing w:after="0" w:line="121" w:lineRule="exact"/>
              <w:rPr>
                <w:sz w:val="20"/>
                <w:szCs w:val="20"/>
                <w:color w:val="auto"/>
              </w:rPr>
            </w:pPr>
            <w:r>
              <w:rPr>
                <w:rFonts w:ascii="Times New Roman" w:cs="Times New Roman" w:eastAsia="Times New Roman" w:hAnsi="Times New Roman"/>
                <w:sz w:val="14"/>
                <w:szCs w:val="14"/>
                <w:b w:val="1"/>
                <w:bCs w:val="1"/>
                <w:color w:val="auto"/>
              </w:rPr>
              <w:t>Year Ending</w:t>
            </w:r>
          </w:p>
        </w:tc>
        <w:tc>
          <w:tcPr>
            <w:tcW w:w="70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32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200" w:type="dxa"/>
            <w:vAlign w:val="bottom"/>
            <w:tcBorders>
              <w:top w:val="single" w:sz="8" w:color="auto"/>
            </w:tcBorders>
            <w:shd w:val="clear" w:color="auto" w:fill="CCEEFF"/>
          </w:tcPr>
          <w:p>
            <w:pPr>
              <w:spacing w:after="0"/>
              <w:rPr>
                <w:sz w:val="10"/>
                <w:szCs w:val="10"/>
                <w:color w:val="auto"/>
              </w:rPr>
            </w:pPr>
          </w:p>
        </w:tc>
        <w:tc>
          <w:tcPr>
            <w:tcW w:w="440" w:type="dxa"/>
            <w:vAlign w:val="bottom"/>
            <w:tcBorders>
              <w:top w:val="single" w:sz="8" w:color="auto"/>
            </w:tcBorders>
            <w:shd w:val="clear" w:color="auto" w:fill="CCEEFF"/>
          </w:tcPr>
          <w:p>
            <w:pPr>
              <w:spacing w:after="0"/>
              <w:rPr>
                <w:sz w:val="10"/>
                <w:szCs w:val="10"/>
                <w:color w:val="auto"/>
              </w:rPr>
            </w:pPr>
          </w:p>
        </w:tc>
        <w:tc>
          <w:tcPr>
            <w:tcW w:w="42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auto"/>
            </w:tcBorders>
            <w:shd w:val="clear" w:color="auto" w:fill="CCEEFF"/>
          </w:tcPr>
          <w:p>
            <w:pPr>
              <w:spacing w:after="0"/>
              <w:rPr>
                <w:sz w:val="10"/>
                <w:szCs w:val="10"/>
                <w:color w:val="auto"/>
              </w:rPr>
            </w:pPr>
          </w:p>
        </w:tc>
        <w:tc>
          <w:tcPr>
            <w:tcW w:w="420" w:type="dxa"/>
            <w:vAlign w:val="bottom"/>
            <w:tcBorders>
              <w:top w:val="single" w:sz="8" w:color="auto"/>
            </w:tcBorders>
            <w:shd w:val="clear" w:color="auto" w:fill="CCEEFF"/>
          </w:tcPr>
          <w:p>
            <w:pPr>
              <w:spacing w:after="0"/>
              <w:rPr>
                <w:sz w:val="10"/>
                <w:szCs w:val="10"/>
                <w:color w:val="auto"/>
              </w:rPr>
            </w:pPr>
          </w:p>
        </w:tc>
        <w:tc>
          <w:tcPr>
            <w:tcW w:w="440" w:type="dxa"/>
            <w:vAlign w:val="bottom"/>
            <w:tcBorders>
              <w:top w:val="single" w:sz="8" w:color="CCEEFF"/>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540" w:type="dxa"/>
            <w:vAlign w:val="bottom"/>
            <w:tcBorders>
              <w:top w:val="single" w:sz="8" w:color="CCEEFF"/>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95"/>
        </w:trPr>
        <w:tc>
          <w:tcPr>
            <w:tcW w:w="2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December 2026</w:t>
            </w: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29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Second Quarter (through June 29, 2026)</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color w:val="auto"/>
              </w:rPr>
              <w:t>19.79</w:t>
            </w:r>
          </w:p>
        </w:tc>
        <w:tc>
          <w:tcPr>
            <w:tcW w:w="18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color w:val="auto"/>
              </w:rPr>
              <w:t>17.30</w:t>
            </w:r>
          </w:p>
        </w:tc>
        <w:tc>
          <w:tcPr>
            <w:tcW w:w="116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7"/>
        </w:trPr>
        <w:tc>
          <w:tcPr>
            <w:tcW w:w="2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First Quarter</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w w:val="95"/>
              </w:rPr>
              <w:t>19.55</w:t>
            </w:r>
          </w:p>
        </w:tc>
        <w:tc>
          <w:tcPr>
            <w:tcW w:w="4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4"/>
                <w:szCs w:val="14"/>
                <w:color w:val="auto"/>
              </w:rPr>
              <w:t>20.22</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4"/>
                <w:szCs w:val="14"/>
                <w:color w:val="auto"/>
              </w:rPr>
              <w:t>16.92</w:t>
            </w:r>
          </w:p>
        </w:tc>
        <w:tc>
          <w:tcPr>
            <w:tcW w:w="11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4"/>
                <w:szCs w:val="14"/>
                <w:color w:val="auto"/>
              </w:rPr>
              <w:t>3.4%</w:t>
            </w: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(13.5)%</w:t>
            </w:r>
          </w:p>
        </w:tc>
        <w:tc>
          <w:tcPr>
            <w:tcW w:w="0" w:type="dxa"/>
            <w:vAlign w:val="bottom"/>
          </w:tcPr>
          <w:p>
            <w:pPr>
              <w:spacing w:after="0"/>
              <w:rPr>
                <w:sz w:val="1"/>
                <w:szCs w:val="1"/>
                <w:color w:val="auto"/>
              </w:rPr>
            </w:pPr>
          </w:p>
        </w:tc>
      </w:tr>
    </w:tbl>
    <w:p>
      <w:pPr>
        <w:spacing w:after="0" w:line="20" w:lineRule="exact"/>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column">
              <wp:posOffset>873125</wp:posOffset>
            </wp:positionH>
            <wp:positionV relativeFrom="paragraph">
              <wp:posOffset>66675</wp:posOffset>
            </wp:positionV>
            <wp:extent cx="598170" cy="63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4">
                      <a:extLst>
                        <a:ext uri="{28A0092B-C50C-407E-A947-70E740481C1C}"/>
                      </a:extLst>
                    </a:blip>
                    <a:srcRect/>
                    <a:stretch>
                      <a:fillRect/>
                    </a:stretch>
                  </pic:blipFill>
                  <pic:spPr bwMode="auto">
                    <a:xfrm>
                      <a:off x="0" y="0"/>
                      <a:ext cx="598170" cy="6350"/>
                    </a:xfrm>
                    <a:prstGeom prst="rect">
                      <a:avLst/>
                    </a:prstGeom>
                    <a:noFill/>
                  </pic:spPr>
                </pic:pic>
              </a:graphicData>
            </a:graphic>
          </wp:anchor>
        </w:drawing>
      </w:r>
    </w:p>
    <w:p>
      <w:pPr>
        <w:spacing w:after="0" w:line="112" w:lineRule="exact"/>
        <w:rPr>
          <w:rFonts w:ascii="Times New Roman" w:cs="Times New Roman" w:eastAsia="Times New Roman" w:hAnsi="Times New Roman"/>
          <w:sz w:val="13"/>
          <w:szCs w:val="13"/>
          <w:color w:val="auto"/>
        </w:rPr>
      </w:pPr>
    </w:p>
    <w:p>
      <w:pPr>
        <w:ind w:left="1700" w:right="319" w:hanging="325"/>
        <w:spacing w:after="0" w:line="260" w:lineRule="auto"/>
        <w:tabs>
          <w:tab w:leader="none" w:pos="170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NAV per share is determined as of the last day in the relevant quarter and therefore may not reflect NAV per share on the date of the high and low sales prices. NAV is shown based on outstanding shares at the end of the period.</w:t>
      </w:r>
    </w:p>
    <w:p>
      <w:pPr>
        <w:ind w:left="1700" w:hanging="325"/>
        <w:spacing w:after="0"/>
        <w:tabs>
          <w:tab w:leader="none" w:pos="170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Calculated as the difference between the high or low closing sales price and the quarter end NAV divided by the quarter end NAV.</w:t>
      </w:r>
    </w:p>
    <w:p>
      <w:pPr>
        <w:spacing w:after="0" w:line="6" w:lineRule="exact"/>
        <w:rPr>
          <w:rFonts w:ascii="Times New Roman" w:cs="Times New Roman" w:eastAsia="Times New Roman" w:hAnsi="Times New Roman"/>
          <w:sz w:val="13"/>
          <w:szCs w:val="13"/>
          <w:color w:val="auto"/>
        </w:rPr>
      </w:pPr>
    </w:p>
    <w:p>
      <w:pPr>
        <w:jc w:val="right"/>
        <w:ind w:left="5580" w:right="4419" w:hanging="4205"/>
        <w:spacing w:after="0" w:line="361" w:lineRule="auto"/>
        <w:tabs>
          <w:tab w:leader="none" w:pos="1485" w:val="left"/>
        </w:tabs>
        <w:numPr>
          <w:ilvl w:val="0"/>
          <w:numId w:val="3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NAV for the fiscal quarter ended June 30, 2026 has not yet been determined. 43</w:t>
      </w:r>
    </w:p>
    <w:p>
      <w:pPr>
        <w:sectPr>
          <w:pgSz w:w="11900" w:h="16838" w:orient="portrait"/>
          <w:cols w:equalWidth="0" w:num="1">
            <w:col w:w="10159"/>
          </w:cols>
          <w:pgMar w:left="300" w:top="384" w:right="1440"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5">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7"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4"/>
          <w:szCs w:val="14"/>
          <w:b w:val="1"/>
          <w:bCs w:val="1"/>
          <w:color w:val="auto"/>
        </w:rPr>
        <w:t>FINANCIAL STATEMENTS</w:t>
      </w:r>
    </w:p>
    <w:p>
      <w:pPr>
        <w:spacing w:after="0" w:line="174" w:lineRule="exact"/>
        <w:rPr>
          <w:sz w:val="20"/>
          <w:szCs w:val="20"/>
          <w:color w:val="auto"/>
        </w:rPr>
      </w:pPr>
    </w:p>
    <w:p>
      <w:pPr>
        <w:ind w:left="1380" w:right="539" w:firstLine="341"/>
        <w:spacing w:after="0" w:line="266" w:lineRule="auto"/>
        <w:rPr>
          <w:rFonts w:ascii="Times New Roman" w:cs="Times New Roman" w:eastAsia="Times New Roman" w:hAnsi="Times New Roman"/>
          <w:sz w:val="14"/>
          <w:szCs w:val="14"/>
          <w:color w:val="0000EE"/>
        </w:rPr>
      </w:pPr>
      <w:hyperlink r:id="rId86">
        <w:r>
          <w:rPr>
            <w:rFonts w:ascii="Times New Roman" w:cs="Times New Roman" w:eastAsia="Times New Roman" w:hAnsi="Times New Roman"/>
            <w:sz w:val="14"/>
            <w:szCs w:val="14"/>
            <w:color w:val="auto"/>
          </w:rPr>
          <w:t>The information contained in “</w:t>
        </w:r>
        <w:r>
          <w:rPr>
            <w:rFonts w:ascii="Times New Roman" w:cs="Times New Roman" w:eastAsia="Times New Roman" w:hAnsi="Times New Roman"/>
            <w:sz w:val="14"/>
            <w:szCs w:val="14"/>
            <w:i w:val="1"/>
            <w:iCs w:val="1"/>
            <w:color w:val="auto"/>
          </w:rPr>
          <w:t>Consolidated Financial Statements and Supplementary Data</w:t>
        </w:r>
        <w:r>
          <w:rPr>
            <w:rFonts w:ascii="Times New Roman" w:cs="Times New Roman" w:eastAsia="Times New Roman" w:hAnsi="Times New Roman"/>
            <w:sz w:val="14"/>
            <w:szCs w:val="14"/>
            <w:color w:val="auto"/>
          </w:rPr>
          <w:t xml:space="preserve">” in Part II, Item 8 of our </w:t>
        </w:r>
        <w:r>
          <w:rPr>
            <w:rFonts w:ascii="Times New Roman" w:cs="Times New Roman" w:eastAsia="Times New Roman" w:hAnsi="Times New Roman"/>
            <w:sz w:val="14"/>
            <w:szCs w:val="14"/>
            <w:u w:val="single" w:color="auto"/>
            <w:color w:val="0000EE"/>
          </w:rPr>
          <w:t>Annual Report on</w:t>
        </w:r>
      </w:hyperlink>
      <w:r>
        <w:rPr>
          <w:rFonts w:ascii="Times New Roman" w:cs="Times New Roman" w:eastAsia="Times New Roman" w:hAnsi="Times New Roman"/>
          <w:sz w:val="14"/>
          <w:szCs w:val="14"/>
          <w:color w:val="auto"/>
        </w:rPr>
        <w:t xml:space="preserve"> </w:t>
      </w:r>
      <w:hyperlink r:id="rId86">
        <w:r>
          <w:rPr>
            <w:rFonts w:ascii="Times New Roman" w:cs="Times New Roman" w:eastAsia="Times New Roman" w:hAnsi="Times New Roman"/>
            <w:sz w:val="14"/>
            <w:szCs w:val="14"/>
            <w:u w:val="single" w:color="auto"/>
            <w:color w:val="0000EE"/>
          </w:rPr>
          <w:t>Form 10-K</w:t>
        </w:r>
        <w:r>
          <w:rPr>
            <w:rFonts w:ascii="Times New Roman" w:cs="Times New Roman" w:eastAsia="Times New Roman" w:hAnsi="Times New Roman"/>
            <w:sz w:val="14"/>
            <w:szCs w:val="14"/>
            <w:color w:val="0000EE"/>
          </w:rPr>
          <w:t xml:space="preserve"> </w:t>
        </w:r>
        <w:r>
          <w:rPr>
            <w:rFonts w:ascii="Times New Roman" w:cs="Times New Roman" w:eastAsia="Times New Roman" w:hAnsi="Times New Roman"/>
            <w:sz w:val="14"/>
            <w:szCs w:val="14"/>
            <w:color w:val="000000"/>
          </w:rPr>
          <w:t>for the fiscal year ended December 31, 2025 and “</w:t>
        </w:r>
        <w:r>
          <w:rPr>
            <w:rFonts w:ascii="Times New Roman" w:cs="Times New Roman" w:eastAsia="Times New Roman" w:hAnsi="Times New Roman"/>
            <w:sz w:val="14"/>
            <w:szCs w:val="14"/>
            <w:i w:val="1"/>
            <w:iCs w:val="1"/>
            <w:color w:val="000000"/>
          </w:rPr>
          <w:t>Financial Statements</w:t>
        </w:r>
        <w:r>
          <w:rPr>
            <w:rFonts w:ascii="Times New Roman" w:cs="Times New Roman" w:eastAsia="Times New Roman" w:hAnsi="Times New Roman"/>
            <w:sz w:val="14"/>
            <w:szCs w:val="14"/>
            <w:color w:val="000000"/>
          </w:rPr>
          <w:t>” in Part I, Item 1 of our</w:t>
        </w:r>
        <w:r>
          <w:rPr>
            <w:rFonts w:ascii="Times New Roman" w:cs="Times New Roman" w:eastAsia="Times New Roman" w:hAnsi="Times New Roman"/>
            <w:sz w:val="14"/>
            <w:szCs w:val="14"/>
            <w:color w:val="0000EE"/>
          </w:rPr>
          <w:t xml:space="preserve"> </w:t>
        </w:r>
      </w:hyperlink>
      <w:hyperlink r:id="rId87">
        <w:r>
          <w:rPr>
            <w:rFonts w:ascii="Times New Roman" w:cs="Times New Roman" w:eastAsia="Times New Roman" w:hAnsi="Times New Roman"/>
            <w:sz w:val="14"/>
            <w:szCs w:val="14"/>
            <w:u w:val="single" w:color="auto"/>
            <w:color w:val="0000EE"/>
          </w:rPr>
          <w:t xml:space="preserve">Quarterly Report on Form 10-Q </w:t>
        </w:r>
      </w:hyperlink>
      <w:r>
        <w:rPr>
          <w:rFonts w:ascii="Times New Roman" w:cs="Times New Roman" w:eastAsia="Times New Roman" w:hAnsi="Times New Roman"/>
          <w:sz w:val="14"/>
          <w:szCs w:val="14"/>
          <w:color w:val="000000"/>
        </w:rPr>
        <w:t>for</w:t>
      </w:r>
      <w:r>
        <w:rPr>
          <w:rFonts w:ascii="Times New Roman" w:cs="Times New Roman" w:eastAsia="Times New Roman" w:hAnsi="Times New Roman"/>
          <w:sz w:val="14"/>
          <w:szCs w:val="14"/>
          <w:color w:val="0000EE"/>
        </w:rPr>
        <w:t xml:space="preserve"> </w:t>
      </w:r>
      <w:r>
        <w:rPr>
          <w:rFonts w:ascii="Times New Roman" w:cs="Times New Roman" w:eastAsia="Times New Roman" w:hAnsi="Times New Roman"/>
          <w:sz w:val="14"/>
          <w:szCs w:val="14"/>
          <w:color w:val="000000"/>
        </w:rPr>
        <w:t>the</w:t>
      </w:r>
      <w:r>
        <w:rPr>
          <w:rFonts w:ascii="Times New Roman" w:cs="Times New Roman" w:eastAsia="Times New Roman" w:hAnsi="Times New Roman"/>
          <w:sz w:val="14"/>
          <w:szCs w:val="14"/>
          <w:color w:val="0000EE"/>
        </w:rPr>
        <w:t xml:space="preserve"> </w:t>
      </w:r>
      <w:r>
        <w:rPr>
          <w:rFonts w:ascii="Times New Roman" w:cs="Times New Roman" w:eastAsia="Times New Roman" w:hAnsi="Times New Roman"/>
          <w:sz w:val="14"/>
          <w:szCs w:val="14"/>
          <w:color w:val="000000"/>
        </w:rPr>
        <w:t>fiscal quarter ended March 31, 2026 is incorporated by reference herein.</w:t>
      </w:r>
    </w:p>
    <w:p>
      <w:pPr>
        <w:spacing w:after="0" w:line="84" w:lineRule="exact"/>
        <w:rPr>
          <w:rFonts w:ascii="Times New Roman" w:cs="Times New Roman" w:eastAsia="Times New Roman" w:hAnsi="Times New Roman"/>
          <w:sz w:val="14"/>
          <w:szCs w:val="14"/>
          <w:color w:val="auto"/>
        </w:rPr>
      </w:pPr>
    </w:p>
    <w:p>
      <w:pPr>
        <w:ind w:left="5580"/>
        <w:spacing w:after="0"/>
        <w:rPr>
          <w:sz w:val="20"/>
          <w:szCs w:val="20"/>
          <w:color w:val="auto"/>
        </w:rPr>
      </w:pPr>
      <w:r>
        <w:rPr>
          <w:rFonts w:ascii="Times New Roman" w:cs="Times New Roman" w:eastAsia="Times New Roman" w:hAnsi="Times New Roman"/>
          <w:sz w:val="14"/>
          <w:szCs w:val="14"/>
          <w:color w:val="auto"/>
        </w:rPr>
        <w:t>44</w:t>
      </w:r>
    </w:p>
    <w:p>
      <w:pPr>
        <w:sectPr>
          <w:pgSz w:w="11900" w:h="16838" w:orient="portrait"/>
          <w:cols w:equalWidth="0" w:num="1">
            <w:col w:w="10159"/>
          </w:cols>
          <w:pgMar w:left="300" w:top="384" w:right="1440"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8">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SENIOR SECURITIES</w:t>
      </w:r>
    </w:p>
    <w:p>
      <w:pPr>
        <w:spacing w:after="0" w:line="176" w:lineRule="exact"/>
        <w:rPr>
          <w:sz w:val="20"/>
          <w:szCs w:val="20"/>
          <w:color w:val="auto"/>
        </w:rPr>
      </w:pPr>
    </w:p>
    <w:p>
      <w:pPr>
        <w:ind w:left="1380" w:right="279" w:firstLine="341"/>
        <w:spacing w:after="0" w:line="260"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Information about our senior securities as of the fiscal years ended December 31, 2025 to 2016 is located in the notes to our consolidated financial statements under the caption “</w:t>
      </w:r>
      <w:r>
        <w:rPr>
          <w:rFonts w:ascii="Times New Roman" w:cs="Times New Roman" w:eastAsia="Times New Roman" w:hAnsi="Times New Roman"/>
          <w:sz w:val="14"/>
          <w:szCs w:val="14"/>
          <w:i w:val="1"/>
          <w:iCs w:val="1"/>
          <w:color w:val="auto"/>
        </w:rPr>
        <w:t>Note 6. Debt</w:t>
      </w:r>
      <w:r>
        <w:rPr>
          <w:rFonts w:ascii="Times New Roman" w:cs="Times New Roman" w:eastAsia="Times New Roman" w:hAnsi="Times New Roman"/>
          <w:sz w:val="14"/>
          <w:szCs w:val="14"/>
          <w:color w:val="auto"/>
        </w:rPr>
        <w:t xml:space="preserve">” in Part II, Item 8 of our most recent </w:t>
      </w:r>
      <w:hyperlink r:id="rId74">
        <w:r>
          <w:rPr>
            <w:rFonts w:ascii="Times New Roman" w:cs="Times New Roman" w:eastAsia="Times New Roman" w:hAnsi="Times New Roman"/>
            <w:sz w:val="14"/>
            <w:szCs w:val="14"/>
            <w:u w:val="single" w:color="auto"/>
            <w:color w:val="0000EE"/>
          </w:rPr>
          <w:t>Annual Report on Form 10-K</w:t>
        </w:r>
      </w:hyperlink>
      <w:r>
        <w:rPr>
          <w:rFonts w:ascii="Times New Roman" w:cs="Times New Roman" w:eastAsia="Times New Roman" w:hAnsi="Times New Roman"/>
          <w:sz w:val="14"/>
          <w:szCs w:val="14"/>
          <w:color w:val="auto"/>
        </w:rPr>
        <w:t>, which has been audited by our independent registered public accounting firm whose reports thereon are incorporated by reference in this prospectus, and is incorporated by reference herein.</w:t>
      </w:r>
    </w:p>
    <w:p>
      <w:pPr>
        <w:spacing w:after="0" w:line="140"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4"/>
          <w:szCs w:val="14"/>
          <w:color w:val="auto"/>
        </w:rPr>
        <w:t>The following is a summary of our senior securities as of March 31, 2026 (unaudited, dollars in thousands):</w:t>
      </w:r>
    </w:p>
    <w:p>
      <w:pPr>
        <w:spacing w:after="0" w:line="179" w:lineRule="exact"/>
        <w:rPr>
          <w:sz w:val="20"/>
          <w:szCs w:val="20"/>
          <w:color w:val="auto"/>
        </w:rPr>
      </w:pPr>
    </w:p>
    <w:tbl>
      <w:tblPr>
        <w:tblLayout w:type="fixed"/>
        <w:tblInd w:w="1720" w:type="dxa"/>
        <w:tblCellMar>
          <w:top w:w="0" w:type="dxa"/>
          <w:left w:w="0" w:type="dxa"/>
          <w:bottom w:w="0" w:type="dxa"/>
          <w:right w:w="0" w:type="dxa"/>
        </w:tblCellMar>
      </w:tblPr>
      <w:tr>
        <w:trPr>
          <w:trHeight w:val="126"/>
        </w:trPr>
        <w:tc>
          <w:tcPr>
            <w:tcW w:w="580" w:type="dxa"/>
            <w:vAlign w:val="bottom"/>
          </w:tcPr>
          <w:p>
            <w:pPr>
              <w:spacing w:after="0"/>
              <w:rPr>
                <w:sz w:val="11"/>
                <w:szCs w:val="11"/>
                <w:color w:val="auto"/>
              </w:rPr>
            </w:pPr>
          </w:p>
        </w:tc>
        <w:tc>
          <w:tcPr>
            <w:tcW w:w="2820" w:type="dxa"/>
            <w:vAlign w:val="bottom"/>
          </w:tcPr>
          <w:p>
            <w:pPr>
              <w:spacing w:after="0"/>
              <w:rPr>
                <w:sz w:val="11"/>
                <w:szCs w:val="11"/>
                <w:color w:val="auto"/>
              </w:rPr>
            </w:pPr>
          </w:p>
        </w:tc>
        <w:tc>
          <w:tcPr>
            <w:tcW w:w="1260" w:type="dxa"/>
            <w:vAlign w:val="bottom"/>
            <w:gridSpan w:val="3"/>
          </w:tcPr>
          <w:p>
            <w:pPr>
              <w:spacing w:after="0"/>
              <w:rPr>
                <w:sz w:val="20"/>
                <w:szCs w:val="20"/>
                <w:color w:val="auto"/>
              </w:rPr>
            </w:pPr>
            <w:r>
              <w:rPr>
                <w:rFonts w:ascii="Times New Roman" w:cs="Times New Roman" w:eastAsia="Times New Roman" w:hAnsi="Times New Roman"/>
                <w:sz w:val="11"/>
                <w:szCs w:val="11"/>
                <w:b w:val="1"/>
                <w:bCs w:val="1"/>
                <w:color w:val="auto"/>
              </w:rPr>
              <w:t>Total Amount</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300" w:type="dxa"/>
            <w:vAlign w:val="bottom"/>
            <w:gridSpan w:val="2"/>
            <w:vMerge w:val="restart"/>
          </w:tcPr>
          <w:p>
            <w:pPr>
              <w:jc w:val="center"/>
              <w:ind w:right="600"/>
              <w:spacing w:after="0"/>
              <w:rPr>
                <w:sz w:val="20"/>
                <w:szCs w:val="20"/>
                <w:color w:val="auto"/>
              </w:rPr>
            </w:pPr>
            <w:r>
              <w:rPr>
                <w:rFonts w:ascii="Times New Roman" w:cs="Times New Roman" w:eastAsia="Times New Roman" w:hAnsi="Times New Roman"/>
                <w:sz w:val="11"/>
                <w:szCs w:val="11"/>
                <w:b w:val="1"/>
                <w:bCs w:val="1"/>
                <w:color w:val="auto"/>
              </w:rPr>
              <w:t>Involuntary</w:t>
            </w:r>
          </w:p>
        </w:tc>
        <w:tc>
          <w:tcPr>
            <w:tcW w:w="54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1"/>
                <w:szCs w:val="11"/>
                <w:b w:val="1"/>
                <w:bCs w:val="1"/>
                <w:color w:val="auto"/>
                <w:w w:val="97"/>
              </w:rPr>
              <w:t>Average</w:t>
            </w:r>
          </w:p>
        </w:tc>
        <w:tc>
          <w:tcPr>
            <w:tcW w:w="0" w:type="dxa"/>
            <w:vAlign w:val="bottom"/>
          </w:tcPr>
          <w:p>
            <w:pPr>
              <w:spacing w:after="0"/>
              <w:rPr>
                <w:sz w:val="1"/>
                <w:szCs w:val="1"/>
                <w:color w:val="auto"/>
              </w:rPr>
            </w:pPr>
          </w:p>
        </w:tc>
      </w:tr>
      <w:tr>
        <w:trPr>
          <w:trHeight w:val="115"/>
        </w:trPr>
        <w:tc>
          <w:tcPr>
            <w:tcW w:w="580" w:type="dxa"/>
            <w:vAlign w:val="bottom"/>
          </w:tcPr>
          <w:p>
            <w:pPr>
              <w:spacing w:after="0"/>
              <w:rPr>
                <w:sz w:val="10"/>
                <w:szCs w:val="10"/>
                <w:color w:val="auto"/>
              </w:rPr>
            </w:pPr>
          </w:p>
        </w:tc>
        <w:tc>
          <w:tcPr>
            <w:tcW w:w="2820" w:type="dxa"/>
            <w:vAlign w:val="bottom"/>
          </w:tcPr>
          <w:p>
            <w:pPr>
              <w:spacing w:after="0"/>
              <w:rPr>
                <w:sz w:val="10"/>
                <w:szCs w:val="10"/>
                <w:color w:val="auto"/>
              </w:rPr>
            </w:pPr>
          </w:p>
        </w:tc>
        <w:tc>
          <w:tcPr>
            <w:tcW w:w="1260" w:type="dxa"/>
            <w:vAlign w:val="bottom"/>
            <w:gridSpan w:val="3"/>
          </w:tcPr>
          <w:p>
            <w:pPr>
              <w:jc w:val="center"/>
              <w:ind w:right="600"/>
              <w:spacing w:after="0" w:line="115" w:lineRule="exact"/>
              <w:rPr>
                <w:sz w:val="20"/>
                <w:szCs w:val="20"/>
                <w:color w:val="auto"/>
              </w:rPr>
            </w:pPr>
            <w:r>
              <w:rPr>
                <w:rFonts w:ascii="Times New Roman" w:cs="Times New Roman" w:eastAsia="Times New Roman" w:hAnsi="Times New Roman"/>
                <w:sz w:val="11"/>
                <w:szCs w:val="11"/>
                <w:b w:val="1"/>
                <w:bCs w:val="1"/>
                <w:color w:val="auto"/>
                <w:w w:val="98"/>
              </w:rPr>
              <w:t>Outstanding</w:t>
            </w: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300" w:type="dxa"/>
            <w:vAlign w:val="bottom"/>
            <w:gridSpan w:val="2"/>
            <w:vMerge w:val="continue"/>
          </w:tcPr>
          <w:p>
            <w:pPr>
              <w:spacing w:after="0"/>
              <w:rPr>
                <w:sz w:val="10"/>
                <w:szCs w:val="10"/>
                <w:color w:val="auto"/>
              </w:rPr>
            </w:pPr>
          </w:p>
        </w:tc>
        <w:tc>
          <w:tcPr>
            <w:tcW w:w="5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340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b w:val="1"/>
                <w:bCs w:val="1"/>
                <w:color w:val="auto"/>
              </w:rPr>
              <w:t>Class and</w:t>
            </w:r>
          </w:p>
        </w:tc>
        <w:tc>
          <w:tcPr>
            <w:tcW w:w="1260" w:type="dxa"/>
            <w:vAlign w:val="bottom"/>
            <w:gridSpan w:val="3"/>
          </w:tcPr>
          <w:p>
            <w:pPr>
              <w:jc w:val="center"/>
              <w:ind w:right="600"/>
              <w:spacing w:after="0" w:line="115" w:lineRule="exact"/>
              <w:rPr>
                <w:sz w:val="20"/>
                <w:szCs w:val="20"/>
                <w:color w:val="auto"/>
              </w:rPr>
            </w:pPr>
            <w:r>
              <w:rPr>
                <w:rFonts w:ascii="Times New Roman" w:cs="Times New Roman" w:eastAsia="Times New Roman" w:hAnsi="Times New Roman"/>
                <w:sz w:val="11"/>
                <w:szCs w:val="11"/>
                <w:b w:val="1"/>
                <w:bCs w:val="1"/>
                <w:color w:val="auto"/>
              </w:rPr>
              <w:t>Exclusive of</w:t>
            </w:r>
          </w:p>
        </w:tc>
        <w:tc>
          <w:tcPr>
            <w:tcW w:w="1340" w:type="dxa"/>
            <w:vAlign w:val="bottom"/>
            <w:gridSpan w:val="3"/>
            <w:vMerge w:val="restart"/>
          </w:tcPr>
          <w:p>
            <w:pPr>
              <w:spacing w:after="0"/>
              <w:rPr>
                <w:sz w:val="20"/>
                <w:szCs w:val="20"/>
                <w:color w:val="auto"/>
              </w:rPr>
            </w:pPr>
            <w:r>
              <w:rPr>
                <w:rFonts w:ascii="Times New Roman" w:cs="Times New Roman" w:eastAsia="Times New Roman" w:hAnsi="Times New Roman"/>
                <w:sz w:val="11"/>
                <w:szCs w:val="11"/>
                <w:b w:val="1"/>
                <w:bCs w:val="1"/>
                <w:color w:val="auto"/>
              </w:rPr>
              <w:t>Asset Coverage</w:t>
            </w:r>
          </w:p>
        </w:tc>
        <w:tc>
          <w:tcPr>
            <w:tcW w:w="1300" w:type="dxa"/>
            <w:vAlign w:val="bottom"/>
            <w:gridSpan w:val="2"/>
          </w:tcPr>
          <w:p>
            <w:pPr>
              <w:jc w:val="center"/>
              <w:ind w:right="600"/>
              <w:spacing w:after="0" w:line="115" w:lineRule="exact"/>
              <w:rPr>
                <w:sz w:val="20"/>
                <w:szCs w:val="20"/>
                <w:color w:val="auto"/>
              </w:rPr>
            </w:pPr>
            <w:r>
              <w:rPr>
                <w:rFonts w:ascii="Times New Roman" w:cs="Times New Roman" w:eastAsia="Times New Roman" w:hAnsi="Times New Roman"/>
                <w:sz w:val="11"/>
                <w:szCs w:val="11"/>
                <w:b w:val="1"/>
                <w:bCs w:val="1"/>
                <w:color w:val="auto"/>
              </w:rPr>
              <w:t>Liquidating</w:t>
            </w:r>
          </w:p>
        </w:tc>
        <w:tc>
          <w:tcPr>
            <w:tcW w:w="540" w:type="dxa"/>
            <w:vAlign w:val="bottom"/>
            <w:gridSpan w:val="2"/>
          </w:tcPr>
          <w:p>
            <w:pPr>
              <w:jc w:val="center"/>
              <w:ind w:right="20"/>
              <w:spacing w:after="0" w:line="115" w:lineRule="exact"/>
              <w:rPr>
                <w:sz w:val="20"/>
                <w:szCs w:val="20"/>
                <w:color w:val="auto"/>
              </w:rPr>
            </w:pPr>
            <w:r>
              <w:rPr>
                <w:rFonts w:ascii="Times New Roman" w:cs="Times New Roman" w:eastAsia="Times New Roman" w:hAnsi="Times New Roman"/>
                <w:sz w:val="11"/>
                <w:szCs w:val="11"/>
                <w:b w:val="1"/>
                <w:bCs w:val="1"/>
                <w:color w:val="auto"/>
              </w:rPr>
              <w:t>Market</w:t>
            </w:r>
          </w:p>
        </w:tc>
        <w:tc>
          <w:tcPr>
            <w:tcW w:w="0" w:type="dxa"/>
            <w:vAlign w:val="bottom"/>
          </w:tcPr>
          <w:p>
            <w:pPr>
              <w:spacing w:after="0"/>
              <w:rPr>
                <w:sz w:val="1"/>
                <w:szCs w:val="1"/>
                <w:color w:val="auto"/>
              </w:rPr>
            </w:pPr>
          </w:p>
        </w:tc>
      </w:tr>
      <w:tr>
        <w:trPr>
          <w:trHeight w:val="113"/>
        </w:trPr>
        <w:tc>
          <w:tcPr>
            <w:tcW w:w="340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1160" w:type="dxa"/>
            <w:vAlign w:val="bottom"/>
            <w:gridSpan w:val="2"/>
          </w:tcPr>
          <w:p>
            <w:pPr>
              <w:jc w:val="center"/>
              <w:ind w:right="700"/>
              <w:spacing w:after="0" w:line="114" w:lineRule="exact"/>
              <w:rPr>
                <w:sz w:val="20"/>
                <w:szCs w:val="20"/>
                <w:color w:val="auto"/>
              </w:rPr>
            </w:pPr>
            <w:r>
              <w:rPr>
                <w:rFonts w:ascii="Times New Roman" w:cs="Times New Roman" w:eastAsia="Times New Roman" w:hAnsi="Times New Roman"/>
                <w:sz w:val="11"/>
                <w:szCs w:val="11"/>
                <w:b w:val="1"/>
                <w:bCs w:val="1"/>
                <w:color w:val="auto"/>
                <w:w w:val="96"/>
              </w:rPr>
              <w:t>Treasury</w:t>
            </w:r>
          </w:p>
        </w:tc>
        <w:tc>
          <w:tcPr>
            <w:tcW w:w="1340" w:type="dxa"/>
            <w:vAlign w:val="bottom"/>
            <w:gridSpan w:val="3"/>
            <w:vMerge w:val="continue"/>
          </w:tcPr>
          <w:p>
            <w:pPr>
              <w:spacing w:after="0"/>
              <w:rPr>
                <w:sz w:val="9"/>
                <w:szCs w:val="9"/>
                <w:color w:val="auto"/>
              </w:rPr>
            </w:pPr>
          </w:p>
        </w:tc>
        <w:tc>
          <w:tcPr>
            <w:tcW w:w="1300" w:type="dxa"/>
            <w:vAlign w:val="bottom"/>
            <w:gridSpan w:val="2"/>
          </w:tcPr>
          <w:p>
            <w:pPr>
              <w:jc w:val="center"/>
              <w:ind w:right="600"/>
              <w:spacing w:after="0" w:line="114" w:lineRule="exact"/>
              <w:rPr>
                <w:sz w:val="20"/>
                <w:szCs w:val="20"/>
                <w:color w:val="auto"/>
              </w:rPr>
            </w:pPr>
            <w:r>
              <w:rPr>
                <w:rFonts w:ascii="Times New Roman" w:cs="Times New Roman" w:eastAsia="Times New Roman" w:hAnsi="Times New Roman"/>
                <w:sz w:val="11"/>
                <w:szCs w:val="11"/>
                <w:b w:val="1"/>
                <w:bCs w:val="1"/>
                <w:color w:val="auto"/>
              </w:rPr>
              <w:t>Preference Per</w:t>
            </w:r>
          </w:p>
        </w:tc>
        <w:tc>
          <w:tcPr>
            <w:tcW w:w="540" w:type="dxa"/>
            <w:vAlign w:val="bottom"/>
            <w:gridSpan w:val="2"/>
          </w:tcPr>
          <w:p>
            <w:pPr>
              <w:jc w:val="center"/>
              <w:ind w:right="40"/>
              <w:spacing w:after="0" w:line="114" w:lineRule="exact"/>
              <w:rPr>
                <w:sz w:val="20"/>
                <w:szCs w:val="20"/>
                <w:color w:val="auto"/>
              </w:rPr>
            </w:pPr>
            <w:r>
              <w:rPr>
                <w:rFonts w:ascii="Times New Roman" w:cs="Times New Roman" w:eastAsia="Times New Roman" w:hAnsi="Times New Roman"/>
                <w:sz w:val="11"/>
                <w:szCs w:val="11"/>
                <w:b w:val="1"/>
                <w:bCs w:val="1"/>
                <w:color w:val="auto"/>
                <w:w w:val="94"/>
              </w:rPr>
              <w:t>Value</w:t>
            </w:r>
          </w:p>
        </w:tc>
        <w:tc>
          <w:tcPr>
            <w:tcW w:w="0" w:type="dxa"/>
            <w:vAlign w:val="bottom"/>
          </w:tcPr>
          <w:p>
            <w:pPr>
              <w:spacing w:after="0"/>
              <w:rPr>
                <w:sz w:val="1"/>
                <w:szCs w:val="1"/>
                <w:color w:val="auto"/>
              </w:rPr>
            </w:pPr>
          </w:p>
        </w:tc>
      </w:tr>
      <w:tr>
        <w:trPr>
          <w:trHeight w:val="146"/>
        </w:trPr>
        <w:tc>
          <w:tcPr>
            <w:tcW w:w="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b w:val="1"/>
                <w:bCs w:val="1"/>
                <w:color w:val="auto"/>
                <w:w w:val="97"/>
              </w:rPr>
              <w:t>Year/Period</w:t>
            </w:r>
          </w:p>
        </w:tc>
        <w:tc>
          <w:tcPr>
            <w:tcW w:w="2820" w:type="dxa"/>
            <w:vAlign w:val="bottom"/>
          </w:tcPr>
          <w:p>
            <w:pPr>
              <w:spacing w:after="0"/>
              <w:rPr>
                <w:sz w:val="12"/>
                <w:szCs w:val="12"/>
                <w:color w:val="auto"/>
              </w:rPr>
            </w:pPr>
          </w:p>
        </w:tc>
        <w:tc>
          <w:tcPr>
            <w:tcW w:w="1260" w:type="dxa"/>
            <w:vAlign w:val="bottom"/>
            <w:gridSpan w:val="3"/>
          </w:tcPr>
          <w:p>
            <w:pPr>
              <w:jc w:val="center"/>
              <w:ind w:right="600"/>
              <w:spacing w:after="0"/>
              <w:rPr>
                <w:sz w:val="20"/>
                <w:szCs w:val="20"/>
                <w:color w:val="auto"/>
              </w:rPr>
            </w:pPr>
            <w:r>
              <w:rPr>
                <w:rFonts w:ascii="Times New Roman" w:cs="Times New Roman" w:eastAsia="Times New Roman" w:hAnsi="Times New Roman"/>
                <w:sz w:val="11"/>
                <w:szCs w:val="11"/>
                <w:b w:val="1"/>
                <w:bCs w:val="1"/>
                <w:color w:val="auto"/>
              </w:rPr>
              <w:t>Securities</w:t>
            </w:r>
            <w:r>
              <w:rPr>
                <w:rFonts w:ascii="Times New Roman" w:cs="Times New Roman" w:eastAsia="Times New Roman" w:hAnsi="Times New Roman"/>
                <w:sz w:val="8"/>
                <w:szCs w:val="8"/>
                <w:b w:val="1"/>
                <w:bCs w:val="1"/>
                <w:color w:val="auto"/>
              </w:rPr>
              <w:t>(1)</w:t>
            </w:r>
          </w:p>
        </w:tc>
        <w:tc>
          <w:tcPr>
            <w:tcW w:w="60" w:type="dxa"/>
            <w:vAlign w:val="bottom"/>
          </w:tcPr>
          <w:p>
            <w:pPr>
              <w:spacing w:after="0"/>
              <w:rPr>
                <w:sz w:val="12"/>
                <w:szCs w:val="12"/>
                <w:color w:val="auto"/>
              </w:rPr>
            </w:pPr>
          </w:p>
        </w:tc>
        <w:tc>
          <w:tcPr>
            <w:tcW w:w="128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Per Unit</w:t>
            </w:r>
            <w:r>
              <w:rPr>
                <w:rFonts w:ascii="Times New Roman" w:cs="Times New Roman" w:eastAsia="Times New Roman" w:hAnsi="Times New Roman"/>
                <w:sz w:val="8"/>
                <w:szCs w:val="8"/>
                <w:b w:val="1"/>
                <w:bCs w:val="1"/>
                <w:color w:val="auto"/>
              </w:rPr>
              <w:t>(2)(5)</w:t>
            </w:r>
          </w:p>
        </w:tc>
        <w:tc>
          <w:tcPr>
            <w:tcW w:w="1300" w:type="dxa"/>
            <w:vAlign w:val="bottom"/>
            <w:gridSpan w:val="2"/>
          </w:tcPr>
          <w:p>
            <w:pPr>
              <w:jc w:val="center"/>
              <w:ind w:right="600"/>
              <w:spacing w:after="0"/>
              <w:rPr>
                <w:sz w:val="20"/>
                <w:szCs w:val="20"/>
                <w:color w:val="auto"/>
              </w:rPr>
            </w:pPr>
            <w:r>
              <w:rPr>
                <w:rFonts w:ascii="Times New Roman" w:cs="Times New Roman" w:eastAsia="Times New Roman" w:hAnsi="Times New Roman"/>
                <w:sz w:val="11"/>
                <w:szCs w:val="11"/>
                <w:b w:val="1"/>
                <w:bCs w:val="1"/>
                <w:color w:val="auto"/>
                <w:w w:val="99"/>
              </w:rPr>
              <w:t>Unit</w:t>
            </w:r>
            <w:r>
              <w:rPr>
                <w:rFonts w:ascii="Times New Roman" w:cs="Times New Roman" w:eastAsia="Times New Roman" w:hAnsi="Times New Roman"/>
                <w:sz w:val="8"/>
                <w:szCs w:val="8"/>
                <w:b w:val="1"/>
                <w:bCs w:val="1"/>
                <w:color w:val="auto"/>
                <w:w w:val="99"/>
              </w:rPr>
              <w:t>(3)</w:t>
            </w: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b w:val="1"/>
                <w:bCs w:val="1"/>
                <w:color w:val="auto"/>
                <w:w w:val="97"/>
              </w:rPr>
              <w:t>Per Unit</w:t>
            </w:r>
            <w:r>
              <w:rPr>
                <w:rFonts w:ascii="Times New Roman" w:cs="Times New Roman" w:eastAsia="Times New Roman" w:hAnsi="Times New Roman"/>
                <w:sz w:val="8"/>
                <w:szCs w:val="8"/>
                <w:b w:val="1"/>
                <w:bCs w:val="1"/>
                <w:color w:val="auto"/>
                <w:w w:val="97"/>
              </w:rPr>
              <w:t>(4)</w:t>
            </w:r>
          </w:p>
        </w:tc>
        <w:tc>
          <w:tcPr>
            <w:tcW w:w="0" w:type="dxa"/>
            <w:vAlign w:val="bottom"/>
          </w:tcPr>
          <w:p>
            <w:pPr>
              <w:spacing w:after="0"/>
              <w:rPr>
                <w:sz w:val="1"/>
                <w:szCs w:val="1"/>
                <w:color w:val="auto"/>
              </w:rPr>
            </w:pPr>
          </w:p>
        </w:tc>
      </w:tr>
      <w:tr>
        <w:trPr>
          <w:trHeight w:val="138"/>
        </w:trPr>
        <w:tc>
          <w:tcPr>
            <w:tcW w:w="3400" w:type="dxa"/>
            <w:vAlign w:val="bottom"/>
            <w:tcBorders>
              <w:top w:val="single" w:sz="8" w:color="CCEEFF"/>
            </w:tcBorders>
            <w:gridSpan w:val="2"/>
            <w:shd w:val="clear" w:color="auto" w:fill="CCEEFF"/>
          </w:tcPr>
          <w:p>
            <w:pPr>
              <w:spacing w:after="0" w:line="138" w:lineRule="exact"/>
              <w:rPr>
                <w:sz w:val="20"/>
                <w:szCs w:val="20"/>
                <w:color w:val="auto"/>
              </w:rPr>
            </w:pPr>
            <w:r>
              <w:rPr>
                <w:rFonts w:ascii="Times New Roman" w:cs="Times New Roman" w:eastAsia="Times New Roman" w:hAnsi="Times New Roman"/>
                <w:sz w:val="14"/>
                <w:szCs w:val="14"/>
                <w:b w:val="1"/>
                <w:bCs w:val="1"/>
                <w:color w:val="auto"/>
              </w:rPr>
              <w:t>March 31, 2026 (unaudited)</w:t>
            </w:r>
          </w:p>
        </w:tc>
        <w:tc>
          <w:tcPr>
            <w:tcW w:w="10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CCEEFF"/>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4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SBA Debentures</w:t>
            </w:r>
          </w:p>
        </w:tc>
        <w:tc>
          <w:tcPr>
            <w:tcW w:w="1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260,500</w:t>
            </w:r>
          </w:p>
        </w:tc>
        <w:tc>
          <w:tcPr>
            <w:tcW w:w="600" w:type="dxa"/>
            <w:vAlign w:val="bottom"/>
          </w:tcPr>
          <w:p>
            <w:pPr>
              <w:spacing w:after="0"/>
              <w:rPr>
                <w:sz w:val="14"/>
                <w:szCs w:val="14"/>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0"/>
                <w:szCs w:val="10"/>
                <w:color w:val="auto"/>
                <w:w w:val="7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spacing w:after="0"/>
              <w:rPr>
                <w:sz w:val="14"/>
                <w:szCs w:val="14"/>
                <w:color w:val="auto"/>
              </w:rPr>
            </w:pPr>
          </w:p>
        </w:tc>
        <w:tc>
          <w:tcPr>
            <w:tcW w:w="130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— </w:t>
            </w: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N/A</w:t>
            </w:r>
          </w:p>
        </w:tc>
        <w:tc>
          <w:tcPr>
            <w:tcW w:w="0" w:type="dxa"/>
            <w:vAlign w:val="bottom"/>
          </w:tcPr>
          <w:p>
            <w:pPr>
              <w:spacing w:after="0"/>
              <w:rPr>
                <w:sz w:val="1"/>
                <w:szCs w:val="1"/>
                <w:color w:val="auto"/>
              </w:rPr>
            </w:pPr>
          </w:p>
        </w:tc>
      </w:tr>
      <w:tr>
        <w:trPr>
          <w:trHeight w:val="167"/>
        </w:trPr>
        <w:tc>
          <w:tcPr>
            <w:tcW w:w="3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SPV Credit Facility</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4"/>
                <w:szCs w:val="14"/>
                <w:color w:val="auto"/>
              </w:rPr>
              <w:t>85,150</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w w:val="79"/>
              </w:rPr>
              <w:t>$</w:t>
            </w:r>
          </w:p>
        </w:tc>
        <w:tc>
          <w:tcPr>
            <w:tcW w:w="128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4"/>
                <w:szCs w:val="14"/>
                <w:color w:val="auto"/>
              </w:rPr>
              <w:t>2,759</w:t>
            </w:r>
          </w:p>
        </w:tc>
        <w:tc>
          <w:tcPr>
            <w:tcW w:w="13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— </w:t>
            </w: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N/A</w:t>
            </w:r>
          </w:p>
        </w:tc>
        <w:tc>
          <w:tcPr>
            <w:tcW w:w="0" w:type="dxa"/>
            <w:vAlign w:val="bottom"/>
          </w:tcPr>
          <w:p>
            <w:pPr>
              <w:spacing w:after="0"/>
              <w:rPr>
                <w:sz w:val="1"/>
                <w:szCs w:val="1"/>
                <w:color w:val="auto"/>
              </w:rPr>
            </w:pPr>
          </w:p>
        </w:tc>
      </w:tr>
      <w:tr>
        <w:trPr>
          <w:trHeight w:val="167"/>
        </w:trPr>
        <w:tc>
          <w:tcPr>
            <w:tcW w:w="3400" w:type="dxa"/>
            <w:vAlign w:val="bottom"/>
            <w:gridSpan w:val="2"/>
          </w:tcPr>
          <w:p>
            <w:pPr>
              <w:spacing w:after="0" w:line="167" w:lineRule="exact"/>
              <w:rPr>
                <w:sz w:val="20"/>
                <w:szCs w:val="20"/>
                <w:color w:val="auto"/>
              </w:rPr>
            </w:pPr>
            <w:r>
              <w:rPr>
                <w:rFonts w:ascii="Times New Roman" w:cs="Times New Roman" w:eastAsia="Times New Roman" w:hAnsi="Times New Roman"/>
                <w:sz w:val="13"/>
                <w:szCs w:val="13"/>
                <w:color w:val="auto"/>
              </w:rPr>
              <w:t>2026 Notes</w:t>
            </w:r>
            <w:r>
              <w:rPr>
                <w:rFonts w:ascii="Times New Roman" w:cs="Times New Roman" w:eastAsia="Times New Roman" w:hAnsi="Times New Roman"/>
                <w:sz w:val="19"/>
                <w:szCs w:val="19"/>
                <w:color w:val="auto"/>
                <w:vertAlign w:val="superscript"/>
              </w:rPr>
              <w:t>(6)</w:t>
            </w:r>
          </w:p>
        </w:tc>
        <w:tc>
          <w:tcPr>
            <w:tcW w:w="1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125,000</w:t>
            </w:r>
          </w:p>
        </w:tc>
        <w:tc>
          <w:tcPr>
            <w:tcW w:w="600" w:type="dxa"/>
            <w:vAlign w:val="bottom"/>
          </w:tcPr>
          <w:p>
            <w:pPr>
              <w:spacing w:after="0"/>
              <w:rPr>
                <w:sz w:val="14"/>
                <w:szCs w:val="14"/>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0"/>
                <w:szCs w:val="10"/>
                <w:color w:val="auto"/>
                <w:w w:val="79"/>
              </w:rPr>
              <w:t>$</w:t>
            </w:r>
          </w:p>
        </w:tc>
        <w:tc>
          <w:tcPr>
            <w:tcW w:w="128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color w:val="auto"/>
              </w:rPr>
              <w:t>2,759</w:t>
            </w:r>
          </w:p>
        </w:tc>
        <w:tc>
          <w:tcPr>
            <w:tcW w:w="130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— </w:t>
            </w: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N/A</w:t>
            </w:r>
          </w:p>
        </w:tc>
        <w:tc>
          <w:tcPr>
            <w:tcW w:w="0" w:type="dxa"/>
            <w:vAlign w:val="bottom"/>
          </w:tcPr>
          <w:p>
            <w:pPr>
              <w:spacing w:after="0"/>
              <w:rPr>
                <w:sz w:val="1"/>
                <w:szCs w:val="1"/>
                <w:color w:val="auto"/>
              </w:rPr>
            </w:pPr>
          </w:p>
        </w:tc>
      </w:tr>
      <w:tr>
        <w:trPr>
          <w:trHeight w:val="167"/>
        </w:trPr>
        <w:tc>
          <w:tcPr>
            <w:tcW w:w="3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2030 Notes</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200,000</w:t>
            </w:r>
          </w:p>
        </w:tc>
        <w:tc>
          <w:tcPr>
            <w:tcW w:w="6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w w:val="79"/>
              </w:rPr>
              <w:t>$</w:t>
            </w:r>
          </w:p>
        </w:tc>
        <w:tc>
          <w:tcPr>
            <w:tcW w:w="128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4"/>
                <w:szCs w:val="14"/>
                <w:color w:val="auto"/>
              </w:rPr>
              <w:t>2,759</w:t>
            </w:r>
          </w:p>
        </w:tc>
        <w:tc>
          <w:tcPr>
            <w:tcW w:w="13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— </w:t>
            </w: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N/A</w:t>
            </w:r>
          </w:p>
        </w:tc>
        <w:tc>
          <w:tcPr>
            <w:tcW w:w="0" w:type="dxa"/>
            <w:vAlign w:val="bottom"/>
          </w:tcPr>
          <w:p>
            <w:pPr>
              <w:spacing w:after="0"/>
              <w:rPr>
                <w:sz w:val="1"/>
                <w:szCs w:val="1"/>
                <w:color w:val="auto"/>
              </w:rPr>
            </w:pPr>
          </w:p>
        </w:tc>
      </w:tr>
      <w:tr>
        <w:trPr>
          <w:trHeight w:val="182"/>
        </w:trPr>
        <w:tc>
          <w:tcPr>
            <w:tcW w:w="34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Secured Borrowings</w:t>
            </w:r>
          </w:p>
        </w:tc>
        <w:tc>
          <w:tcPr>
            <w:tcW w:w="1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11,594</w:t>
            </w:r>
          </w:p>
        </w:tc>
        <w:tc>
          <w:tcPr>
            <w:tcW w:w="600" w:type="dxa"/>
            <w:vAlign w:val="bottom"/>
          </w:tcPr>
          <w:p>
            <w:pPr>
              <w:spacing w:after="0"/>
              <w:rPr>
                <w:sz w:val="15"/>
                <w:szCs w:val="15"/>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0"/>
                <w:szCs w:val="10"/>
                <w:color w:val="auto"/>
                <w:w w:val="79"/>
              </w:rPr>
              <w:t>$</w:t>
            </w:r>
          </w:p>
        </w:tc>
        <w:tc>
          <w:tcPr>
            <w:tcW w:w="128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color w:val="auto"/>
              </w:rPr>
              <w:t>2,759</w:t>
            </w:r>
          </w:p>
        </w:tc>
        <w:tc>
          <w:tcPr>
            <w:tcW w:w="130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— </w:t>
            </w: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N/A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873125</wp:posOffset>
            </wp:positionH>
            <wp:positionV relativeFrom="paragraph">
              <wp:posOffset>57150</wp:posOffset>
            </wp:positionV>
            <wp:extent cx="598170" cy="63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9">
                      <a:extLst>
                        <a:ext uri="{28A0092B-C50C-407E-A947-70E740481C1C}"/>
                      </a:extLst>
                    </a:blip>
                    <a:srcRect/>
                    <a:stretch>
                      <a:fillRect/>
                    </a:stretch>
                  </pic:blipFill>
                  <pic:spPr bwMode="auto">
                    <a:xfrm>
                      <a:off x="0" y="0"/>
                      <a:ext cx="598170" cy="6350"/>
                    </a:xfrm>
                    <a:prstGeom prst="rect">
                      <a:avLst/>
                    </a:prstGeom>
                    <a:noFill/>
                  </pic:spPr>
                </pic:pic>
              </a:graphicData>
            </a:graphic>
          </wp:anchor>
        </w:drawing>
      </w:r>
    </w:p>
    <w:p>
      <w:pPr>
        <w:spacing w:after="0" w:line="97" w:lineRule="exact"/>
        <w:rPr>
          <w:sz w:val="20"/>
          <w:szCs w:val="20"/>
          <w:color w:val="auto"/>
        </w:rPr>
      </w:pPr>
    </w:p>
    <w:p>
      <w:pPr>
        <w:ind w:left="1700" w:hanging="325"/>
        <w:spacing w:after="0"/>
        <w:tabs>
          <w:tab w:leader="none" w:pos="170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Total amount of each class of senior securities outstanding at the end of the period presented.</w:t>
      </w:r>
    </w:p>
    <w:p>
      <w:pPr>
        <w:spacing w:after="0" w:line="21" w:lineRule="exact"/>
        <w:rPr>
          <w:rFonts w:ascii="Times New Roman" w:cs="Times New Roman" w:eastAsia="Times New Roman" w:hAnsi="Times New Roman"/>
          <w:sz w:val="14"/>
          <w:szCs w:val="14"/>
          <w:color w:val="auto"/>
        </w:rPr>
      </w:pPr>
    </w:p>
    <w:p>
      <w:pPr>
        <w:jc w:val="both"/>
        <w:ind w:left="1700" w:right="479" w:hanging="325"/>
        <w:spacing w:after="0" w:line="249" w:lineRule="auto"/>
        <w:tabs>
          <w:tab w:leader="none" w:pos="170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Asset coverage per unit is the ratio of the carrying value of our total consolidated assets, less all liabilities and indebtedness not represented by senior securities, to the aggregate amount of senior securities representing indebtedness. Asset coverage per unit is expressed in terms of dollar amounts per $1,000 of indebtedness.</w:t>
      </w:r>
    </w:p>
    <w:p>
      <w:pPr>
        <w:spacing w:after="0" w:line="1" w:lineRule="exact"/>
        <w:rPr>
          <w:rFonts w:ascii="Times New Roman" w:cs="Times New Roman" w:eastAsia="Times New Roman" w:hAnsi="Times New Roman"/>
          <w:sz w:val="14"/>
          <w:szCs w:val="14"/>
          <w:color w:val="auto"/>
        </w:rPr>
      </w:pPr>
    </w:p>
    <w:p>
      <w:pPr>
        <w:ind w:left="1700" w:right="479" w:hanging="325"/>
        <w:spacing w:after="0" w:line="268" w:lineRule="auto"/>
        <w:tabs>
          <w:tab w:leader="none" w:pos="1700" w:val="left"/>
        </w:tabs>
        <w:numPr>
          <w:ilvl w:val="0"/>
          <w:numId w:val="3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amount to which such class of senior security would be entitled upon the involuntary liquidation of the issuer in preference to any security junior to it. The “—” indicates information which the SEC expressly does not require to be disclosed for certain types of senior securities.</w:t>
      </w:r>
    </w:p>
    <w:p>
      <w:pPr>
        <w:spacing w:after="0" w:line="1" w:lineRule="exact"/>
        <w:rPr>
          <w:rFonts w:ascii="Times New Roman" w:cs="Times New Roman" w:eastAsia="Times New Roman" w:hAnsi="Times New Roman"/>
          <w:sz w:val="13"/>
          <w:szCs w:val="13"/>
          <w:color w:val="auto"/>
        </w:rPr>
      </w:pPr>
    </w:p>
    <w:p>
      <w:pPr>
        <w:ind w:left="1700" w:right="539" w:hanging="325"/>
        <w:spacing w:after="0" w:line="249" w:lineRule="auto"/>
        <w:tabs>
          <w:tab w:leader="none" w:pos="170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 applicable to the SBA debentures, the SPV Credit Facility, the 2026 Notes (as defined below), the 2030 Notes, or our secured borrowings because these senior securities are not registered for public trading.</w:t>
      </w:r>
    </w:p>
    <w:p>
      <w:pPr>
        <w:ind w:left="1700" w:right="339" w:hanging="325"/>
        <w:spacing w:after="0" w:line="249" w:lineRule="auto"/>
        <w:tabs>
          <w:tab w:leader="none" w:pos="170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have excluded our SBA debentures from the asset coverage calculation pursuant to the exemptive relief granted by the SEC in June 2014 that permits us to exclude the senior securities issued by the SBIC Subsidiaries from the definition of senior securities in the asset coverage requirement applicable to us under the 1940 Act.</w:t>
      </w:r>
    </w:p>
    <w:p>
      <w:pPr>
        <w:spacing w:after="0" w:line="1" w:lineRule="exact"/>
        <w:rPr>
          <w:rFonts w:ascii="Times New Roman" w:cs="Times New Roman" w:eastAsia="Times New Roman" w:hAnsi="Times New Roman"/>
          <w:sz w:val="14"/>
          <w:szCs w:val="14"/>
          <w:color w:val="auto"/>
        </w:rPr>
      </w:pPr>
    </w:p>
    <w:p>
      <w:pPr>
        <w:ind w:left="1700" w:right="359" w:hanging="325"/>
        <w:spacing w:after="0" w:line="268" w:lineRule="auto"/>
        <w:tabs>
          <w:tab w:leader="none" w:pos="1700" w:val="left"/>
        </w:tabs>
        <w:numPr>
          <w:ilvl w:val="0"/>
          <w:numId w:val="3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On May 29, 2026, we caused notices to be issued to the holders of our 3.50% Notes due 2026 (the “2026 Notes”) regarding our intent to exercise our option to redeem, in full, $125.0 million in aggregate principal amount of the issued and outstanding 2026 Notes. On June 29, 2026, we redeemed $125.0 million in aggregate principal amount of the 2026 Notes in full, resulting in a realized loss on extinguishment of debt</w:t>
      </w:r>
    </w:p>
    <w:p>
      <w:pPr>
        <w:spacing w:after="0" w:line="1" w:lineRule="exact"/>
        <w:rPr>
          <w:rFonts w:ascii="Times New Roman" w:cs="Times New Roman" w:eastAsia="Times New Roman" w:hAnsi="Times New Roman"/>
          <w:sz w:val="13"/>
          <w:szCs w:val="13"/>
          <w:color w:val="auto"/>
        </w:rPr>
      </w:pPr>
    </w:p>
    <w:p>
      <w:pPr>
        <w:ind w:left="170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color w:val="auto"/>
        </w:rPr>
        <w:t>$0.2 million.</w:t>
      </w:r>
    </w:p>
    <w:p>
      <w:pPr>
        <w:spacing w:after="0" w:line="10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45</w:t>
      </w:r>
    </w:p>
    <w:p>
      <w:pPr>
        <w:sectPr>
          <w:pgSz w:w="11900" w:h="16838" w:orient="portrait"/>
          <w:cols w:equalWidth="0" w:num="1">
            <w:col w:w="10159"/>
          </w:cols>
          <w:pgMar w:left="300" w:top="384" w:right="1440"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0">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PORTFOLIO COMPANIES</w:t>
      </w:r>
    </w:p>
    <w:p>
      <w:pPr>
        <w:spacing w:after="0" w:line="176" w:lineRule="exact"/>
        <w:rPr>
          <w:sz w:val="20"/>
          <w:szCs w:val="20"/>
          <w:color w:val="auto"/>
        </w:rPr>
      </w:pPr>
    </w:p>
    <w:p>
      <w:pPr>
        <w:ind w:left="1380" w:right="239" w:firstLine="341"/>
        <w:spacing w:after="0" w:line="257" w:lineRule="auto"/>
        <w:rPr>
          <w:sz w:val="20"/>
          <w:szCs w:val="20"/>
          <w:color w:val="auto"/>
        </w:rPr>
      </w:pPr>
      <w:r>
        <w:rPr>
          <w:rFonts w:ascii="Times New Roman" w:cs="Times New Roman" w:eastAsia="Times New Roman" w:hAnsi="Times New Roman"/>
          <w:sz w:val="14"/>
          <w:szCs w:val="14"/>
          <w:color w:val="auto"/>
        </w:rPr>
        <w:t>The following table sets forth certain information regarding each of the portfolio companies in which we had a debt or equity investment as of March 31, 2026. As of March 31, 2026, we did not make any investments in a portfolio company that represented greater than 5.0% of our total assets as of March 31, 2026. Our only relationships with our portfolio companies are the managerial assistance we may separately provide to our portfolio companies, which services would be ancillary to our investments. We offer to make available significant managerial assistance to our portfolio companies. We may receive rights to observe the meetings of our portfolio companies’ board of directors.</w:t>
      </w:r>
    </w:p>
    <w:p>
      <w:pPr>
        <w:spacing w:after="0" w:line="167" w:lineRule="exact"/>
        <w:rPr>
          <w:sz w:val="20"/>
          <w:szCs w:val="20"/>
          <w:color w:val="auto"/>
        </w:rPr>
      </w:pPr>
    </w:p>
    <w:tbl>
      <w:tblPr>
        <w:tblLayout w:type="fixed"/>
        <w:tblInd w:w="1380" w:type="dxa"/>
        <w:tblCellMar>
          <w:top w:w="0" w:type="dxa"/>
          <w:left w:w="0" w:type="dxa"/>
          <w:bottom w:w="0" w:type="dxa"/>
          <w:right w:w="0" w:type="dxa"/>
        </w:tblCellMar>
      </w:tblPr>
      <w:tr>
        <w:trPr>
          <w:trHeight w:val="95"/>
        </w:trPr>
        <w:tc>
          <w:tcPr>
            <w:tcW w:w="1220" w:type="dxa"/>
            <w:vAlign w:val="bottom"/>
            <w:gridSpan w:val="4"/>
          </w:tcPr>
          <w:p>
            <w:pPr>
              <w:spacing w:after="0"/>
              <w:rPr>
                <w:sz w:val="20"/>
                <w:szCs w:val="20"/>
                <w:color w:val="auto"/>
              </w:rPr>
            </w:pPr>
            <w:r>
              <w:rPr>
                <w:rFonts w:ascii="Times New Roman" w:cs="Times New Roman" w:eastAsia="Times New Roman" w:hAnsi="Times New Roman"/>
                <w:sz w:val="8"/>
                <w:szCs w:val="8"/>
                <w:b w:val="1"/>
                <w:bCs w:val="1"/>
                <w:color w:val="auto"/>
              </w:rPr>
              <w:t>Portfolio Company (a)(b)</w:t>
            </w:r>
          </w:p>
        </w:tc>
        <w:tc>
          <w:tcPr>
            <w:tcW w:w="132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 w:type="dxa"/>
            <w:vAlign w:val="bottom"/>
          </w:tcPr>
          <w:p>
            <w:pPr>
              <w:spacing w:after="0"/>
              <w:rPr>
                <w:sz w:val="8"/>
                <w:szCs w:val="8"/>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8"/>
                <w:szCs w:val="8"/>
                <w:b w:val="1"/>
                <w:bCs w:val="1"/>
                <w:color w:val="auto"/>
              </w:rPr>
              <w:t>Percentage of</w:t>
            </w:r>
          </w:p>
        </w:tc>
        <w:tc>
          <w:tcPr>
            <w:tcW w:w="920" w:type="dxa"/>
            <w:vAlign w:val="bottom"/>
            <w:gridSpan w:val="2"/>
          </w:tcPr>
          <w:p>
            <w:pPr>
              <w:jc w:val="center"/>
              <w:ind w:right="40"/>
              <w:spacing w:after="0"/>
              <w:rPr>
                <w:sz w:val="20"/>
                <w:szCs w:val="20"/>
                <w:color w:val="auto"/>
              </w:rPr>
            </w:pPr>
            <w:r>
              <w:rPr>
                <w:rFonts w:ascii="Times New Roman" w:cs="Times New Roman" w:eastAsia="Times New Roman" w:hAnsi="Times New Roman"/>
                <w:sz w:val="8"/>
                <w:szCs w:val="8"/>
                <w:b w:val="1"/>
                <w:bCs w:val="1"/>
                <w:color w:val="auto"/>
              </w:rPr>
              <w:t>Variable Index</w:t>
            </w:r>
          </w:p>
        </w:tc>
        <w:tc>
          <w:tcPr>
            <w:tcW w:w="680" w:type="dxa"/>
            <w:vAlign w:val="bottom"/>
            <w:gridSpan w:val="2"/>
          </w:tcPr>
          <w:p>
            <w:pPr>
              <w:jc w:val="center"/>
              <w:ind w:right="80"/>
              <w:spacing w:after="0"/>
              <w:rPr>
                <w:sz w:val="20"/>
                <w:szCs w:val="20"/>
                <w:color w:val="auto"/>
              </w:rPr>
            </w:pPr>
            <w:r>
              <w:rPr>
                <w:rFonts w:ascii="Times New Roman" w:cs="Times New Roman" w:eastAsia="Times New Roman" w:hAnsi="Times New Roman"/>
                <w:sz w:val="8"/>
                <w:szCs w:val="8"/>
                <w:b w:val="1"/>
                <w:bCs w:val="1"/>
                <w:color w:val="auto"/>
              </w:rPr>
              <w:t>Rate (e)</w:t>
            </w: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8"/>
                <w:szCs w:val="8"/>
                <w:b w:val="1"/>
                <w:bCs w:val="1"/>
                <w:color w:val="auto"/>
              </w:rPr>
              <w:t>Investment</w:t>
            </w: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8"/>
                <w:szCs w:val="8"/>
                <w:b w:val="1"/>
                <w:bCs w:val="1"/>
                <w:color w:val="auto"/>
                <w:w w:val="94"/>
              </w:rPr>
              <w:t>Principal</w:t>
            </w: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8"/>
                <w:szCs w:val="8"/>
                <w:b w:val="1"/>
                <w:bCs w:val="1"/>
                <w:color w:val="auto"/>
              </w:rPr>
              <w:t>Fair</w:t>
            </w:r>
          </w:p>
        </w:tc>
        <w:tc>
          <w:tcPr>
            <w:tcW w:w="480" w:type="dxa"/>
            <w:vAlign w:val="bottom"/>
            <w:gridSpan w:val="2"/>
          </w:tcPr>
          <w:p>
            <w:pPr>
              <w:jc w:val="right"/>
              <w:ind w:right="120"/>
              <w:spacing w:after="0"/>
              <w:rPr>
                <w:sz w:val="20"/>
                <w:szCs w:val="20"/>
                <w:color w:val="auto"/>
              </w:rPr>
            </w:pPr>
            <w:r>
              <w:rPr>
                <w:rFonts w:ascii="Times New Roman" w:cs="Times New Roman" w:eastAsia="Times New Roman" w:hAnsi="Times New Roman"/>
                <w:sz w:val="8"/>
                <w:szCs w:val="8"/>
                <w:b w:val="1"/>
                <w:bCs w:val="1"/>
                <w:color w:val="auto"/>
                <w:w w:val="97"/>
              </w:rPr>
              <w:t>Percent of</w:t>
            </w:r>
          </w:p>
        </w:tc>
        <w:tc>
          <w:tcPr>
            <w:tcW w:w="0" w:type="dxa"/>
            <w:vAlign w:val="bottom"/>
          </w:tcPr>
          <w:p>
            <w:pPr>
              <w:spacing w:after="0"/>
              <w:rPr>
                <w:sz w:val="1"/>
                <w:szCs w:val="1"/>
                <w:color w:val="auto"/>
              </w:rPr>
            </w:pPr>
          </w:p>
        </w:tc>
      </w:tr>
      <w:tr>
        <w:trPr>
          <w:trHeight w:val="125"/>
        </w:trPr>
        <w:tc>
          <w:tcPr>
            <w:tcW w:w="11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8"/>
                <w:szCs w:val="8"/>
                <w:b w:val="1"/>
                <w:bCs w:val="1"/>
                <w:color w:val="auto"/>
              </w:rPr>
              <w:t>Address of Portfolio Company</w:t>
            </w:r>
          </w:p>
        </w:tc>
        <w:tc>
          <w:tcPr>
            <w:tcW w:w="120" w:type="dxa"/>
            <w:vAlign w:val="bottom"/>
          </w:tcPr>
          <w:p>
            <w:pPr>
              <w:spacing w:after="0"/>
              <w:rPr>
                <w:sz w:val="10"/>
                <w:szCs w:val="10"/>
                <w:color w:val="auto"/>
              </w:rPr>
            </w:pPr>
          </w:p>
        </w:tc>
        <w:tc>
          <w:tcPr>
            <w:tcW w:w="1360" w:type="dxa"/>
            <w:vAlign w:val="bottom"/>
            <w:gridSpan w:val="2"/>
          </w:tcPr>
          <w:p>
            <w:pPr>
              <w:ind w:left="320"/>
              <w:spacing w:after="0"/>
              <w:rPr>
                <w:sz w:val="20"/>
                <w:szCs w:val="20"/>
                <w:color w:val="auto"/>
              </w:rPr>
            </w:pPr>
            <w:r>
              <w:rPr>
                <w:rFonts w:ascii="Times New Roman" w:cs="Times New Roman" w:eastAsia="Times New Roman" w:hAnsi="Times New Roman"/>
                <w:sz w:val="8"/>
                <w:szCs w:val="8"/>
                <w:b w:val="1"/>
                <w:bCs w:val="1"/>
                <w:color w:val="auto"/>
              </w:rPr>
              <w:t>Investment Type (c)</w:t>
            </w:r>
          </w:p>
        </w:tc>
        <w:tc>
          <w:tcPr>
            <w:tcW w:w="800" w:type="dxa"/>
            <w:vAlign w:val="bottom"/>
            <w:gridSpan w:val="2"/>
          </w:tcPr>
          <w:p>
            <w:pPr>
              <w:ind w:left="220"/>
              <w:spacing w:after="0"/>
              <w:rPr>
                <w:sz w:val="20"/>
                <w:szCs w:val="20"/>
                <w:color w:val="auto"/>
              </w:rPr>
            </w:pPr>
            <w:r>
              <w:rPr>
                <w:rFonts w:ascii="Times New Roman" w:cs="Times New Roman" w:eastAsia="Times New Roman" w:hAnsi="Times New Roman"/>
                <w:sz w:val="8"/>
                <w:szCs w:val="8"/>
                <w:b w:val="1"/>
                <w:bCs w:val="1"/>
                <w:color w:val="auto"/>
              </w:rPr>
              <w:t>Industry</w:t>
            </w: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8"/>
                <w:szCs w:val="8"/>
                <w:b w:val="1"/>
                <w:bCs w:val="1"/>
                <w:color w:val="auto"/>
                <w:w w:val="98"/>
              </w:rPr>
              <w:t>Class Held (bn)</w:t>
            </w:r>
          </w:p>
        </w:tc>
        <w:tc>
          <w:tcPr>
            <w:tcW w:w="920" w:type="dxa"/>
            <w:vAlign w:val="bottom"/>
            <w:gridSpan w:val="2"/>
          </w:tcPr>
          <w:p>
            <w:pPr>
              <w:jc w:val="center"/>
              <w:ind w:right="40"/>
              <w:spacing w:after="0"/>
              <w:rPr>
                <w:sz w:val="20"/>
                <w:szCs w:val="20"/>
                <w:color w:val="auto"/>
              </w:rPr>
            </w:pPr>
            <w:r>
              <w:rPr>
                <w:rFonts w:ascii="Times New Roman" w:cs="Times New Roman" w:eastAsia="Times New Roman" w:hAnsi="Times New Roman"/>
                <w:sz w:val="8"/>
                <w:szCs w:val="8"/>
                <w:b w:val="1"/>
                <w:bCs w:val="1"/>
                <w:color w:val="auto"/>
              </w:rPr>
              <w:t>Spread / Floor (d)</w:t>
            </w:r>
          </w:p>
        </w:tc>
        <w:tc>
          <w:tcPr>
            <w:tcW w:w="680" w:type="dxa"/>
            <w:vAlign w:val="bottom"/>
            <w:gridSpan w:val="2"/>
          </w:tcPr>
          <w:p>
            <w:pPr>
              <w:jc w:val="center"/>
              <w:ind w:right="80"/>
              <w:spacing w:after="0"/>
              <w:rPr>
                <w:sz w:val="20"/>
                <w:szCs w:val="20"/>
                <w:color w:val="auto"/>
              </w:rPr>
            </w:pPr>
            <w:r>
              <w:rPr>
                <w:rFonts w:ascii="Times New Roman" w:cs="Times New Roman" w:eastAsia="Times New Roman" w:hAnsi="Times New Roman"/>
                <w:sz w:val="8"/>
                <w:szCs w:val="8"/>
                <w:b w:val="1"/>
                <w:bCs w:val="1"/>
                <w:color w:val="auto"/>
              </w:rPr>
              <w:t>Cash/PIK</w:t>
            </w: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8"/>
                <w:szCs w:val="8"/>
                <w:b w:val="1"/>
                <w:bCs w:val="1"/>
                <w:color w:val="auto"/>
              </w:rPr>
              <w:t>Date (f)</w:t>
            </w: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8"/>
                <w:szCs w:val="8"/>
                <w:b w:val="1"/>
                <w:bCs w:val="1"/>
                <w:color w:val="auto"/>
              </w:rPr>
              <w:t>Maturity</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8"/>
                <w:szCs w:val="8"/>
                <w:b w:val="1"/>
                <w:bCs w:val="1"/>
                <w:color w:val="auto"/>
              </w:rPr>
              <w:t>Amount</w:t>
            </w:r>
          </w:p>
        </w:tc>
        <w:tc>
          <w:tcPr>
            <w:tcW w:w="120" w:type="dxa"/>
            <w:vAlign w:val="bottom"/>
          </w:tcPr>
          <w:p>
            <w:pPr>
              <w:spacing w:after="0"/>
              <w:rPr>
                <w:sz w:val="10"/>
                <w:szCs w:val="10"/>
                <w:color w:val="auto"/>
              </w:rPr>
            </w:pPr>
          </w:p>
        </w:tc>
        <w:tc>
          <w:tcPr>
            <w:tcW w:w="380" w:type="dxa"/>
            <w:vAlign w:val="bottom"/>
            <w:gridSpan w:val="2"/>
          </w:tcPr>
          <w:p>
            <w:pPr>
              <w:jc w:val="right"/>
              <w:ind w:right="200"/>
              <w:spacing w:after="0"/>
              <w:rPr>
                <w:sz w:val="20"/>
                <w:szCs w:val="20"/>
                <w:color w:val="auto"/>
              </w:rPr>
            </w:pPr>
            <w:r>
              <w:rPr>
                <w:rFonts w:ascii="Times New Roman" w:cs="Times New Roman" w:eastAsia="Times New Roman" w:hAnsi="Times New Roman"/>
                <w:sz w:val="8"/>
                <w:szCs w:val="8"/>
                <w:b w:val="1"/>
                <w:bCs w:val="1"/>
                <w:color w:val="auto"/>
              </w:rPr>
              <w:t>Cost</w:t>
            </w:r>
          </w:p>
        </w:tc>
        <w:tc>
          <w:tcPr>
            <w:tcW w:w="420" w:type="dxa"/>
            <w:vAlign w:val="bottom"/>
            <w:gridSpan w:val="3"/>
          </w:tcPr>
          <w:p>
            <w:pPr>
              <w:spacing w:after="0"/>
              <w:rPr>
                <w:sz w:val="20"/>
                <w:szCs w:val="20"/>
                <w:color w:val="auto"/>
              </w:rPr>
            </w:pPr>
            <w:r>
              <w:rPr>
                <w:rFonts w:ascii="Times New Roman" w:cs="Times New Roman" w:eastAsia="Times New Roman" w:hAnsi="Times New Roman"/>
                <w:sz w:val="8"/>
                <w:szCs w:val="8"/>
                <w:b w:val="1"/>
                <w:bCs w:val="1"/>
                <w:color w:val="auto"/>
              </w:rPr>
              <w:t>Value (g)</w:t>
            </w:r>
          </w:p>
        </w:tc>
        <w:tc>
          <w:tcPr>
            <w:tcW w:w="480" w:type="dxa"/>
            <w:vAlign w:val="bottom"/>
            <w:gridSpan w:val="2"/>
          </w:tcPr>
          <w:p>
            <w:pPr>
              <w:jc w:val="right"/>
              <w:ind w:right="120"/>
              <w:spacing w:after="0"/>
              <w:rPr>
                <w:sz w:val="20"/>
                <w:szCs w:val="20"/>
                <w:color w:val="auto"/>
              </w:rPr>
            </w:pPr>
            <w:r>
              <w:rPr>
                <w:rFonts w:ascii="Times New Roman" w:cs="Times New Roman" w:eastAsia="Times New Roman" w:hAnsi="Times New Roman"/>
                <w:sz w:val="8"/>
                <w:szCs w:val="8"/>
                <w:b w:val="1"/>
                <w:bCs w:val="1"/>
                <w:color w:val="auto"/>
                <w:w w:val="96"/>
              </w:rPr>
              <w:t>Net Assets</w:t>
            </w:r>
          </w:p>
        </w:tc>
        <w:tc>
          <w:tcPr>
            <w:tcW w:w="0" w:type="dxa"/>
            <w:vAlign w:val="bottom"/>
          </w:tcPr>
          <w:p>
            <w:pPr>
              <w:spacing w:after="0"/>
              <w:rPr>
                <w:sz w:val="1"/>
                <w:szCs w:val="1"/>
                <w:color w:val="auto"/>
              </w:rPr>
            </w:pPr>
          </w:p>
        </w:tc>
      </w:tr>
      <w:tr>
        <w:trPr>
          <w:trHeight w:val="65"/>
        </w:trPr>
        <w:tc>
          <w:tcPr>
            <w:tcW w:w="1220" w:type="dxa"/>
            <w:vAlign w:val="bottom"/>
            <w:tcBorders>
              <w:top w:val="single" w:sz="8" w:color="CCEEFF"/>
            </w:tcBorders>
            <w:gridSpan w:val="4"/>
            <w:shd w:val="clear" w:color="auto" w:fill="CCEEFF"/>
          </w:tcPr>
          <w:p>
            <w:pPr>
              <w:spacing w:after="0" w:line="65" w:lineRule="exact"/>
              <w:rPr>
                <w:sz w:val="20"/>
                <w:szCs w:val="20"/>
                <w:color w:val="auto"/>
              </w:rPr>
            </w:pPr>
            <w:r>
              <w:rPr>
                <w:rFonts w:ascii="Times New Roman" w:cs="Times New Roman" w:eastAsia="Times New Roman" w:hAnsi="Times New Roman"/>
                <w:sz w:val="7"/>
                <w:szCs w:val="7"/>
                <w:b w:val="1"/>
                <w:bCs w:val="1"/>
                <w:color w:val="auto"/>
              </w:rPr>
              <w:t>Control Investments (t)</w:t>
            </w:r>
          </w:p>
        </w:tc>
        <w:tc>
          <w:tcPr>
            <w:tcW w:w="1320" w:type="dxa"/>
            <w:vAlign w:val="bottom"/>
            <w:tcBorders>
              <w:top w:val="single" w:sz="8" w:color="auto"/>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760" w:type="dxa"/>
            <w:vAlign w:val="bottom"/>
            <w:tcBorders>
              <w:top w:val="single" w:sz="8" w:color="auto"/>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540" w:type="dxa"/>
            <w:vAlign w:val="bottom"/>
            <w:tcBorders>
              <w:top w:val="single" w:sz="8" w:color="auto"/>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880" w:type="dxa"/>
            <w:vAlign w:val="bottom"/>
            <w:tcBorders>
              <w:top w:val="single" w:sz="8" w:color="auto"/>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auto"/>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auto"/>
            </w:tcBorders>
            <w:shd w:val="clear" w:color="auto" w:fill="CCEEFF"/>
          </w:tcPr>
          <w:p>
            <w:pPr>
              <w:spacing w:after="0"/>
              <w:rPr>
                <w:sz w:val="5"/>
                <w:szCs w:val="5"/>
                <w:color w:val="auto"/>
              </w:rPr>
            </w:pPr>
          </w:p>
        </w:tc>
        <w:tc>
          <w:tcPr>
            <w:tcW w:w="260" w:type="dxa"/>
            <w:vAlign w:val="bottom"/>
            <w:tcBorders>
              <w:top w:val="single" w:sz="8" w:color="auto"/>
            </w:tcBorders>
            <w:shd w:val="clear" w:color="auto" w:fill="CCEEFF"/>
          </w:tcPr>
          <w:p>
            <w:pPr>
              <w:spacing w:after="0"/>
              <w:rPr>
                <w:sz w:val="5"/>
                <w:szCs w:val="5"/>
                <w:color w:val="auto"/>
              </w:rPr>
            </w:pPr>
          </w:p>
        </w:tc>
        <w:tc>
          <w:tcPr>
            <w:tcW w:w="120" w:type="dxa"/>
            <w:vAlign w:val="bottom"/>
            <w:tcBorders>
              <w:top w:val="single" w:sz="8" w:color="CCEEFF"/>
              <w:right w:val="single" w:sz="8" w:color="CCEEFF"/>
            </w:tcBorders>
            <w:shd w:val="clear" w:color="auto" w:fill="CCEEFF"/>
          </w:tcPr>
          <w:p>
            <w:pPr>
              <w:spacing w:after="0"/>
              <w:rPr>
                <w:sz w:val="5"/>
                <w:szCs w:val="5"/>
                <w:color w:val="auto"/>
              </w:rPr>
            </w:pPr>
          </w:p>
        </w:tc>
        <w:tc>
          <w:tcPr>
            <w:tcW w:w="260" w:type="dxa"/>
            <w:vAlign w:val="bottom"/>
            <w:tcBorders>
              <w:top w:val="single" w:sz="8" w:color="auto"/>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auto"/>
            </w:tcBorders>
            <w:shd w:val="clear" w:color="auto" w:fill="CCEEFF"/>
          </w:tcPr>
          <w:p>
            <w:pPr>
              <w:spacing w:after="0"/>
              <w:rPr>
                <w:sz w:val="5"/>
                <w:szCs w:val="5"/>
                <w:color w:val="auto"/>
              </w:rPr>
            </w:pPr>
          </w:p>
        </w:tc>
        <w:tc>
          <w:tcPr>
            <w:tcW w:w="260" w:type="dxa"/>
            <w:vAlign w:val="bottom"/>
            <w:tcBorders>
              <w:top w:val="single" w:sz="8" w:color="auto"/>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auto"/>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82"/>
        </w:trPr>
        <w:tc>
          <w:tcPr>
            <w:tcW w:w="960" w:type="dxa"/>
            <w:vAlign w:val="bottom"/>
            <w:tcBorders>
              <w:top w:val="single" w:sz="8" w:color="auto"/>
            </w:tcBorders>
          </w:tcPr>
          <w:p>
            <w:pPr>
              <w:spacing w:after="0" w:line="82" w:lineRule="exact"/>
              <w:rPr>
                <w:sz w:val="20"/>
                <w:szCs w:val="20"/>
                <w:color w:val="auto"/>
              </w:rPr>
            </w:pPr>
            <w:r>
              <w:rPr>
                <w:rFonts w:ascii="Times New Roman" w:cs="Times New Roman" w:eastAsia="Times New Roman" w:hAnsi="Times New Roman"/>
                <w:sz w:val="9"/>
                <w:szCs w:val="9"/>
                <w:i w:val="1"/>
                <w:iCs w:val="1"/>
                <w:color w:val="auto"/>
              </w:rPr>
              <w:t>US GreenFiber, LLC (n)</w:t>
            </w:r>
          </w:p>
        </w:tc>
        <w:tc>
          <w:tcPr>
            <w:tcW w:w="260" w:type="dxa"/>
            <w:vAlign w:val="bottom"/>
            <w:tcBorders>
              <w:top w:val="single" w:sz="8" w:color="CCEEFF"/>
            </w:tcBorders>
            <w:gridSpan w:val="3"/>
          </w:tcPr>
          <w:p>
            <w:pPr>
              <w:spacing w:after="0"/>
              <w:rPr>
                <w:sz w:val="7"/>
                <w:szCs w:val="7"/>
                <w:color w:val="auto"/>
              </w:rPr>
            </w:pPr>
          </w:p>
        </w:tc>
        <w:tc>
          <w:tcPr>
            <w:tcW w:w="1320" w:type="dxa"/>
            <w:vAlign w:val="bottom"/>
            <w:tcBorders>
              <w:top w:val="single" w:sz="8" w:color="CCEEFF"/>
            </w:tcBorders>
          </w:tcPr>
          <w:p>
            <w:pPr>
              <w:spacing w:after="0"/>
              <w:rPr>
                <w:sz w:val="7"/>
                <w:szCs w:val="7"/>
                <w:color w:val="auto"/>
              </w:rPr>
            </w:pPr>
          </w:p>
        </w:tc>
        <w:tc>
          <w:tcPr>
            <w:tcW w:w="40" w:type="dxa"/>
            <w:vAlign w:val="bottom"/>
            <w:tcBorders>
              <w:top w:val="single" w:sz="8" w:color="CCEEFF"/>
            </w:tcBorders>
          </w:tcPr>
          <w:p>
            <w:pPr>
              <w:spacing w:after="0"/>
              <w:rPr>
                <w:sz w:val="7"/>
                <w:szCs w:val="7"/>
                <w:color w:val="auto"/>
              </w:rPr>
            </w:pPr>
          </w:p>
        </w:tc>
        <w:tc>
          <w:tcPr>
            <w:tcW w:w="800" w:type="dxa"/>
            <w:vAlign w:val="bottom"/>
            <w:tcBorders>
              <w:top w:val="single" w:sz="8" w:color="CCEEFF"/>
            </w:tcBorders>
            <w:gridSpan w:val="2"/>
          </w:tcPr>
          <w:p>
            <w:pPr>
              <w:spacing w:after="0" w:line="82" w:lineRule="exact"/>
              <w:rPr>
                <w:sz w:val="20"/>
                <w:szCs w:val="20"/>
                <w:color w:val="auto"/>
              </w:rPr>
            </w:pPr>
            <w:r>
              <w:rPr>
                <w:rFonts w:ascii="Times New Roman" w:cs="Times New Roman" w:eastAsia="Times New Roman" w:hAnsi="Times New Roman"/>
                <w:sz w:val="9"/>
                <w:szCs w:val="9"/>
                <w:color w:val="auto"/>
              </w:rPr>
              <w:t>Building Products</w:t>
            </w:r>
          </w:p>
        </w:tc>
        <w:tc>
          <w:tcPr>
            <w:tcW w:w="540" w:type="dxa"/>
            <w:vAlign w:val="bottom"/>
            <w:tcBorders>
              <w:top w:val="single" w:sz="8" w:color="CCEEFF"/>
            </w:tcBorders>
          </w:tcPr>
          <w:p>
            <w:pPr>
              <w:spacing w:after="0"/>
              <w:rPr>
                <w:sz w:val="7"/>
                <w:szCs w:val="7"/>
                <w:color w:val="auto"/>
              </w:rPr>
            </w:pPr>
          </w:p>
        </w:tc>
        <w:tc>
          <w:tcPr>
            <w:tcW w:w="160" w:type="dxa"/>
            <w:vAlign w:val="bottom"/>
            <w:tcBorders>
              <w:top w:val="single" w:sz="8" w:color="CCEEFF"/>
            </w:tcBorders>
          </w:tcPr>
          <w:p>
            <w:pPr>
              <w:spacing w:after="0"/>
              <w:rPr>
                <w:sz w:val="7"/>
                <w:szCs w:val="7"/>
                <w:color w:val="auto"/>
              </w:rPr>
            </w:pPr>
          </w:p>
        </w:tc>
        <w:tc>
          <w:tcPr>
            <w:tcW w:w="880" w:type="dxa"/>
            <w:vAlign w:val="bottom"/>
            <w:tcBorders>
              <w:top w:val="single" w:sz="8" w:color="CCEEFF"/>
            </w:tcBorders>
          </w:tcPr>
          <w:p>
            <w:pPr>
              <w:spacing w:after="0"/>
              <w:rPr>
                <w:sz w:val="7"/>
                <w:szCs w:val="7"/>
                <w:color w:val="auto"/>
              </w:rPr>
            </w:pPr>
          </w:p>
        </w:tc>
        <w:tc>
          <w:tcPr>
            <w:tcW w:w="40" w:type="dxa"/>
            <w:vAlign w:val="bottom"/>
            <w:tcBorders>
              <w:top w:val="single" w:sz="8" w:color="CCEEFF"/>
            </w:tcBorders>
          </w:tcPr>
          <w:p>
            <w:pPr>
              <w:spacing w:after="0"/>
              <w:rPr>
                <w:sz w:val="7"/>
                <w:szCs w:val="7"/>
                <w:color w:val="auto"/>
              </w:rPr>
            </w:pPr>
          </w:p>
        </w:tc>
        <w:tc>
          <w:tcPr>
            <w:tcW w:w="620" w:type="dxa"/>
            <w:vAlign w:val="bottom"/>
            <w:tcBorders>
              <w:top w:val="single" w:sz="8" w:color="CCEEFF"/>
            </w:tcBorders>
          </w:tcPr>
          <w:p>
            <w:pPr>
              <w:spacing w:after="0"/>
              <w:rPr>
                <w:sz w:val="7"/>
                <w:szCs w:val="7"/>
                <w:color w:val="auto"/>
              </w:rPr>
            </w:pPr>
          </w:p>
        </w:tc>
        <w:tc>
          <w:tcPr>
            <w:tcW w:w="60" w:type="dxa"/>
            <w:vAlign w:val="bottom"/>
            <w:tcBorders>
              <w:top w:val="single" w:sz="8" w:color="CCEEFF"/>
            </w:tcBorders>
          </w:tcPr>
          <w:p>
            <w:pPr>
              <w:spacing w:after="0"/>
              <w:rPr>
                <w:sz w:val="7"/>
                <w:szCs w:val="7"/>
                <w:color w:val="auto"/>
              </w:rPr>
            </w:pPr>
          </w:p>
        </w:tc>
        <w:tc>
          <w:tcPr>
            <w:tcW w:w="480" w:type="dxa"/>
            <w:vAlign w:val="bottom"/>
            <w:tcBorders>
              <w:top w:val="single" w:sz="8" w:color="CCEEFF"/>
            </w:tcBorders>
          </w:tcPr>
          <w:p>
            <w:pPr>
              <w:spacing w:after="0"/>
              <w:rPr>
                <w:sz w:val="7"/>
                <w:szCs w:val="7"/>
                <w:color w:val="auto"/>
              </w:rPr>
            </w:pPr>
          </w:p>
        </w:tc>
        <w:tc>
          <w:tcPr>
            <w:tcW w:w="80" w:type="dxa"/>
            <w:vAlign w:val="bottom"/>
            <w:tcBorders>
              <w:top w:val="single" w:sz="8" w:color="CCEEFF"/>
            </w:tcBorders>
          </w:tcPr>
          <w:p>
            <w:pPr>
              <w:spacing w:after="0"/>
              <w:rPr>
                <w:sz w:val="7"/>
                <w:szCs w:val="7"/>
                <w:color w:val="auto"/>
              </w:rPr>
            </w:pPr>
          </w:p>
        </w:tc>
        <w:tc>
          <w:tcPr>
            <w:tcW w:w="480" w:type="dxa"/>
            <w:vAlign w:val="bottom"/>
            <w:tcBorders>
              <w:top w:val="single" w:sz="8" w:color="CCEEFF"/>
            </w:tcBorders>
          </w:tcPr>
          <w:p>
            <w:pPr>
              <w:spacing w:after="0"/>
              <w:rPr>
                <w:sz w:val="7"/>
                <w:szCs w:val="7"/>
                <w:color w:val="auto"/>
              </w:rPr>
            </w:pPr>
          </w:p>
        </w:tc>
        <w:tc>
          <w:tcPr>
            <w:tcW w:w="80" w:type="dxa"/>
            <w:vAlign w:val="bottom"/>
            <w:tcBorders>
              <w:top w:val="single" w:sz="8" w:color="CCEEFF"/>
            </w:tcBorders>
          </w:tcPr>
          <w:p>
            <w:pPr>
              <w:spacing w:after="0"/>
              <w:rPr>
                <w:sz w:val="7"/>
                <w:szCs w:val="7"/>
                <w:color w:val="auto"/>
              </w:rPr>
            </w:pPr>
          </w:p>
        </w:tc>
        <w:tc>
          <w:tcPr>
            <w:tcW w:w="80" w:type="dxa"/>
            <w:vAlign w:val="bottom"/>
            <w:tcBorders>
              <w:top w:val="single" w:sz="8" w:color="CCEEFF"/>
            </w:tcBorders>
          </w:tcPr>
          <w:p>
            <w:pPr>
              <w:spacing w:after="0"/>
              <w:rPr>
                <w:sz w:val="7"/>
                <w:szCs w:val="7"/>
                <w:color w:val="auto"/>
              </w:rPr>
            </w:pPr>
          </w:p>
        </w:tc>
        <w:tc>
          <w:tcPr>
            <w:tcW w:w="260" w:type="dxa"/>
            <w:vAlign w:val="bottom"/>
            <w:tcBorders>
              <w:top w:val="single" w:sz="8" w:color="CCEEFF"/>
            </w:tcBorders>
          </w:tcPr>
          <w:p>
            <w:pPr>
              <w:spacing w:after="0"/>
              <w:rPr>
                <w:sz w:val="7"/>
                <w:szCs w:val="7"/>
                <w:color w:val="auto"/>
              </w:rPr>
            </w:pPr>
          </w:p>
        </w:tc>
        <w:tc>
          <w:tcPr>
            <w:tcW w:w="120" w:type="dxa"/>
            <w:vAlign w:val="bottom"/>
            <w:tcBorders>
              <w:top w:val="single" w:sz="8" w:color="CCEEFF"/>
            </w:tcBorders>
          </w:tcPr>
          <w:p>
            <w:pPr>
              <w:spacing w:after="0"/>
              <w:rPr>
                <w:sz w:val="7"/>
                <w:szCs w:val="7"/>
                <w:color w:val="auto"/>
              </w:rPr>
            </w:pPr>
          </w:p>
        </w:tc>
        <w:tc>
          <w:tcPr>
            <w:tcW w:w="260" w:type="dxa"/>
            <w:vAlign w:val="bottom"/>
            <w:tcBorders>
              <w:top w:val="single" w:sz="8" w:color="CCEEFF"/>
            </w:tcBorders>
          </w:tcPr>
          <w:p>
            <w:pPr>
              <w:spacing w:after="0"/>
              <w:rPr>
                <w:sz w:val="7"/>
                <w:szCs w:val="7"/>
                <w:color w:val="auto"/>
              </w:rPr>
            </w:pPr>
          </w:p>
        </w:tc>
        <w:tc>
          <w:tcPr>
            <w:tcW w:w="120" w:type="dxa"/>
            <w:vAlign w:val="bottom"/>
            <w:tcBorders>
              <w:top w:val="single" w:sz="8" w:color="CCEEFF"/>
            </w:tcBorders>
          </w:tcPr>
          <w:p>
            <w:pPr>
              <w:spacing w:after="0"/>
              <w:rPr>
                <w:sz w:val="7"/>
                <w:szCs w:val="7"/>
                <w:color w:val="auto"/>
              </w:rPr>
            </w:pPr>
          </w:p>
        </w:tc>
        <w:tc>
          <w:tcPr>
            <w:tcW w:w="60" w:type="dxa"/>
            <w:vAlign w:val="bottom"/>
            <w:tcBorders>
              <w:top w:val="single" w:sz="8" w:color="CCEEFF"/>
            </w:tcBorders>
          </w:tcPr>
          <w:p>
            <w:pPr>
              <w:spacing w:after="0"/>
              <w:rPr>
                <w:sz w:val="7"/>
                <w:szCs w:val="7"/>
                <w:color w:val="auto"/>
              </w:rPr>
            </w:pPr>
          </w:p>
        </w:tc>
        <w:tc>
          <w:tcPr>
            <w:tcW w:w="260" w:type="dxa"/>
            <w:vAlign w:val="bottom"/>
            <w:tcBorders>
              <w:top w:val="single" w:sz="8" w:color="CCEEFF"/>
            </w:tcBorders>
          </w:tcPr>
          <w:p>
            <w:pPr>
              <w:spacing w:after="0"/>
              <w:rPr>
                <w:sz w:val="7"/>
                <w:szCs w:val="7"/>
                <w:color w:val="auto"/>
              </w:rPr>
            </w:pPr>
          </w:p>
        </w:tc>
        <w:tc>
          <w:tcPr>
            <w:tcW w:w="100" w:type="dxa"/>
            <w:vAlign w:val="bottom"/>
            <w:tcBorders>
              <w:top w:val="single" w:sz="8" w:color="CCEEFF"/>
            </w:tcBorders>
          </w:tcPr>
          <w:p>
            <w:pPr>
              <w:spacing w:after="0"/>
              <w:rPr>
                <w:sz w:val="7"/>
                <w:szCs w:val="7"/>
                <w:color w:val="auto"/>
              </w:rPr>
            </w:pPr>
          </w:p>
        </w:tc>
        <w:tc>
          <w:tcPr>
            <w:tcW w:w="360" w:type="dxa"/>
            <w:vAlign w:val="bottom"/>
            <w:tcBorders>
              <w:top w:val="single" w:sz="8" w:color="CCEEFF"/>
            </w:tcBorders>
          </w:tcPr>
          <w:p>
            <w:pPr>
              <w:spacing w:after="0"/>
              <w:rPr>
                <w:sz w:val="7"/>
                <w:szCs w:val="7"/>
                <w:color w:val="auto"/>
              </w:rPr>
            </w:pPr>
          </w:p>
        </w:tc>
        <w:tc>
          <w:tcPr>
            <w:tcW w:w="120" w:type="dxa"/>
            <w:vAlign w:val="bottom"/>
            <w:tcBorders>
              <w:top w:val="single" w:sz="8" w:color="CCEEFF"/>
            </w:tcBorders>
          </w:tcPr>
          <w:p>
            <w:pPr>
              <w:spacing w:after="0"/>
              <w:rPr>
                <w:sz w:val="7"/>
                <w:szCs w:val="7"/>
                <w:color w:val="auto"/>
              </w:rPr>
            </w:pPr>
          </w:p>
        </w:tc>
        <w:tc>
          <w:tcPr>
            <w:tcW w:w="0" w:type="dxa"/>
            <w:vAlign w:val="bottom"/>
          </w:tcPr>
          <w:p>
            <w:pPr>
              <w:spacing w:after="0"/>
              <w:rPr>
                <w:sz w:val="1"/>
                <w:szCs w:val="1"/>
                <w:color w:val="auto"/>
              </w:rPr>
            </w:pPr>
          </w:p>
        </w:tc>
      </w:tr>
      <w:tr>
        <w:trPr>
          <w:trHeight w:val="118"/>
        </w:trPr>
        <w:tc>
          <w:tcPr>
            <w:tcW w:w="9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Manufacturing</w:t>
            </w: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1220" w:type="dxa"/>
            <w:vAlign w:val="bottom"/>
            <w:gridSpan w:val="4"/>
            <w:shd w:val="clear" w:color="auto" w:fill="CCEEFF"/>
          </w:tcPr>
          <w:p>
            <w:pPr>
              <w:ind w:left="100"/>
              <w:spacing w:after="0" w:line="92" w:lineRule="exact"/>
              <w:rPr>
                <w:sz w:val="20"/>
                <w:szCs w:val="20"/>
                <w:color w:val="auto"/>
              </w:rPr>
            </w:pPr>
            <w:r>
              <w:rPr>
                <w:rFonts w:ascii="Times New Roman" w:cs="Times New Roman" w:eastAsia="Times New Roman" w:hAnsi="Times New Roman"/>
                <w:sz w:val="10"/>
                <w:szCs w:val="10"/>
                <w:color w:val="auto"/>
              </w:rPr>
              <w:t>5500 77 Center Drive,</w:t>
            </w:r>
          </w:p>
        </w:tc>
        <w:tc>
          <w:tcPr>
            <w:tcW w:w="132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76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8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120" w:type="dxa"/>
            <w:vAlign w:val="bottom"/>
            <w:tcBorders>
              <w:right w:val="single" w:sz="8" w:color="CCEEFF"/>
            </w:tcBorders>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18"/>
        </w:trPr>
        <w:tc>
          <w:tcPr>
            <w:tcW w:w="1220" w:type="dxa"/>
            <w:vAlign w:val="bottom"/>
            <w:gridSpan w:val="4"/>
            <w:shd w:val="clear" w:color="auto" w:fill="CCEEFF"/>
          </w:tcPr>
          <w:p>
            <w:pPr>
              <w:ind w:left="100"/>
              <w:spacing w:after="0"/>
              <w:rPr>
                <w:sz w:val="20"/>
                <w:szCs w:val="20"/>
                <w:color w:val="auto"/>
              </w:rPr>
            </w:pPr>
            <w:r>
              <w:rPr>
                <w:rFonts w:ascii="Times New Roman" w:cs="Times New Roman" w:eastAsia="Times New Roman" w:hAnsi="Times New Roman"/>
                <w:sz w:val="10"/>
                <w:szCs w:val="10"/>
                <w:color w:val="auto"/>
              </w:rPr>
              <w:t>Suite 100</w:t>
            </w:r>
          </w:p>
        </w:tc>
        <w:tc>
          <w:tcPr>
            <w:tcW w:w="1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0"/>
                <w:szCs w:val="10"/>
                <w:color w:val="auto"/>
                <w:w w:val="99"/>
              </w:rPr>
              <w:t>Common Equity (2,522 units) (h)</w:t>
            </w:r>
          </w:p>
        </w:tc>
        <w:tc>
          <w:tcPr>
            <w:tcW w:w="7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0.0%</w:t>
            </w:r>
          </w:p>
        </w:tc>
        <w:tc>
          <w:tcPr>
            <w:tcW w:w="8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7/3/2014</w:t>
            </w: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586</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w w:val="79"/>
              </w:rPr>
              <w:t>$</w:t>
            </w:r>
          </w:p>
        </w:tc>
        <w:tc>
          <w:tcPr>
            <w:tcW w:w="3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0"/>
                <w:szCs w:val="10"/>
                <w:color w:val="auto"/>
              </w:rPr>
              <w:t>— </w:t>
            </w:r>
          </w:p>
        </w:tc>
        <w:tc>
          <w:tcPr>
            <w:tcW w:w="3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1220" w:type="dxa"/>
            <w:vAlign w:val="bottom"/>
            <w:gridSpan w:val="4"/>
          </w:tcPr>
          <w:p>
            <w:pPr>
              <w:ind w:left="100"/>
              <w:spacing w:after="0" w:line="105" w:lineRule="exact"/>
              <w:rPr>
                <w:sz w:val="20"/>
                <w:szCs w:val="20"/>
                <w:color w:val="auto"/>
              </w:rPr>
            </w:pPr>
            <w:r>
              <w:rPr>
                <w:rFonts w:ascii="Times New Roman" w:cs="Times New Roman" w:eastAsia="Times New Roman" w:hAnsi="Times New Roman"/>
                <w:sz w:val="10"/>
                <w:szCs w:val="10"/>
                <w:color w:val="auto"/>
              </w:rPr>
              <w:t>Charlotte, NC 28217</w:t>
            </w:r>
          </w:p>
        </w:tc>
        <w:tc>
          <w:tcPr>
            <w:tcW w:w="1360" w:type="dxa"/>
            <w:vAlign w:val="bottom"/>
            <w:gridSpan w:val="2"/>
          </w:tcPr>
          <w:p>
            <w:pPr>
              <w:spacing w:after="0" w:line="105" w:lineRule="exact"/>
              <w:rPr>
                <w:sz w:val="20"/>
                <w:szCs w:val="20"/>
                <w:color w:val="auto"/>
              </w:rPr>
            </w:pPr>
            <w:r>
              <w:rPr>
                <w:rFonts w:ascii="Times New Roman" w:cs="Times New Roman" w:eastAsia="Times New Roman" w:hAnsi="Times New Roman"/>
                <w:sz w:val="10"/>
                <w:szCs w:val="10"/>
                <w:color w:val="auto"/>
              </w:rPr>
              <w:t>Common Equity (425,508 units)</w:t>
            </w:r>
          </w:p>
        </w:tc>
        <w:tc>
          <w:tcPr>
            <w:tcW w:w="760" w:type="dxa"/>
            <w:vAlign w:val="bottom"/>
          </w:tcPr>
          <w:p>
            <w:pPr>
              <w:spacing w:after="0"/>
              <w:rPr>
                <w:sz w:val="9"/>
                <w:szCs w:val="9"/>
                <w:color w:val="auto"/>
              </w:rPr>
            </w:pPr>
          </w:p>
        </w:tc>
        <w:tc>
          <w:tcPr>
            <w:tcW w:w="40" w:type="dxa"/>
            <w:vAlign w:val="bottom"/>
          </w:tcPr>
          <w:p>
            <w:pPr>
              <w:spacing w:after="0"/>
              <w:rPr>
                <w:sz w:val="9"/>
                <w:szCs w:val="9"/>
                <w:color w:val="auto"/>
              </w:rPr>
            </w:pPr>
          </w:p>
        </w:tc>
        <w:tc>
          <w:tcPr>
            <w:tcW w:w="700" w:type="dxa"/>
            <w:vAlign w:val="bottom"/>
            <w:gridSpan w:val="2"/>
          </w:tcPr>
          <w:p>
            <w:pPr>
              <w:jc w:val="right"/>
              <w:ind w:right="60"/>
              <w:spacing w:after="0" w:line="105" w:lineRule="exact"/>
              <w:rPr>
                <w:sz w:val="20"/>
                <w:szCs w:val="20"/>
                <w:color w:val="auto"/>
              </w:rPr>
            </w:pPr>
            <w:r>
              <w:rPr>
                <w:rFonts w:ascii="Times New Roman" w:cs="Times New Roman" w:eastAsia="Times New Roman" w:hAnsi="Times New Roman"/>
                <w:sz w:val="10"/>
                <w:szCs w:val="10"/>
                <w:color w:val="auto"/>
              </w:rPr>
              <w:t>47.9%</w:t>
            </w: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gridSpan w:val="2"/>
          </w:tcPr>
          <w:p>
            <w:pPr>
              <w:jc w:val="right"/>
              <w:ind w:right="80"/>
              <w:spacing w:after="0" w:line="105" w:lineRule="exact"/>
              <w:rPr>
                <w:sz w:val="20"/>
                <w:szCs w:val="20"/>
                <w:color w:val="auto"/>
              </w:rPr>
            </w:pPr>
            <w:r>
              <w:rPr>
                <w:rFonts w:ascii="Times New Roman" w:cs="Times New Roman" w:eastAsia="Times New Roman" w:hAnsi="Times New Roman"/>
                <w:sz w:val="10"/>
                <w:szCs w:val="10"/>
                <w:color w:val="auto"/>
              </w:rPr>
              <w:t>8/30/2019</w:t>
            </w: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gridSpan w:val="2"/>
          </w:tcPr>
          <w:p>
            <w:pPr>
              <w:jc w:val="right"/>
              <w:ind w:right="120"/>
              <w:spacing w:after="0" w:line="105" w:lineRule="exact"/>
              <w:rPr>
                <w:sz w:val="20"/>
                <w:szCs w:val="20"/>
                <w:color w:val="auto"/>
              </w:rPr>
            </w:pPr>
            <w:r>
              <w:rPr>
                <w:rFonts w:ascii="Times New Roman" w:cs="Times New Roman" w:eastAsia="Times New Roman" w:hAnsi="Times New Roman"/>
                <w:sz w:val="10"/>
                <w:szCs w:val="10"/>
                <w:color w:val="auto"/>
              </w:rPr>
              <w:t>1</w:t>
            </w:r>
          </w:p>
        </w:tc>
        <w:tc>
          <w:tcPr>
            <w:tcW w:w="60" w:type="dxa"/>
            <w:vAlign w:val="bottom"/>
          </w:tcPr>
          <w:p>
            <w:pPr>
              <w:spacing w:after="0"/>
              <w:rPr>
                <w:sz w:val="9"/>
                <w:szCs w:val="9"/>
                <w:color w:val="auto"/>
              </w:rPr>
            </w:pPr>
          </w:p>
        </w:tc>
        <w:tc>
          <w:tcPr>
            <w:tcW w:w="360" w:type="dxa"/>
            <w:vAlign w:val="bottom"/>
            <w:gridSpan w:val="2"/>
          </w:tcPr>
          <w:p>
            <w:pPr>
              <w:ind w:left="120"/>
              <w:spacing w:after="0" w:line="105" w:lineRule="exact"/>
              <w:rPr>
                <w:sz w:val="20"/>
                <w:szCs w:val="20"/>
                <w:color w:val="auto"/>
              </w:rPr>
            </w:pPr>
            <w:r>
              <w:rPr>
                <w:rFonts w:ascii="Times New Roman" w:cs="Times New Roman" w:eastAsia="Times New Roman" w:hAnsi="Times New Roman"/>
                <w:sz w:val="10"/>
                <w:szCs w:val="10"/>
                <w:color w:val="auto"/>
              </w:rPr>
              <w:t>— </w:t>
            </w: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1"/>
        </w:trPr>
        <w:tc>
          <w:tcPr>
            <w:tcW w:w="96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360" w:type="dxa"/>
            <w:vAlign w:val="bottom"/>
            <w:gridSpan w:val="2"/>
            <w:shd w:val="clear" w:color="auto" w:fill="CCEEFF"/>
          </w:tcPr>
          <w:p>
            <w:pPr>
              <w:spacing w:after="0" w:line="92" w:lineRule="exact"/>
              <w:rPr>
                <w:sz w:val="20"/>
                <w:szCs w:val="20"/>
                <w:color w:val="auto"/>
              </w:rPr>
            </w:pPr>
            <w:r>
              <w:rPr>
                <w:rFonts w:ascii="Times New Roman" w:cs="Times New Roman" w:eastAsia="Times New Roman" w:hAnsi="Times New Roman"/>
                <w:sz w:val="10"/>
                <w:szCs w:val="10"/>
                <w:color w:val="auto"/>
              </w:rPr>
              <w:t>Common Equity (1,022,813</w:t>
            </w:r>
          </w:p>
        </w:tc>
        <w:tc>
          <w:tcPr>
            <w:tcW w:w="76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8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120" w:type="dxa"/>
            <w:vAlign w:val="bottom"/>
            <w:tcBorders>
              <w:right w:val="single" w:sz="8" w:color="CCEEFF"/>
            </w:tcBorders>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18"/>
        </w:trPr>
        <w:tc>
          <w:tcPr>
            <w:tcW w:w="9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0"/>
                <w:szCs w:val="10"/>
                <w:color w:val="auto"/>
              </w:rPr>
              <w:t>units) (h)</w:t>
            </w:r>
          </w:p>
        </w:tc>
        <w:tc>
          <w:tcPr>
            <w:tcW w:w="7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65.3%</w:t>
            </w:r>
          </w:p>
        </w:tc>
        <w:tc>
          <w:tcPr>
            <w:tcW w:w="8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7/1/2020</w:t>
            </w: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20" w:type="dxa"/>
            <w:vAlign w:val="bottom"/>
            <w:tcBorders>
              <w:right w:val="single" w:sz="8" w:color="CCEEFF"/>
            </w:tcBorders>
            <w:shd w:val="clear" w:color="auto" w:fill="CCEEFF"/>
          </w:tcPr>
          <w:p>
            <w:pPr>
              <w:spacing w:after="0"/>
              <w:rPr>
                <w:sz w:val="10"/>
                <w:szCs w:val="10"/>
                <w:color w:val="auto"/>
              </w:rPr>
            </w:pPr>
          </w:p>
        </w:tc>
        <w:tc>
          <w:tcPr>
            <w:tcW w:w="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1,023</w:t>
            </w:r>
          </w:p>
        </w:tc>
        <w:tc>
          <w:tcPr>
            <w:tcW w:w="60" w:type="dxa"/>
            <w:vAlign w:val="bottom"/>
            <w:shd w:val="clear" w:color="auto" w:fill="CCEEFF"/>
          </w:tcPr>
          <w:p>
            <w:pPr>
              <w:spacing w:after="0"/>
              <w:rPr>
                <w:sz w:val="10"/>
                <w:szCs w:val="10"/>
                <w:color w:val="auto"/>
              </w:rPr>
            </w:pPr>
          </w:p>
        </w:tc>
        <w:tc>
          <w:tcPr>
            <w:tcW w:w="3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0"/>
                <w:szCs w:val="10"/>
                <w:color w:val="auto"/>
              </w:rPr>
              <w:t>— </w:t>
            </w:r>
          </w:p>
        </w:tc>
        <w:tc>
          <w:tcPr>
            <w:tcW w:w="3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96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tcPr>
          <w:p>
            <w:pPr>
              <w:spacing w:after="0"/>
              <w:rPr>
                <w:sz w:val="9"/>
                <w:szCs w:val="9"/>
                <w:color w:val="auto"/>
              </w:rPr>
            </w:pPr>
          </w:p>
        </w:tc>
        <w:tc>
          <w:tcPr>
            <w:tcW w:w="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Borders>
              <w:top w:val="single" w:sz="8" w:color="auto"/>
              <w:bottom w:val="single" w:sz="8" w:color="auto"/>
            </w:tcBorders>
          </w:tcPr>
          <w:p>
            <w:pPr>
              <w:jc w:val="right"/>
              <w:spacing w:after="0" w:line="106" w:lineRule="exact"/>
              <w:rPr>
                <w:sz w:val="20"/>
                <w:szCs w:val="20"/>
                <w:color w:val="auto"/>
              </w:rPr>
            </w:pPr>
            <w:r>
              <w:rPr>
                <w:rFonts w:ascii="Times New Roman" w:cs="Times New Roman" w:eastAsia="Times New Roman" w:hAnsi="Times New Roman"/>
                <w:sz w:val="10"/>
                <w:szCs w:val="10"/>
                <w:color w:val="auto"/>
              </w:rPr>
              <w:t>1,610</w:t>
            </w:r>
          </w:p>
        </w:tc>
        <w:tc>
          <w:tcPr>
            <w:tcW w:w="120" w:type="dxa"/>
            <w:vAlign w:val="bottom"/>
          </w:tcPr>
          <w:p>
            <w:pPr>
              <w:spacing w:after="0"/>
              <w:rPr>
                <w:sz w:val="9"/>
                <w:szCs w:val="9"/>
                <w:color w:val="auto"/>
              </w:rPr>
            </w:pPr>
          </w:p>
        </w:tc>
        <w:tc>
          <w:tcPr>
            <w:tcW w:w="60" w:type="dxa"/>
            <w:vAlign w:val="bottom"/>
            <w:tcBorders>
              <w:top w:val="single" w:sz="8" w:color="auto"/>
              <w:bottom w:val="single" w:sz="8" w:color="auto"/>
            </w:tcBorders>
          </w:tcPr>
          <w:p>
            <w:pPr>
              <w:spacing w:after="0"/>
              <w:rPr>
                <w:sz w:val="9"/>
                <w:szCs w:val="9"/>
                <w:color w:val="auto"/>
              </w:rPr>
            </w:pPr>
          </w:p>
        </w:tc>
        <w:tc>
          <w:tcPr>
            <w:tcW w:w="260" w:type="dxa"/>
            <w:vAlign w:val="bottom"/>
            <w:tcBorders>
              <w:top w:val="single" w:sz="8" w:color="auto"/>
              <w:bottom w:val="single" w:sz="8" w:color="auto"/>
            </w:tcBorders>
          </w:tcPr>
          <w:p>
            <w:pPr>
              <w:ind w:left="120"/>
              <w:spacing w:after="0" w:line="106" w:lineRule="exact"/>
              <w:rPr>
                <w:sz w:val="20"/>
                <w:szCs w:val="20"/>
                <w:color w:val="auto"/>
              </w:rPr>
            </w:pPr>
            <w:r>
              <w:rPr>
                <w:rFonts w:ascii="Times New Roman" w:cs="Times New Roman" w:eastAsia="Times New Roman" w:hAnsi="Times New Roman"/>
                <w:sz w:val="10"/>
                <w:szCs w:val="10"/>
                <w:color w:val="auto"/>
                <w:w w:val="79"/>
              </w:rPr>
              <w:t>— </w:t>
            </w:r>
          </w:p>
        </w:tc>
        <w:tc>
          <w:tcPr>
            <w:tcW w:w="100" w:type="dxa"/>
            <w:vAlign w:val="bottom"/>
          </w:tcPr>
          <w:p>
            <w:pPr>
              <w:spacing w:after="0"/>
              <w:rPr>
                <w:sz w:val="9"/>
                <w:szCs w:val="9"/>
                <w:color w:val="auto"/>
              </w:rPr>
            </w:pPr>
          </w:p>
        </w:tc>
        <w:tc>
          <w:tcPr>
            <w:tcW w:w="480" w:type="dxa"/>
            <w:vAlign w:val="bottom"/>
            <w:gridSpan w:val="2"/>
          </w:tcPr>
          <w:p>
            <w:pPr>
              <w:jc w:val="right"/>
              <w:ind w:right="40"/>
              <w:spacing w:after="0" w:line="106" w:lineRule="exact"/>
              <w:rPr>
                <w:sz w:val="20"/>
                <w:szCs w:val="20"/>
                <w:color w:val="auto"/>
              </w:rPr>
            </w:pPr>
            <w:r>
              <w:rPr>
                <w:rFonts w:ascii="Times New Roman" w:cs="Times New Roman" w:eastAsia="Times New Roman" w:hAnsi="Times New Roman"/>
                <w:sz w:val="10"/>
                <w:szCs w:val="10"/>
                <w:color w:val="auto"/>
              </w:rPr>
              <w:t>0%</w:t>
            </w:r>
          </w:p>
        </w:tc>
        <w:tc>
          <w:tcPr>
            <w:tcW w:w="0" w:type="dxa"/>
            <w:vAlign w:val="bottom"/>
          </w:tcPr>
          <w:p>
            <w:pPr>
              <w:spacing w:after="0"/>
              <w:rPr>
                <w:sz w:val="1"/>
                <w:szCs w:val="1"/>
                <w:color w:val="auto"/>
              </w:rPr>
            </w:pPr>
          </w:p>
        </w:tc>
      </w:tr>
      <w:tr>
        <w:trPr>
          <w:trHeight w:val="105"/>
        </w:trPr>
        <w:tc>
          <w:tcPr>
            <w:tcW w:w="1220" w:type="dxa"/>
            <w:vAlign w:val="bottom"/>
            <w:gridSpan w:val="4"/>
            <w:shd w:val="clear" w:color="auto" w:fill="CCEEFF"/>
          </w:tcPr>
          <w:p>
            <w:pPr>
              <w:spacing w:after="0" w:line="105" w:lineRule="exact"/>
              <w:rPr>
                <w:sz w:val="20"/>
                <w:szCs w:val="20"/>
                <w:color w:val="auto"/>
              </w:rPr>
            </w:pPr>
            <w:r>
              <w:rPr>
                <w:rFonts w:ascii="Times New Roman" w:cs="Times New Roman" w:eastAsia="Times New Roman" w:hAnsi="Times New Roman"/>
                <w:sz w:val="10"/>
                <w:szCs w:val="10"/>
                <w:b w:val="1"/>
                <w:bCs w:val="1"/>
                <w:color w:val="auto"/>
              </w:rPr>
              <w:t>Total Control Investments</w:t>
            </w:r>
          </w:p>
        </w:tc>
        <w:tc>
          <w:tcPr>
            <w:tcW w:w="13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20" w:type="dxa"/>
            <w:vAlign w:val="bottom"/>
            <w:tcBorders>
              <w:right w:val="single" w:sz="8" w:color="CCEEFF"/>
            </w:tcBorders>
            <w:shd w:val="clear" w:color="auto" w:fill="CCEEFF"/>
          </w:tcPr>
          <w:p>
            <w:pPr>
              <w:jc w:val="right"/>
              <w:spacing w:after="0" w:line="105" w:lineRule="exact"/>
              <w:rPr>
                <w:sz w:val="20"/>
                <w:szCs w:val="20"/>
                <w:color w:val="auto"/>
              </w:rPr>
            </w:pPr>
            <w:r>
              <w:rPr>
                <w:rFonts w:ascii="Times New Roman" w:cs="Times New Roman" w:eastAsia="Times New Roman" w:hAnsi="Times New Roman"/>
                <w:sz w:val="10"/>
                <w:szCs w:val="10"/>
                <w:color w:val="auto"/>
              </w:rPr>
              <w:t>$</w:t>
            </w:r>
          </w:p>
        </w:tc>
        <w:tc>
          <w:tcPr>
            <w:tcW w:w="380" w:type="dxa"/>
            <w:vAlign w:val="bottom"/>
            <w:gridSpan w:val="2"/>
            <w:shd w:val="clear" w:color="auto" w:fill="CCEEFF"/>
          </w:tcPr>
          <w:p>
            <w:pPr>
              <w:jc w:val="right"/>
              <w:ind w:right="120"/>
              <w:spacing w:after="0" w:line="105" w:lineRule="exact"/>
              <w:rPr>
                <w:sz w:val="20"/>
                <w:szCs w:val="20"/>
                <w:color w:val="auto"/>
              </w:rPr>
            </w:pPr>
            <w:r>
              <w:rPr>
                <w:rFonts w:ascii="Times New Roman" w:cs="Times New Roman" w:eastAsia="Times New Roman" w:hAnsi="Times New Roman"/>
                <w:sz w:val="10"/>
                <w:szCs w:val="10"/>
                <w:color w:val="auto"/>
              </w:rPr>
              <w:t>1,610</w:t>
            </w:r>
          </w:p>
        </w:tc>
        <w:tc>
          <w:tcPr>
            <w:tcW w:w="60" w:type="dxa"/>
            <w:vAlign w:val="bottom"/>
            <w:shd w:val="clear" w:color="auto" w:fill="CCEEFF"/>
          </w:tcPr>
          <w:p>
            <w:pPr>
              <w:spacing w:after="0" w:line="105" w:lineRule="exact"/>
              <w:rPr>
                <w:sz w:val="20"/>
                <w:szCs w:val="20"/>
                <w:color w:val="auto"/>
              </w:rPr>
            </w:pPr>
            <w:r>
              <w:rPr>
                <w:rFonts w:ascii="Times New Roman" w:cs="Times New Roman" w:eastAsia="Times New Roman" w:hAnsi="Times New Roman"/>
                <w:sz w:val="10"/>
                <w:szCs w:val="10"/>
                <w:color w:val="auto"/>
                <w:w w:val="79"/>
              </w:rPr>
              <w:t>$</w:t>
            </w:r>
          </w:p>
        </w:tc>
        <w:tc>
          <w:tcPr>
            <w:tcW w:w="360" w:type="dxa"/>
            <w:vAlign w:val="bottom"/>
            <w:gridSpan w:val="2"/>
            <w:shd w:val="clear" w:color="auto" w:fill="CCEEFF"/>
          </w:tcPr>
          <w:p>
            <w:pPr>
              <w:ind w:left="120"/>
              <w:spacing w:after="0" w:line="105" w:lineRule="exact"/>
              <w:rPr>
                <w:sz w:val="20"/>
                <w:szCs w:val="20"/>
                <w:color w:val="auto"/>
              </w:rPr>
            </w:pPr>
            <w:r>
              <w:rPr>
                <w:rFonts w:ascii="Times New Roman" w:cs="Times New Roman" w:eastAsia="Times New Roman" w:hAnsi="Times New Roman"/>
                <w:sz w:val="10"/>
                <w:szCs w:val="10"/>
                <w:color w:val="auto"/>
              </w:rPr>
              <w:t xml:space="preserve">— </w:t>
            </w:r>
          </w:p>
        </w:tc>
        <w:tc>
          <w:tcPr>
            <w:tcW w:w="480" w:type="dxa"/>
            <w:vAlign w:val="bottom"/>
            <w:gridSpan w:val="2"/>
            <w:shd w:val="clear" w:color="auto" w:fill="CCEEFF"/>
          </w:tcPr>
          <w:p>
            <w:pPr>
              <w:jc w:val="right"/>
              <w:ind w:right="40"/>
              <w:spacing w:after="0" w:line="105" w:lineRule="exact"/>
              <w:rPr>
                <w:sz w:val="20"/>
                <w:szCs w:val="20"/>
                <w:color w:val="auto"/>
              </w:rPr>
            </w:pPr>
            <w:r>
              <w:rPr>
                <w:rFonts w:ascii="Times New Roman" w:cs="Times New Roman" w:eastAsia="Times New Roman" w:hAnsi="Times New Roman"/>
                <w:sz w:val="10"/>
                <w:szCs w:val="10"/>
                <w:color w:val="auto"/>
              </w:rPr>
              <w:t>0%</w:t>
            </w:r>
          </w:p>
        </w:tc>
        <w:tc>
          <w:tcPr>
            <w:tcW w:w="0" w:type="dxa"/>
            <w:vAlign w:val="bottom"/>
          </w:tcPr>
          <w:p>
            <w:pPr>
              <w:spacing w:after="0"/>
              <w:rPr>
                <w:sz w:val="1"/>
                <w:szCs w:val="1"/>
                <w:color w:val="auto"/>
              </w:rPr>
            </w:pPr>
          </w:p>
        </w:tc>
      </w:tr>
      <w:tr>
        <w:trPr>
          <w:trHeight w:val="20"/>
        </w:trPr>
        <w:tc>
          <w:tcPr>
            <w:tcW w:w="1220" w:type="dxa"/>
            <w:vAlign w:val="bottom"/>
            <w:gridSpan w:val="4"/>
            <w:vMerge w:val="restart"/>
          </w:tcPr>
          <w:p>
            <w:pPr>
              <w:spacing w:after="0"/>
              <w:rPr>
                <w:sz w:val="20"/>
                <w:szCs w:val="20"/>
                <w:color w:val="auto"/>
              </w:rPr>
            </w:pPr>
            <w:r>
              <w:rPr>
                <w:rFonts w:ascii="Times New Roman" w:cs="Times New Roman" w:eastAsia="Times New Roman" w:hAnsi="Times New Roman"/>
                <w:sz w:val="10"/>
                <w:szCs w:val="10"/>
                <w:b w:val="1"/>
                <w:bCs w:val="1"/>
                <w:color w:val="auto"/>
              </w:rPr>
              <w:t>Affiliate Investments (l)</w:t>
            </w:r>
          </w:p>
        </w:tc>
        <w:tc>
          <w:tcPr>
            <w:tcW w:w="1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
        </w:trPr>
        <w:tc>
          <w:tcPr>
            <w:tcW w:w="1220" w:type="dxa"/>
            <w:vAlign w:val="bottom"/>
            <w:gridSpan w:val="4"/>
            <w:vMerge w:val="continue"/>
          </w:tcPr>
          <w:p>
            <w:pPr>
              <w:spacing w:after="0"/>
              <w:rPr>
                <w:sz w:val="6"/>
                <w:szCs w:val="6"/>
                <w:color w:val="auto"/>
              </w:rPr>
            </w:pPr>
          </w:p>
        </w:tc>
        <w:tc>
          <w:tcPr>
            <w:tcW w:w="132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Pr>
          <w:p>
            <w:pPr>
              <w:spacing w:after="0"/>
              <w:rPr>
                <w:sz w:val="6"/>
                <w:szCs w:val="6"/>
                <w:color w:val="auto"/>
              </w:rPr>
            </w:pPr>
          </w:p>
        </w:tc>
        <w:tc>
          <w:tcPr>
            <w:tcW w:w="40" w:type="dxa"/>
            <w:vAlign w:val="bottom"/>
          </w:tcPr>
          <w:p>
            <w:pPr>
              <w:spacing w:after="0"/>
              <w:rPr>
                <w:sz w:val="6"/>
                <w:szCs w:val="6"/>
                <w:color w:val="auto"/>
              </w:rPr>
            </w:pPr>
          </w:p>
        </w:tc>
        <w:tc>
          <w:tcPr>
            <w:tcW w:w="5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80" w:type="dxa"/>
            <w:vAlign w:val="bottom"/>
          </w:tcPr>
          <w:p>
            <w:pPr>
              <w:spacing w:after="0"/>
              <w:rPr>
                <w:sz w:val="6"/>
                <w:szCs w:val="6"/>
                <w:color w:val="auto"/>
              </w:rPr>
            </w:pPr>
          </w:p>
        </w:tc>
        <w:tc>
          <w:tcPr>
            <w:tcW w:w="4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 w:type="dxa"/>
            <w:vAlign w:val="bottom"/>
          </w:tcPr>
          <w:p>
            <w:pPr>
              <w:spacing w:after="0"/>
              <w:rPr>
                <w:sz w:val="6"/>
                <w:szCs w:val="6"/>
                <w:color w:val="auto"/>
              </w:rPr>
            </w:pPr>
          </w:p>
        </w:tc>
        <w:tc>
          <w:tcPr>
            <w:tcW w:w="4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0" w:type="dxa"/>
            <w:vAlign w:val="bottom"/>
          </w:tcPr>
          <w:p>
            <w:pPr>
              <w:spacing w:after="0"/>
              <w:rPr>
                <w:sz w:val="6"/>
                <w:szCs w:val="6"/>
                <w:color w:val="auto"/>
              </w:rPr>
            </w:pPr>
          </w:p>
        </w:tc>
        <w:tc>
          <w:tcPr>
            <w:tcW w:w="360" w:type="dxa"/>
            <w:vAlign w:val="bottom"/>
          </w:tcPr>
          <w:p>
            <w:pPr>
              <w:spacing w:after="0"/>
              <w:rPr>
                <w:sz w:val="6"/>
                <w:szCs w:val="6"/>
                <w:color w:val="auto"/>
              </w:rPr>
            </w:pP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0"/>
        </w:trPr>
        <w:tc>
          <w:tcPr>
            <w:tcW w:w="980" w:type="dxa"/>
            <w:vAlign w:val="bottom"/>
            <w:tcBorders>
              <w:top w:val="single" w:sz="8" w:color="auto"/>
            </w:tcBorders>
            <w:gridSpan w:val="2"/>
            <w:shd w:val="clear" w:color="auto" w:fill="CCEEFF"/>
          </w:tcPr>
          <w:p>
            <w:pPr>
              <w:spacing w:after="0" w:line="80" w:lineRule="exact"/>
              <w:rPr>
                <w:sz w:val="20"/>
                <w:szCs w:val="20"/>
                <w:color w:val="auto"/>
              </w:rPr>
            </w:pPr>
            <w:r>
              <w:rPr>
                <w:rFonts w:ascii="Times New Roman" w:cs="Times New Roman" w:eastAsia="Times New Roman" w:hAnsi="Times New Roman"/>
                <w:sz w:val="9"/>
                <w:szCs w:val="9"/>
                <w:i w:val="1"/>
                <w:iCs w:val="1"/>
                <w:color w:val="auto"/>
              </w:rPr>
              <w:t>Applegate Greenfiber</w:t>
            </w:r>
          </w:p>
        </w:tc>
        <w:tc>
          <w:tcPr>
            <w:tcW w:w="240" w:type="dxa"/>
            <w:vAlign w:val="bottom"/>
            <w:gridSpan w:val="2"/>
            <w:shd w:val="clear" w:color="auto" w:fill="CCEEFF"/>
          </w:tcPr>
          <w:p>
            <w:pPr>
              <w:spacing w:after="0"/>
              <w:rPr>
                <w:sz w:val="6"/>
                <w:szCs w:val="6"/>
                <w:color w:val="auto"/>
              </w:rPr>
            </w:pPr>
          </w:p>
        </w:tc>
        <w:tc>
          <w:tcPr>
            <w:tcW w:w="132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800" w:type="dxa"/>
            <w:vAlign w:val="bottom"/>
            <w:gridSpan w:val="2"/>
            <w:shd w:val="clear" w:color="auto" w:fill="CCEEFF"/>
          </w:tcPr>
          <w:p>
            <w:pPr>
              <w:spacing w:after="0" w:line="80" w:lineRule="exact"/>
              <w:rPr>
                <w:sz w:val="20"/>
                <w:szCs w:val="20"/>
                <w:color w:val="auto"/>
              </w:rPr>
            </w:pPr>
            <w:r>
              <w:rPr>
                <w:rFonts w:ascii="Times New Roman" w:cs="Times New Roman" w:eastAsia="Times New Roman" w:hAnsi="Times New Roman"/>
                <w:sz w:val="9"/>
                <w:szCs w:val="9"/>
                <w:color w:val="auto"/>
              </w:rPr>
              <w:t>Building Products</w:t>
            </w:r>
          </w:p>
        </w:tc>
        <w:tc>
          <w:tcPr>
            <w:tcW w:w="54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62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48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48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20" w:type="dxa"/>
            <w:vAlign w:val="bottom"/>
            <w:tcBorders>
              <w:right w:val="single" w:sz="8" w:color="CCEEFF"/>
            </w:tcBorders>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05"/>
        </w:trPr>
        <w:tc>
          <w:tcPr>
            <w:tcW w:w="1220" w:type="dxa"/>
            <w:vAlign w:val="bottom"/>
            <w:gridSpan w:val="4"/>
            <w:shd w:val="clear" w:color="auto" w:fill="CCEEFF"/>
          </w:tcPr>
          <w:p>
            <w:pPr>
              <w:spacing w:after="0" w:line="105" w:lineRule="exact"/>
              <w:rPr>
                <w:sz w:val="20"/>
                <w:szCs w:val="20"/>
                <w:color w:val="auto"/>
              </w:rPr>
            </w:pPr>
            <w:r>
              <w:rPr>
                <w:rFonts w:ascii="Times New Roman" w:cs="Times New Roman" w:eastAsia="Times New Roman" w:hAnsi="Times New Roman"/>
                <w:sz w:val="10"/>
                <w:szCs w:val="10"/>
                <w:i w:val="1"/>
                <w:iCs w:val="1"/>
                <w:color w:val="auto"/>
              </w:rPr>
              <w:t>Intermediate Inc. (fka US</w:t>
            </w:r>
          </w:p>
        </w:tc>
        <w:tc>
          <w:tcPr>
            <w:tcW w:w="13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0" w:type="dxa"/>
            <w:vAlign w:val="bottom"/>
            <w:gridSpan w:val="2"/>
            <w:shd w:val="clear" w:color="auto" w:fill="CCEEFF"/>
          </w:tcPr>
          <w:p>
            <w:pPr>
              <w:spacing w:after="0" w:line="105" w:lineRule="exact"/>
              <w:rPr>
                <w:sz w:val="20"/>
                <w:szCs w:val="20"/>
                <w:color w:val="auto"/>
              </w:rPr>
            </w:pPr>
            <w:r>
              <w:rPr>
                <w:rFonts w:ascii="Times New Roman" w:cs="Times New Roman" w:eastAsia="Times New Roman" w:hAnsi="Times New Roman"/>
                <w:sz w:val="10"/>
                <w:szCs w:val="10"/>
                <w:color w:val="auto"/>
              </w:rPr>
              <w:t>Manufacturing</w:t>
            </w:r>
          </w:p>
        </w:tc>
        <w:tc>
          <w:tcPr>
            <w:tcW w:w="5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20" w:type="dxa"/>
            <w:vAlign w:val="bottom"/>
            <w:tcBorders>
              <w:right w:val="single" w:sz="8" w:color="CCEEFF"/>
            </w:tcBorders>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12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0"/>
                <w:szCs w:val="10"/>
                <w:i w:val="1"/>
                <w:iCs w:val="1"/>
                <w:color w:val="auto"/>
              </w:rPr>
              <w:t>GreenFiber, LLC)</w:t>
            </w:r>
          </w:p>
        </w:tc>
        <w:tc>
          <w:tcPr>
            <w:tcW w:w="13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20" w:type="dxa"/>
            <w:vAlign w:val="bottom"/>
            <w:tcBorders>
              <w:right w:val="single" w:sz="8" w:color="CCEEFF"/>
            </w:tcBorders>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1220" w:type="dxa"/>
            <w:vAlign w:val="bottom"/>
            <w:gridSpan w:val="4"/>
          </w:tcPr>
          <w:p>
            <w:pPr>
              <w:ind w:left="100"/>
              <w:spacing w:after="0" w:line="92" w:lineRule="exact"/>
              <w:rPr>
                <w:sz w:val="20"/>
                <w:szCs w:val="20"/>
                <w:color w:val="auto"/>
              </w:rPr>
            </w:pPr>
            <w:r>
              <w:rPr>
                <w:rFonts w:ascii="Times New Roman" w:cs="Times New Roman" w:eastAsia="Times New Roman" w:hAnsi="Times New Roman"/>
                <w:sz w:val="10"/>
                <w:szCs w:val="10"/>
                <w:color w:val="auto"/>
              </w:rPr>
              <w:t>5500 77 Center Drive,</w:t>
            </w:r>
          </w:p>
        </w:tc>
        <w:tc>
          <w:tcPr>
            <w:tcW w:w="132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tcPr>
          <w:p>
            <w:pPr>
              <w:spacing w:after="0"/>
              <w:rPr>
                <w:sz w:val="7"/>
                <w:szCs w:val="7"/>
                <w:color w:val="auto"/>
              </w:rPr>
            </w:pPr>
          </w:p>
        </w:tc>
        <w:tc>
          <w:tcPr>
            <w:tcW w:w="40" w:type="dxa"/>
            <w:vAlign w:val="bottom"/>
          </w:tcPr>
          <w:p>
            <w:pPr>
              <w:spacing w:after="0"/>
              <w:rPr>
                <w:sz w:val="7"/>
                <w:szCs w:val="7"/>
                <w:color w:val="auto"/>
              </w:rPr>
            </w:pPr>
          </w:p>
        </w:tc>
        <w:tc>
          <w:tcPr>
            <w:tcW w:w="540" w:type="dxa"/>
            <w:vAlign w:val="bottom"/>
          </w:tcPr>
          <w:p>
            <w:pPr>
              <w:spacing w:after="0"/>
              <w:rPr>
                <w:sz w:val="7"/>
                <w:szCs w:val="7"/>
                <w:color w:val="auto"/>
              </w:rPr>
            </w:pPr>
          </w:p>
        </w:tc>
        <w:tc>
          <w:tcPr>
            <w:tcW w:w="160" w:type="dxa"/>
            <w:vAlign w:val="bottom"/>
          </w:tcPr>
          <w:p>
            <w:pPr>
              <w:spacing w:after="0"/>
              <w:rPr>
                <w:sz w:val="7"/>
                <w:szCs w:val="7"/>
                <w:color w:val="auto"/>
              </w:rPr>
            </w:pPr>
          </w:p>
        </w:tc>
        <w:tc>
          <w:tcPr>
            <w:tcW w:w="880" w:type="dxa"/>
            <w:vAlign w:val="bottom"/>
          </w:tcPr>
          <w:p>
            <w:pPr>
              <w:spacing w:after="0"/>
              <w:rPr>
                <w:sz w:val="7"/>
                <w:szCs w:val="7"/>
                <w:color w:val="auto"/>
              </w:rPr>
            </w:pPr>
          </w:p>
        </w:tc>
        <w:tc>
          <w:tcPr>
            <w:tcW w:w="4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36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8"/>
        </w:trPr>
        <w:tc>
          <w:tcPr>
            <w:tcW w:w="1220" w:type="dxa"/>
            <w:vAlign w:val="bottom"/>
            <w:gridSpan w:val="4"/>
          </w:tcPr>
          <w:p>
            <w:pPr>
              <w:ind w:left="100"/>
              <w:spacing w:after="0"/>
              <w:rPr>
                <w:sz w:val="20"/>
                <w:szCs w:val="20"/>
                <w:color w:val="auto"/>
              </w:rPr>
            </w:pPr>
            <w:r>
              <w:rPr>
                <w:rFonts w:ascii="Times New Roman" w:cs="Times New Roman" w:eastAsia="Times New Roman" w:hAnsi="Times New Roman"/>
                <w:sz w:val="10"/>
                <w:szCs w:val="10"/>
                <w:color w:val="auto"/>
              </w:rPr>
              <w:t>Suite 100</w:t>
            </w:r>
          </w:p>
        </w:tc>
        <w:tc>
          <w:tcPr>
            <w:tcW w:w="136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Subordinated Debt</w:t>
            </w:r>
          </w:p>
        </w:tc>
        <w:tc>
          <w:tcPr>
            <w:tcW w:w="7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11.00%/0.00%</w:t>
            </w: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12/31/2021</w:t>
            </w: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12/31/2027</w:t>
            </w:r>
          </w:p>
        </w:tc>
        <w:tc>
          <w:tcPr>
            <w:tcW w:w="80" w:type="dxa"/>
            <w:vAlign w:val="bottom"/>
          </w:tcPr>
          <w:p>
            <w:pPr>
              <w:jc w:val="right"/>
              <w:ind w:right="4"/>
              <w:spacing w:after="0"/>
              <w:rPr>
                <w:sz w:val="20"/>
                <w:szCs w:val="20"/>
                <w:color w:val="auto"/>
              </w:rPr>
            </w:pPr>
            <w:r>
              <w:rPr>
                <w:rFonts w:ascii="Times New Roman" w:cs="Times New Roman" w:eastAsia="Times New Roman" w:hAnsi="Times New Roman"/>
                <w:sz w:val="5"/>
                <w:szCs w:val="5"/>
                <w:color w:val="auto"/>
                <w:w w:val="78"/>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9,602</w:t>
            </w:r>
          </w:p>
        </w:tc>
        <w:tc>
          <w:tcPr>
            <w:tcW w:w="1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38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9,602</w:t>
            </w:r>
          </w:p>
        </w:tc>
        <w:tc>
          <w:tcPr>
            <w:tcW w:w="60" w:type="dxa"/>
            <w:vAlign w:val="bottom"/>
          </w:tcPr>
          <w:p>
            <w:pPr>
              <w:spacing w:after="0"/>
              <w:rPr>
                <w:sz w:val="20"/>
                <w:szCs w:val="20"/>
                <w:color w:val="auto"/>
              </w:rPr>
            </w:pPr>
            <w:r>
              <w:rPr>
                <w:rFonts w:ascii="Times New Roman" w:cs="Times New Roman" w:eastAsia="Times New Roman" w:hAnsi="Times New Roman"/>
                <w:sz w:val="10"/>
                <w:szCs w:val="10"/>
                <w:color w:val="auto"/>
                <w:w w:val="79"/>
              </w:rPr>
              <w:t>$</w:t>
            </w:r>
          </w:p>
        </w:tc>
        <w:tc>
          <w:tcPr>
            <w:tcW w:w="36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8,510</w:t>
            </w: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1220" w:type="dxa"/>
            <w:vAlign w:val="bottom"/>
            <w:gridSpan w:val="4"/>
            <w:shd w:val="clear" w:color="auto" w:fill="CCEEFF"/>
          </w:tcPr>
          <w:p>
            <w:pPr>
              <w:ind w:left="100"/>
              <w:spacing w:after="0" w:line="105" w:lineRule="exact"/>
              <w:rPr>
                <w:sz w:val="20"/>
                <w:szCs w:val="20"/>
                <w:color w:val="auto"/>
              </w:rPr>
            </w:pPr>
            <w:r>
              <w:rPr>
                <w:rFonts w:ascii="Times New Roman" w:cs="Times New Roman" w:eastAsia="Times New Roman" w:hAnsi="Times New Roman"/>
                <w:sz w:val="10"/>
                <w:szCs w:val="10"/>
                <w:color w:val="auto"/>
              </w:rPr>
              <w:t>Charlotte, NC 28217</w:t>
            </w:r>
          </w:p>
        </w:tc>
        <w:tc>
          <w:tcPr>
            <w:tcW w:w="1360" w:type="dxa"/>
            <w:vAlign w:val="bottom"/>
            <w:gridSpan w:val="2"/>
            <w:shd w:val="clear" w:color="auto" w:fill="CCEEFF"/>
          </w:tcPr>
          <w:p>
            <w:pPr>
              <w:spacing w:after="0" w:line="105" w:lineRule="exact"/>
              <w:rPr>
                <w:sz w:val="20"/>
                <w:szCs w:val="20"/>
                <w:color w:val="auto"/>
              </w:rPr>
            </w:pPr>
            <w:r>
              <w:rPr>
                <w:rFonts w:ascii="Times New Roman" w:cs="Times New Roman" w:eastAsia="Times New Roman" w:hAnsi="Times New Roman"/>
                <w:sz w:val="10"/>
                <w:szCs w:val="10"/>
                <w:color w:val="auto"/>
                <w:w w:val="99"/>
              </w:rPr>
              <w:t>Common Equity (5,690 units) (h)</w:t>
            </w:r>
          </w:p>
        </w:tc>
        <w:tc>
          <w:tcPr>
            <w:tcW w:w="7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700" w:type="dxa"/>
            <w:vAlign w:val="bottom"/>
            <w:gridSpan w:val="2"/>
            <w:shd w:val="clear" w:color="auto" w:fill="CCEEFF"/>
          </w:tcPr>
          <w:p>
            <w:pPr>
              <w:jc w:val="right"/>
              <w:ind w:right="60"/>
              <w:spacing w:after="0" w:line="105" w:lineRule="exact"/>
              <w:rPr>
                <w:sz w:val="20"/>
                <w:szCs w:val="20"/>
                <w:color w:val="auto"/>
              </w:rPr>
            </w:pPr>
            <w:r>
              <w:rPr>
                <w:rFonts w:ascii="Times New Roman" w:cs="Times New Roman" w:eastAsia="Times New Roman" w:hAnsi="Times New Roman"/>
                <w:sz w:val="10"/>
                <w:szCs w:val="10"/>
                <w:color w:val="auto"/>
              </w:rPr>
              <w:t>9.5%</w:t>
            </w:r>
          </w:p>
        </w:tc>
        <w:tc>
          <w:tcPr>
            <w:tcW w:w="8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gridSpan w:val="2"/>
            <w:shd w:val="clear" w:color="auto" w:fill="CCEEFF"/>
          </w:tcPr>
          <w:p>
            <w:pPr>
              <w:jc w:val="right"/>
              <w:ind w:right="80"/>
              <w:spacing w:after="0" w:line="105" w:lineRule="exact"/>
              <w:rPr>
                <w:sz w:val="20"/>
                <w:szCs w:val="20"/>
                <w:color w:val="auto"/>
              </w:rPr>
            </w:pPr>
            <w:r>
              <w:rPr>
                <w:rFonts w:ascii="Times New Roman" w:cs="Times New Roman" w:eastAsia="Times New Roman" w:hAnsi="Times New Roman"/>
                <w:sz w:val="10"/>
                <w:szCs w:val="10"/>
                <w:color w:val="auto"/>
              </w:rPr>
              <w:t>12/31/2021</w:t>
            </w: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20" w:type="dxa"/>
            <w:vAlign w:val="bottom"/>
            <w:tcBorders>
              <w:right w:val="single" w:sz="8" w:color="CCEEFF"/>
            </w:tcBorders>
            <w:shd w:val="clear" w:color="auto" w:fill="CCEEFF"/>
          </w:tcPr>
          <w:p>
            <w:pPr>
              <w:spacing w:after="0"/>
              <w:rPr>
                <w:sz w:val="9"/>
                <w:szCs w:val="9"/>
                <w:color w:val="auto"/>
              </w:rPr>
            </w:pPr>
          </w:p>
        </w:tc>
        <w:tc>
          <w:tcPr>
            <w:tcW w:w="380" w:type="dxa"/>
            <w:vAlign w:val="bottom"/>
            <w:gridSpan w:val="2"/>
            <w:shd w:val="clear" w:color="auto" w:fill="CCEEFF"/>
          </w:tcPr>
          <w:p>
            <w:pPr>
              <w:jc w:val="right"/>
              <w:ind w:right="120"/>
              <w:spacing w:after="0" w:line="105" w:lineRule="exact"/>
              <w:rPr>
                <w:sz w:val="20"/>
                <w:szCs w:val="20"/>
                <w:color w:val="auto"/>
              </w:rPr>
            </w:pPr>
            <w:r>
              <w:rPr>
                <w:rFonts w:ascii="Times New Roman" w:cs="Times New Roman" w:eastAsia="Times New Roman" w:hAnsi="Times New Roman"/>
                <w:sz w:val="10"/>
                <w:szCs w:val="10"/>
                <w:color w:val="auto"/>
              </w:rPr>
              <w:t>5,689</w:t>
            </w:r>
          </w:p>
        </w:tc>
        <w:tc>
          <w:tcPr>
            <w:tcW w:w="60" w:type="dxa"/>
            <w:vAlign w:val="bottom"/>
            <w:shd w:val="clear" w:color="auto" w:fill="CCEEFF"/>
          </w:tcPr>
          <w:p>
            <w:pPr>
              <w:spacing w:after="0"/>
              <w:rPr>
                <w:sz w:val="9"/>
                <w:szCs w:val="9"/>
                <w:color w:val="auto"/>
              </w:rPr>
            </w:pPr>
          </w:p>
        </w:tc>
        <w:tc>
          <w:tcPr>
            <w:tcW w:w="360" w:type="dxa"/>
            <w:vAlign w:val="bottom"/>
            <w:gridSpan w:val="2"/>
            <w:shd w:val="clear" w:color="auto" w:fill="CCEEFF"/>
          </w:tcPr>
          <w:p>
            <w:pPr>
              <w:jc w:val="right"/>
              <w:ind w:right="100"/>
              <w:spacing w:after="0" w:line="105" w:lineRule="exact"/>
              <w:rPr>
                <w:sz w:val="20"/>
                <w:szCs w:val="20"/>
                <w:color w:val="auto"/>
              </w:rPr>
            </w:pPr>
            <w:r>
              <w:rPr>
                <w:rFonts w:ascii="Times New Roman" w:cs="Times New Roman" w:eastAsia="Times New Roman" w:hAnsi="Times New Roman"/>
                <w:sz w:val="10"/>
                <w:szCs w:val="10"/>
                <w:color w:val="auto"/>
              </w:rPr>
              <w:t>7,563</w:t>
            </w:r>
          </w:p>
        </w:tc>
        <w:tc>
          <w:tcPr>
            <w:tcW w:w="3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96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60" w:type="dxa"/>
            <w:vAlign w:val="bottom"/>
            <w:gridSpan w:val="2"/>
          </w:tcPr>
          <w:p>
            <w:pPr>
              <w:spacing w:after="0" w:line="105" w:lineRule="exact"/>
              <w:rPr>
                <w:sz w:val="20"/>
                <w:szCs w:val="20"/>
                <w:color w:val="auto"/>
              </w:rPr>
            </w:pPr>
            <w:r>
              <w:rPr>
                <w:rFonts w:ascii="Times New Roman" w:cs="Times New Roman" w:eastAsia="Times New Roman" w:hAnsi="Times New Roman"/>
                <w:sz w:val="10"/>
                <w:szCs w:val="10"/>
                <w:color w:val="auto"/>
                <w:w w:val="99"/>
              </w:rPr>
              <w:t>Common Equity (7,113 units) (h)</w:t>
            </w:r>
          </w:p>
        </w:tc>
        <w:tc>
          <w:tcPr>
            <w:tcW w:w="760" w:type="dxa"/>
            <w:vAlign w:val="bottom"/>
          </w:tcPr>
          <w:p>
            <w:pPr>
              <w:spacing w:after="0"/>
              <w:rPr>
                <w:sz w:val="9"/>
                <w:szCs w:val="9"/>
                <w:color w:val="auto"/>
              </w:rPr>
            </w:pPr>
          </w:p>
        </w:tc>
        <w:tc>
          <w:tcPr>
            <w:tcW w:w="40" w:type="dxa"/>
            <w:vAlign w:val="bottom"/>
          </w:tcPr>
          <w:p>
            <w:pPr>
              <w:spacing w:after="0"/>
              <w:rPr>
                <w:sz w:val="9"/>
                <w:szCs w:val="9"/>
                <w:color w:val="auto"/>
              </w:rPr>
            </w:pPr>
          </w:p>
        </w:tc>
        <w:tc>
          <w:tcPr>
            <w:tcW w:w="700" w:type="dxa"/>
            <w:vAlign w:val="bottom"/>
            <w:gridSpan w:val="2"/>
          </w:tcPr>
          <w:p>
            <w:pPr>
              <w:jc w:val="right"/>
              <w:ind w:right="60"/>
              <w:spacing w:after="0" w:line="105" w:lineRule="exact"/>
              <w:rPr>
                <w:sz w:val="20"/>
                <w:szCs w:val="20"/>
                <w:color w:val="auto"/>
              </w:rPr>
            </w:pPr>
            <w:r>
              <w:rPr>
                <w:rFonts w:ascii="Times New Roman" w:cs="Times New Roman" w:eastAsia="Times New Roman" w:hAnsi="Times New Roman"/>
                <w:sz w:val="10"/>
                <w:szCs w:val="10"/>
                <w:color w:val="auto"/>
              </w:rPr>
              <w:t>0.0%</w:t>
            </w: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gridSpan w:val="2"/>
          </w:tcPr>
          <w:p>
            <w:pPr>
              <w:jc w:val="right"/>
              <w:ind w:right="80"/>
              <w:spacing w:after="0" w:line="105" w:lineRule="exact"/>
              <w:rPr>
                <w:sz w:val="20"/>
                <w:szCs w:val="20"/>
                <w:color w:val="auto"/>
              </w:rPr>
            </w:pPr>
            <w:r>
              <w:rPr>
                <w:rFonts w:ascii="Times New Roman" w:cs="Times New Roman" w:eastAsia="Times New Roman" w:hAnsi="Times New Roman"/>
                <w:sz w:val="10"/>
                <w:szCs w:val="10"/>
                <w:color w:val="auto"/>
              </w:rPr>
              <w:t>12/31/2021</w:t>
            </w: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gridSpan w:val="2"/>
          </w:tcPr>
          <w:p>
            <w:pPr>
              <w:jc w:val="right"/>
              <w:ind w:right="120"/>
              <w:spacing w:after="0" w:line="105" w:lineRule="exact"/>
              <w:rPr>
                <w:sz w:val="20"/>
                <w:szCs w:val="20"/>
                <w:color w:val="auto"/>
              </w:rPr>
            </w:pPr>
            <w:r>
              <w:rPr>
                <w:rFonts w:ascii="Times New Roman" w:cs="Times New Roman" w:eastAsia="Times New Roman" w:hAnsi="Times New Roman"/>
                <w:sz w:val="10"/>
                <w:szCs w:val="10"/>
                <w:color w:val="auto"/>
              </w:rPr>
              <w:t>7,113</w:t>
            </w:r>
          </w:p>
        </w:tc>
        <w:tc>
          <w:tcPr>
            <w:tcW w:w="60" w:type="dxa"/>
            <w:vAlign w:val="bottom"/>
          </w:tcPr>
          <w:p>
            <w:pPr>
              <w:spacing w:after="0"/>
              <w:rPr>
                <w:sz w:val="9"/>
                <w:szCs w:val="9"/>
                <w:color w:val="auto"/>
              </w:rPr>
            </w:pPr>
          </w:p>
        </w:tc>
        <w:tc>
          <w:tcPr>
            <w:tcW w:w="360" w:type="dxa"/>
            <w:vAlign w:val="bottom"/>
            <w:gridSpan w:val="2"/>
          </w:tcPr>
          <w:p>
            <w:pPr>
              <w:jc w:val="right"/>
              <w:ind w:right="100"/>
              <w:spacing w:after="0" w:line="105" w:lineRule="exact"/>
              <w:rPr>
                <w:sz w:val="20"/>
                <w:szCs w:val="20"/>
                <w:color w:val="auto"/>
              </w:rPr>
            </w:pPr>
            <w:r>
              <w:rPr>
                <w:rFonts w:ascii="Times New Roman" w:cs="Times New Roman" w:eastAsia="Times New Roman" w:hAnsi="Times New Roman"/>
                <w:sz w:val="10"/>
                <w:szCs w:val="10"/>
                <w:color w:val="auto"/>
              </w:rPr>
              <w:t>9,897</w:t>
            </w: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9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360" w:type="dxa"/>
            <w:vAlign w:val="bottom"/>
            <w:gridSpan w:val="2"/>
            <w:shd w:val="clear" w:color="auto" w:fill="CCEEFF"/>
          </w:tcPr>
          <w:p>
            <w:pPr>
              <w:spacing w:after="0" w:line="105" w:lineRule="exact"/>
              <w:rPr>
                <w:sz w:val="20"/>
                <w:szCs w:val="20"/>
                <w:color w:val="auto"/>
              </w:rPr>
            </w:pPr>
            <w:r>
              <w:rPr>
                <w:rFonts w:ascii="Times New Roman" w:cs="Times New Roman" w:eastAsia="Times New Roman" w:hAnsi="Times New Roman"/>
                <w:sz w:val="10"/>
                <w:szCs w:val="10"/>
                <w:color w:val="auto"/>
                <w:w w:val="99"/>
              </w:rPr>
              <w:t>Common Equity (2,012 units) (h)</w:t>
            </w:r>
          </w:p>
        </w:tc>
        <w:tc>
          <w:tcPr>
            <w:tcW w:w="7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700" w:type="dxa"/>
            <w:vAlign w:val="bottom"/>
            <w:gridSpan w:val="2"/>
            <w:shd w:val="clear" w:color="auto" w:fill="CCEEFF"/>
          </w:tcPr>
          <w:p>
            <w:pPr>
              <w:jc w:val="right"/>
              <w:ind w:right="60"/>
              <w:spacing w:after="0" w:line="105" w:lineRule="exact"/>
              <w:rPr>
                <w:sz w:val="20"/>
                <w:szCs w:val="20"/>
                <w:color w:val="auto"/>
              </w:rPr>
            </w:pPr>
            <w:r>
              <w:rPr>
                <w:rFonts w:ascii="Times New Roman" w:cs="Times New Roman" w:eastAsia="Times New Roman" w:hAnsi="Times New Roman"/>
                <w:sz w:val="10"/>
                <w:szCs w:val="10"/>
                <w:color w:val="auto"/>
              </w:rPr>
              <w:t>3.4%</w:t>
            </w:r>
          </w:p>
        </w:tc>
        <w:tc>
          <w:tcPr>
            <w:tcW w:w="8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gridSpan w:val="2"/>
            <w:shd w:val="clear" w:color="auto" w:fill="CCEEFF"/>
          </w:tcPr>
          <w:p>
            <w:pPr>
              <w:jc w:val="right"/>
              <w:ind w:right="80"/>
              <w:spacing w:after="0" w:line="105" w:lineRule="exact"/>
              <w:rPr>
                <w:sz w:val="20"/>
                <w:szCs w:val="20"/>
                <w:color w:val="auto"/>
              </w:rPr>
            </w:pPr>
            <w:r>
              <w:rPr>
                <w:rFonts w:ascii="Times New Roman" w:cs="Times New Roman" w:eastAsia="Times New Roman" w:hAnsi="Times New Roman"/>
                <w:sz w:val="10"/>
                <w:szCs w:val="10"/>
                <w:color w:val="auto"/>
              </w:rPr>
              <w:t>12/31/2021</w:t>
            </w: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20" w:type="dxa"/>
            <w:vAlign w:val="bottom"/>
            <w:tcBorders>
              <w:right w:val="single" w:sz="8" w:color="CCEEFF"/>
            </w:tcBorders>
            <w:shd w:val="clear" w:color="auto" w:fill="CCEEFF"/>
          </w:tcPr>
          <w:p>
            <w:pPr>
              <w:spacing w:after="0"/>
              <w:rPr>
                <w:sz w:val="9"/>
                <w:szCs w:val="9"/>
                <w:color w:val="auto"/>
              </w:rPr>
            </w:pPr>
          </w:p>
        </w:tc>
        <w:tc>
          <w:tcPr>
            <w:tcW w:w="380" w:type="dxa"/>
            <w:vAlign w:val="bottom"/>
            <w:gridSpan w:val="2"/>
            <w:shd w:val="clear" w:color="auto" w:fill="CCEEFF"/>
          </w:tcPr>
          <w:p>
            <w:pPr>
              <w:jc w:val="right"/>
              <w:ind w:right="140"/>
              <w:spacing w:after="0" w:line="105" w:lineRule="exact"/>
              <w:rPr>
                <w:sz w:val="20"/>
                <w:szCs w:val="20"/>
                <w:color w:val="auto"/>
              </w:rPr>
            </w:pPr>
            <w:r>
              <w:rPr>
                <w:rFonts w:ascii="Times New Roman" w:cs="Times New Roman" w:eastAsia="Times New Roman" w:hAnsi="Times New Roman"/>
                <w:sz w:val="10"/>
                <w:szCs w:val="10"/>
                <w:color w:val="auto"/>
              </w:rPr>
              <w:t>— </w:t>
            </w:r>
          </w:p>
        </w:tc>
        <w:tc>
          <w:tcPr>
            <w:tcW w:w="60" w:type="dxa"/>
            <w:vAlign w:val="bottom"/>
            <w:shd w:val="clear" w:color="auto" w:fill="CCEEFF"/>
          </w:tcPr>
          <w:p>
            <w:pPr>
              <w:spacing w:after="0"/>
              <w:rPr>
                <w:sz w:val="9"/>
                <w:szCs w:val="9"/>
                <w:color w:val="auto"/>
              </w:rPr>
            </w:pPr>
          </w:p>
        </w:tc>
        <w:tc>
          <w:tcPr>
            <w:tcW w:w="360" w:type="dxa"/>
            <w:vAlign w:val="bottom"/>
            <w:gridSpan w:val="2"/>
            <w:shd w:val="clear" w:color="auto" w:fill="CCEEFF"/>
          </w:tcPr>
          <w:p>
            <w:pPr>
              <w:ind w:left="120"/>
              <w:spacing w:after="0" w:line="105" w:lineRule="exact"/>
              <w:rPr>
                <w:sz w:val="20"/>
                <w:szCs w:val="20"/>
                <w:color w:val="auto"/>
              </w:rPr>
            </w:pPr>
            <w:r>
              <w:rPr>
                <w:rFonts w:ascii="Times New Roman" w:cs="Times New Roman" w:eastAsia="Times New Roman" w:hAnsi="Times New Roman"/>
                <w:sz w:val="10"/>
                <w:szCs w:val="10"/>
                <w:color w:val="auto"/>
              </w:rPr>
              <w:t>— </w:t>
            </w:r>
          </w:p>
        </w:tc>
        <w:tc>
          <w:tcPr>
            <w:tcW w:w="3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96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tcPr>
          <w:p>
            <w:pPr>
              <w:spacing w:after="0"/>
              <w:rPr>
                <w:sz w:val="9"/>
                <w:szCs w:val="9"/>
                <w:color w:val="auto"/>
              </w:rPr>
            </w:pPr>
          </w:p>
        </w:tc>
        <w:tc>
          <w:tcPr>
            <w:tcW w:w="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Borders>
              <w:top w:val="single" w:sz="8" w:color="auto"/>
            </w:tcBorders>
          </w:tcPr>
          <w:p>
            <w:pPr>
              <w:jc w:val="right"/>
              <w:spacing w:after="0" w:line="106" w:lineRule="exact"/>
              <w:rPr>
                <w:sz w:val="20"/>
                <w:szCs w:val="20"/>
                <w:color w:val="auto"/>
              </w:rPr>
            </w:pPr>
            <w:r>
              <w:rPr>
                <w:rFonts w:ascii="Times New Roman" w:cs="Times New Roman" w:eastAsia="Times New Roman" w:hAnsi="Times New Roman"/>
                <w:sz w:val="10"/>
                <w:szCs w:val="10"/>
                <w:color w:val="auto"/>
                <w:w w:val="87"/>
              </w:rPr>
              <w:t>22,404</w:t>
            </w:r>
          </w:p>
        </w:tc>
        <w:tc>
          <w:tcPr>
            <w:tcW w:w="12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260" w:type="dxa"/>
            <w:vAlign w:val="bottom"/>
            <w:tcBorders>
              <w:top w:val="single" w:sz="8" w:color="auto"/>
            </w:tcBorders>
          </w:tcPr>
          <w:p>
            <w:pPr>
              <w:jc w:val="right"/>
              <w:spacing w:after="0" w:line="106" w:lineRule="exact"/>
              <w:rPr>
                <w:sz w:val="20"/>
                <w:szCs w:val="20"/>
                <w:color w:val="auto"/>
              </w:rPr>
            </w:pPr>
            <w:r>
              <w:rPr>
                <w:rFonts w:ascii="Times New Roman" w:cs="Times New Roman" w:eastAsia="Times New Roman" w:hAnsi="Times New Roman"/>
                <w:sz w:val="10"/>
                <w:szCs w:val="10"/>
                <w:color w:val="auto"/>
                <w:w w:val="87"/>
              </w:rPr>
              <w:t>25,970</w:t>
            </w:r>
          </w:p>
        </w:tc>
        <w:tc>
          <w:tcPr>
            <w:tcW w:w="100" w:type="dxa"/>
            <w:vAlign w:val="bottom"/>
          </w:tcPr>
          <w:p>
            <w:pPr>
              <w:spacing w:after="0"/>
              <w:rPr>
                <w:sz w:val="9"/>
                <w:szCs w:val="9"/>
                <w:color w:val="auto"/>
              </w:rPr>
            </w:pPr>
          </w:p>
        </w:tc>
        <w:tc>
          <w:tcPr>
            <w:tcW w:w="480" w:type="dxa"/>
            <w:vAlign w:val="bottom"/>
            <w:gridSpan w:val="2"/>
          </w:tcPr>
          <w:p>
            <w:pPr>
              <w:jc w:val="right"/>
              <w:ind w:right="40"/>
              <w:spacing w:after="0" w:line="106" w:lineRule="exact"/>
              <w:rPr>
                <w:sz w:val="20"/>
                <w:szCs w:val="20"/>
                <w:color w:val="auto"/>
              </w:rPr>
            </w:pPr>
            <w:r>
              <w:rPr>
                <w:rFonts w:ascii="Times New Roman" w:cs="Times New Roman" w:eastAsia="Times New Roman" w:hAnsi="Times New Roman"/>
                <w:sz w:val="10"/>
                <w:szCs w:val="10"/>
                <w:color w:val="auto"/>
              </w:rPr>
              <w:t>3%</w:t>
            </w:r>
          </w:p>
        </w:tc>
        <w:tc>
          <w:tcPr>
            <w:tcW w:w="0" w:type="dxa"/>
            <w:vAlign w:val="bottom"/>
          </w:tcPr>
          <w:p>
            <w:pPr>
              <w:spacing w:after="0"/>
              <w:rPr>
                <w:sz w:val="1"/>
                <w:szCs w:val="1"/>
                <w:color w:val="auto"/>
              </w:rPr>
            </w:pPr>
          </w:p>
        </w:tc>
      </w:tr>
      <w:tr>
        <w:trPr>
          <w:trHeight w:val="105"/>
        </w:trPr>
        <w:tc>
          <w:tcPr>
            <w:tcW w:w="1220" w:type="dxa"/>
            <w:vAlign w:val="bottom"/>
            <w:gridSpan w:val="4"/>
            <w:shd w:val="clear" w:color="auto" w:fill="CCEEFF"/>
          </w:tcPr>
          <w:p>
            <w:pPr>
              <w:spacing w:after="0" w:line="105" w:lineRule="exact"/>
              <w:rPr>
                <w:sz w:val="20"/>
                <w:szCs w:val="20"/>
                <w:color w:val="auto"/>
              </w:rPr>
            </w:pPr>
            <w:r>
              <w:rPr>
                <w:rFonts w:ascii="Times New Roman" w:cs="Times New Roman" w:eastAsia="Times New Roman" w:hAnsi="Times New Roman"/>
                <w:sz w:val="10"/>
                <w:szCs w:val="10"/>
                <w:i w:val="1"/>
                <w:iCs w:val="1"/>
                <w:color w:val="auto"/>
              </w:rPr>
              <w:t>CP Communications, LLC</w:t>
            </w:r>
          </w:p>
        </w:tc>
        <w:tc>
          <w:tcPr>
            <w:tcW w:w="13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0" w:type="dxa"/>
            <w:vAlign w:val="bottom"/>
            <w:gridSpan w:val="2"/>
            <w:shd w:val="clear" w:color="auto" w:fill="CCEEFF"/>
          </w:tcPr>
          <w:p>
            <w:pPr>
              <w:spacing w:after="0" w:line="105" w:lineRule="exact"/>
              <w:rPr>
                <w:sz w:val="20"/>
                <w:szCs w:val="20"/>
                <w:color w:val="auto"/>
              </w:rPr>
            </w:pPr>
            <w:r>
              <w:rPr>
                <w:rFonts w:ascii="Times New Roman" w:cs="Times New Roman" w:eastAsia="Times New Roman" w:hAnsi="Times New Roman"/>
                <w:sz w:val="10"/>
                <w:szCs w:val="10"/>
                <w:color w:val="auto"/>
              </w:rPr>
              <w:t>Business Services</w:t>
            </w:r>
          </w:p>
        </w:tc>
        <w:tc>
          <w:tcPr>
            <w:tcW w:w="5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20" w:type="dxa"/>
            <w:vAlign w:val="bottom"/>
            <w:tcBorders>
              <w:right w:val="single" w:sz="8" w:color="CCEEFF"/>
            </w:tcBorders>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220" w:type="dxa"/>
            <w:vAlign w:val="bottom"/>
            <w:gridSpan w:val="4"/>
          </w:tcPr>
          <w:p>
            <w:pPr>
              <w:ind w:left="100"/>
              <w:spacing w:after="0" w:line="105" w:lineRule="exact"/>
              <w:rPr>
                <w:sz w:val="20"/>
                <w:szCs w:val="20"/>
                <w:color w:val="auto"/>
              </w:rPr>
            </w:pPr>
            <w:r>
              <w:rPr>
                <w:rFonts w:ascii="Times New Roman" w:cs="Times New Roman" w:eastAsia="Times New Roman" w:hAnsi="Times New Roman"/>
                <w:sz w:val="10"/>
                <w:szCs w:val="10"/>
                <w:color w:val="auto"/>
              </w:rPr>
              <w:t>9965 18th Street</w:t>
            </w:r>
          </w:p>
        </w:tc>
        <w:tc>
          <w:tcPr>
            <w:tcW w:w="1360" w:type="dxa"/>
            <w:vAlign w:val="bottom"/>
            <w:gridSpan w:val="2"/>
          </w:tcPr>
          <w:p>
            <w:pPr>
              <w:spacing w:after="0" w:line="105" w:lineRule="exact"/>
              <w:rPr>
                <w:sz w:val="20"/>
                <w:szCs w:val="20"/>
                <w:color w:val="auto"/>
              </w:rPr>
            </w:pPr>
            <w:r>
              <w:rPr>
                <w:rFonts w:ascii="Times New Roman" w:cs="Times New Roman" w:eastAsia="Times New Roman" w:hAnsi="Times New Roman"/>
                <w:sz w:val="10"/>
                <w:szCs w:val="10"/>
                <w:color w:val="auto"/>
              </w:rPr>
              <w:t>First Lien Debt (am)</w:t>
            </w:r>
          </w:p>
        </w:tc>
        <w:tc>
          <w:tcPr>
            <w:tcW w:w="760" w:type="dxa"/>
            <w:vAlign w:val="bottom"/>
          </w:tcPr>
          <w:p>
            <w:pPr>
              <w:spacing w:after="0"/>
              <w:rPr>
                <w:sz w:val="9"/>
                <w:szCs w:val="9"/>
                <w:color w:val="auto"/>
              </w:rPr>
            </w:pPr>
          </w:p>
        </w:tc>
        <w:tc>
          <w:tcPr>
            <w:tcW w:w="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920" w:type="dxa"/>
            <w:vAlign w:val="bottom"/>
            <w:gridSpan w:val="2"/>
          </w:tcPr>
          <w:p>
            <w:pPr>
              <w:jc w:val="center"/>
              <w:ind w:right="40"/>
              <w:spacing w:after="0" w:line="105" w:lineRule="exact"/>
              <w:rPr>
                <w:sz w:val="20"/>
                <w:szCs w:val="20"/>
                <w:color w:val="auto"/>
              </w:rPr>
            </w:pPr>
            <w:r>
              <w:rPr>
                <w:rFonts w:ascii="Times New Roman" w:cs="Times New Roman" w:eastAsia="Times New Roman" w:hAnsi="Times New Roman"/>
                <w:sz w:val="10"/>
                <w:szCs w:val="10"/>
                <w:color w:val="auto"/>
                <w:w w:val="98"/>
              </w:rPr>
              <w:t>(S + 8.50%) / (4.00%)</w:t>
            </w:r>
          </w:p>
        </w:tc>
        <w:tc>
          <w:tcPr>
            <w:tcW w:w="680" w:type="dxa"/>
            <w:vAlign w:val="bottom"/>
            <w:gridSpan w:val="2"/>
          </w:tcPr>
          <w:p>
            <w:pPr>
              <w:jc w:val="right"/>
              <w:ind w:right="60"/>
              <w:spacing w:after="0" w:line="105" w:lineRule="exact"/>
              <w:rPr>
                <w:sz w:val="20"/>
                <w:szCs w:val="20"/>
                <w:color w:val="auto"/>
              </w:rPr>
            </w:pPr>
            <w:r>
              <w:rPr>
                <w:rFonts w:ascii="Times New Roman" w:cs="Times New Roman" w:eastAsia="Times New Roman" w:hAnsi="Times New Roman"/>
                <w:sz w:val="10"/>
                <w:szCs w:val="10"/>
                <w:color w:val="auto"/>
              </w:rPr>
              <w:t>12.50%/0.00%</w:t>
            </w:r>
          </w:p>
        </w:tc>
        <w:tc>
          <w:tcPr>
            <w:tcW w:w="560" w:type="dxa"/>
            <w:vAlign w:val="bottom"/>
            <w:gridSpan w:val="2"/>
          </w:tcPr>
          <w:p>
            <w:pPr>
              <w:jc w:val="right"/>
              <w:ind w:right="80"/>
              <w:spacing w:after="0" w:line="105" w:lineRule="exact"/>
              <w:rPr>
                <w:sz w:val="20"/>
                <w:szCs w:val="20"/>
                <w:color w:val="auto"/>
              </w:rPr>
            </w:pPr>
            <w:r>
              <w:rPr>
                <w:rFonts w:ascii="Times New Roman" w:cs="Times New Roman" w:eastAsia="Times New Roman" w:hAnsi="Times New Roman"/>
                <w:sz w:val="10"/>
                <w:szCs w:val="10"/>
                <w:color w:val="auto"/>
              </w:rPr>
              <w:t>12/4/2024</w:t>
            </w:r>
          </w:p>
        </w:tc>
        <w:tc>
          <w:tcPr>
            <w:tcW w:w="560" w:type="dxa"/>
            <w:vAlign w:val="bottom"/>
            <w:gridSpan w:val="2"/>
          </w:tcPr>
          <w:p>
            <w:pPr>
              <w:jc w:val="right"/>
              <w:ind w:right="80"/>
              <w:spacing w:after="0" w:line="105" w:lineRule="exact"/>
              <w:rPr>
                <w:sz w:val="20"/>
                <w:szCs w:val="20"/>
                <w:color w:val="auto"/>
              </w:rPr>
            </w:pPr>
            <w:r>
              <w:rPr>
                <w:rFonts w:ascii="Times New Roman" w:cs="Times New Roman" w:eastAsia="Times New Roman" w:hAnsi="Times New Roman"/>
                <w:sz w:val="10"/>
                <w:szCs w:val="10"/>
                <w:color w:val="auto"/>
              </w:rPr>
              <w:t>12/4/2029</w:t>
            </w:r>
          </w:p>
        </w:tc>
        <w:tc>
          <w:tcPr>
            <w:tcW w:w="80" w:type="dxa"/>
            <w:vAlign w:val="bottom"/>
          </w:tcPr>
          <w:p>
            <w:pPr>
              <w:spacing w:after="0"/>
              <w:rPr>
                <w:sz w:val="9"/>
                <w:szCs w:val="9"/>
                <w:color w:val="auto"/>
              </w:rPr>
            </w:pPr>
          </w:p>
        </w:tc>
        <w:tc>
          <w:tcPr>
            <w:tcW w:w="260" w:type="dxa"/>
            <w:vAlign w:val="bottom"/>
          </w:tcPr>
          <w:p>
            <w:pPr>
              <w:jc w:val="right"/>
              <w:spacing w:after="0" w:line="105" w:lineRule="exact"/>
              <w:rPr>
                <w:sz w:val="20"/>
                <w:szCs w:val="20"/>
                <w:color w:val="auto"/>
              </w:rPr>
            </w:pPr>
            <w:r>
              <w:rPr>
                <w:rFonts w:ascii="Times New Roman" w:cs="Times New Roman" w:eastAsia="Times New Roman" w:hAnsi="Times New Roman"/>
                <w:sz w:val="10"/>
                <w:szCs w:val="10"/>
                <w:color w:val="auto"/>
              </w:rPr>
              <w:t>5,782</w:t>
            </w:r>
          </w:p>
        </w:tc>
        <w:tc>
          <w:tcPr>
            <w:tcW w:w="120" w:type="dxa"/>
            <w:vAlign w:val="bottom"/>
          </w:tcPr>
          <w:p>
            <w:pPr>
              <w:spacing w:after="0"/>
              <w:rPr>
                <w:sz w:val="9"/>
                <w:szCs w:val="9"/>
                <w:color w:val="auto"/>
              </w:rPr>
            </w:pPr>
          </w:p>
        </w:tc>
        <w:tc>
          <w:tcPr>
            <w:tcW w:w="380" w:type="dxa"/>
            <w:vAlign w:val="bottom"/>
            <w:gridSpan w:val="2"/>
          </w:tcPr>
          <w:p>
            <w:pPr>
              <w:jc w:val="right"/>
              <w:ind w:right="120"/>
              <w:spacing w:after="0" w:line="105" w:lineRule="exact"/>
              <w:rPr>
                <w:sz w:val="20"/>
                <w:szCs w:val="20"/>
                <w:color w:val="auto"/>
              </w:rPr>
            </w:pPr>
            <w:r>
              <w:rPr>
                <w:rFonts w:ascii="Times New Roman" w:cs="Times New Roman" w:eastAsia="Times New Roman" w:hAnsi="Times New Roman"/>
                <w:sz w:val="10"/>
                <w:szCs w:val="10"/>
                <w:color w:val="auto"/>
              </w:rPr>
              <w:t>5,747</w:t>
            </w:r>
          </w:p>
        </w:tc>
        <w:tc>
          <w:tcPr>
            <w:tcW w:w="60" w:type="dxa"/>
            <w:vAlign w:val="bottom"/>
          </w:tcPr>
          <w:p>
            <w:pPr>
              <w:spacing w:after="0"/>
              <w:rPr>
                <w:sz w:val="9"/>
                <w:szCs w:val="9"/>
                <w:color w:val="auto"/>
              </w:rPr>
            </w:pPr>
          </w:p>
        </w:tc>
        <w:tc>
          <w:tcPr>
            <w:tcW w:w="360" w:type="dxa"/>
            <w:vAlign w:val="bottom"/>
            <w:gridSpan w:val="2"/>
          </w:tcPr>
          <w:p>
            <w:pPr>
              <w:jc w:val="right"/>
              <w:ind w:right="100"/>
              <w:spacing w:after="0" w:line="105" w:lineRule="exact"/>
              <w:rPr>
                <w:sz w:val="20"/>
                <w:szCs w:val="20"/>
                <w:color w:val="auto"/>
              </w:rPr>
            </w:pPr>
            <w:r>
              <w:rPr>
                <w:rFonts w:ascii="Times New Roman" w:cs="Times New Roman" w:eastAsia="Times New Roman" w:hAnsi="Times New Roman"/>
                <w:sz w:val="10"/>
                <w:szCs w:val="10"/>
                <w:color w:val="auto"/>
              </w:rPr>
              <w:t>5,783</w:t>
            </w: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220" w:type="dxa"/>
            <w:vAlign w:val="bottom"/>
            <w:gridSpan w:val="4"/>
            <w:shd w:val="clear" w:color="auto" w:fill="CCEEFF"/>
          </w:tcPr>
          <w:p>
            <w:pPr>
              <w:ind w:left="100"/>
              <w:spacing w:after="0" w:line="105" w:lineRule="exact"/>
              <w:rPr>
                <w:sz w:val="20"/>
                <w:szCs w:val="20"/>
                <w:color w:val="auto"/>
              </w:rPr>
            </w:pPr>
            <w:r>
              <w:rPr>
                <w:rFonts w:ascii="Times New Roman" w:cs="Times New Roman" w:eastAsia="Times New Roman" w:hAnsi="Times New Roman"/>
                <w:sz w:val="10"/>
                <w:szCs w:val="10"/>
                <w:color w:val="auto"/>
              </w:rPr>
              <w:t>St. Petersburg, FL 33716</w:t>
            </w:r>
          </w:p>
        </w:tc>
        <w:tc>
          <w:tcPr>
            <w:tcW w:w="1360" w:type="dxa"/>
            <w:vAlign w:val="bottom"/>
            <w:gridSpan w:val="2"/>
            <w:shd w:val="clear" w:color="auto" w:fill="CCEEFF"/>
          </w:tcPr>
          <w:p>
            <w:pPr>
              <w:spacing w:after="0" w:line="105" w:lineRule="exact"/>
              <w:rPr>
                <w:sz w:val="20"/>
                <w:szCs w:val="20"/>
                <w:color w:val="auto"/>
              </w:rPr>
            </w:pPr>
            <w:r>
              <w:rPr>
                <w:rFonts w:ascii="Times New Roman" w:cs="Times New Roman" w:eastAsia="Times New Roman" w:hAnsi="Times New Roman"/>
                <w:sz w:val="10"/>
                <w:szCs w:val="10"/>
                <w:color w:val="auto"/>
              </w:rPr>
              <w:t>Preferred Equity (62 units)</w:t>
            </w:r>
          </w:p>
        </w:tc>
        <w:tc>
          <w:tcPr>
            <w:tcW w:w="7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700" w:type="dxa"/>
            <w:vAlign w:val="bottom"/>
            <w:gridSpan w:val="2"/>
            <w:shd w:val="clear" w:color="auto" w:fill="CCEEFF"/>
          </w:tcPr>
          <w:p>
            <w:pPr>
              <w:jc w:val="right"/>
              <w:ind w:right="60"/>
              <w:spacing w:after="0" w:line="105" w:lineRule="exact"/>
              <w:rPr>
                <w:sz w:val="20"/>
                <w:szCs w:val="20"/>
                <w:color w:val="auto"/>
              </w:rPr>
            </w:pPr>
            <w:r>
              <w:rPr>
                <w:rFonts w:ascii="Times New Roman" w:cs="Times New Roman" w:eastAsia="Times New Roman" w:hAnsi="Times New Roman"/>
                <w:sz w:val="10"/>
                <w:szCs w:val="10"/>
                <w:color w:val="auto"/>
              </w:rPr>
              <w:t>5.9%</w:t>
            </w:r>
          </w:p>
        </w:tc>
        <w:tc>
          <w:tcPr>
            <w:tcW w:w="8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gridSpan w:val="2"/>
            <w:shd w:val="clear" w:color="auto" w:fill="CCEEFF"/>
          </w:tcPr>
          <w:p>
            <w:pPr>
              <w:jc w:val="right"/>
              <w:ind w:right="80"/>
              <w:spacing w:after="0" w:line="105" w:lineRule="exact"/>
              <w:rPr>
                <w:sz w:val="20"/>
                <w:szCs w:val="20"/>
                <w:color w:val="auto"/>
              </w:rPr>
            </w:pPr>
            <w:r>
              <w:rPr>
                <w:rFonts w:ascii="Times New Roman" w:cs="Times New Roman" w:eastAsia="Times New Roman" w:hAnsi="Times New Roman"/>
                <w:sz w:val="10"/>
                <w:szCs w:val="10"/>
                <w:color w:val="auto"/>
              </w:rPr>
              <w:t>12/4/2024</w:t>
            </w: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20" w:type="dxa"/>
            <w:vAlign w:val="bottom"/>
            <w:tcBorders>
              <w:right w:val="single" w:sz="8" w:color="CCEEFF"/>
            </w:tcBorders>
            <w:shd w:val="clear" w:color="auto" w:fill="CCEEFF"/>
          </w:tcPr>
          <w:p>
            <w:pPr>
              <w:spacing w:after="0"/>
              <w:rPr>
                <w:sz w:val="9"/>
                <w:szCs w:val="9"/>
                <w:color w:val="auto"/>
              </w:rPr>
            </w:pPr>
          </w:p>
        </w:tc>
        <w:tc>
          <w:tcPr>
            <w:tcW w:w="380" w:type="dxa"/>
            <w:vAlign w:val="bottom"/>
            <w:gridSpan w:val="2"/>
            <w:shd w:val="clear" w:color="auto" w:fill="CCEEFF"/>
          </w:tcPr>
          <w:p>
            <w:pPr>
              <w:jc w:val="right"/>
              <w:ind w:right="120"/>
              <w:spacing w:after="0" w:line="105" w:lineRule="exact"/>
              <w:rPr>
                <w:sz w:val="20"/>
                <w:szCs w:val="20"/>
                <w:color w:val="auto"/>
              </w:rPr>
            </w:pPr>
            <w:r>
              <w:rPr>
                <w:rFonts w:ascii="Times New Roman" w:cs="Times New Roman" w:eastAsia="Times New Roman" w:hAnsi="Times New Roman"/>
                <w:sz w:val="10"/>
                <w:szCs w:val="10"/>
                <w:color w:val="auto"/>
              </w:rPr>
              <w:t>500</w:t>
            </w:r>
          </w:p>
        </w:tc>
        <w:tc>
          <w:tcPr>
            <w:tcW w:w="60" w:type="dxa"/>
            <w:vAlign w:val="bottom"/>
            <w:shd w:val="clear" w:color="auto" w:fill="CCEEFF"/>
          </w:tcPr>
          <w:p>
            <w:pPr>
              <w:spacing w:after="0"/>
              <w:rPr>
                <w:sz w:val="9"/>
                <w:szCs w:val="9"/>
                <w:color w:val="auto"/>
              </w:rPr>
            </w:pPr>
          </w:p>
        </w:tc>
        <w:tc>
          <w:tcPr>
            <w:tcW w:w="360" w:type="dxa"/>
            <w:vAlign w:val="bottom"/>
            <w:gridSpan w:val="2"/>
            <w:shd w:val="clear" w:color="auto" w:fill="CCEEFF"/>
          </w:tcPr>
          <w:p>
            <w:pPr>
              <w:jc w:val="right"/>
              <w:ind w:right="100"/>
              <w:spacing w:after="0" w:line="105" w:lineRule="exact"/>
              <w:rPr>
                <w:sz w:val="20"/>
                <w:szCs w:val="20"/>
                <w:color w:val="auto"/>
              </w:rPr>
            </w:pPr>
            <w:r>
              <w:rPr>
                <w:rFonts w:ascii="Times New Roman" w:cs="Times New Roman" w:eastAsia="Times New Roman" w:hAnsi="Times New Roman"/>
                <w:sz w:val="10"/>
                <w:szCs w:val="10"/>
                <w:color w:val="auto"/>
              </w:rPr>
              <w:t>656</w:t>
            </w:r>
          </w:p>
        </w:tc>
        <w:tc>
          <w:tcPr>
            <w:tcW w:w="3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96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tcPr>
          <w:p>
            <w:pPr>
              <w:spacing w:after="0"/>
              <w:rPr>
                <w:sz w:val="9"/>
                <w:szCs w:val="9"/>
                <w:color w:val="auto"/>
              </w:rPr>
            </w:pPr>
          </w:p>
        </w:tc>
        <w:tc>
          <w:tcPr>
            <w:tcW w:w="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Borders>
              <w:top w:val="single" w:sz="8" w:color="auto"/>
            </w:tcBorders>
          </w:tcPr>
          <w:p>
            <w:pPr>
              <w:jc w:val="right"/>
              <w:spacing w:after="0" w:line="106" w:lineRule="exact"/>
              <w:rPr>
                <w:sz w:val="20"/>
                <w:szCs w:val="20"/>
                <w:color w:val="auto"/>
              </w:rPr>
            </w:pPr>
            <w:r>
              <w:rPr>
                <w:rFonts w:ascii="Times New Roman" w:cs="Times New Roman" w:eastAsia="Times New Roman" w:hAnsi="Times New Roman"/>
                <w:sz w:val="10"/>
                <w:szCs w:val="10"/>
                <w:color w:val="auto"/>
              </w:rPr>
              <w:t>6,247</w:t>
            </w:r>
          </w:p>
        </w:tc>
        <w:tc>
          <w:tcPr>
            <w:tcW w:w="12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260" w:type="dxa"/>
            <w:vAlign w:val="bottom"/>
            <w:tcBorders>
              <w:top w:val="single" w:sz="8" w:color="auto"/>
            </w:tcBorders>
          </w:tcPr>
          <w:p>
            <w:pPr>
              <w:jc w:val="right"/>
              <w:spacing w:after="0" w:line="106" w:lineRule="exact"/>
              <w:rPr>
                <w:sz w:val="20"/>
                <w:szCs w:val="20"/>
                <w:color w:val="auto"/>
              </w:rPr>
            </w:pPr>
            <w:r>
              <w:rPr>
                <w:rFonts w:ascii="Times New Roman" w:cs="Times New Roman" w:eastAsia="Times New Roman" w:hAnsi="Times New Roman"/>
                <w:sz w:val="10"/>
                <w:szCs w:val="10"/>
                <w:color w:val="auto"/>
              </w:rPr>
              <w:t>6,439</w:t>
            </w:r>
          </w:p>
        </w:tc>
        <w:tc>
          <w:tcPr>
            <w:tcW w:w="100" w:type="dxa"/>
            <w:vAlign w:val="bottom"/>
          </w:tcPr>
          <w:p>
            <w:pPr>
              <w:spacing w:after="0"/>
              <w:rPr>
                <w:sz w:val="9"/>
                <w:szCs w:val="9"/>
                <w:color w:val="auto"/>
              </w:rPr>
            </w:pPr>
          </w:p>
        </w:tc>
        <w:tc>
          <w:tcPr>
            <w:tcW w:w="480" w:type="dxa"/>
            <w:vAlign w:val="bottom"/>
            <w:gridSpan w:val="2"/>
          </w:tcPr>
          <w:p>
            <w:pPr>
              <w:jc w:val="right"/>
              <w:ind w:right="40"/>
              <w:spacing w:after="0" w:line="106" w:lineRule="exact"/>
              <w:rPr>
                <w:sz w:val="20"/>
                <w:szCs w:val="20"/>
                <w:color w:val="auto"/>
              </w:rPr>
            </w:pPr>
            <w:r>
              <w:rPr>
                <w:rFonts w:ascii="Times New Roman" w:cs="Times New Roman" w:eastAsia="Times New Roman" w:hAnsi="Times New Roman"/>
                <w:sz w:val="10"/>
                <w:szCs w:val="10"/>
                <w:color w:val="auto"/>
              </w:rPr>
              <w:t>1%</w:t>
            </w:r>
          </w:p>
        </w:tc>
        <w:tc>
          <w:tcPr>
            <w:tcW w:w="0" w:type="dxa"/>
            <w:vAlign w:val="bottom"/>
          </w:tcPr>
          <w:p>
            <w:pPr>
              <w:spacing w:after="0"/>
              <w:rPr>
                <w:sz w:val="1"/>
                <w:szCs w:val="1"/>
                <w:color w:val="auto"/>
              </w:rPr>
            </w:pPr>
          </w:p>
        </w:tc>
      </w:tr>
      <w:tr>
        <w:trPr>
          <w:trHeight w:val="91"/>
        </w:trPr>
        <w:tc>
          <w:tcPr>
            <w:tcW w:w="1220" w:type="dxa"/>
            <w:vAlign w:val="bottom"/>
            <w:gridSpan w:val="4"/>
            <w:shd w:val="clear" w:color="auto" w:fill="CCEEFF"/>
          </w:tcPr>
          <w:p>
            <w:pPr>
              <w:spacing w:after="0" w:line="92" w:lineRule="exact"/>
              <w:rPr>
                <w:sz w:val="20"/>
                <w:szCs w:val="20"/>
                <w:color w:val="auto"/>
              </w:rPr>
            </w:pPr>
            <w:r>
              <w:rPr>
                <w:rFonts w:ascii="Times New Roman" w:cs="Times New Roman" w:eastAsia="Times New Roman" w:hAnsi="Times New Roman"/>
                <w:sz w:val="10"/>
                <w:szCs w:val="10"/>
                <w:i w:val="1"/>
                <w:iCs w:val="1"/>
                <w:color w:val="auto"/>
              </w:rPr>
              <w:t>Medsurant Holdings, LLC (n)</w:t>
            </w:r>
          </w:p>
        </w:tc>
        <w:tc>
          <w:tcPr>
            <w:tcW w:w="132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800" w:type="dxa"/>
            <w:vAlign w:val="bottom"/>
            <w:gridSpan w:val="2"/>
            <w:shd w:val="clear" w:color="auto" w:fill="CCEEFF"/>
          </w:tcPr>
          <w:p>
            <w:pPr>
              <w:spacing w:after="0" w:line="92" w:lineRule="exact"/>
              <w:rPr>
                <w:sz w:val="20"/>
                <w:szCs w:val="20"/>
                <w:color w:val="auto"/>
              </w:rPr>
            </w:pPr>
            <w:r>
              <w:rPr>
                <w:rFonts w:ascii="Times New Roman" w:cs="Times New Roman" w:eastAsia="Times New Roman" w:hAnsi="Times New Roman"/>
                <w:sz w:val="10"/>
                <w:szCs w:val="10"/>
                <w:color w:val="auto"/>
              </w:rPr>
              <w:t>Healthcare</w:t>
            </w:r>
          </w:p>
        </w:tc>
        <w:tc>
          <w:tcPr>
            <w:tcW w:w="54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8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120" w:type="dxa"/>
            <w:vAlign w:val="bottom"/>
            <w:tcBorders>
              <w:right w:val="single" w:sz="8" w:color="CCEEFF"/>
            </w:tcBorders>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18"/>
        </w:trPr>
        <w:tc>
          <w:tcPr>
            <w:tcW w:w="9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3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0"/>
                <w:szCs w:val="10"/>
                <w:color w:val="auto"/>
              </w:rPr>
              <w:t>Services</w:t>
            </w:r>
          </w:p>
        </w:tc>
        <w:tc>
          <w:tcPr>
            <w:tcW w:w="5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20" w:type="dxa"/>
            <w:vAlign w:val="bottom"/>
            <w:tcBorders>
              <w:right w:val="single" w:sz="8" w:color="CCEEFF"/>
            </w:tcBorders>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1220" w:type="dxa"/>
            <w:vAlign w:val="bottom"/>
            <w:gridSpan w:val="4"/>
          </w:tcPr>
          <w:p>
            <w:pPr>
              <w:ind w:left="100"/>
              <w:spacing w:after="0" w:line="92" w:lineRule="exact"/>
              <w:rPr>
                <w:sz w:val="20"/>
                <w:szCs w:val="20"/>
                <w:color w:val="auto"/>
              </w:rPr>
            </w:pPr>
            <w:r>
              <w:rPr>
                <w:rFonts w:ascii="Times New Roman" w:cs="Times New Roman" w:eastAsia="Times New Roman" w:hAnsi="Times New Roman"/>
                <w:sz w:val="10"/>
                <w:szCs w:val="10"/>
                <w:color w:val="auto"/>
              </w:rPr>
              <w:t>100 Front Street, Suite 280</w:t>
            </w:r>
          </w:p>
        </w:tc>
        <w:tc>
          <w:tcPr>
            <w:tcW w:w="1360" w:type="dxa"/>
            <w:vAlign w:val="bottom"/>
            <w:gridSpan w:val="2"/>
          </w:tcPr>
          <w:p>
            <w:pPr>
              <w:spacing w:after="0" w:line="92" w:lineRule="exact"/>
              <w:rPr>
                <w:sz w:val="20"/>
                <w:szCs w:val="20"/>
                <w:color w:val="auto"/>
              </w:rPr>
            </w:pPr>
            <w:r>
              <w:rPr>
                <w:rFonts w:ascii="Times New Roman" w:cs="Times New Roman" w:eastAsia="Times New Roman" w:hAnsi="Times New Roman"/>
                <w:sz w:val="10"/>
                <w:szCs w:val="10"/>
                <w:color w:val="auto"/>
              </w:rPr>
              <w:t>Preferred Equity</w:t>
            </w:r>
          </w:p>
        </w:tc>
        <w:tc>
          <w:tcPr>
            <w:tcW w:w="760" w:type="dxa"/>
            <w:vAlign w:val="bottom"/>
          </w:tcPr>
          <w:p>
            <w:pPr>
              <w:spacing w:after="0"/>
              <w:rPr>
                <w:sz w:val="7"/>
                <w:szCs w:val="7"/>
                <w:color w:val="auto"/>
              </w:rPr>
            </w:pPr>
          </w:p>
        </w:tc>
        <w:tc>
          <w:tcPr>
            <w:tcW w:w="40" w:type="dxa"/>
            <w:vAlign w:val="bottom"/>
          </w:tcPr>
          <w:p>
            <w:pPr>
              <w:spacing w:after="0"/>
              <w:rPr>
                <w:sz w:val="7"/>
                <w:szCs w:val="7"/>
                <w:color w:val="auto"/>
              </w:rPr>
            </w:pPr>
          </w:p>
        </w:tc>
        <w:tc>
          <w:tcPr>
            <w:tcW w:w="540" w:type="dxa"/>
            <w:vAlign w:val="bottom"/>
          </w:tcPr>
          <w:p>
            <w:pPr>
              <w:spacing w:after="0"/>
              <w:rPr>
                <w:sz w:val="7"/>
                <w:szCs w:val="7"/>
                <w:color w:val="auto"/>
              </w:rPr>
            </w:pPr>
          </w:p>
        </w:tc>
        <w:tc>
          <w:tcPr>
            <w:tcW w:w="160" w:type="dxa"/>
            <w:vAlign w:val="bottom"/>
          </w:tcPr>
          <w:p>
            <w:pPr>
              <w:spacing w:after="0"/>
              <w:rPr>
                <w:sz w:val="7"/>
                <w:szCs w:val="7"/>
                <w:color w:val="auto"/>
              </w:rPr>
            </w:pPr>
          </w:p>
        </w:tc>
        <w:tc>
          <w:tcPr>
            <w:tcW w:w="880" w:type="dxa"/>
            <w:vAlign w:val="bottom"/>
          </w:tcPr>
          <w:p>
            <w:pPr>
              <w:spacing w:after="0"/>
              <w:rPr>
                <w:sz w:val="7"/>
                <w:szCs w:val="7"/>
                <w:color w:val="auto"/>
              </w:rPr>
            </w:pPr>
          </w:p>
        </w:tc>
        <w:tc>
          <w:tcPr>
            <w:tcW w:w="4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36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8"/>
        </w:trPr>
        <w:tc>
          <w:tcPr>
            <w:tcW w:w="9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(84,997 units) (h)</w:t>
            </w:r>
          </w:p>
        </w:tc>
        <w:tc>
          <w:tcPr>
            <w:tcW w:w="7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2.2%</w:t>
            </w:r>
          </w:p>
        </w:tc>
        <w:tc>
          <w:tcPr>
            <w:tcW w:w="8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4/12/2011</w:t>
            </w: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— </w:t>
            </w:r>
          </w:p>
        </w:tc>
        <w:tc>
          <w:tcPr>
            <w:tcW w:w="60" w:type="dxa"/>
            <w:vAlign w:val="bottom"/>
          </w:tcPr>
          <w:p>
            <w:pPr>
              <w:spacing w:after="0"/>
              <w:rPr>
                <w:sz w:val="10"/>
                <w:szCs w:val="10"/>
                <w:color w:val="auto"/>
              </w:rPr>
            </w:pPr>
          </w:p>
        </w:tc>
        <w:tc>
          <w:tcPr>
            <w:tcW w:w="36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35</w:t>
            </w: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1220" w:type="dxa"/>
            <w:vAlign w:val="bottom"/>
            <w:gridSpan w:val="4"/>
            <w:shd w:val="clear" w:color="auto" w:fill="CCEEFF"/>
          </w:tcPr>
          <w:p>
            <w:pPr>
              <w:ind w:left="100"/>
              <w:spacing w:after="0" w:line="105" w:lineRule="exact"/>
              <w:rPr>
                <w:sz w:val="20"/>
                <w:szCs w:val="20"/>
                <w:color w:val="auto"/>
              </w:rPr>
            </w:pPr>
            <w:r>
              <w:rPr>
                <w:rFonts w:ascii="Times New Roman" w:cs="Times New Roman" w:eastAsia="Times New Roman" w:hAnsi="Times New Roman"/>
                <w:sz w:val="10"/>
                <w:szCs w:val="10"/>
                <w:color w:val="auto"/>
              </w:rPr>
              <w:t>Conshohocken, PA 19428</w:t>
            </w:r>
          </w:p>
        </w:tc>
        <w:tc>
          <w:tcPr>
            <w:tcW w:w="1360" w:type="dxa"/>
            <w:vAlign w:val="bottom"/>
            <w:gridSpan w:val="2"/>
            <w:shd w:val="clear" w:color="auto" w:fill="CCEEFF"/>
          </w:tcPr>
          <w:p>
            <w:pPr>
              <w:spacing w:after="0" w:line="105" w:lineRule="exact"/>
              <w:rPr>
                <w:sz w:val="20"/>
                <w:szCs w:val="20"/>
                <w:color w:val="auto"/>
              </w:rPr>
            </w:pPr>
            <w:r>
              <w:rPr>
                <w:rFonts w:ascii="Times New Roman" w:cs="Times New Roman" w:eastAsia="Times New Roman" w:hAnsi="Times New Roman"/>
                <w:sz w:val="10"/>
                <w:szCs w:val="10"/>
                <w:color w:val="auto"/>
              </w:rPr>
              <w:t>Warrant (252,588 units) (h)(m)</w:t>
            </w:r>
          </w:p>
        </w:tc>
        <w:tc>
          <w:tcPr>
            <w:tcW w:w="7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700" w:type="dxa"/>
            <w:vAlign w:val="bottom"/>
            <w:gridSpan w:val="2"/>
            <w:shd w:val="clear" w:color="auto" w:fill="CCEEFF"/>
          </w:tcPr>
          <w:p>
            <w:pPr>
              <w:jc w:val="right"/>
              <w:ind w:right="60"/>
              <w:spacing w:after="0" w:line="105" w:lineRule="exact"/>
              <w:rPr>
                <w:sz w:val="20"/>
                <w:szCs w:val="20"/>
                <w:color w:val="auto"/>
              </w:rPr>
            </w:pPr>
            <w:r>
              <w:rPr>
                <w:rFonts w:ascii="Times New Roman" w:cs="Times New Roman" w:eastAsia="Times New Roman" w:hAnsi="Times New Roman"/>
                <w:sz w:val="10"/>
                <w:szCs w:val="10"/>
                <w:color w:val="auto"/>
              </w:rPr>
              <w:t>6.4%</w:t>
            </w:r>
          </w:p>
        </w:tc>
        <w:tc>
          <w:tcPr>
            <w:tcW w:w="8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gridSpan w:val="2"/>
            <w:shd w:val="clear" w:color="auto" w:fill="CCEEFF"/>
          </w:tcPr>
          <w:p>
            <w:pPr>
              <w:jc w:val="right"/>
              <w:ind w:right="80"/>
              <w:spacing w:after="0" w:line="105" w:lineRule="exact"/>
              <w:rPr>
                <w:sz w:val="20"/>
                <w:szCs w:val="20"/>
                <w:color w:val="auto"/>
              </w:rPr>
            </w:pPr>
            <w:r>
              <w:rPr>
                <w:rFonts w:ascii="Times New Roman" w:cs="Times New Roman" w:eastAsia="Times New Roman" w:hAnsi="Times New Roman"/>
                <w:sz w:val="10"/>
                <w:szCs w:val="10"/>
                <w:color w:val="auto"/>
              </w:rPr>
              <w:t>4/12/2011</w:t>
            </w: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20" w:type="dxa"/>
            <w:vAlign w:val="bottom"/>
            <w:tcBorders>
              <w:right w:val="single" w:sz="8" w:color="CCEEFF"/>
            </w:tcBorders>
            <w:shd w:val="clear" w:color="auto" w:fill="CCEEFF"/>
          </w:tcPr>
          <w:p>
            <w:pPr>
              <w:spacing w:after="0"/>
              <w:rPr>
                <w:sz w:val="9"/>
                <w:szCs w:val="9"/>
                <w:color w:val="auto"/>
              </w:rPr>
            </w:pPr>
          </w:p>
        </w:tc>
        <w:tc>
          <w:tcPr>
            <w:tcW w:w="380" w:type="dxa"/>
            <w:vAlign w:val="bottom"/>
            <w:gridSpan w:val="2"/>
            <w:shd w:val="clear" w:color="auto" w:fill="CCEEFF"/>
          </w:tcPr>
          <w:p>
            <w:pPr>
              <w:jc w:val="right"/>
              <w:ind w:right="140"/>
              <w:spacing w:after="0" w:line="105" w:lineRule="exact"/>
              <w:rPr>
                <w:sz w:val="20"/>
                <w:szCs w:val="20"/>
                <w:color w:val="auto"/>
              </w:rPr>
            </w:pPr>
            <w:r>
              <w:rPr>
                <w:rFonts w:ascii="Times New Roman" w:cs="Times New Roman" w:eastAsia="Times New Roman" w:hAnsi="Times New Roman"/>
                <w:sz w:val="10"/>
                <w:szCs w:val="10"/>
                <w:color w:val="auto"/>
              </w:rPr>
              <w:t>— </w:t>
            </w:r>
          </w:p>
        </w:tc>
        <w:tc>
          <w:tcPr>
            <w:tcW w:w="60" w:type="dxa"/>
            <w:vAlign w:val="bottom"/>
            <w:shd w:val="clear" w:color="auto" w:fill="CCEEFF"/>
          </w:tcPr>
          <w:p>
            <w:pPr>
              <w:spacing w:after="0"/>
              <w:rPr>
                <w:sz w:val="9"/>
                <w:szCs w:val="9"/>
                <w:color w:val="auto"/>
              </w:rPr>
            </w:pPr>
          </w:p>
        </w:tc>
        <w:tc>
          <w:tcPr>
            <w:tcW w:w="360" w:type="dxa"/>
            <w:vAlign w:val="bottom"/>
            <w:gridSpan w:val="2"/>
            <w:shd w:val="clear" w:color="auto" w:fill="CCEEFF"/>
          </w:tcPr>
          <w:p>
            <w:pPr>
              <w:jc w:val="right"/>
              <w:ind w:right="100"/>
              <w:spacing w:after="0" w:line="105" w:lineRule="exact"/>
              <w:rPr>
                <w:sz w:val="20"/>
                <w:szCs w:val="20"/>
                <w:color w:val="auto"/>
              </w:rPr>
            </w:pPr>
            <w:r>
              <w:rPr>
                <w:rFonts w:ascii="Times New Roman" w:cs="Times New Roman" w:eastAsia="Times New Roman" w:hAnsi="Times New Roman"/>
                <w:sz w:val="10"/>
                <w:szCs w:val="10"/>
                <w:color w:val="auto"/>
              </w:rPr>
              <w:t>121</w:t>
            </w:r>
          </w:p>
        </w:tc>
        <w:tc>
          <w:tcPr>
            <w:tcW w:w="3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96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tcPr>
          <w:p>
            <w:pPr>
              <w:spacing w:after="0"/>
              <w:rPr>
                <w:sz w:val="9"/>
                <w:szCs w:val="9"/>
                <w:color w:val="auto"/>
              </w:rPr>
            </w:pPr>
          </w:p>
        </w:tc>
        <w:tc>
          <w:tcPr>
            <w:tcW w:w="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Borders>
              <w:top w:val="single" w:sz="8" w:color="auto"/>
            </w:tcBorders>
          </w:tcPr>
          <w:p>
            <w:pPr>
              <w:jc w:val="right"/>
              <w:spacing w:after="0" w:line="106" w:lineRule="exact"/>
              <w:rPr>
                <w:sz w:val="20"/>
                <w:szCs w:val="20"/>
                <w:color w:val="auto"/>
              </w:rPr>
            </w:pPr>
            <w:r>
              <w:rPr>
                <w:rFonts w:ascii="Times New Roman" w:cs="Times New Roman" w:eastAsia="Times New Roman" w:hAnsi="Times New Roman"/>
                <w:sz w:val="10"/>
                <w:szCs w:val="10"/>
                <w:color w:val="auto"/>
              </w:rPr>
              <w:t>— </w:t>
            </w:r>
          </w:p>
        </w:tc>
        <w:tc>
          <w:tcPr>
            <w:tcW w:w="12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260" w:type="dxa"/>
            <w:vAlign w:val="bottom"/>
            <w:tcBorders>
              <w:top w:val="single" w:sz="8" w:color="auto"/>
            </w:tcBorders>
          </w:tcPr>
          <w:p>
            <w:pPr>
              <w:ind w:left="120"/>
              <w:spacing w:after="0" w:line="106" w:lineRule="exact"/>
              <w:rPr>
                <w:sz w:val="20"/>
                <w:szCs w:val="20"/>
                <w:color w:val="auto"/>
              </w:rPr>
            </w:pPr>
            <w:r>
              <w:rPr>
                <w:rFonts w:ascii="Times New Roman" w:cs="Times New Roman" w:eastAsia="Times New Roman" w:hAnsi="Times New Roman"/>
                <w:sz w:val="10"/>
                <w:szCs w:val="10"/>
                <w:color w:val="auto"/>
                <w:w w:val="79"/>
              </w:rPr>
              <w:t>156</w:t>
            </w:r>
          </w:p>
        </w:tc>
        <w:tc>
          <w:tcPr>
            <w:tcW w:w="100" w:type="dxa"/>
            <w:vAlign w:val="bottom"/>
          </w:tcPr>
          <w:p>
            <w:pPr>
              <w:spacing w:after="0"/>
              <w:rPr>
                <w:sz w:val="9"/>
                <w:szCs w:val="9"/>
                <w:color w:val="auto"/>
              </w:rPr>
            </w:pPr>
          </w:p>
        </w:tc>
        <w:tc>
          <w:tcPr>
            <w:tcW w:w="480" w:type="dxa"/>
            <w:vAlign w:val="bottom"/>
            <w:gridSpan w:val="2"/>
          </w:tcPr>
          <w:p>
            <w:pPr>
              <w:jc w:val="right"/>
              <w:ind w:right="40"/>
              <w:spacing w:after="0" w:line="106" w:lineRule="exact"/>
              <w:rPr>
                <w:sz w:val="20"/>
                <w:szCs w:val="20"/>
                <w:color w:val="auto"/>
              </w:rPr>
            </w:pPr>
            <w:r>
              <w:rPr>
                <w:rFonts w:ascii="Times New Roman" w:cs="Times New Roman" w:eastAsia="Times New Roman" w:hAnsi="Times New Roman"/>
                <w:sz w:val="10"/>
                <w:szCs w:val="10"/>
                <w:color w:val="auto"/>
              </w:rPr>
              <w:t>0%</w:t>
            </w:r>
          </w:p>
        </w:tc>
        <w:tc>
          <w:tcPr>
            <w:tcW w:w="0" w:type="dxa"/>
            <w:vAlign w:val="bottom"/>
          </w:tcPr>
          <w:p>
            <w:pPr>
              <w:spacing w:after="0"/>
              <w:rPr>
                <w:sz w:val="1"/>
                <w:szCs w:val="1"/>
                <w:color w:val="auto"/>
              </w:rPr>
            </w:pPr>
          </w:p>
        </w:tc>
      </w:tr>
      <w:tr>
        <w:trPr>
          <w:trHeight w:val="91"/>
        </w:trPr>
        <w:tc>
          <w:tcPr>
            <w:tcW w:w="1220" w:type="dxa"/>
            <w:vAlign w:val="bottom"/>
            <w:gridSpan w:val="4"/>
            <w:shd w:val="clear" w:color="auto" w:fill="CCEEFF"/>
          </w:tcPr>
          <w:p>
            <w:pPr>
              <w:spacing w:after="0" w:line="92" w:lineRule="exact"/>
              <w:rPr>
                <w:sz w:val="20"/>
                <w:szCs w:val="20"/>
                <w:color w:val="auto"/>
              </w:rPr>
            </w:pPr>
            <w:r>
              <w:rPr>
                <w:rFonts w:ascii="Times New Roman" w:cs="Times New Roman" w:eastAsia="Times New Roman" w:hAnsi="Times New Roman"/>
                <w:sz w:val="10"/>
                <w:szCs w:val="10"/>
                <w:i w:val="1"/>
                <w:iCs w:val="1"/>
                <w:color w:val="auto"/>
              </w:rPr>
              <w:t>Pfanstiehl, Inc.</w:t>
            </w:r>
          </w:p>
        </w:tc>
        <w:tc>
          <w:tcPr>
            <w:tcW w:w="132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800" w:type="dxa"/>
            <w:vAlign w:val="bottom"/>
            <w:gridSpan w:val="2"/>
            <w:shd w:val="clear" w:color="auto" w:fill="CCEEFF"/>
          </w:tcPr>
          <w:p>
            <w:pPr>
              <w:spacing w:after="0" w:line="92" w:lineRule="exact"/>
              <w:rPr>
                <w:sz w:val="20"/>
                <w:szCs w:val="20"/>
                <w:color w:val="auto"/>
              </w:rPr>
            </w:pPr>
            <w:r>
              <w:rPr>
                <w:rFonts w:ascii="Times New Roman" w:cs="Times New Roman" w:eastAsia="Times New Roman" w:hAnsi="Times New Roman"/>
                <w:sz w:val="10"/>
                <w:szCs w:val="10"/>
                <w:color w:val="auto"/>
              </w:rPr>
              <w:t>Healthcare</w:t>
            </w:r>
          </w:p>
        </w:tc>
        <w:tc>
          <w:tcPr>
            <w:tcW w:w="54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8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120" w:type="dxa"/>
            <w:vAlign w:val="bottom"/>
            <w:tcBorders>
              <w:right w:val="single" w:sz="8" w:color="CCEEFF"/>
            </w:tcBorders>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18"/>
        </w:trPr>
        <w:tc>
          <w:tcPr>
            <w:tcW w:w="9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3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0"/>
                <w:szCs w:val="10"/>
                <w:color w:val="auto"/>
              </w:rPr>
              <w:t>Products</w:t>
            </w:r>
          </w:p>
        </w:tc>
        <w:tc>
          <w:tcPr>
            <w:tcW w:w="5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20" w:type="dxa"/>
            <w:vAlign w:val="bottom"/>
            <w:tcBorders>
              <w:right w:val="single" w:sz="8" w:color="CCEEFF"/>
            </w:tcBorders>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1220" w:type="dxa"/>
            <w:vAlign w:val="bottom"/>
            <w:gridSpan w:val="4"/>
          </w:tcPr>
          <w:p>
            <w:pPr>
              <w:ind w:left="100"/>
              <w:spacing w:after="0" w:line="92" w:lineRule="exact"/>
              <w:rPr>
                <w:sz w:val="20"/>
                <w:szCs w:val="20"/>
                <w:color w:val="auto"/>
              </w:rPr>
            </w:pPr>
            <w:r>
              <w:rPr>
                <w:rFonts w:ascii="Times New Roman" w:cs="Times New Roman" w:eastAsia="Times New Roman" w:hAnsi="Times New Roman"/>
                <w:sz w:val="10"/>
                <w:szCs w:val="10"/>
                <w:color w:val="auto"/>
              </w:rPr>
              <w:t>1219 Glen Rock Avenue</w:t>
            </w:r>
          </w:p>
        </w:tc>
        <w:tc>
          <w:tcPr>
            <w:tcW w:w="132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tcPr>
          <w:p>
            <w:pPr>
              <w:spacing w:after="0"/>
              <w:rPr>
                <w:sz w:val="7"/>
                <w:szCs w:val="7"/>
                <w:color w:val="auto"/>
              </w:rPr>
            </w:pPr>
          </w:p>
        </w:tc>
        <w:tc>
          <w:tcPr>
            <w:tcW w:w="40" w:type="dxa"/>
            <w:vAlign w:val="bottom"/>
          </w:tcPr>
          <w:p>
            <w:pPr>
              <w:spacing w:after="0"/>
              <w:rPr>
                <w:sz w:val="7"/>
                <w:szCs w:val="7"/>
                <w:color w:val="auto"/>
              </w:rPr>
            </w:pPr>
          </w:p>
        </w:tc>
        <w:tc>
          <w:tcPr>
            <w:tcW w:w="540" w:type="dxa"/>
            <w:vAlign w:val="bottom"/>
          </w:tcPr>
          <w:p>
            <w:pPr>
              <w:spacing w:after="0"/>
              <w:rPr>
                <w:sz w:val="7"/>
                <w:szCs w:val="7"/>
                <w:color w:val="auto"/>
              </w:rPr>
            </w:pPr>
          </w:p>
        </w:tc>
        <w:tc>
          <w:tcPr>
            <w:tcW w:w="160" w:type="dxa"/>
            <w:vAlign w:val="bottom"/>
          </w:tcPr>
          <w:p>
            <w:pPr>
              <w:spacing w:after="0"/>
              <w:rPr>
                <w:sz w:val="7"/>
                <w:szCs w:val="7"/>
                <w:color w:val="auto"/>
              </w:rPr>
            </w:pPr>
          </w:p>
        </w:tc>
        <w:tc>
          <w:tcPr>
            <w:tcW w:w="880" w:type="dxa"/>
            <w:vAlign w:val="bottom"/>
          </w:tcPr>
          <w:p>
            <w:pPr>
              <w:spacing w:after="0"/>
              <w:rPr>
                <w:sz w:val="7"/>
                <w:szCs w:val="7"/>
                <w:color w:val="auto"/>
              </w:rPr>
            </w:pPr>
          </w:p>
        </w:tc>
        <w:tc>
          <w:tcPr>
            <w:tcW w:w="4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36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1220" w:type="dxa"/>
            <w:vAlign w:val="bottom"/>
            <w:gridSpan w:val="4"/>
          </w:tcPr>
          <w:p>
            <w:pPr>
              <w:ind w:left="100"/>
              <w:spacing w:after="0"/>
              <w:rPr>
                <w:sz w:val="20"/>
                <w:szCs w:val="20"/>
                <w:color w:val="auto"/>
              </w:rPr>
            </w:pPr>
            <w:r>
              <w:rPr>
                <w:rFonts w:ascii="Times New Roman" w:cs="Times New Roman" w:eastAsia="Times New Roman" w:hAnsi="Times New Roman"/>
                <w:sz w:val="10"/>
                <w:szCs w:val="10"/>
                <w:color w:val="auto"/>
              </w:rPr>
              <w:t>Waukegan, IL 60085</w:t>
            </w:r>
          </w:p>
        </w:tc>
        <w:tc>
          <w:tcPr>
            <w:tcW w:w="136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Common Equity (2,550 units)</w:t>
            </w: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7.3%</w:t>
            </w:r>
          </w:p>
        </w:tc>
        <w:tc>
          <w:tcPr>
            <w:tcW w:w="8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3/29/2013</w:t>
            </w: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255</w:t>
            </w:r>
          </w:p>
        </w:tc>
        <w:tc>
          <w:tcPr>
            <w:tcW w:w="60" w:type="dxa"/>
            <w:vAlign w:val="bottom"/>
          </w:tcPr>
          <w:p>
            <w:pPr>
              <w:spacing w:after="0"/>
              <w:rPr>
                <w:sz w:val="11"/>
                <w:szCs w:val="11"/>
                <w:color w:val="auto"/>
              </w:rPr>
            </w:pPr>
          </w:p>
        </w:tc>
        <w:tc>
          <w:tcPr>
            <w:tcW w:w="36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w w:val="87"/>
              </w:rPr>
              <w:t>41,234</w:t>
            </w: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0"/>
                <w:szCs w:val="10"/>
                <w:color w:val="auto"/>
              </w:rPr>
              <w:t>5%</w:t>
            </w:r>
          </w:p>
        </w:tc>
        <w:tc>
          <w:tcPr>
            <w:tcW w:w="0" w:type="dxa"/>
            <w:vAlign w:val="bottom"/>
          </w:tcPr>
          <w:p>
            <w:pPr>
              <w:spacing w:after="0"/>
              <w:rPr>
                <w:sz w:val="1"/>
                <w:szCs w:val="1"/>
                <w:color w:val="auto"/>
              </w:rPr>
            </w:pPr>
          </w:p>
        </w:tc>
      </w:tr>
      <w:tr>
        <w:trPr>
          <w:trHeight w:val="77"/>
        </w:trPr>
        <w:tc>
          <w:tcPr>
            <w:tcW w:w="96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32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Pr>
          <w:p>
            <w:pPr>
              <w:spacing w:after="0"/>
              <w:rPr>
                <w:sz w:val="6"/>
                <w:szCs w:val="6"/>
                <w:color w:val="auto"/>
              </w:rPr>
            </w:pPr>
          </w:p>
        </w:tc>
        <w:tc>
          <w:tcPr>
            <w:tcW w:w="40" w:type="dxa"/>
            <w:vAlign w:val="bottom"/>
          </w:tcPr>
          <w:p>
            <w:pPr>
              <w:spacing w:after="0"/>
              <w:rPr>
                <w:sz w:val="6"/>
                <w:szCs w:val="6"/>
                <w:color w:val="auto"/>
              </w:rPr>
            </w:pPr>
          </w:p>
        </w:tc>
        <w:tc>
          <w:tcPr>
            <w:tcW w:w="5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80" w:type="dxa"/>
            <w:vAlign w:val="bottom"/>
          </w:tcPr>
          <w:p>
            <w:pPr>
              <w:spacing w:after="0"/>
              <w:rPr>
                <w:sz w:val="6"/>
                <w:szCs w:val="6"/>
                <w:color w:val="auto"/>
              </w:rPr>
            </w:pPr>
          </w:p>
        </w:tc>
        <w:tc>
          <w:tcPr>
            <w:tcW w:w="4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 w:type="dxa"/>
            <w:vAlign w:val="bottom"/>
          </w:tcPr>
          <w:p>
            <w:pPr>
              <w:spacing w:after="0"/>
              <w:rPr>
                <w:sz w:val="6"/>
                <w:szCs w:val="6"/>
                <w:color w:val="auto"/>
              </w:rPr>
            </w:pPr>
          </w:p>
        </w:tc>
        <w:tc>
          <w:tcPr>
            <w:tcW w:w="4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0" w:type="dxa"/>
            <w:vAlign w:val="bottom"/>
          </w:tcPr>
          <w:p>
            <w:pPr>
              <w:spacing w:after="0"/>
              <w:rPr>
                <w:sz w:val="6"/>
                <w:szCs w:val="6"/>
                <w:color w:val="auto"/>
              </w:rPr>
            </w:pPr>
          </w:p>
        </w:tc>
        <w:tc>
          <w:tcPr>
            <w:tcW w:w="360" w:type="dxa"/>
            <w:vAlign w:val="bottom"/>
          </w:tcPr>
          <w:p>
            <w:pPr>
              <w:spacing w:after="0"/>
              <w:rPr>
                <w:sz w:val="6"/>
                <w:szCs w:val="6"/>
                <w:color w:val="auto"/>
              </w:rPr>
            </w:pP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5"/>
        </w:trPr>
        <w:tc>
          <w:tcPr>
            <w:tcW w:w="1220" w:type="dxa"/>
            <w:vAlign w:val="bottom"/>
            <w:gridSpan w:val="4"/>
            <w:shd w:val="clear" w:color="auto" w:fill="CCEEFF"/>
          </w:tcPr>
          <w:p>
            <w:pPr>
              <w:spacing w:after="0" w:line="105" w:lineRule="exact"/>
              <w:rPr>
                <w:sz w:val="20"/>
                <w:szCs w:val="20"/>
                <w:color w:val="auto"/>
              </w:rPr>
            </w:pPr>
            <w:r>
              <w:rPr>
                <w:rFonts w:ascii="Times New Roman" w:cs="Times New Roman" w:eastAsia="Times New Roman" w:hAnsi="Times New Roman"/>
                <w:sz w:val="10"/>
                <w:szCs w:val="10"/>
                <w:i w:val="1"/>
                <w:iCs w:val="1"/>
                <w:color w:val="auto"/>
              </w:rPr>
              <w:t>PIPCO, LLC</w:t>
            </w:r>
          </w:p>
        </w:tc>
        <w:tc>
          <w:tcPr>
            <w:tcW w:w="13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0" w:type="dxa"/>
            <w:vAlign w:val="bottom"/>
            <w:gridSpan w:val="2"/>
            <w:shd w:val="clear" w:color="auto" w:fill="CCEEFF"/>
          </w:tcPr>
          <w:p>
            <w:pPr>
              <w:spacing w:after="0" w:line="105" w:lineRule="exact"/>
              <w:rPr>
                <w:sz w:val="20"/>
                <w:szCs w:val="20"/>
                <w:color w:val="auto"/>
              </w:rPr>
            </w:pPr>
            <w:r>
              <w:rPr>
                <w:rFonts w:ascii="Times New Roman" w:cs="Times New Roman" w:eastAsia="Times New Roman" w:hAnsi="Times New Roman"/>
                <w:sz w:val="10"/>
                <w:szCs w:val="10"/>
                <w:color w:val="auto"/>
              </w:rPr>
              <w:t>Utilities: Services</w:t>
            </w:r>
          </w:p>
        </w:tc>
        <w:tc>
          <w:tcPr>
            <w:tcW w:w="5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20" w:type="dxa"/>
            <w:vAlign w:val="bottom"/>
            <w:tcBorders>
              <w:right w:val="single" w:sz="8" w:color="CCEEFF"/>
            </w:tcBorders>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220" w:type="dxa"/>
            <w:vAlign w:val="bottom"/>
            <w:gridSpan w:val="4"/>
          </w:tcPr>
          <w:p>
            <w:pPr>
              <w:ind w:left="100"/>
              <w:spacing w:after="0" w:line="105" w:lineRule="exact"/>
              <w:rPr>
                <w:sz w:val="20"/>
                <w:szCs w:val="20"/>
                <w:color w:val="auto"/>
              </w:rPr>
            </w:pPr>
            <w:r>
              <w:rPr>
                <w:rFonts w:ascii="Times New Roman" w:cs="Times New Roman" w:eastAsia="Times New Roman" w:hAnsi="Times New Roman"/>
                <w:sz w:val="10"/>
                <w:szCs w:val="10"/>
                <w:color w:val="auto"/>
              </w:rPr>
              <w:t>1409 West Altorfer Drive</w:t>
            </w:r>
          </w:p>
        </w:tc>
        <w:tc>
          <w:tcPr>
            <w:tcW w:w="1360" w:type="dxa"/>
            <w:vAlign w:val="bottom"/>
            <w:gridSpan w:val="2"/>
          </w:tcPr>
          <w:p>
            <w:pPr>
              <w:spacing w:after="0" w:line="105" w:lineRule="exact"/>
              <w:rPr>
                <w:sz w:val="20"/>
                <w:szCs w:val="20"/>
                <w:color w:val="auto"/>
              </w:rPr>
            </w:pPr>
            <w:r>
              <w:rPr>
                <w:rFonts w:ascii="Times New Roman" w:cs="Times New Roman" w:eastAsia="Times New Roman" w:hAnsi="Times New Roman"/>
                <w:sz w:val="10"/>
                <w:szCs w:val="10"/>
                <w:color w:val="auto"/>
              </w:rPr>
              <w:t>First Lien Debt</w:t>
            </w:r>
          </w:p>
        </w:tc>
        <w:tc>
          <w:tcPr>
            <w:tcW w:w="760" w:type="dxa"/>
            <w:vAlign w:val="bottom"/>
          </w:tcPr>
          <w:p>
            <w:pPr>
              <w:spacing w:after="0"/>
              <w:rPr>
                <w:sz w:val="9"/>
                <w:szCs w:val="9"/>
                <w:color w:val="auto"/>
              </w:rPr>
            </w:pPr>
          </w:p>
        </w:tc>
        <w:tc>
          <w:tcPr>
            <w:tcW w:w="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920" w:type="dxa"/>
            <w:vAlign w:val="bottom"/>
            <w:gridSpan w:val="2"/>
          </w:tcPr>
          <w:p>
            <w:pPr>
              <w:jc w:val="center"/>
              <w:ind w:right="40"/>
              <w:spacing w:after="0" w:line="105" w:lineRule="exact"/>
              <w:rPr>
                <w:sz w:val="20"/>
                <w:szCs w:val="20"/>
                <w:color w:val="auto"/>
              </w:rPr>
            </w:pPr>
            <w:r>
              <w:rPr>
                <w:rFonts w:ascii="Times New Roman" w:cs="Times New Roman" w:eastAsia="Times New Roman" w:hAnsi="Times New Roman"/>
                <w:sz w:val="10"/>
                <w:szCs w:val="10"/>
                <w:color w:val="auto"/>
                <w:w w:val="98"/>
              </w:rPr>
              <w:t>(S + 6.25%) / (2.00%)</w:t>
            </w:r>
          </w:p>
        </w:tc>
        <w:tc>
          <w:tcPr>
            <w:tcW w:w="680" w:type="dxa"/>
            <w:vAlign w:val="bottom"/>
            <w:gridSpan w:val="2"/>
          </w:tcPr>
          <w:p>
            <w:pPr>
              <w:jc w:val="right"/>
              <w:ind w:right="60"/>
              <w:spacing w:after="0" w:line="105" w:lineRule="exact"/>
              <w:rPr>
                <w:sz w:val="20"/>
                <w:szCs w:val="20"/>
                <w:color w:val="auto"/>
              </w:rPr>
            </w:pPr>
            <w:r>
              <w:rPr>
                <w:rFonts w:ascii="Times New Roman" w:cs="Times New Roman" w:eastAsia="Times New Roman" w:hAnsi="Times New Roman"/>
                <w:sz w:val="10"/>
                <w:szCs w:val="10"/>
                <w:color w:val="auto"/>
              </w:rPr>
              <w:t>9.91%/0.00%</w:t>
            </w:r>
          </w:p>
        </w:tc>
        <w:tc>
          <w:tcPr>
            <w:tcW w:w="560" w:type="dxa"/>
            <w:vAlign w:val="bottom"/>
            <w:gridSpan w:val="2"/>
          </w:tcPr>
          <w:p>
            <w:pPr>
              <w:jc w:val="right"/>
              <w:ind w:right="80"/>
              <w:spacing w:after="0" w:line="105" w:lineRule="exact"/>
              <w:rPr>
                <w:sz w:val="20"/>
                <w:szCs w:val="20"/>
                <w:color w:val="auto"/>
              </w:rPr>
            </w:pPr>
            <w:r>
              <w:rPr>
                <w:rFonts w:ascii="Times New Roman" w:cs="Times New Roman" w:eastAsia="Times New Roman" w:hAnsi="Times New Roman"/>
                <w:sz w:val="10"/>
                <w:szCs w:val="10"/>
                <w:color w:val="auto"/>
              </w:rPr>
              <w:t>12/11/2025</w:t>
            </w:r>
          </w:p>
        </w:tc>
        <w:tc>
          <w:tcPr>
            <w:tcW w:w="560" w:type="dxa"/>
            <w:vAlign w:val="bottom"/>
            <w:gridSpan w:val="2"/>
          </w:tcPr>
          <w:p>
            <w:pPr>
              <w:jc w:val="right"/>
              <w:ind w:right="80"/>
              <w:spacing w:after="0" w:line="105" w:lineRule="exact"/>
              <w:rPr>
                <w:sz w:val="20"/>
                <w:szCs w:val="20"/>
                <w:color w:val="auto"/>
              </w:rPr>
            </w:pPr>
            <w:r>
              <w:rPr>
                <w:rFonts w:ascii="Times New Roman" w:cs="Times New Roman" w:eastAsia="Times New Roman" w:hAnsi="Times New Roman"/>
                <w:sz w:val="10"/>
                <w:szCs w:val="10"/>
                <w:color w:val="auto"/>
              </w:rPr>
              <w:t>12/11/2030</w:t>
            </w:r>
          </w:p>
        </w:tc>
        <w:tc>
          <w:tcPr>
            <w:tcW w:w="80" w:type="dxa"/>
            <w:vAlign w:val="bottom"/>
          </w:tcPr>
          <w:p>
            <w:pPr>
              <w:spacing w:after="0"/>
              <w:rPr>
                <w:sz w:val="9"/>
                <w:szCs w:val="9"/>
                <w:color w:val="auto"/>
              </w:rPr>
            </w:pPr>
          </w:p>
        </w:tc>
        <w:tc>
          <w:tcPr>
            <w:tcW w:w="260" w:type="dxa"/>
            <w:vAlign w:val="bottom"/>
          </w:tcPr>
          <w:p>
            <w:pPr>
              <w:jc w:val="right"/>
              <w:spacing w:after="0" w:line="105" w:lineRule="exact"/>
              <w:rPr>
                <w:sz w:val="20"/>
                <w:szCs w:val="20"/>
                <w:color w:val="auto"/>
              </w:rPr>
            </w:pPr>
            <w:r>
              <w:rPr>
                <w:rFonts w:ascii="Times New Roman" w:cs="Times New Roman" w:eastAsia="Times New Roman" w:hAnsi="Times New Roman"/>
                <w:sz w:val="10"/>
                <w:szCs w:val="10"/>
                <w:color w:val="auto"/>
              </w:rPr>
              <w:t>8,978</w:t>
            </w:r>
          </w:p>
        </w:tc>
        <w:tc>
          <w:tcPr>
            <w:tcW w:w="120" w:type="dxa"/>
            <w:vAlign w:val="bottom"/>
          </w:tcPr>
          <w:p>
            <w:pPr>
              <w:spacing w:after="0"/>
              <w:rPr>
                <w:sz w:val="9"/>
                <w:szCs w:val="9"/>
                <w:color w:val="auto"/>
              </w:rPr>
            </w:pPr>
          </w:p>
        </w:tc>
        <w:tc>
          <w:tcPr>
            <w:tcW w:w="380" w:type="dxa"/>
            <w:vAlign w:val="bottom"/>
            <w:gridSpan w:val="2"/>
          </w:tcPr>
          <w:p>
            <w:pPr>
              <w:jc w:val="right"/>
              <w:ind w:right="120"/>
              <w:spacing w:after="0" w:line="105" w:lineRule="exact"/>
              <w:rPr>
                <w:sz w:val="20"/>
                <w:szCs w:val="20"/>
                <w:color w:val="auto"/>
              </w:rPr>
            </w:pPr>
            <w:r>
              <w:rPr>
                <w:rFonts w:ascii="Times New Roman" w:cs="Times New Roman" w:eastAsia="Times New Roman" w:hAnsi="Times New Roman"/>
                <w:sz w:val="10"/>
                <w:szCs w:val="10"/>
                <w:color w:val="auto"/>
              </w:rPr>
              <w:t>8,929</w:t>
            </w:r>
          </w:p>
        </w:tc>
        <w:tc>
          <w:tcPr>
            <w:tcW w:w="60" w:type="dxa"/>
            <w:vAlign w:val="bottom"/>
          </w:tcPr>
          <w:p>
            <w:pPr>
              <w:spacing w:after="0"/>
              <w:rPr>
                <w:sz w:val="9"/>
                <w:szCs w:val="9"/>
                <w:color w:val="auto"/>
              </w:rPr>
            </w:pPr>
          </w:p>
        </w:tc>
        <w:tc>
          <w:tcPr>
            <w:tcW w:w="360" w:type="dxa"/>
            <w:vAlign w:val="bottom"/>
            <w:gridSpan w:val="2"/>
          </w:tcPr>
          <w:p>
            <w:pPr>
              <w:jc w:val="right"/>
              <w:ind w:right="100"/>
              <w:spacing w:after="0" w:line="105" w:lineRule="exact"/>
              <w:rPr>
                <w:sz w:val="20"/>
                <w:szCs w:val="20"/>
                <w:color w:val="auto"/>
              </w:rPr>
            </w:pPr>
            <w:r>
              <w:rPr>
                <w:rFonts w:ascii="Times New Roman" w:cs="Times New Roman" w:eastAsia="Times New Roman" w:hAnsi="Times New Roman"/>
                <w:sz w:val="10"/>
                <w:szCs w:val="10"/>
                <w:color w:val="auto"/>
              </w:rPr>
              <w:t>8,929</w:t>
            </w: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1"/>
        </w:trPr>
        <w:tc>
          <w:tcPr>
            <w:tcW w:w="1220" w:type="dxa"/>
            <w:vAlign w:val="bottom"/>
            <w:gridSpan w:val="4"/>
            <w:shd w:val="clear" w:color="auto" w:fill="CCEEFF"/>
          </w:tcPr>
          <w:p>
            <w:pPr>
              <w:ind w:left="100"/>
              <w:spacing w:after="0" w:line="92" w:lineRule="exact"/>
              <w:rPr>
                <w:sz w:val="20"/>
                <w:szCs w:val="20"/>
                <w:color w:val="auto"/>
              </w:rPr>
            </w:pPr>
            <w:r>
              <w:rPr>
                <w:rFonts w:ascii="Times New Roman" w:cs="Times New Roman" w:eastAsia="Times New Roman" w:hAnsi="Times New Roman"/>
                <w:sz w:val="10"/>
                <w:szCs w:val="10"/>
                <w:color w:val="auto"/>
              </w:rPr>
              <w:t>Peoria, IL 61615</w:t>
            </w:r>
          </w:p>
        </w:tc>
        <w:tc>
          <w:tcPr>
            <w:tcW w:w="1360" w:type="dxa"/>
            <w:vAlign w:val="bottom"/>
            <w:gridSpan w:val="2"/>
            <w:shd w:val="clear" w:color="auto" w:fill="CCEEFF"/>
          </w:tcPr>
          <w:p>
            <w:pPr>
              <w:spacing w:after="0" w:line="92" w:lineRule="exact"/>
              <w:rPr>
                <w:sz w:val="20"/>
                <w:szCs w:val="20"/>
                <w:color w:val="auto"/>
              </w:rPr>
            </w:pPr>
            <w:r>
              <w:rPr>
                <w:rFonts w:ascii="Times New Roman" w:cs="Times New Roman" w:eastAsia="Times New Roman" w:hAnsi="Times New Roman"/>
                <w:sz w:val="10"/>
                <w:szCs w:val="10"/>
                <w:color w:val="auto"/>
              </w:rPr>
              <w:t>Revolving Loan ($3,000</w:t>
            </w:r>
          </w:p>
        </w:tc>
        <w:tc>
          <w:tcPr>
            <w:tcW w:w="76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8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120" w:type="dxa"/>
            <w:vAlign w:val="bottom"/>
            <w:tcBorders>
              <w:right w:val="single" w:sz="8" w:color="CCEEFF"/>
            </w:tcBorders>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18"/>
        </w:trPr>
        <w:tc>
          <w:tcPr>
            <w:tcW w:w="9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0"/>
                <w:szCs w:val="10"/>
                <w:color w:val="auto"/>
              </w:rPr>
              <w:t>unfunded commitment) (i)</w:t>
            </w:r>
          </w:p>
        </w:tc>
        <w:tc>
          <w:tcPr>
            <w:tcW w:w="7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2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0"/>
                <w:szCs w:val="10"/>
                <w:color w:val="auto"/>
                <w:w w:val="98"/>
              </w:rPr>
              <w:t>(S + 6.25%) / (2.00%)</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9.91%/0.00%</w:t>
            </w: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12/11/2025</w:t>
            </w: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12/11/2030</w:t>
            </w: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— </w:t>
            </w:r>
          </w:p>
        </w:tc>
        <w:tc>
          <w:tcPr>
            <w:tcW w:w="120" w:type="dxa"/>
            <w:vAlign w:val="bottom"/>
            <w:tcBorders>
              <w:right w:val="single" w:sz="8" w:color="CCEEFF"/>
            </w:tcBorders>
            <w:shd w:val="clear" w:color="auto" w:fill="CCEEFF"/>
          </w:tcPr>
          <w:p>
            <w:pPr>
              <w:spacing w:after="0"/>
              <w:rPr>
                <w:sz w:val="10"/>
                <w:szCs w:val="10"/>
                <w:color w:val="auto"/>
              </w:rPr>
            </w:pPr>
          </w:p>
        </w:tc>
        <w:tc>
          <w:tcPr>
            <w:tcW w:w="3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(14)</w:t>
            </w:r>
          </w:p>
        </w:tc>
        <w:tc>
          <w:tcPr>
            <w:tcW w:w="60" w:type="dxa"/>
            <w:vAlign w:val="bottom"/>
            <w:shd w:val="clear" w:color="auto" w:fill="CCEEFF"/>
          </w:tcPr>
          <w:p>
            <w:pPr>
              <w:spacing w:after="0"/>
              <w:rPr>
                <w:sz w:val="10"/>
                <w:szCs w:val="10"/>
                <w:color w:val="auto"/>
              </w:rPr>
            </w:pPr>
          </w:p>
        </w:tc>
        <w:tc>
          <w:tcPr>
            <w:tcW w:w="3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0"/>
                <w:szCs w:val="10"/>
                <w:color w:val="auto"/>
              </w:rPr>
              <w:t>— </w:t>
            </w:r>
          </w:p>
        </w:tc>
        <w:tc>
          <w:tcPr>
            <w:tcW w:w="3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96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60" w:type="dxa"/>
            <w:vAlign w:val="bottom"/>
            <w:gridSpan w:val="2"/>
          </w:tcPr>
          <w:p>
            <w:pPr>
              <w:spacing w:after="0" w:line="105" w:lineRule="exact"/>
              <w:rPr>
                <w:sz w:val="20"/>
                <w:szCs w:val="20"/>
                <w:color w:val="auto"/>
              </w:rPr>
            </w:pPr>
            <w:r>
              <w:rPr>
                <w:rFonts w:ascii="Times New Roman" w:cs="Times New Roman" w:eastAsia="Times New Roman" w:hAnsi="Times New Roman"/>
                <w:sz w:val="10"/>
                <w:szCs w:val="10"/>
                <w:color w:val="auto"/>
              </w:rPr>
              <w:t>Common Equity (750 units)</w:t>
            </w:r>
          </w:p>
        </w:tc>
        <w:tc>
          <w:tcPr>
            <w:tcW w:w="760" w:type="dxa"/>
            <w:vAlign w:val="bottom"/>
          </w:tcPr>
          <w:p>
            <w:pPr>
              <w:spacing w:after="0"/>
              <w:rPr>
                <w:sz w:val="9"/>
                <w:szCs w:val="9"/>
                <w:color w:val="auto"/>
              </w:rPr>
            </w:pPr>
          </w:p>
        </w:tc>
        <w:tc>
          <w:tcPr>
            <w:tcW w:w="40" w:type="dxa"/>
            <w:vAlign w:val="bottom"/>
          </w:tcPr>
          <w:p>
            <w:pPr>
              <w:spacing w:after="0"/>
              <w:rPr>
                <w:sz w:val="9"/>
                <w:szCs w:val="9"/>
                <w:color w:val="auto"/>
              </w:rPr>
            </w:pPr>
          </w:p>
        </w:tc>
        <w:tc>
          <w:tcPr>
            <w:tcW w:w="700" w:type="dxa"/>
            <w:vAlign w:val="bottom"/>
            <w:gridSpan w:val="2"/>
          </w:tcPr>
          <w:p>
            <w:pPr>
              <w:jc w:val="right"/>
              <w:ind w:right="60"/>
              <w:spacing w:after="0" w:line="105" w:lineRule="exact"/>
              <w:rPr>
                <w:sz w:val="20"/>
                <w:szCs w:val="20"/>
                <w:color w:val="auto"/>
              </w:rPr>
            </w:pPr>
            <w:r>
              <w:rPr>
                <w:rFonts w:ascii="Times New Roman" w:cs="Times New Roman" w:eastAsia="Times New Roman" w:hAnsi="Times New Roman"/>
                <w:sz w:val="10"/>
                <w:szCs w:val="10"/>
                <w:color w:val="auto"/>
              </w:rPr>
              <w:t>5.5%</w:t>
            </w: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gridSpan w:val="2"/>
          </w:tcPr>
          <w:p>
            <w:pPr>
              <w:jc w:val="right"/>
              <w:ind w:right="80"/>
              <w:spacing w:after="0" w:line="105" w:lineRule="exact"/>
              <w:rPr>
                <w:sz w:val="20"/>
                <w:szCs w:val="20"/>
                <w:color w:val="auto"/>
              </w:rPr>
            </w:pPr>
            <w:r>
              <w:rPr>
                <w:rFonts w:ascii="Times New Roman" w:cs="Times New Roman" w:eastAsia="Times New Roman" w:hAnsi="Times New Roman"/>
                <w:sz w:val="10"/>
                <w:szCs w:val="10"/>
                <w:color w:val="auto"/>
              </w:rPr>
              <w:t>12/11/2025</w:t>
            </w: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gridSpan w:val="2"/>
          </w:tcPr>
          <w:p>
            <w:pPr>
              <w:jc w:val="right"/>
              <w:ind w:right="120"/>
              <w:spacing w:after="0" w:line="105" w:lineRule="exact"/>
              <w:rPr>
                <w:sz w:val="20"/>
                <w:szCs w:val="20"/>
                <w:color w:val="auto"/>
              </w:rPr>
            </w:pPr>
            <w:r>
              <w:rPr>
                <w:rFonts w:ascii="Times New Roman" w:cs="Times New Roman" w:eastAsia="Times New Roman" w:hAnsi="Times New Roman"/>
                <w:sz w:val="10"/>
                <w:szCs w:val="10"/>
                <w:color w:val="auto"/>
              </w:rPr>
              <w:t>750</w:t>
            </w:r>
          </w:p>
        </w:tc>
        <w:tc>
          <w:tcPr>
            <w:tcW w:w="60" w:type="dxa"/>
            <w:vAlign w:val="bottom"/>
          </w:tcPr>
          <w:p>
            <w:pPr>
              <w:spacing w:after="0"/>
              <w:rPr>
                <w:sz w:val="9"/>
                <w:szCs w:val="9"/>
                <w:color w:val="auto"/>
              </w:rPr>
            </w:pPr>
          </w:p>
        </w:tc>
        <w:tc>
          <w:tcPr>
            <w:tcW w:w="360" w:type="dxa"/>
            <w:vAlign w:val="bottom"/>
            <w:gridSpan w:val="2"/>
          </w:tcPr>
          <w:p>
            <w:pPr>
              <w:jc w:val="right"/>
              <w:ind w:right="100"/>
              <w:spacing w:after="0" w:line="105" w:lineRule="exact"/>
              <w:rPr>
                <w:sz w:val="20"/>
                <w:szCs w:val="20"/>
                <w:color w:val="auto"/>
              </w:rPr>
            </w:pPr>
            <w:r>
              <w:rPr>
                <w:rFonts w:ascii="Times New Roman" w:cs="Times New Roman" w:eastAsia="Times New Roman" w:hAnsi="Times New Roman"/>
                <w:sz w:val="10"/>
                <w:szCs w:val="10"/>
                <w:color w:val="auto"/>
              </w:rPr>
              <w:t>750</w:t>
            </w: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5"/>
        </w:trPr>
        <w:tc>
          <w:tcPr>
            <w:tcW w:w="9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3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20" w:type="dxa"/>
            <w:vAlign w:val="bottom"/>
            <w:tcBorders>
              <w:right w:val="single" w:sz="8" w:color="CCEEFF"/>
            </w:tcBorders>
            <w:shd w:val="clear" w:color="auto" w:fill="CCEEFF"/>
          </w:tcPr>
          <w:p>
            <w:pPr>
              <w:spacing w:after="0"/>
              <w:rPr>
                <w:sz w:val="9"/>
                <w:szCs w:val="9"/>
                <w:color w:val="auto"/>
              </w:rPr>
            </w:pPr>
          </w:p>
        </w:tc>
        <w:tc>
          <w:tcPr>
            <w:tcW w:w="380" w:type="dxa"/>
            <w:vAlign w:val="bottom"/>
            <w:gridSpan w:val="2"/>
            <w:shd w:val="clear" w:color="auto" w:fill="CCEEFF"/>
          </w:tcPr>
          <w:p>
            <w:pPr>
              <w:jc w:val="right"/>
              <w:ind w:right="120"/>
              <w:spacing w:after="0" w:line="105" w:lineRule="exact"/>
              <w:rPr>
                <w:sz w:val="20"/>
                <w:szCs w:val="20"/>
                <w:color w:val="auto"/>
              </w:rPr>
            </w:pPr>
            <w:r>
              <w:rPr>
                <w:rFonts w:ascii="Times New Roman" w:cs="Times New Roman" w:eastAsia="Times New Roman" w:hAnsi="Times New Roman"/>
                <w:sz w:val="10"/>
                <w:szCs w:val="10"/>
                <w:color w:val="auto"/>
              </w:rPr>
              <w:t>9,665</w:t>
            </w:r>
          </w:p>
        </w:tc>
        <w:tc>
          <w:tcPr>
            <w:tcW w:w="60" w:type="dxa"/>
            <w:vAlign w:val="bottom"/>
            <w:shd w:val="clear" w:color="auto" w:fill="CCEEFF"/>
          </w:tcPr>
          <w:p>
            <w:pPr>
              <w:spacing w:after="0"/>
              <w:rPr>
                <w:sz w:val="9"/>
                <w:szCs w:val="9"/>
                <w:color w:val="auto"/>
              </w:rPr>
            </w:pPr>
          </w:p>
        </w:tc>
        <w:tc>
          <w:tcPr>
            <w:tcW w:w="360" w:type="dxa"/>
            <w:vAlign w:val="bottom"/>
            <w:gridSpan w:val="2"/>
            <w:shd w:val="clear" w:color="auto" w:fill="CCEEFF"/>
          </w:tcPr>
          <w:p>
            <w:pPr>
              <w:jc w:val="right"/>
              <w:ind w:right="100"/>
              <w:spacing w:after="0" w:line="105" w:lineRule="exact"/>
              <w:rPr>
                <w:sz w:val="20"/>
                <w:szCs w:val="20"/>
                <w:color w:val="auto"/>
              </w:rPr>
            </w:pPr>
            <w:r>
              <w:rPr>
                <w:rFonts w:ascii="Times New Roman" w:cs="Times New Roman" w:eastAsia="Times New Roman" w:hAnsi="Times New Roman"/>
                <w:sz w:val="10"/>
                <w:szCs w:val="10"/>
                <w:color w:val="auto"/>
              </w:rPr>
              <w:t>9,679</w:t>
            </w:r>
          </w:p>
        </w:tc>
        <w:tc>
          <w:tcPr>
            <w:tcW w:w="480" w:type="dxa"/>
            <w:vAlign w:val="bottom"/>
            <w:gridSpan w:val="2"/>
            <w:shd w:val="clear" w:color="auto" w:fill="CCEEFF"/>
          </w:tcPr>
          <w:p>
            <w:pPr>
              <w:jc w:val="right"/>
              <w:ind w:right="40"/>
              <w:spacing w:after="0" w:line="105" w:lineRule="exact"/>
              <w:rPr>
                <w:sz w:val="20"/>
                <w:szCs w:val="20"/>
                <w:color w:val="auto"/>
              </w:rPr>
            </w:pPr>
            <w:r>
              <w:rPr>
                <w:rFonts w:ascii="Times New Roman" w:cs="Times New Roman" w:eastAsia="Times New Roman" w:hAnsi="Times New Roman"/>
                <w:sz w:val="10"/>
                <w:szCs w:val="10"/>
                <w:color w:val="auto"/>
              </w:rPr>
              <w:t>1%</w:t>
            </w: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46</w:t>
      </w:r>
    </w:p>
    <w:p>
      <w:pPr>
        <w:sectPr>
          <w:pgSz w:w="11900" w:h="16838" w:orient="portrait"/>
          <w:cols w:equalWidth="0" w:num="1">
            <w:col w:w="10159"/>
          </w:cols>
          <w:pgMar w:left="300" w:top="384" w:right="1440"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1">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2" w:lineRule="exact"/>
        <w:rPr>
          <w:sz w:val="20"/>
          <w:szCs w:val="20"/>
          <w:color w:val="auto"/>
        </w:rPr>
      </w:pPr>
    </w:p>
    <w:tbl>
      <w:tblPr>
        <w:tblLayout w:type="fixed"/>
        <w:tblInd w:w="1380" w:type="dxa"/>
        <w:tblCellMar>
          <w:top w:w="0" w:type="dxa"/>
          <w:left w:w="0" w:type="dxa"/>
          <w:bottom w:w="0" w:type="dxa"/>
          <w:right w:w="0" w:type="dxa"/>
        </w:tblCellMar>
      </w:tblPr>
      <w:tr>
        <w:trPr>
          <w:trHeight w:val="95"/>
        </w:trPr>
        <w:tc>
          <w:tcPr>
            <w:tcW w:w="1280" w:type="dxa"/>
            <w:vAlign w:val="bottom"/>
            <w:gridSpan w:val="5"/>
          </w:tcPr>
          <w:p>
            <w:pPr>
              <w:spacing w:after="0"/>
              <w:rPr>
                <w:sz w:val="20"/>
                <w:szCs w:val="20"/>
                <w:color w:val="auto"/>
              </w:rPr>
            </w:pPr>
            <w:r>
              <w:rPr>
                <w:rFonts w:ascii="Times New Roman" w:cs="Times New Roman" w:eastAsia="Times New Roman" w:hAnsi="Times New Roman"/>
                <w:sz w:val="8"/>
                <w:szCs w:val="8"/>
                <w:b w:val="1"/>
                <w:bCs w:val="1"/>
                <w:color w:val="auto"/>
              </w:rPr>
              <w:t>Portfolio Company (a)(b)</w:t>
            </w:r>
          </w:p>
        </w:tc>
        <w:tc>
          <w:tcPr>
            <w:tcW w:w="60" w:type="dxa"/>
            <w:vAlign w:val="bottom"/>
          </w:tcPr>
          <w:p>
            <w:pPr>
              <w:spacing w:after="0"/>
              <w:rPr>
                <w:sz w:val="8"/>
                <w:szCs w:val="8"/>
                <w:color w:val="auto"/>
              </w:rPr>
            </w:pPr>
          </w:p>
        </w:tc>
        <w:tc>
          <w:tcPr>
            <w:tcW w:w="880" w:type="dxa"/>
            <w:vAlign w:val="bottom"/>
          </w:tcPr>
          <w:p>
            <w:pPr>
              <w:spacing w:after="0"/>
              <w:rPr>
                <w:sz w:val="8"/>
                <w:szCs w:val="8"/>
                <w:color w:val="auto"/>
              </w:rPr>
            </w:pPr>
          </w:p>
        </w:tc>
        <w:tc>
          <w:tcPr>
            <w:tcW w:w="60" w:type="dxa"/>
            <w:vAlign w:val="bottom"/>
          </w:tcPr>
          <w:p>
            <w:pPr>
              <w:spacing w:after="0"/>
              <w:rPr>
                <w:sz w:val="8"/>
                <w:szCs w:val="8"/>
                <w:color w:val="auto"/>
              </w:rPr>
            </w:pPr>
          </w:p>
        </w:tc>
        <w:tc>
          <w:tcPr>
            <w:tcW w:w="90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8"/>
                <w:szCs w:val="8"/>
                <w:b w:val="1"/>
                <w:bCs w:val="1"/>
                <w:color w:val="auto"/>
              </w:rPr>
              <w:t>Percentage of</w:t>
            </w:r>
          </w:p>
        </w:tc>
        <w:tc>
          <w:tcPr>
            <w:tcW w:w="920" w:type="dxa"/>
            <w:vAlign w:val="bottom"/>
            <w:gridSpan w:val="2"/>
          </w:tcPr>
          <w:p>
            <w:pPr>
              <w:jc w:val="center"/>
              <w:ind w:right="80"/>
              <w:spacing w:after="0"/>
              <w:rPr>
                <w:sz w:val="20"/>
                <w:szCs w:val="20"/>
                <w:color w:val="auto"/>
              </w:rPr>
            </w:pPr>
            <w:r>
              <w:rPr>
                <w:rFonts w:ascii="Times New Roman" w:cs="Times New Roman" w:eastAsia="Times New Roman" w:hAnsi="Times New Roman"/>
                <w:sz w:val="8"/>
                <w:szCs w:val="8"/>
                <w:b w:val="1"/>
                <w:bCs w:val="1"/>
                <w:color w:val="auto"/>
              </w:rPr>
              <w:t>Variable Index</w:t>
            </w:r>
          </w:p>
        </w:tc>
        <w:tc>
          <w:tcPr>
            <w:tcW w:w="700" w:type="dxa"/>
            <w:vAlign w:val="bottom"/>
            <w:gridSpan w:val="2"/>
          </w:tcPr>
          <w:p>
            <w:pPr>
              <w:jc w:val="right"/>
              <w:ind w:right="260"/>
              <w:spacing w:after="0"/>
              <w:rPr>
                <w:sz w:val="20"/>
                <w:szCs w:val="20"/>
                <w:color w:val="auto"/>
              </w:rPr>
            </w:pPr>
            <w:r>
              <w:rPr>
                <w:rFonts w:ascii="Times New Roman" w:cs="Times New Roman" w:eastAsia="Times New Roman" w:hAnsi="Times New Roman"/>
                <w:sz w:val="8"/>
                <w:szCs w:val="8"/>
                <w:b w:val="1"/>
                <w:bCs w:val="1"/>
                <w:color w:val="auto"/>
              </w:rPr>
              <w:t>Rate (e)</w:t>
            </w: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8"/>
                <w:szCs w:val="8"/>
                <w:b w:val="1"/>
                <w:bCs w:val="1"/>
                <w:color w:val="auto"/>
              </w:rPr>
              <w:t>Investment</w:t>
            </w: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gridSpan w:val="3"/>
          </w:tcPr>
          <w:p>
            <w:pPr>
              <w:spacing w:after="0"/>
              <w:rPr>
                <w:sz w:val="20"/>
                <w:szCs w:val="20"/>
                <w:color w:val="auto"/>
              </w:rPr>
            </w:pPr>
            <w:r>
              <w:rPr>
                <w:rFonts w:ascii="Times New Roman" w:cs="Times New Roman" w:eastAsia="Times New Roman" w:hAnsi="Times New Roman"/>
                <w:sz w:val="8"/>
                <w:szCs w:val="8"/>
                <w:b w:val="1"/>
                <w:bCs w:val="1"/>
                <w:color w:val="auto"/>
              </w:rPr>
              <w:t>Principal</w:t>
            </w: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gridSpan w:val="2"/>
          </w:tcPr>
          <w:p>
            <w:pPr>
              <w:ind w:left="60"/>
              <w:spacing w:after="0"/>
              <w:rPr>
                <w:sz w:val="20"/>
                <w:szCs w:val="20"/>
                <w:color w:val="auto"/>
              </w:rPr>
            </w:pPr>
            <w:r>
              <w:rPr>
                <w:rFonts w:ascii="Times New Roman" w:cs="Times New Roman" w:eastAsia="Times New Roman" w:hAnsi="Times New Roman"/>
                <w:sz w:val="8"/>
                <w:szCs w:val="8"/>
                <w:b w:val="1"/>
                <w:bCs w:val="1"/>
                <w:color w:val="auto"/>
              </w:rPr>
              <w:t>Fair</w:t>
            </w:r>
          </w:p>
        </w:tc>
        <w:tc>
          <w:tcPr>
            <w:tcW w:w="480" w:type="dxa"/>
            <w:vAlign w:val="bottom"/>
            <w:gridSpan w:val="2"/>
          </w:tcPr>
          <w:p>
            <w:pPr>
              <w:jc w:val="right"/>
              <w:ind w:right="120"/>
              <w:spacing w:after="0"/>
              <w:rPr>
                <w:sz w:val="20"/>
                <w:szCs w:val="20"/>
                <w:color w:val="auto"/>
              </w:rPr>
            </w:pPr>
            <w:r>
              <w:rPr>
                <w:rFonts w:ascii="Times New Roman" w:cs="Times New Roman" w:eastAsia="Times New Roman" w:hAnsi="Times New Roman"/>
                <w:sz w:val="8"/>
                <w:szCs w:val="8"/>
                <w:b w:val="1"/>
                <w:bCs w:val="1"/>
                <w:color w:val="auto"/>
                <w:w w:val="97"/>
              </w:rPr>
              <w:t>Percent of</w:t>
            </w:r>
          </w:p>
        </w:tc>
        <w:tc>
          <w:tcPr>
            <w:tcW w:w="0" w:type="dxa"/>
            <w:vAlign w:val="bottom"/>
          </w:tcPr>
          <w:p>
            <w:pPr>
              <w:spacing w:after="0"/>
              <w:rPr>
                <w:sz w:val="1"/>
                <w:szCs w:val="1"/>
                <w:color w:val="auto"/>
              </w:rPr>
            </w:pPr>
          </w:p>
        </w:tc>
      </w:tr>
      <w:tr>
        <w:trPr>
          <w:trHeight w:val="125"/>
        </w:trPr>
        <w:tc>
          <w:tcPr>
            <w:tcW w:w="110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8"/>
                <w:szCs w:val="8"/>
                <w:b w:val="1"/>
                <w:bCs w:val="1"/>
                <w:color w:val="auto"/>
              </w:rPr>
              <w:t>Address of Portfolio Company</w:t>
            </w: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8"/>
                <w:szCs w:val="8"/>
                <w:b w:val="1"/>
                <w:bCs w:val="1"/>
                <w:color w:val="auto"/>
              </w:rPr>
              <w:t>Investment Type (c)</w:t>
            </w:r>
          </w:p>
        </w:tc>
        <w:tc>
          <w:tcPr>
            <w:tcW w:w="940" w:type="dxa"/>
            <w:vAlign w:val="bottom"/>
            <w:gridSpan w:val="2"/>
          </w:tcPr>
          <w:p>
            <w:pPr>
              <w:ind w:left="300"/>
              <w:spacing w:after="0"/>
              <w:rPr>
                <w:sz w:val="20"/>
                <w:szCs w:val="20"/>
                <w:color w:val="auto"/>
              </w:rPr>
            </w:pPr>
            <w:r>
              <w:rPr>
                <w:rFonts w:ascii="Times New Roman" w:cs="Times New Roman" w:eastAsia="Times New Roman" w:hAnsi="Times New Roman"/>
                <w:sz w:val="8"/>
                <w:szCs w:val="8"/>
                <w:b w:val="1"/>
                <w:bCs w:val="1"/>
                <w:color w:val="auto"/>
              </w:rPr>
              <w:t>Industry</w:t>
            </w: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8"/>
                <w:szCs w:val="8"/>
                <w:b w:val="1"/>
                <w:bCs w:val="1"/>
                <w:color w:val="auto"/>
              </w:rPr>
              <w:t>Class Held (bn)</w:t>
            </w:r>
          </w:p>
        </w:tc>
        <w:tc>
          <w:tcPr>
            <w:tcW w:w="920" w:type="dxa"/>
            <w:vAlign w:val="bottom"/>
            <w:gridSpan w:val="2"/>
          </w:tcPr>
          <w:p>
            <w:pPr>
              <w:jc w:val="center"/>
              <w:ind w:right="80"/>
              <w:spacing w:after="0"/>
              <w:rPr>
                <w:sz w:val="20"/>
                <w:szCs w:val="20"/>
                <w:color w:val="auto"/>
              </w:rPr>
            </w:pPr>
            <w:r>
              <w:rPr>
                <w:rFonts w:ascii="Times New Roman" w:cs="Times New Roman" w:eastAsia="Times New Roman" w:hAnsi="Times New Roman"/>
                <w:sz w:val="8"/>
                <w:szCs w:val="8"/>
                <w:b w:val="1"/>
                <w:bCs w:val="1"/>
                <w:color w:val="auto"/>
              </w:rPr>
              <w:t>Spread / Floor (d)</w:t>
            </w: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8"/>
                <w:szCs w:val="8"/>
                <w:b w:val="1"/>
                <w:bCs w:val="1"/>
                <w:color w:val="auto"/>
              </w:rPr>
              <w:t>Cash/PIK</w:t>
            </w:r>
          </w:p>
        </w:tc>
        <w:tc>
          <w:tcPr>
            <w:tcW w:w="580" w:type="dxa"/>
            <w:vAlign w:val="bottom"/>
            <w:gridSpan w:val="2"/>
          </w:tcPr>
          <w:p>
            <w:pPr>
              <w:jc w:val="right"/>
              <w:ind w:right="200"/>
              <w:spacing w:after="0"/>
              <w:rPr>
                <w:sz w:val="20"/>
                <w:szCs w:val="20"/>
                <w:color w:val="auto"/>
              </w:rPr>
            </w:pPr>
            <w:r>
              <w:rPr>
                <w:rFonts w:ascii="Times New Roman" w:cs="Times New Roman" w:eastAsia="Times New Roman" w:hAnsi="Times New Roman"/>
                <w:sz w:val="8"/>
                <w:szCs w:val="8"/>
                <w:b w:val="1"/>
                <w:bCs w:val="1"/>
                <w:color w:val="auto"/>
              </w:rPr>
              <w:t>Date (f)</w:t>
            </w:r>
          </w:p>
        </w:tc>
        <w:tc>
          <w:tcPr>
            <w:tcW w:w="580" w:type="dxa"/>
            <w:vAlign w:val="bottom"/>
            <w:gridSpan w:val="2"/>
          </w:tcPr>
          <w:p>
            <w:pPr>
              <w:ind w:left="80"/>
              <w:spacing w:after="0"/>
              <w:rPr>
                <w:sz w:val="20"/>
                <w:szCs w:val="20"/>
                <w:color w:val="auto"/>
              </w:rPr>
            </w:pPr>
            <w:r>
              <w:rPr>
                <w:rFonts w:ascii="Times New Roman" w:cs="Times New Roman" w:eastAsia="Times New Roman" w:hAnsi="Times New Roman"/>
                <w:sz w:val="8"/>
                <w:szCs w:val="8"/>
                <w:b w:val="1"/>
                <w:bCs w:val="1"/>
                <w:color w:val="auto"/>
              </w:rPr>
              <w:t>Maturity</w:t>
            </w:r>
          </w:p>
        </w:tc>
        <w:tc>
          <w:tcPr>
            <w:tcW w:w="380" w:type="dxa"/>
            <w:vAlign w:val="bottom"/>
            <w:gridSpan w:val="3"/>
          </w:tcPr>
          <w:p>
            <w:pPr>
              <w:jc w:val="right"/>
              <w:ind w:right="80"/>
              <w:spacing w:after="0"/>
              <w:rPr>
                <w:sz w:val="20"/>
                <w:szCs w:val="20"/>
                <w:color w:val="auto"/>
              </w:rPr>
            </w:pPr>
            <w:r>
              <w:rPr>
                <w:rFonts w:ascii="Times New Roman" w:cs="Times New Roman" w:eastAsia="Times New Roman" w:hAnsi="Times New Roman"/>
                <w:sz w:val="8"/>
                <w:szCs w:val="8"/>
                <w:b w:val="1"/>
                <w:bCs w:val="1"/>
                <w:color w:val="auto"/>
                <w:w w:val="99"/>
              </w:rPr>
              <w:t>Amount</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8"/>
                <w:szCs w:val="8"/>
                <w:b w:val="1"/>
                <w:bCs w:val="1"/>
                <w:color w:val="auto"/>
              </w:rPr>
              <w:t>Cost</w:t>
            </w:r>
          </w:p>
        </w:tc>
        <w:tc>
          <w:tcPr>
            <w:tcW w:w="480" w:type="dxa"/>
            <w:vAlign w:val="bottom"/>
            <w:gridSpan w:val="3"/>
          </w:tcPr>
          <w:p>
            <w:pPr>
              <w:jc w:val="right"/>
              <w:ind w:right="140"/>
              <w:spacing w:after="0"/>
              <w:rPr>
                <w:sz w:val="20"/>
                <w:szCs w:val="20"/>
                <w:color w:val="auto"/>
              </w:rPr>
            </w:pPr>
            <w:r>
              <w:rPr>
                <w:rFonts w:ascii="Times New Roman" w:cs="Times New Roman" w:eastAsia="Times New Roman" w:hAnsi="Times New Roman"/>
                <w:sz w:val="8"/>
                <w:szCs w:val="8"/>
                <w:b w:val="1"/>
                <w:bCs w:val="1"/>
                <w:color w:val="auto"/>
              </w:rPr>
              <w:t>Value (g)</w:t>
            </w:r>
          </w:p>
        </w:tc>
        <w:tc>
          <w:tcPr>
            <w:tcW w:w="480" w:type="dxa"/>
            <w:vAlign w:val="bottom"/>
            <w:gridSpan w:val="2"/>
          </w:tcPr>
          <w:p>
            <w:pPr>
              <w:jc w:val="right"/>
              <w:ind w:right="120"/>
              <w:spacing w:after="0"/>
              <w:rPr>
                <w:sz w:val="20"/>
                <w:szCs w:val="20"/>
                <w:color w:val="auto"/>
              </w:rPr>
            </w:pPr>
            <w:r>
              <w:rPr>
                <w:rFonts w:ascii="Times New Roman" w:cs="Times New Roman" w:eastAsia="Times New Roman" w:hAnsi="Times New Roman"/>
                <w:sz w:val="8"/>
                <w:szCs w:val="8"/>
                <w:b w:val="1"/>
                <w:bCs w:val="1"/>
                <w:color w:val="auto"/>
                <w:w w:val="96"/>
              </w:rPr>
              <w:t>Net Assets</w:t>
            </w:r>
          </w:p>
        </w:tc>
        <w:tc>
          <w:tcPr>
            <w:tcW w:w="0" w:type="dxa"/>
            <w:vAlign w:val="bottom"/>
          </w:tcPr>
          <w:p>
            <w:pPr>
              <w:spacing w:after="0"/>
              <w:rPr>
                <w:sz w:val="1"/>
                <w:szCs w:val="1"/>
                <w:color w:val="auto"/>
              </w:rPr>
            </w:pPr>
          </w:p>
        </w:tc>
      </w:tr>
      <w:tr>
        <w:trPr>
          <w:trHeight w:val="65"/>
        </w:trPr>
        <w:tc>
          <w:tcPr>
            <w:tcW w:w="1280" w:type="dxa"/>
            <w:vAlign w:val="bottom"/>
            <w:tcBorders>
              <w:top w:val="single" w:sz="8" w:color="CCEEFF"/>
            </w:tcBorders>
            <w:gridSpan w:val="5"/>
            <w:shd w:val="clear" w:color="auto" w:fill="CCEEFF"/>
          </w:tcPr>
          <w:p>
            <w:pPr>
              <w:spacing w:after="0" w:line="65" w:lineRule="exact"/>
              <w:rPr>
                <w:sz w:val="20"/>
                <w:szCs w:val="20"/>
                <w:color w:val="auto"/>
              </w:rPr>
            </w:pPr>
            <w:r>
              <w:rPr>
                <w:rFonts w:ascii="Times New Roman" w:cs="Times New Roman" w:eastAsia="Times New Roman" w:hAnsi="Times New Roman"/>
                <w:sz w:val="7"/>
                <w:szCs w:val="7"/>
                <w:i w:val="1"/>
                <w:iCs w:val="1"/>
                <w:color w:val="auto"/>
              </w:rPr>
              <w:t>Spectra A&amp;D Acquisition, Inc.</w:t>
            </w:r>
          </w:p>
        </w:tc>
        <w:tc>
          <w:tcPr>
            <w:tcW w:w="60" w:type="dxa"/>
            <w:vAlign w:val="bottom"/>
            <w:tcBorders>
              <w:top w:val="single" w:sz="8" w:color="CCEEFF"/>
            </w:tcBorders>
            <w:shd w:val="clear" w:color="auto" w:fill="CCEEFF"/>
          </w:tcPr>
          <w:p>
            <w:pPr>
              <w:spacing w:after="0"/>
              <w:rPr>
                <w:sz w:val="5"/>
                <w:szCs w:val="5"/>
                <w:color w:val="auto"/>
              </w:rPr>
            </w:pPr>
          </w:p>
        </w:tc>
        <w:tc>
          <w:tcPr>
            <w:tcW w:w="880" w:type="dxa"/>
            <w:vAlign w:val="bottom"/>
            <w:tcBorders>
              <w:top w:val="single" w:sz="8" w:color="auto"/>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900" w:type="dxa"/>
            <w:vAlign w:val="bottom"/>
            <w:tcBorders>
              <w:top w:val="single" w:sz="8" w:color="auto"/>
            </w:tcBorders>
            <w:shd w:val="clear" w:color="auto" w:fill="CCEEFF"/>
          </w:tcPr>
          <w:p>
            <w:pPr>
              <w:spacing w:after="0" w:line="65" w:lineRule="exact"/>
              <w:rPr>
                <w:sz w:val="20"/>
                <w:szCs w:val="20"/>
                <w:color w:val="auto"/>
              </w:rPr>
            </w:pPr>
            <w:r>
              <w:rPr>
                <w:rFonts w:ascii="Times New Roman" w:cs="Times New Roman" w:eastAsia="Times New Roman" w:hAnsi="Times New Roman"/>
                <w:sz w:val="7"/>
                <w:szCs w:val="7"/>
                <w:color w:val="auto"/>
              </w:rPr>
              <w:t>Aerospace &amp; Defense</w:t>
            </w:r>
          </w:p>
        </w:tc>
        <w:tc>
          <w:tcPr>
            <w:tcW w:w="40" w:type="dxa"/>
            <w:vAlign w:val="bottom"/>
            <w:tcBorders>
              <w:top w:val="single" w:sz="8" w:color="CCEEFF"/>
            </w:tcBorders>
            <w:shd w:val="clear" w:color="auto" w:fill="CCEEFF"/>
          </w:tcPr>
          <w:p>
            <w:pPr>
              <w:spacing w:after="0"/>
              <w:rPr>
                <w:sz w:val="5"/>
                <w:szCs w:val="5"/>
                <w:color w:val="auto"/>
              </w:rPr>
            </w:pPr>
          </w:p>
        </w:tc>
        <w:tc>
          <w:tcPr>
            <w:tcW w:w="560" w:type="dxa"/>
            <w:vAlign w:val="bottom"/>
            <w:tcBorders>
              <w:top w:val="single" w:sz="8" w:color="auto"/>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860" w:type="dxa"/>
            <w:vAlign w:val="bottom"/>
            <w:tcBorders>
              <w:top w:val="single" w:sz="8" w:color="auto"/>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600" w:type="dxa"/>
            <w:vAlign w:val="bottom"/>
            <w:tcBorders>
              <w:top w:val="single" w:sz="8" w:color="auto"/>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auto"/>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auto"/>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auto"/>
            </w:tcBorders>
            <w:shd w:val="clear" w:color="auto" w:fill="CCEEFF"/>
          </w:tcPr>
          <w:p>
            <w:pPr>
              <w:spacing w:after="0"/>
              <w:rPr>
                <w:sz w:val="5"/>
                <w:szCs w:val="5"/>
                <w:color w:val="auto"/>
              </w:rPr>
            </w:pPr>
          </w:p>
        </w:tc>
        <w:tc>
          <w:tcPr>
            <w:tcW w:w="260" w:type="dxa"/>
            <w:vAlign w:val="bottom"/>
            <w:tcBorders>
              <w:top w:val="single" w:sz="8" w:color="auto"/>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auto"/>
            </w:tcBorders>
            <w:shd w:val="clear" w:color="auto" w:fill="CCEEFF"/>
          </w:tcPr>
          <w:p>
            <w:pPr>
              <w:spacing w:after="0"/>
              <w:rPr>
                <w:sz w:val="5"/>
                <w:szCs w:val="5"/>
                <w:color w:val="auto"/>
              </w:rPr>
            </w:pPr>
          </w:p>
        </w:tc>
        <w:tc>
          <w:tcPr>
            <w:tcW w:w="260" w:type="dxa"/>
            <w:vAlign w:val="bottom"/>
            <w:tcBorders>
              <w:top w:val="single" w:sz="8" w:color="auto"/>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auto"/>
            </w:tcBorders>
            <w:shd w:val="clear" w:color="auto" w:fill="CCEEFF"/>
          </w:tcPr>
          <w:p>
            <w:pPr>
              <w:spacing w:after="0"/>
              <w:rPr>
                <w:sz w:val="5"/>
                <w:szCs w:val="5"/>
                <w:color w:val="auto"/>
              </w:rPr>
            </w:pPr>
          </w:p>
        </w:tc>
        <w:tc>
          <w:tcPr>
            <w:tcW w:w="320" w:type="dxa"/>
            <w:vAlign w:val="bottom"/>
            <w:tcBorders>
              <w:top w:val="single" w:sz="8" w:color="auto"/>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auto"/>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26"/>
        </w:trPr>
        <w:tc>
          <w:tcPr>
            <w:tcW w:w="128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0"/>
                <w:szCs w:val="10"/>
                <w:i w:val="1"/>
                <w:iCs w:val="1"/>
                <w:color w:val="auto"/>
              </w:rPr>
              <w:t>(fka FDS Avionics Corp.)</w:t>
            </w:r>
          </w:p>
        </w:tc>
        <w:tc>
          <w:tcPr>
            <w:tcW w:w="6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0"/>
                <w:szCs w:val="10"/>
                <w:color w:val="auto"/>
              </w:rPr>
              <w:t>Manufacturing</w:t>
            </w:r>
          </w:p>
        </w:tc>
        <w:tc>
          <w:tcPr>
            <w:tcW w:w="5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100" w:type="dxa"/>
            <w:vAlign w:val="bottom"/>
          </w:tcPr>
          <w:p>
            <w:pPr>
              <w:spacing w:after="0"/>
              <w:rPr>
                <w:sz w:val="9"/>
                <w:szCs w:val="9"/>
                <w:color w:val="auto"/>
              </w:rPr>
            </w:pPr>
          </w:p>
        </w:tc>
        <w:tc>
          <w:tcPr>
            <w:tcW w:w="1180" w:type="dxa"/>
            <w:vAlign w:val="bottom"/>
            <w:gridSpan w:val="4"/>
          </w:tcPr>
          <w:p>
            <w:pPr>
              <w:spacing w:after="0" w:line="105" w:lineRule="exact"/>
              <w:rPr>
                <w:sz w:val="20"/>
                <w:szCs w:val="20"/>
                <w:color w:val="auto"/>
              </w:rPr>
            </w:pPr>
            <w:r>
              <w:rPr>
                <w:rFonts w:ascii="Times New Roman" w:cs="Times New Roman" w:eastAsia="Times New Roman" w:hAnsi="Times New Roman"/>
                <w:sz w:val="10"/>
                <w:szCs w:val="10"/>
                <w:color w:val="auto"/>
              </w:rPr>
              <w:t>6435 Shiloh Road, Suite D</w:t>
            </w:r>
          </w:p>
        </w:tc>
        <w:tc>
          <w:tcPr>
            <w:tcW w:w="1000" w:type="dxa"/>
            <w:vAlign w:val="bottom"/>
            <w:gridSpan w:val="3"/>
          </w:tcPr>
          <w:p>
            <w:pPr>
              <w:ind w:left="60"/>
              <w:spacing w:after="0" w:line="105" w:lineRule="exact"/>
              <w:rPr>
                <w:sz w:val="20"/>
                <w:szCs w:val="20"/>
                <w:color w:val="auto"/>
              </w:rPr>
            </w:pPr>
            <w:r>
              <w:rPr>
                <w:rFonts w:ascii="Times New Roman" w:cs="Times New Roman" w:eastAsia="Times New Roman" w:hAnsi="Times New Roman"/>
                <w:sz w:val="10"/>
                <w:szCs w:val="10"/>
                <w:color w:val="auto"/>
              </w:rPr>
              <w:t>First Lien Debt (ag)</w:t>
            </w:r>
          </w:p>
        </w:tc>
        <w:tc>
          <w:tcPr>
            <w:tcW w:w="90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920" w:type="dxa"/>
            <w:vAlign w:val="bottom"/>
            <w:gridSpan w:val="2"/>
          </w:tcPr>
          <w:p>
            <w:pPr>
              <w:jc w:val="center"/>
              <w:ind w:right="60"/>
              <w:spacing w:after="0" w:line="105" w:lineRule="exact"/>
              <w:rPr>
                <w:sz w:val="20"/>
                <w:szCs w:val="20"/>
                <w:color w:val="auto"/>
              </w:rPr>
            </w:pPr>
            <w:r>
              <w:rPr>
                <w:rFonts w:ascii="Times New Roman" w:cs="Times New Roman" w:eastAsia="Times New Roman" w:hAnsi="Times New Roman"/>
                <w:sz w:val="10"/>
                <w:szCs w:val="10"/>
                <w:color w:val="auto"/>
                <w:w w:val="96"/>
              </w:rPr>
              <w:t>(S + 6.00%) / (1.00%)</w:t>
            </w:r>
          </w:p>
        </w:tc>
        <w:tc>
          <w:tcPr>
            <w:tcW w:w="700" w:type="dxa"/>
            <w:vAlign w:val="bottom"/>
            <w:gridSpan w:val="2"/>
          </w:tcPr>
          <w:p>
            <w:pPr>
              <w:jc w:val="right"/>
              <w:ind w:right="100"/>
              <w:spacing w:after="0" w:line="105" w:lineRule="exact"/>
              <w:rPr>
                <w:sz w:val="20"/>
                <w:szCs w:val="20"/>
                <w:color w:val="auto"/>
              </w:rPr>
            </w:pPr>
            <w:r>
              <w:rPr>
                <w:rFonts w:ascii="Times New Roman" w:cs="Times New Roman" w:eastAsia="Times New Roman" w:hAnsi="Times New Roman"/>
                <w:sz w:val="10"/>
                <w:szCs w:val="10"/>
                <w:color w:val="auto"/>
              </w:rPr>
              <w:t>9.96%/0.00%</w:t>
            </w:r>
          </w:p>
        </w:tc>
        <w:tc>
          <w:tcPr>
            <w:tcW w:w="580" w:type="dxa"/>
            <w:vAlign w:val="bottom"/>
            <w:gridSpan w:val="2"/>
          </w:tcPr>
          <w:p>
            <w:pPr>
              <w:jc w:val="right"/>
              <w:ind w:right="100"/>
              <w:spacing w:after="0" w:line="105" w:lineRule="exact"/>
              <w:rPr>
                <w:sz w:val="20"/>
                <w:szCs w:val="20"/>
                <w:color w:val="auto"/>
              </w:rPr>
            </w:pPr>
            <w:r>
              <w:rPr>
                <w:rFonts w:ascii="Times New Roman" w:cs="Times New Roman" w:eastAsia="Times New Roman" w:hAnsi="Times New Roman"/>
                <w:sz w:val="10"/>
                <w:szCs w:val="10"/>
                <w:color w:val="auto"/>
              </w:rPr>
              <w:t>2/12/2021</w:t>
            </w:r>
          </w:p>
        </w:tc>
        <w:tc>
          <w:tcPr>
            <w:tcW w:w="480" w:type="dxa"/>
            <w:vAlign w:val="bottom"/>
          </w:tcPr>
          <w:p>
            <w:pPr>
              <w:jc w:val="right"/>
              <w:spacing w:after="0" w:line="105" w:lineRule="exact"/>
              <w:rPr>
                <w:sz w:val="20"/>
                <w:szCs w:val="20"/>
                <w:color w:val="auto"/>
              </w:rPr>
            </w:pPr>
            <w:r>
              <w:rPr>
                <w:rFonts w:ascii="Times New Roman" w:cs="Times New Roman" w:eastAsia="Times New Roman" w:hAnsi="Times New Roman"/>
                <w:sz w:val="10"/>
                <w:szCs w:val="10"/>
                <w:color w:val="auto"/>
              </w:rPr>
              <w:t>8/11/2027</w:t>
            </w: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gridSpan w:val="2"/>
          </w:tcPr>
          <w:p>
            <w:pPr>
              <w:jc w:val="right"/>
              <w:ind w:right="60"/>
              <w:spacing w:after="0" w:line="105" w:lineRule="exact"/>
              <w:rPr>
                <w:sz w:val="20"/>
                <w:szCs w:val="20"/>
                <w:color w:val="auto"/>
              </w:rPr>
            </w:pPr>
            <w:r>
              <w:rPr>
                <w:rFonts w:ascii="Times New Roman" w:cs="Times New Roman" w:eastAsia="Times New Roman" w:hAnsi="Times New Roman"/>
                <w:sz w:val="10"/>
                <w:szCs w:val="10"/>
                <w:color w:val="auto"/>
                <w:w w:val="87"/>
              </w:rPr>
              <w:t>28,435</w:t>
            </w: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gridSpan w:val="2"/>
          </w:tcPr>
          <w:p>
            <w:pPr>
              <w:jc w:val="right"/>
              <w:ind w:right="100"/>
              <w:spacing w:after="0" w:line="105" w:lineRule="exact"/>
              <w:rPr>
                <w:sz w:val="20"/>
                <w:szCs w:val="20"/>
                <w:color w:val="auto"/>
              </w:rPr>
            </w:pPr>
            <w:r>
              <w:rPr>
                <w:rFonts w:ascii="Times New Roman" w:cs="Times New Roman" w:eastAsia="Times New Roman" w:hAnsi="Times New Roman"/>
                <w:sz w:val="10"/>
                <w:szCs w:val="10"/>
                <w:color w:val="auto"/>
                <w:w w:val="87"/>
              </w:rPr>
              <w:t>28,383</w:t>
            </w:r>
          </w:p>
        </w:tc>
        <w:tc>
          <w:tcPr>
            <w:tcW w:w="60" w:type="dxa"/>
            <w:vAlign w:val="bottom"/>
          </w:tcPr>
          <w:p>
            <w:pPr>
              <w:spacing w:after="0"/>
              <w:rPr>
                <w:sz w:val="9"/>
                <w:szCs w:val="9"/>
                <w:color w:val="auto"/>
              </w:rPr>
            </w:pPr>
          </w:p>
        </w:tc>
        <w:tc>
          <w:tcPr>
            <w:tcW w:w="420" w:type="dxa"/>
            <w:vAlign w:val="bottom"/>
            <w:gridSpan w:val="2"/>
          </w:tcPr>
          <w:p>
            <w:pPr>
              <w:jc w:val="right"/>
              <w:ind w:right="100"/>
              <w:spacing w:after="0" w:line="105" w:lineRule="exact"/>
              <w:rPr>
                <w:sz w:val="20"/>
                <w:szCs w:val="20"/>
                <w:color w:val="auto"/>
              </w:rPr>
            </w:pPr>
            <w:r>
              <w:rPr>
                <w:rFonts w:ascii="Times New Roman" w:cs="Times New Roman" w:eastAsia="Times New Roman" w:hAnsi="Times New Roman"/>
                <w:sz w:val="10"/>
                <w:szCs w:val="10"/>
                <w:color w:val="auto"/>
              </w:rPr>
              <w:t>28,435</w:t>
            </w: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1"/>
        </w:trPr>
        <w:tc>
          <w:tcPr>
            <w:tcW w:w="100" w:type="dxa"/>
            <w:vAlign w:val="bottom"/>
            <w:shd w:val="clear" w:color="auto" w:fill="CCEEFF"/>
          </w:tcPr>
          <w:p>
            <w:pPr>
              <w:spacing w:after="0"/>
              <w:rPr>
                <w:sz w:val="7"/>
                <w:szCs w:val="7"/>
                <w:color w:val="auto"/>
              </w:rPr>
            </w:pPr>
          </w:p>
        </w:tc>
        <w:tc>
          <w:tcPr>
            <w:tcW w:w="1180" w:type="dxa"/>
            <w:vAlign w:val="bottom"/>
            <w:gridSpan w:val="4"/>
            <w:shd w:val="clear" w:color="auto" w:fill="CCEEFF"/>
          </w:tcPr>
          <w:p>
            <w:pPr>
              <w:spacing w:after="0" w:line="92" w:lineRule="exact"/>
              <w:rPr>
                <w:sz w:val="20"/>
                <w:szCs w:val="20"/>
                <w:color w:val="auto"/>
              </w:rPr>
            </w:pPr>
            <w:r>
              <w:rPr>
                <w:rFonts w:ascii="Times New Roman" w:cs="Times New Roman" w:eastAsia="Times New Roman" w:hAnsi="Times New Roman"/>
                <w:sz w:val="10"/>
                <w:szCs w:val="10"/>
                <w:color w:val="auto"/>
              </w:rPr>
              <w:t>Alpharetta, GA 30005</w:t>
            </w:r>
          </w:p>
        </w:tc>
        <w:tc>
          <w:tcPr>
            <w:tcW w:w="1000" w:type="dxa"/>
            <w:vAlign w:val="bottom"/>
            <w:gridSpan w:val="3"/>
            <w:shd w:val="clear" w:color="auto" w:fill="CCEEFF"/>
          </w:tcPr>
          <w:p>
            <w:pPr>
              <w:ind w:left="60"/>
              <w:spacing w:after="0" w:line="92" w:lineRule="exact"/>
              <w:rPr>
                <w:sz w:val="20"/>
                <w:szCs w:val="20"/>
                <w:color w:val="auto"/>
              </w:rPr>
            </w:pPr>
            <w:r>
              <w:rPr>
                <w:rFonts w:ascii="Times New Roman" w:cs="Times New Roman" w:eastAsia="Times New Roman" w:hAnsi="Times New Roman"/>
                <w:sz w:val="10"/>
                <w:szCs w:val="10"/>
                <w:color w:val="auto"/>
              </w:rPr>
              <w:t>Common Equity</w:t>
            </w:r>
          </w:p>
        </w:tc>
        <w:tc>
          <w:tcPr>
            <w:tcW w:w="90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8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18"/>
        </w:trPr>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0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0"/>
                <w:szCs w:val="10"/>
                <w:color w:val="auto"/>
              </w:rPr>
              <w:t>(12,035 units)</w:t>
            </w:r>
          </w:p>
        </w:tc>
        <w:tc>
          <w:tcPr>
            <w:tcW w:w="9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1.2%</w:t>
            </w:r>
          </w:p>
        </w:tc>
        <w:tc>
          <w:tcPr>
            <w:tcW w:w="8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8/25/2021</w:t>
            </w: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1,204</w:t>
            </w: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— </w:t>
            </w:r>
          </w:p>
        </w:tc>
        <w:tc>
          <w:tcPr>
            <w:tcW w:w="3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0" w:type="dxa"/>
            <w:vAlign w:val="bottom"/>
            <w:gridSpan w:val="3"/>
          </w:tcPr>
          <w:p>
            <w:pPr>
              <w:ind w:left="60"/>
              <w:spacing w:after="0" w:line="92" w:lineRule="exact"/>
              <w:rPr>
                <w:sz w:val="20"/>
                <w:szCs w:val="20"/>
                <w:color w:val="auto"/>
              </w:rPr>
            </w:pPr>
            <w:r>
              <w:rPr>
                <w:rFonts w:ascii="Times New Roman" w:cs="Times New Roman" w:eastAsia="Times New Roman" w:hAnsi="Times New Roman"/>
                <w:sz w:val="10"/>
                <w:szCs w:val="10"/>
                <w:color w:val="auto"/>
              </w:rPr>
              <w:t>Common Equity</w:t>
            </w:r>
          </w:p>
        </w:tc>
        <w:tc>
          <w:tcPr>
            <w:tcW w:w="900" w:type="dxa"/>
            <w:vAlign w:val="bottom"/>
          </w:tcPr>
          <w:p>
            <w:pPr>
              <w:spacing w:after="0"/>
              <w:rPr>
                <w:sz w:val="7"/>
                <w:szCs w:val="7"/>
                <w:color w:val="auto"/>
              </w:rPr>
            </w:pPr>
          </w:p>
        </w:tc>
        <w:tc>
          <w:tcPr>
            <w:tcW w:w="40" w:type="dxa"/>
            <w:vAlign w:val="bottom"/>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6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26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0" w:type="dxa"/>
            <w:vAlign w:val="bottom"/>
          </w:tcPr>
          <w:p>
            <w:pPr>
              <w:spacing w:after="0"/>
              <w:rPr>
                <w:sz w:val="7"/>
                <w:szCs w:val="7"/>
                <w:color w:val="auto"/>
              </w:rPr>
            </w:pPr>
          </w:p>
        </w:tc>
        <w:tc>
          <w:tcPr>
            <w:tcW w:w="36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8"/>
        </w:trPr>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0" w:type="dxa"/>
            <w:vAlign w:val="bottom"/>
            <w:gridSpan w:val="3"/>
          </w:tcPr>
          <w:p>
            <w:pPr>
              <w:ind w:left="60"/>
              <w:spacing w:after="0"/>
              <w:rPr>
                <w:sz w:val="20"/>
                <w:szCs w:val="20"/>
                <w:color w:val="auto"/>
              </w:rPr>
            </w:pPr>
            <w:r>
              <w:rPr>
                <w:rFonts w:ascii="Times New Roman" w:cs="Times New Roman" w:eastAsia="Times New Roman" w:hAnsi="Times New Roman"/>
                <w:sz w:val="10"/>
                <w:szCs w:val="10"/>
                <w:color w:val="auto"/>
              </w:rPr>
              <w:t>(38,493 units)</w:t>
            </w:r>
          </w:p>
        </w:tc>
        <w:tc>
          <w:tcPr>
            <w:tcW w:w="9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3.5%</w:t>
            </w:r>
          </w:p>
        </w:tc>
        <w:tc>
          <w:tcPr>
            <w:tcW w:w="8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12/16/2022</w:t>
            </w: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2,609</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— </w:t>
            </w: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10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000" w:type="dxa"/>
            <w:vAlign w:val="bottom"/>
            <w:gridSpan w:val="3"/>
            <w:shd w:val="clear" w:color="auto" w:fill="CCEEFF"/>
          </w:tcPr>
          <w:p>
            <w:pPr>
              <w:ind w:left="60"/>
              <w:spacing w:after="0" w:line="92" w:lineRule="exact"/>
              <w:rPr>
                <w:sz w:val="20"/>
                <w:szCs w:val="20"/>
                <w:color w:val="auto"/>
              </w:rPr>
            </w:pPr>
            <w:r>
              <w:rPr>
                <w:rFonts w:ascii="Times New Roman" w:cs="Times New Roman" w:eastAsia="Times New Roman" w:hAnsi="Times New Roman"/>
                <w:sz w:val="10"/>
                <w:szCs w:val="10"/>
                <w:color w:val="auto"/>
              </w:rPr>
              <w:t>Common Equity</w:t>
            </w:r>
          </w:p>
        </w:tc>
        <w:tc>
          <w:tcPr>
            <w:tcW w:w="90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8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18"/>
        </w:trPr>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0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0"/>
                <w:szCs w:val="10"/>
                <w:color w:val="auto"/>
              </w:rPr>
              <w:t>(6,783 units)</w:t>
            </w:r>
          </w:p>
        </w:tc>
        <w:tc>
          <w:tcPr>
            <w:tcW w:w="9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0.7%</w:t>
            </w:r>
          </w:p>
        </w:tc>
        <w:tc>
          <w:tcPr>
            <w:tcW w:w="8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7/10/2023</w:t>
            </w: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686</w:t>
            </w:r>
          </w:p>
        </w:tc>
        <w:tc>
          <w:tcPr>
            <w:tcW w:w="60" w:type="dxa"/>
            <w:vAlign w:val="bottom"/>
            <w:shd w:val="clear" w:color="auto" w:fill="CCEEFF"/>
          </w:tcPr>
          <w:p>
            <w:pPr>
              <w:spacing w:after="0"/>
              <w:rPr>
                <w:sz w:val="10"/>
                <w:szCs w:val="10"/>
                <w:color w:val="auto"/>
              </w:rPr>
            </w:pPr>
          </w:p>
        </w:tc>
        <w:tc>
          <w:tcPr>
            <w:tcW w:w="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1,016</w:t>
            </w:r>
          </w:p>
        </w:tc>
        <w:tc>
          <w:tcPr>
            <w:tcW w:w="3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0" w:type="dxa"/>
            <w:vAlign w:val="bottom"/>
            <w:gridSpan w:val="3"/>
          </w:tcPr>
          <w:p>
            <w:pPr>
              <w:ind w:left="60"/>
              <w:spacing w:after="0" w:line="92" w:lineRule="exact"/>
              <w:rPr>
                <w:sz w:val="20"/>
                <w:szCs w:val="20"/>
                <w:color w:val="auto"/>
              </w:rPr>
            </w:pPr>
            <w:r>
              <w:rPr>
                <w:rFonts w:ascii="Times New Roman" w:cs="Times New Roman" w:eastAsia="Times New Roman" w:hAnsi="Times New Roman"/>
                <w:sz w:val="10"/>
                <w:szCs w:val="10"/>
                <w:color w:val="auto"/>
              </w:rPr>
              <w:t>Common Equity</w:t>
            </w:r>
          </w:p>
        </w:tc>
        <w:tc>
          <w:tcPr>
            <w:tcW w:w="900" w:type="dxa"/>
            <w:vAlign w:val="bottom"/>
          </w:tcPr>
          <w:p>
            <w:pPr>
              <w:spacing w:after="0"/>
              <w:rPr>
                <w:sz w:val="7"/>
                <w:szCs w:val="7"/>
                <w:color w:val="auto"/>
              </w:rPr>
            </w:pPr>
          </w:p>
        </w:tc>
        <w:tc>
          <w:tcPr>
            <w:tcW w:w="40" w:type="dxa"/>
            <w:vAlign w:val="bottom"/>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6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26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0" w:type="dxa"/>
            <w:vAlign w:val="bottom"/>
          </w:tcPr>
          <w:p>
            <w:pPr>
              <w:spacing w:after="0"/>
              <w:rPr>
                <w:sz w:val="7"/>
                <w:szCs w:val="7"/>
                <w:color w:val="auto"/>
              </w:rPr>
            </w:pPr>
          </w:p>
        </w:tc>
        <w:tc>
          <w:tcPr>
            <w:tcW w:w="36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8"/>
        </w:trPr>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0" w:type="dxa"/>
            <w:vAlign w:val="bottom"/>
            <w:gridSpan w:val="3"/>
          </w:tcPr>
          <w:p>
            <w:pPr>
              <w:ind w:left="60"/>
              <w:spacing w:after="0"/>
              <w:rPr>
                <w:sz w:val="20"/>
                <w:szCs w:val="20"/>
                <w:color w:val="auto"/>
              </w:rPr>
            </w:pPr>
            <w:r>
              <w:rPr>
                <w:rFonts w:ascii="Times New Roman" w:cs="Times New Roman" w:eastAsia="Times New Roman" w:hAnsi="Times New Roman"/>
                <w:sz w:val="10"/>
                <w:szCs w:val="10"/>
                <w:color w:val="auto"/>
              </w:rPr>
              <w:t>(4,663 units)</w:t>
            </w:r>
          </w:p>
        </w:tc>
        <w:tc>
          <w:tcPr>
            <w:tcW w:w="9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0.5%</w:t>
            </w:r>
          </w:p>
        </w:tc>
        <w:tc>
          <w:tcPr>
            <w:tcW w:w="8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9/16/2022</w:t>
            </w: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472</w:t>
            </w:r>
          </w:p>
        </w:tc>
        <w:tc>
          <w:tcPr>
            <w:tcW w:w="60" w:type="dxa"/>
            <w:vAlign w:val="bottom"/>
          </w:tcPr>
          <w:p>
            <w:pPr>
              <w:spacing w:after="0"/>
              <w:rPr>
                <w:sz w:val="10"/>
                <w:szCs w:val="10"/>
                <w:color w:val="auto"/>
              </w:rPr>
            </w:pP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38</w:t>
            </w: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10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000" w:type="dxa"/>
            <w:vAlign w:val="bottom"/>
            <w:gridSpan w:val="3"/>
            <w:shd w:val="clear" w:color="auto" w:fill="CCEEFF"/>
          </w:tcPr>
          <w:p>
            <w:pPr>
              <w:ind w:left="60"/>
              <w:spacing w:after="0" w:line="92" w:lineRule="exact"/>
              <w:rPr>
                <w:sz w:val="20"/>
                <w:szCs w:val="20"/>
                <w:color w:val="auto"/>
              </w:rPr>
            </w:pPr>
            <w:r>
              <w:rPr>
                <w:rFonts w:ascii="Times New Roman" w:cs="Times New Roman" w:eastAsia="Times New Roman" w:hAnsi="Times New Roman"/>
                <w:sz w:val="10"/>
                <w:szCs w:val="10"/>
                <w:color w:val="auto"/>
              </w:rPr>
              <w:t>Common Equity</w:t>
            </w:r>
          </w:p>
        </w:tc>
        <w:tc>
          <w:tcPr>
            <w:tcW w:w="90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8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18"/>
        </w:trPr>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0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0"/>
                <w:szCs w:val="10"/>
                <w:color w:val="auto"/>
              </w:rPr>
              <w:t>(21,689 units)</w:t>
            </w:r>
          </w:p>
        </w:tc>
        <w:tc>
          <w:tcPr>
            <w:tcW w:w="9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1.8%</w:t>
            </w:r>
          </w:p>
        </w:tc>
        <w:tc>
          <w:tcPr>
            <w:tcW w:w="8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5/22/2024</w:t>
            </w: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2,195</w:t>
            </w: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3,211</w:t>
            </w:r>
          </w:p>
        </w:tc>
        <w:tc>
          <w:tcPr>
            <w:tcW w:w="3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6"/>
        </w:trPr>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880" w:type="dxa"/>
            <w:vAlign w:val="bottom"/>
          </w:tcPr>
          <w:p>
            <w:pPr>
              <w:spacing w:after="0"/>
              <w:rPr>
                <w:sz w:val="9"/>
                <w:szCs w:val="9"/>
                <w:color w:val="auto"/>
              </w:rPr>
            </w:pPr>
          </w:p>
        </w:tc>
        <w:tc>
          <w:tcPr>
            <w:tcW w:w="60" w:type="dxa"/>
            <w:vAlign w:val="bottom"/>
          </w:tcPr>
          <w:p>
            <w:pPr>
              <w:spacing w:after="0"/>
              <w:rPr>
                <w:sz w:val="9"/>
                <w:szCs w:val="9"/>
                <w:color w:val="auto"/>
              </w:rPr>
            </w:pPr>
          </w:p>
        </w:tc>
        <w:tc>
          <w:tcPr>
            <w:tcW w:w="90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260" w:type="dxa"/>
            <w:vAlign w:val="bottom"/>
            <w:tcBorders>
              <w:top w:val="single" w:sz="8" w:color="auto"/>
            </w:tcBorders>
          </w:tcPr>
          <w:p>
            <w:pPr>
              <w:jc w:val="right"/>
              <w:spacing w:after="0" w:line="106" w:lineRule="exact"/>
              <w:rPr>
                <w:sz w:val="20"/>
                <w:szCs w:val="20"/>
                <w:color w:val="auto"/>
              </w:rPr>
            </w:pPr>
            <w:r>
              <w:rPr>
                <w:rFonts w:ascii="Times New Roman" w:cs="Times New Roman" w:eastAsia="Times New Roman" w:hAnsi="Times New Roman"/>
                <w:sz w:val="10"/>
                <w:szCs w:val="10"/>
                <w:color w:val="auto"/>
                <w:w w:val="87"/>
              </w:rPr>
              <w:t>35,549</w:t>
            </w:r>
          </w:p>
        </w:tc>
        <w:tc>
          <w:tcPr>
            <w:tcW w:w="10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jc w:val="right"/>
              <w:spacing w:after="0" w:line="106" w:lineRule="exact"/>
              <w:rPr>
                <w:sz w:val="20"/>
                <w:szCs w:val="20"/>
                <w:color w:val="auto"/>
              </w:rPr>
            </w:pPr>
            <w:r>
              <w:rPr>
                <w:rFonts w:ascii="Times New Roman" w:cs="Times New Roman" w:eastAsia="Times New Roman" w:hAnsi="Times New Roman"/>
                <w:sz w:val="10"/>
                <w:szCs w:val="10"/>
                <w:color w:val="auto"/>
              </w:rPr>
              <w:t>32,700</w:t>
            </w:r>
          </w:p>
        </w:tc>
        <w:tc>
          <w:tcPr>
            <w:tcW w:w="100" w:type="dxa"/>
            <w:vAlign w:val="bottom"/>
          </w:tcPr>
          <w:p>
            <w:pPr>
              <w:spacing w:after="0"/>
              <w:rPr>
                <w:sz w:val="9"/>
                <w:szCs w:val="9"/>
                <w:color w:val="auto"/>
              </w:rPr>
            </w:pPr>
          </w:p>
        </w:tc>
        <w:tc>
          <w:tcPr>
            <w:tcW w:w="480" w:type="dxa"/>
            <w:vAlign w:val="bottom"/>
            <w:gridSpan w:val="2"/>
          </w:tcPr>
          <w:p>
            <w:pPr>
              <w:jc w:val="right"/>
              <w:ind w:right="40"/>
              <w:spacing w:after="0" w:line="106" w:lineRule="exact"/>
              <w:rPr>
                <w:sz w:val="20"/>
                <w:szCs w:val="20"/>
                <w:color w:val="auto"/>
              </w:rPr>
            </w:pPr>
            <w:r>
              <w:rPr>
                <w:rFonts w:ascii="Times New Roman" w:cs="Times New Roman" w:eastAsia="Times New Roman" w:hAnsi="Times New Roman"/>
                <w:sz w:val="10"/>
                <w:szCs w:val="10"/>
                <w:color w:val="auto"/>
              </w:rPr>
              <w:t>4%</w:t>
            </w:r>
          </w:p>
        </w:tc>
        <w:tc>
          <w:tcPr>
            <w:tcW w:w="0" w:type="dxa"/>
            <w:vAlign w:val="bottom"/>
          </w:tcPr>
          <w:p>
            <w:pPr>
              <w:spacing w:after="0"/>
              <w:rPr>
                <w:sz w:val="1"/>
                <w:szCs w:val="1"/>
                <w:color w:val="auto"/>
              </w:rPr>
            </w:pPr>
          </w:p>
        </w:tc>
      </w:tr>
      <w:tr>
        <w:trPr>
          <w:trHeight w:val="89"/>
        </w:trPr>
        <w:tc>
          <w:tcPr>
            <w:tcW w:w="1280" w:type="dxa"/>
            <w:vAlign w:val="bottom"/>
            <w:gridSpan w:val="5"/>
            <w:shd w:val="clear" w:color="auto" w:fill="CCEEFF"/>
          </w:tcPr>
          <w:p>
            <w:pPr>
              <w:spacing w:after="0" w:line="90" w:lineRule="exact"/>
              <w:rPr>
                <w:sz w:val="20"/>
                <w:szCs w:val="20"/>
                <w:color w:val="auto"/>
              </w:rPr>
            </w:pPr>
            <w:r>
              <w:rPr>
                <w:rFonts w:ascii="Times New Roman" w:cs="Times New Roman" w:eastAsia="Times New Roman" w:hAnsi="Times New Roman"/>
                <w:sz w:val="10"/>
                <w:szCs w:val="10"/>
                <w:i w:val="1"/>
                <w:iCs w:val="1"/>
                <w:color w:val="auto"/>
              </w:rPr>
              <w:t>Steward Holding LLC (dba</w:t>
            </w:r>
          </w:p>
        </w:tc>
        <w:tc>
          <w:tcPr>
            <w:tcW w:w="60" w:type="dxa"/>
            <w:vAlign w:val="bottom"/>
            <w:shd w:val="clear" w:color="auto" w:fill="CCEEFF"/>
          </w:tcPr>
          <w:p>
            <w:pPr>
              <w:spacing w:after="0"/>
              <w:rPr>
                <w:sz w:val="7"/>
                <w:szCs w:val="7"/>
                <w:color w:val="auto"/>
              </w:rPr>
            </w:pPr>
          </w:p>
        </w:tc>
        <w:tc>
          <w:tcPr>
            <w:tcW w:w="8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940" w:type="dxa"/>
            <w:vAlign w:val="bottom"/>
            <w:gridSpan w:val="2"/>
            <w:shd w:val="clear" w:color="auto" w:fill="CCEEFF"/>
          </w:tcPr>
          <w:p>
            <w:pPr>
              <w:spacing w:after="0" w:line="90" w:lineRule="exact"/>
              <w:rPr>
                <w:sz w:val="20"/>
                <w:szCs w:val="20"/>
                <w:color w:val="auto"/>
              </w:rPr>
            </w:pPr>
            <w:r>
              <w:rPr>
                <w:rFonts w:ascii="Times New Roman" w:cs="Times New Roman" w:eastAsia="Times New Roman" w:hAnsi="Times New Roman"/>
                <w:sz w:val="10"/>
                <w:szCs w:val="10"/>
                <w:color w:val="auto"/>
              </w:rPr>
              <w:t>Aerospace &amp; Defense</w:t>
            </w:r>
          </w:p>
        </w:tc>
        <w:tc>
          <w:tcPr>
            <w:tcW w:w="56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8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20"/>
        </w:trPr>
        <w:tc>
          <w:tcPr>
            <w:tcW w:w="128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0"/>
                <w:szCs w:val="10"/>
                <w:i w:val="1"/>
                <w:iCs w:val="1"/>
                <w:color w:val="auto"/>
              </w:rPr>
              <w:t>Steward Advanced Materials)</w:t>
            </w:r>
          </w:p>
        </w:tc>
        <w:tc>
          <w:tcPr>
            <w:tcW w:w="6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0"/>
                <w:szCs w:val="10"/>
                <w:color w:val="auto"/>
              </w:rPr>
              <w:t>Manufacturing</w:t>
            </w:r>
          </w:p>
        </w:tc>
        <w:tc>
          <w:tcPr>
            <w:tcW w:w="5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100" w:type="dxa"/>
            <w:vAlign w:val="bottom"/>
          </w:tcPr>
          <w:p>
            <w:pPr>
              <w:spacing w:after="0"/>
              <w:rPr>
                <w:sz w:val="7"/>
                <w:szCs w:val="7"/>
                <w:color w:val="auto"/>
              </w:rPr>
            </w:pPr>
          </w:p>
        </w:tc>
        <w:tc>
          <w:tcPr>
            <w:tcW w:w="1180" w:type="dxa"/>
            <w:vAlign w:val="bottom"/>
            <w:gridSpan w:val="4"/>
          </w:tcPr>
          <w:p>
            <w:pPr>
              <w:spacing w:after="0" w:line="92" w:lineRule="exact"/>
              <w:rPr>
                <w:sz w:val="20"/>
                <w:szCs w:val="20"/>
                <w:color w:val="auto"/>
              </w:rPr>
            </w:pPr>
            <w:r>
              <w:rPr>
                <w:rFonts w:ascii="Times New Roman" w:cs="Times New Roman" w:eastAsia="Times New Roman" w:hAnsi="Times New Roman"/>
                <w:sz w:val="10"/>
                <w:szCs w:val="10"/>
                <w:color w:val="auto"/>
              </w:rPr>
              <w:t>1245 E 38th St.</w:t>
            </w:r>
          </w:p>
        </w:tc>
        <w:tc>
          <w:tcPr>
            <w:tcW w:w="1000" w:type="dxa"/>
            <w:vAlign w:val="bottom"/>
            <w:gridSpan w:val="3"/>
          </w:tcPr>
          <w:p>
            <w:pPr>
              <w:ind w:left="60"/>
              <w:spacing w:after="0" w:line="92" w:lineRule="exact"/>
              <w:rPr>
                <w:sz w:val="20"/>
                <w:szCs w:val="20"/>
                <w:color w:val="auto"/>
              </w:rPr>
            </w:pPr>
            <w:r>
              <w:rPr>
                <w:rFonts w:ascii="Times New Roman" w:cs="Times New Roman" w:eastAsia="Times New Roman" w:hAnsi="Times New Roman"/>
                <w:sz w:val="10"/>
                <w:szCs w:val="10"/>
                <w:color w:val="auto"/>
              </w:rPr>
              <w:t>Common Equity</w:t>
            </w:r>
          </w:p>
        </w:tc>
        <w:tc>
          <w:tcPr>
            <w:tcW w:w="900" w:type="dxa"/>
            <w:vAlign w:val="bottom"/>
          </w:tcPr>
          <w:p>
            <w:pPr>
              <w:spacing w:after="0"/>
              <w:rPr>
                <w:sz w:val="7"/>
                <w:szCs w:val="7"/>
                <w:color w:val="auto"/>
              </w:rPr>
            </w:pPr>
          </w:p>
        </w:tc>
        <w:tc>
          <w:tcPr>
            <w:tcW w:w="40" w:type="dxa"/>
            <w:vAlign w:val="bottom"/>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6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26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0" w:type="dxa"/>
            <w:vAlign w:val="bottom"/>
          </w:tcPr>
          <w:p>
            <w:pPr>
              <w:spacing w:after="0"/>
              <w:rPr>
                <w:sz w:val="7"/>
                <w:szCs w:val="7"/>
                <w:color w:val="auto"/>
              </w:rPr>
            </w:pPr>
          </w:p>
        </w:tc>
        <w:tc>
          <w:tcPr>
            <w:tcW w:w="36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100" w:type="dxa"/>
            <w:vAlign w:val="bottom"/>
          </w:tcPr>
          <w:p>
            <w:pPr>
              <w:spacing w:after="0"/>
              <w:rPr>
                <w:sz w:val="11"/>
                <w:szCs w:val="11"/>
                <w:color w:val="auto"/>
              </w:rPr>
            </w:pPr>
          </w:p>
        </w:tc>
        <w:tc>
          <w:tcPr>
            <w:tcW w:w="1180" w:type="dxa"/>
            <w:vAlign w:val="bottom"/>
            <w:gridSpan w:val="4"/>
          </w:tcPr>
          <w:p>
            <w:pPr>
              <w:spacing w:after="0"/>
              <w:rPr>
                <w:sz w:val="20"/>
                <w:szCs w:val="20"/>
                <w:color w:val="auto"/>
              </w:rPr>
            </w:pPr>
            <w:r>
              <w:rPr>
                <w:rFonts w:ascii="Times New Roman" w:cs="Times New Roman" w:eastAsia="Times New Roman" w:hAnsi="Times New Roman"/>
                <w:sz w:val="10"/>
                <w:szCs w:val="10"/>
                <w:color w:val="auto"/>
              </w:rPr>
              <w:t>Chattanooga, TN 37407</w:t>
            </w:r>
          </w:p>
        </w:tc>
        <w:tc>
          <w:tcPr>
            <w:tcW w:w="1000" w:type="dxa"/>
            <w:vAlign w:val="bottom"/>
            <w:gridSpan w:val="3"/>
          </w:tcPr>
          <w:p>
            <w:pPr>
              <w:ind w:left="60"/>
              <w:spacing w:after="0"/>
              <w:rPr>
                <w:sz w:val="20"/>
                <w:szCs w:val="20"/>
                <w:color w:val="auto"/>
              </w:rPr>
            </w:pPr>
            <w:r>
              <w:rPr>
                <w:rFonts w:ascii="Times New Roman" w:cs="Times New Roman" w:eastAsia="Times New Roman" w:hAnsi="Times New Roman"/>
                <w:sz w:val="10"/>
                <w:szCs w:val="10"/>
                <w:color w:val="auto"/>
              </w:rPr>
              <w:t>(1,000,000 units)</w:t>
            </w: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5.8%</w:t>
            </w: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11/12/2015</w:t>
            </w: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1,000</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4,711</w:t>
            </w: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0"/>
                <w:szCs w:val="10"/>
                <w:color w:val="auto"/>
              </w:rPr>
              <w:t>1%</w:t>
            </w:r>
          </w:p>
        </w:tc>
        <w:tc>
          <w:tcPr>
            <w:tcW w:w="0" w:type="dxa"/>
            <w:vAlign w:val="bottom"/>
          </w:tcPr>
          <w:p>
            <w:pPr>
              <w:spacing w:after="0"/>
              <w:rPr>
                <w:sz w:val="1"/>
                <w:szCs w:val="1"/>
                <w:color w:val="auto"/>
              </w:rPr>
            </w:pPr>
          </w:p>
        </w:tc>
      </w:tr>
      <w:tr>
        <w:trPr>
          <w:trHeight w:val="77"/>
        </w:trPr>
        <w:tc>
          <w:tcPr>
            <w:tcW w:w="100" w:type="dxa"/>
            <w:vAlign w:val="bottom"/>
          </w:tcPr>
          <w:p>
            <w:pPr>
              <w:spacing w:after="0"/>
              <w:rPr>
                <w:sz w:val="6"/>
                <w:szCs w:val="6"/>
                <w:color w:val="auto"/>
              </w:rPr>
            </w:pPr>
          </w:p>
        </w:tc>
        <w:tc>
          <w:tcPr>
            <w:tcW w:w="5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0" w:type="dxa"/>
            <w:vAlign w:val="bottom"/>
          </w:tcPr>
          <w:p>
            <w:pPr>
              <w:spacing w:after="0"/>
              <w:rPr>
                <w:sz w:val="6"/>
                <w:szCs w:val="6"/>
                <w:color w:val="auto"/>
              </w:rPr>
            </w:pPr>
          </w:p>
        </w:tc>
        <w:tc>
          <w:tcPr>
            <w:tcW w:w="180" w:type="dxa"/>
            <w:vAlign w:val="bottom"/>
          </w:tcPr>
          <w:p>
            <w:pPr>
              <w:spacing w:after="0"/>
              <w:rPr>
                <w:sz w:val="6"/>
                <w:szCs w:val="6"/>
                <w:color w:val="auto"/>
              </w:rPr>
            </w:pPr>
          </w:p>
        </w:tc>
        <w:tc>
          <w:tcPr>
            <w:tcW w:w="60" w:type="dxa"/>
            <w:vAlign w:val="bottom"/>
          </w:tcPr>
          <w:p>
            <w:pPr>
              <w:spacing w:after="0"/>
              <w:rPr>
                <w:sz w:val="6"/>
                <w:szCs w:val="6"/>
                <w:color w:val="auto"/>
              </w:rPr>
            </w:pPr>
          </w:p>
        </w:tc>
        <w:tc>
          <w:tcPr>
            <w:tcW w:w="880" w:type="dxa"/>
            <w:vAlign w:val="bottom"/>
          </w:tcPr>
          <w:p>
            <w:pPr>
              <w:spacing w:after="0"/>
              <w:rPr>
                <w:sz w:val="6"/>
                <w:szCs w:val="6"/>
                <w:color w:val="auto"/>
              </w:rPr>
            </w:pPr>
          </w:p>
        </w:tc>
        <w:tc>
          <w:tcPr>
            <w:tcW w:w="60" w:type="dxa"/>
            <w:vAlign w:val="bottom"/>
          </w:tcPr>
          <w:p>
            <w:pPr>
              <w:spacing w:after="0"/>
              <w:rPr>
                <w:sz w:val="6"/>
                <w:szCs w:val="6"/>
                <w:color w:val="auto"/>
              </w:rPr>
            </w:pPr>
          </w:p>
        </w:tc>
        <w:tc>
          <w:tcPr>
            <w:tcW w:w="900" w:type="dxa"/>
            <w:vAlign w:val="bottom"/>
          </w:tcPr>
          <w:p>
            <w:pPr>
              <w:spacing w:after="0"/>
              <w:rPr>
                <w:sz w:val="6"/>
                <w:szCs w:val="6"/>
                <w:color w:val="auto"/>
              </w:rPr>
            </w:pPr>
          </w:p>
        </w:tc>
        <w:tc>
          <w:tcPr>
            <w:tcW w:w="40" w:type="dxa"/>
            <w:vAlign w:val="bottom"/>
          </w:tcPr>
          <w:p>
            <w:pPr>
              <w:spacing w:after="0"/>
              <w:rPr>
                <w:sz w:val="6"/>
                <w:szCs w:val="6"/>
                <w:color w:val="auto"/>
              </w:rPr>
            </w:pPr>
          </w:p>
        </w:tc>
        <w:tc>
          <w:tcPr>
            <w:tcW w:w="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0" w:type="dxa"/>
            <w:vAlign w:val="bottom"/>
          </w:tcPr>
          <w:p>
            <w:pPr>
              <w:spacing w:after="0"/>
              <w:rPr>
                <w:sz w:val="6"/>
                <w:szCs w:val="6"/>
                <w:color w:val="auto"/>
              </w:rPr>
            </w:pPr>
          </w:p>
        </w:tc>
        <w:tc>
          <w:tcPr>
            <w:tcW w:w="480" w:type="dxa"/>
            <w:vAlign w:val="bottom"/>
          </w:tcPr>
          <w:p>
            <w:pPr>
              <w:spacing w:after="0"/>
              <w:rPr>
                <w:sz w:val="6"/>
                <w:szCs w:val="6"/>
                <w:color w:val="auto"/>
              </w:rPr>
            </w:pPr>
          </w:p>
        </w:tc>
        <w:tc>
          <w:tcPr>
            <w:tcW w:w="100" w:type="dxa"/>
            <w:vAlign w:val="bottom"/>
          </w:tcPr>
          <w:p>
            <w:pPr>
              <w:spacing w:after="0"/>
              <w:rPr>
                <w:sz w:val="6"/>
                <w:szCs w:val="6"/>
                <w:color w:val="auto"/>
              </w:rPr>
            </w:pPr>
          </w:p>
        </w:tc>
        <w:tc>
          <w:tcPr>
            <w:tcW w:w="4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26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60" w:type="dxa"/>
            <w:vAlign w:val="bottom"/>
          </w:tcPr>
          <w:p>
            <w:pPr>
              <w:spacing w:after="0"/>
              <w:rPr>
                <w:sz w:val="6"/>
                <w:szCs w:val="6"/>
                <w:color w:val="auto"/>
              </w:rPr>
            </w:pP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1"/>
        </w:trPr>
        <w:tc>
          <w:tcPr>
            <w:tcW w:w="1280" w:type="dxa"/>
            <w:vAlign w:val="bottom"/>
            <w:gridSpan w:val="5"/>
            <w:shd w:val="clear" w:color="auto" w:fill="CCEEFF"/>
          </w:tcPr>
          <w:p>
            <w:pPr>
              <w:spacing w:after="0" w:line="92" w:lineRule="exact"/>
              <w:rPr>
                <w:sz w:val="20"/>
                <w:szCs w:val="20"/>
                <w:color w:val="auto"/>
              </w:rPr>
            </w:pPr>
            <w:r>
              <w:rPr>
                <w:rFonts w:ascii="Times New Roman" w:cs="Times New Roman" w:eastAsia="Times New Roman" w:hAnsi="Times New Roman"/>
                <w:sz w:val="10"/>
                <w:szCs w:val="10"/>
                <w:i w:val="1"/>
                <w:iCs w:val="1"/>
                <w:color w:val="auto"/>
              </w:rPr>
              <w:t>Suited Connector LLC</w:t>
            </w:r>
          </w:p>
        </w:tc>
        <w:tc>
          <w:tcPr>
            <w:tcW w:w="60" w:type="dxa"/>
            <w:vAlign w:val="bottom"/>
            <w:shd w:val="clear" w:color="auto" w:fill="CCEEFF"/>
          </w:tcPr>
          <w:p>
            <w:pPr>
              <w:spacing w:after="0"/>
              <w:rPr>
                <w:sz w:val="7"/>
                <w:szCs w:val="7"/>
                <w:color w:val="auto"/>
              </w:rPr>
            </w:pPr>
          </w:p>
        </w:tc>
        <w:tc>
          <w:tcPr>
            <w:tcW w:w="8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940" w:type="dxa"/>
            <w:vAlign w:val="bottom"/>
            <w:gridSpan w:val="2"/>
            <w:shd w:val="clear" w:color="auto" w:fill="CCEEFF"/>
          </w:tcPr>
          <w:p>
            <w:pPr>
              <w:spacing w:after="0" w:line="92" w:lineRule="exact"/>
              <w:rPr>
                <w:sz w:val="20"/>
                <w:szCs w:val="20"/>
                <w:color w:val="auto"/>
              </w:rPr>
            </w:pPr>
            <w:r>
              <w:rPr>
                <w:rFonts w:ascii="Times New Roman" w:cs="Times New Roman" w:eastAsia="Times New Roman" w:hAnsi="Times New Roman"/>
                <w:sz w:val="10"/>
                <w:szCs w:val="10"/>
                <w:color w:val="auto"/>
              </w:rPr>
              <w:t>Information</w:t>
            </w:r>
          </w:p>
        </w:tc>
        <w:tc>
          <w:tcPr>
            <w:tcW w:w="56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8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18"/>
        </w:trPr>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0"/>
                <w:szCs w:val="10"/>
                <w:color w:val="auto"/>
              </w:rPr>
              <w:t>Technology Services</w:t>
            </w:r>
          </w:p>
        </w:tc>
        <w:tc>
          <w:tcPr>
            <w:tcW w:w="5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100" w:type="dxa"/>
            <w:vAlign w:val="bottom"/>
          </w:tcPr>
          <w:p>
            <w:pPr>
              <w:spacing w:after="0"/>
              <w:rPr>
                <w:sz w:val="7"/>
                <w:szCs w:val="7"/>
                <w:color w:val="auto"/>
              </w:rPr>
            </w:pPr>
          </w:p>
        </w:tc>
        <w:tc>
          <w:tcPr>
            <w:tcW w:w="1180" w:type="dxa"/>
            <w:vAlign w:val="bottom"/>
            <w:gridSpan w:val="4"/>
          </w:tcPr>
          <w:p>
            <w:pPr>
              <w:spacing w:after="0" w:line="92" w:lineRule="exact"/>
              <w:rPr>
                <w:sz w:val="20"/>
                <w:szCs w:val="20"/>
                <w:color w:val="auto"/>
              </w:rPr>
            </w:pPr>
            <w:r>
              <w:rPr>
                <w:rFonts w:ascii="Times New Roman" w:cs="Times New Roman" w:eastAsia="Times New Roman" w:hAnsi="Times New Roman"/>
                <w:sz w:val="10"/>
                <w:szCs w:val="10"/>
                <w:color w:val="auto"/>
              </w:rPr>
              <w:t>8123 Interport Blvd.</w:t>
            </w:r>
          </w:p>
        </w:tc>
        <w:tc>
          <w:tcPr>
            <w:tcW w:w="1000" w:type="dxa"/>
            <w:vAlign w:val="bottom"/>
            <w:gridSpan w:val="3"/>
          </w:tcPr>
          <w:p>
            <w:pPr>
              <w:ind w:left="60"/>
              <w:spacing w:after="0" w:line="92" w:lineRule="exact"/>
              <w:rPr>
                <w:sz w:val="20"/>
                <w:szCs w:val="20"/>
                <w:color w:val="auto"/>
              </w:rPr>
            </w:pPr>
            <w:r>
              <w:rPr>
                <w:rFonts w:ascii="Times New Roman" w:cs="Times New Roman" w:eastAsia="Times New Roman" w:hAnsi="Times New Roman"/>
                <w:sz w:val="10"/>
                <w:szCs w:val="10"/>
                <w:color w:val="auto"/>
              </w:rPr>
              <w:t>Preferred Equity</w:t>
            </w:r>
          </w:p>
        </w:tc>
        <w:tc>
          <w:tcPr>
            <w:tcW w:w="900" w:type="dxa"/>
            <w:vAlign w:val="bottom"/>
          </w:tcPr>
          <w:p>
            <w:pPr>
              <w:spacing w:after="0"/>
              <w:rPr>
                <w:sz w:val="7"/>
                <w:szCs w:val="7"/>
                <w:color w:val="auto"/>
              </w:rPr>
            </w:pPr>
          </w:p>
        </w:tc>
        <w:tc>
          <w:tcPr>
            <w:tcW w:w="40" w:type="dxa"/>
            <w:vAlign w:val="bottom"/>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6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26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0" w:type="dxa"/>
            <w:vAlign w:val="bottom"/>
          </w:tcPr>
          <w:p>
            <w:pPr>
              <w:spacing w:after="0"/>
              <w:rPr>
                <w:sz w:val="7"/>
                <w:szCs w:val="7"/>
                <w:color w:val="auto"/>
              </w:rPr>
            </w:pPr>
          </w:p>
        </w:tc>
        <w:tc>
          <w:tcPr>
            <w:tcW w:w="36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8"/>
        </w:trPr>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0" w:type="dxa"/>
            <w:vAlign w:val="bottom"/>
            <w:gridSpan w:val="3"/>
          </w:tcPr>
          <w:p>
            <w:pPr>
              <w:ind w:left="60"/>
              <w:spacing w:after="0"/>
              <w:rPr>
                <w:sz w:val="20"/>
                <w:szCs w:val="20"/>
                <w:color w:val="auto"/>
              </w:rPr>
            </w:pPr>
            <w:r>
              <w:rPr>
                <w:rFonts w:ascii="Times New Roman" w:cs="Times New Roman" w:eastAsia="Times New Roman" w:hAnsi="Times New Roman"/>
                <w:sz w:val="10"/>
                <w:szCs w:val="10"/>
                <w:color w:val="auto"/>
              </w:rPr>
              <w:t>(12,000,000 units) (h)</w:t>
            </w:r>
          </w:p>
        </w:tc>
        <w:tc>
          <w:tcPr>
            <w:tcW w:w="9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0.0%</w:t>
            </w:r>
          </w:p>
        </w:tc>
        <w:tc>
          <w:tcPr>
            <w:tcW w:w="8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3/31/2026</w:t>
            </w: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2,016</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2,016</w:t>
            </w: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10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000" w:type="dxa"/>
            <w:vAlign w:val="bottom"/>
            <w:gridSpan w:val="3"/>
            <w:shd w:val="clear" w:color="auto" w:fill="CCEEFF"/>
          </w:tcPr>
          <w:p>
            <w:pPr>
              <w:ind w:left="60"/>
              <w:spacing w:after="0" w:line="92" w:lineRule="exact"/>
              <w:rPr>
                <w:sz w:val="20"/>
                <w:szCs w:val="20"/>
                <w:color w:val="auto"/>
              </w:rPr>
            </w:pPr>
            <w:r>
              <w:rPr>
                <w:rFonts w:ascii="Times New Roman" w:cs="Times New Roman" w:eastAsia="Times New Roman" w:hAnsi="Times New Roman"/>
                <w:sz w:val="10"/>
                <w:szCs w:val="10"/>
                <w:color w:val="auto"/>
              </w:rPr>
              <w:t>Common Equity</w:t>
            </w:r>
          </w:p>
        </w:tc>
        <w:tc>
          <w:tcPr>
            <w:tcW w:w="90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8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18"/>
        </w:trPr>
        <w:tc>
          <w:tcPr>
            <w:tcW w:w="100" w:type="dxa"/>
            <w:vAlign w:val="bottom"/>
            <w:shd w:val="clear" w:color="auto" w:fill="CCEEFF"/>
          </w:tcPr>
          <w:p>
            <w:pPr>
              <w:spacing w:after="0"/>
              <w:rPr>
                <w:sz w:val="10"/>
                <w:szCs w:val="10"/>
                <w:color w:val="auto"/>
              </w:rPr>
            </w:pPr>
          </w:p>
        </w:tc>
        <w:tc>
          <w:tcPr>
            <w:tcW w:w="11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0"/>
                <w:szCs w:val="10"/>
                <w:color w:val="auto"/>
              </w:rPr>
              <w:t>Englewood, CO 80112</w:t>
            </w:r>
          </w:p>
        </w:tc>
        <w:tc>
          <w:tcPr>
            <w:tcW w:w="100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0"/>
                <w:szCs w:val="10"/>
                <w:color w:val="auto"/>
              </w:rPr>
              <w:t>(15,000,000 units) (h)</w:t>
            </w:r>
          </w:p>
        </w:tc>
        <w:tc>
          <w:tcPr>
            <w:tcW w:w="9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9.0%</w:t>
            </w:r>
          </w:p>
        </w:tc>
        <w:tc>
          <w:tcPr>
            <w:tcW w:w="8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3/31/2026</w:t>
            </w: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— </w:t>
            </w:r>
          </w:p>
        </w:tc>
        <w:tc>
          <w:tcPr>
            <w:tcW w:w="60" w:type="dxa"/>
            <w:vAlign w:val="bottom"/>
            <w:shd w:val="clear" w:color="auto" w:fill="CCEEFF"/>
          </w:tcPr>
          <w:p>
            <w:pPr>
              <w:spacing w:after="0"/>
              <w:rPr>
                <w:sz w:val="10"/>
                <w:szCs w:val="10"/>
                <w:color w:val="auto"/>
              </w:rPr>
            </w:pPr>
          </w:p>
        </w:tc>
        <w:tc>
          <w:tcPr>
            <w:tcW w:w="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— </w:t>
            </w:r>
          </w:p>
        </w:tc>
        <w:tc>
          <w:tcPr>
            <w:tcW w:w="3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880" w:type="dxa"/>
            <w:vAlign w:val="bottom"/>
          </w:tcPr>
          <w:p>
            <w:pPr>
              <w:spacing w:after="0"/>
              <w:rPr>
                <w:sz w:val="9"/>
                <w:szCs w:val="9"/>
                <w:color w:val="auto"/>
              </w:rPr>
            </w:pPr>
          </w:p>
        </w:tc>
        <w:tc>
          <w:tcPr>
            <w:tcW w:w="60" w:type="dxa"/>
            <w:vAlign w:val="bottom"/>
          </w:tcPr>
          <w:p>
            <w:pPr>
              <w:spacing w:after="0"/>
              <w:rPr>
                <w:sz w:val="9"/>
                <w:szCs w:val="9"/>
                <w:color w:val="auto"/>
              </w:rPr>
            </w:pPr>
          </w:p>
        </w:tc>
        <w:tc>
          <w:tcPr>
            <w:tcW w:w="90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Borders>
              <w:top w:val="single" w:sz="8" w:color="auto"/>
              <w:bottom w:val="single" w:sz="8" w:color="auto"/>
            </w:tcBorders>
          </w:tcPr>
          <w:p>
            <w:pPr>
              <w:spacing w:after="0"/>
              <w:rPr>
                <w:sz w:val="9"/>
                <w:szCs w:val="9"/>
                <w:color w:val="auto"/>
              </w:rPr>
            </w:pPr>
          </w:p>
        </w:tc>
        <w:tc>
          <w:tcPr>
            <w:tcW w:w="260" w:type="dxa"/>
            <w:vAlign w:val="bottom"/>
            <w:tcBorders>
              <w:top w:val="single" w:sz="8" w:color="auto"/>
              <w:bottom w:val="single" w:sz="8" w:color="auto"/>
            </w:tcBorders>
          </w:tcPr>
          <w:p>
            <w:pPr>
              <w:jc w:val="right"/>
              <w:spacing w:after="0" w:line="106" w:lineRule="exact"/>
              <w:rPr>
                <w:sz w:val="20"/>
                <w:szCs w:val="20"/>
                <w:color w:val="auto"/>
              </w:rPr>
            </w:pPr>
            <w:r>
              <w:rPr>
                <w:rFonts w:ascii="Times New Roman" w:cs="Times New Roman" w:eastAsia="Times New Roman" w:hAnsi="Times New Roman"/>
                <w:sz w:val="10"/>
                <w:szCs w:val="10"/>
                <w:color w:val="auto"/>
              </w:rPr>
              <w:t>2,016</w:t>
            </w:r>
          </w:p>
        </w:tc>
        <w:tc>
          <w:tcPr>
            <w:tcW w:w="100" w:type="dxa"/>
            <w:vAlign w:val="bottom"/>
          </w:tcPr>
          <w:p>
            <w:pPr>
              <w:spacing w:after="0"/>
              <w:rPr>
                <w:sz w:val="9"/>
                <w:szCs w:val="9"/>
                <w:color w:val="auto"/>
              </w:rPr>
            </w:pPr>
          </w:p>
        </w:tc>
        <w:tc>
          <w:tcPr>
            <w:tcW w:w="60" w:type="dxa"/>
            <w:vAlign w:val="bottom"/>
            <w:tcBorders>
              <w:top w:val="single" w:sz="8" w:color="auto"/>
              <w:bottom w:val="single" w:sz="8" w:color="auto"/>
            </w:tcBorders>
          </w:tcPr>
          <w:p>
            <w:pPr>
              <w:spacing w:after="0"/>
              <w:rPr>
                <w:sz w:val="9"/>
                <w:szCs w:val="9"/>
                <w:color w:val="auto"/>
              </w:rPr>
            </w:pPr>
          </w:p>
        </w:tc>
        <w:tc>
          <w:tcPr>
            <w:tcW w:w="320" w:type="dxa"/>
            <w:vAlign w:val="bottom"/>
            <w:tcBorders>
              <w:top w:val="single" w:sz="8" w:color="auto"/>
              <w:bottom w:val="single" w:sz="8" w:color="auto"/>
            </w:tcBorders>
          </w:tcPr>
          <w:p>
            <w:pPr>
              <w:jc w:val="right"/>
              <w:spacing w:after="0" w:line="106" w:lineRule="exact"/>
              <w:rPr>
                <w:sz w:val="20"/>
                <w:szCs w:val="20"/>
                <w:color w:val="auto"/>
              </w:rPr>
            </w:pPr>
            <w:r>
              <w:rPr>
                <w:rFonts w:ascii="Times New Roman" w:cs="Times New Roman" w:eastAsia="Times New Roman" w:hAnsi="Times New Roman"/>
                <w:sz w:val="10"/>
                <w:szCs w:val="10"/>
                <w:color w:val="auto"/>
              </w:rPr>
              <w:t>2,016</w:t>
            </w:r>
          </w:p>
        </w:tc>
        <w:tc>
          <w:tcPr>
            <w:tcW w:w="100" w:type="dxa"/>
            <w:vAlign w:val="bottom"/>
          </w:tcPr>
          <w:p>
            <w:pPr>
              <w:spacing w:after="0"/>
              <w:rPr>
                <w:sz w:val="9"/>
                <w:szCs w:val="9"/>
                <w:color w:val="auto"/>
              </w:rPr>
            </w:pPr>
          </w:p>
        </w:tc>
        <w:tc>
          <w:tcPr>
            <w:tcW w:w="480" w:type="dxa"/>
            <w:vAlign w:val="bottom"/>
            <w:gridSpan w:val="2"/>
          </w:tcPr>
          <w:p>
            <w:pPr>
              <w:jc w:val="right"/>
              <w:ind w:right="40"/>
              <w:spacing w:after="0" w:line="106" w:lineRule="exact"/>
              <w:rPr>
                <w:sz w:val="20"/>
                <w:szCs w:val="20"/>
                <w:color w:val="auto"/>
              </w:rPr>
            </w:pPr>
            <w:r>
              <w:rPr>
                <w:rFonts w:ascii="Times New Roman" w:cs="Times New Roman" w:eastAsia="Times New Roman" w:hAnsi="Times New Roman"/>
                <w:sz w:val="10"/>
                <w:szCs w:val="10"/>
                <w:color w:val="auto"/>
              </w:rPr>
              <w:t>0%</w:t>
            </w:r>
          </w:p>
        </w:tc>
        <w:tc>
          <w:tcPr>
            <w:tcW w:w="0" w:type="dxa"/>
            <w:vAlign w:val="bottom"/>
          </w:tcPr>
          <w:p>
            <w:pPr>
              <w:spacing w:after="0"/>
              <w:rPr>
                <w:sz w:val="1"/>
                <w:szCs w:val="1"/>
                <w:color w:val="auto"/>
              </w:rPr>
            </w:pPr>
          </w:p>
        </w:tc>
      </w:tr>
      <w:tr>
        <w:trPr>
          <w:trHeight w:val="105"/>
        </w:trPr>
        <w:tc>
          <w:tcPr>
            <w:tcW w:w="1280" w:type="dxa"/>
            <w:vAlign w:val="bottom"/>
            <w:gridSpan w:val="5"/>
            <w:shd w:val="clear" w:color="auto" w:fill="CCEEFF"/>
          </w:tcPr>
          <w:p>
            <w:pPr>
              <w:spacing w:after="0" w:line="105" w:lineRule="exact"/>
              <w:rPr>
                <w:sz w:val="20"/>
                <w:szCs w:val="20"/>
                <w:color w:val="auto"/>
              </w:rPr>
            </w:pPr>
            <w:r>
              <w:rPr>
                <w:rFonts w:ascii="Times New Roman" w:cs="Times New Roman" w:eastAsia="Times New Roman" w:hAnsi="Times New Roman"/>
                <w:sz w:val="10"/>
                <w:szCs w:val="10"/>
                <w:b w:val="1"/>
                <w:bCs w:val="1"/>
                <w:color w:val="auto"/>
              </w:rPr>
              <w:t>Total Affiliate Investments</w:t>
            </w:r>
          </w:p>
        </w:tc>
        <w:tc>
          <w:tcPr>
            <w:tcW w:w="6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gridSpan w:val="2"/>
            <w:shd w:val="clear" w:color="auto" w:fill="CCEEFF"/>
          </w:tcPr>
          <w:p>
            <w:pPr>
              <w:jc w:val="right"/>
              <w:spacing w:after="0" w:line="105" w:lineRule="exact"/>
              <w:rPr>
                <w:sz w:val="20"/>
                <w:szCs w:val="20"/>
                <w:color w:val="auto"/>
              </w:rPr>
            </w:pPr>
            <w:r>
              <w:rPr>
                <w:rFonts w:ascii="Times New Roman" w:cs="Times New Roman" w:eastAsia="Times New Roman" w:hAnsi="Times New Roman"/>
                <w:sz w:val="10"/>
                <w:szCs w:val="10"/>
                <w:u w:val="single" w:color="auto"/>
                <w:color w:val="auto"/>
              </w:rPr>
              <w:t>$</w:t>
            </w:r>
          </w:p>
        </w:tc>
        <w:tc>
          <w:tcPr>
            <w:tcW w:w="360" w:type="dxa"/>
            <w:vAlign w:val="bottom"/>
            <w:gridSpan w:val="2"/>
            <w:shd w:val="clear" w:color="auto" w:fill="CCEEFF"/>
          </w:tcPr>
          <w:p>
            <w:pPr>
              <w:jc w:val="right"/>
              <w:ind w:right="100"/>
              <w:spacing w:after="0" w:line="105" w:lineRule="exact"/>
              <w:rPr>
                <w:sz w:val="20"/>
                <w:szCs w:val="20"/>
                <w:color w:val="auto"/>
              </w:rPr>
            </w:pPr>
            <w:r>
              <w:rPr>
                <w:rFonts w:ascii="Times New Roman" w:cs="Times New Roman" w:eastAsia="Times New Roman" w:hAnsi="Times New Roman"/>
                <w:sz w:val="10"/>
                <w:szCs w:val="10"/>
                <w:color w:val="auto"/>
                <w:w w:val="87"/>
              </w:rPr>
              <w:t>77,136</w:t>
            </w:r>
          </w:p>
        </w:tc>
        <w:tc>
          <w:tcPr>
            <w:tcW w:w="60" w:type="dxa"/>
            <w:vAlign w:val="bottom"/>
            <w:shd w:val="clear" w:color="auto" w:fill="CCEEFF"/>
          </w:tcPr>
          <w:p>
            <w:pPr>
              <w:jc w:val="right"/>
              <w:spacing w:after="0" w:line="105" w:lineRule="exact"/>
              <w:rPr>
                <w:sz w:val="20"/>
                <w:szCs w:val="20"/>
                <w:color w:val="auto"/>
              </w:rPr>
            </w:pPr>
            <w:r>
              <w:rPr>
                <w:rFonts w:ascii="Times New Roman" w:cs="Times New Roman" w:eastAsia="Times New Roman" w:hAnsi="Times New Roman"/>
                <w:sz w:val="10"/>
                <w:szCs w:val="10"/>
                <w:u w:val="single" w:color="auto"/>
                <w:color w:val="auto"/>
                <w:w w:val="79"/>
              </w:rPr>
              <w:t>$</w:t>
            </w:r>
          </w:p>
        </w:tc>
        <w:tc>
          <w:tcPr>
            <w:tcW w:w="420" w:type="dxa"/>
            <w:vAlign w:val="bottom"/>
            <w:gridSpan w:val="2"/>
            <w:shd w:val="clear" w:color="auto" w:fill="CCEEFF"/>
          </w:tcPr>
          <w:p>
            <w:pPr>
              <w:jc w:val="right"/>
              <w:ind w:right="100"/>
              <w:spacing w:after="0" w:line="105" w:lineRule="exact"/>
              <w:rPr>
                <w:sz w:val="20"/>
                <w:szCs w:val="20"/>
                <w:color w:val="auto"/>
              </w:rPr>
            </w:pPr>
            <w:r>
              <w:rPr>
                <w:rFonts w:ascii="Times New Roman" w:cs="Times New Roman" w:eastAsia="Times New Roman" w:hAnsi="Times New Roman"/>
                <w:sz w:val="10"/>
                <w:szCs w:val="10"/>
                <w:color w:val="auto"/>
                <w:w w:val="92"/>
              </w:rPr>
              <w:t>122,905</w:t>
            </w:r>
          </w:p>
        </w:tc>
        <w:tc>
          <w:tcPr>
            <w:tcW w:w="480" w:type="dxa"/>
            <w:vAlign w:val="bottom"/>
            <w:gridSpan w:val="2"/>
            <w:shd w:val="clear" w:color="auto" w:fill="CCEEFF"/>
          </w:tcPr>
          <w:p>
            <w:pPr>
              <w:jc w:val="right"/>
              <w:ind w:right="40"/>
              <w:spacing w:after="0" w:line="105" w:lineRule="exact"/>
              <w:rPr>
                <w:sz w:val="20"/>
                <w:szCs w:val="20"/>
                <w:color w:val="auto"/>
              </w:rPr>
            </w:pPr>
            <w:r>
              <w:rPr>
                <w:rFonts w:ascii="Times New Roman" w:cs="Times New Roman" w:eastAsia="Times New Roman" w:hAnsi="Times New Roman"/>
                <w:sz w:val="10"/>
                <w:szCs w:val="10"/>
                <w:color w:val="auto"/>
              </w:rPr>
              <w:t>17%</w:t>
            </w:r>
          </w:p>
        </w:tc>
        <w:tc>
          <w:tcPr>
            <w:tcW w:w="0" w:type="dxa"/>
            <w:vAlign w:val="bottom"/>
          </w:tcPr>
          <w:p>
            <w:pPr>
              <w:spacing w:after="0"/>
              <w:rPr>
                <w:sz w:val="1"/>
                <w:szCs w:val="1"/>
                <w:color w:val="auto"/>
              </w:rPr>
            </w:pPr>
          </w:p>
        </w:tc>
      </w:tr>
      <w:tr>
        <w:trPr>
          <w:trHeight w:val="20"/>
        </w:trPr>
        <w:tc>
          <w:tcPr>
            <w:tcW w:w="1280" w:type="dxa"/>
            <w:vAlign w:val="bottom"/>
            <w:gridSpan w:val="5"/>
            <w:vMerge w:val="restart"/>
          </w:tcPr>
          <w:p>
            <w:pPr>
              <w:spacing w:after="0"/>
              <w:rPr>
                <w:sz w:val="20"/>
                <w:szCs w:val="20"/>
                <w:color w:val="auto"/>
              </w:rPr>
            </w:pPr>
            <w:r>
              <w:rPr>
                <w:rFonts w:ascii="Times New Roman" w:cs="Times New Roman" w:eastAsia="Times New Roman" w:hAnsi="Times New Roman"/>
                <w:sz w:val="10"/>
                <w:szCs w:val="10"/>
                <w:b w:val="1"/>
                <w:bCs w:val="1"/>
                <w:color w:val="auto"/>
              </w:rPr>
              <w:t>Non-control/Non-affiliate</w:t>
            </w: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
        </w:trPr>
        <w:tc>
          <w:tcPr>
            <w:tcW w:w="1280" w:type="dxa"/>
            <w:vAlign w:val="bottom"/>
            <w:gridSpan w:val="5"/>
            <w:vMerge w:val="continue"/>
          </w:tcPr>
          <w:p>
            <w:pPr>
              <w:spacing w:after="0"/>
              <w:rPr>
                <w:sz w:val="6"/>
                <w:szCs w:val="6"/>
                <w:color w:val="auto"/>
              </w:rPr>
            </w:pPr>
          </w:p>
        </w:tc>
        <w:tc>
          <w:tcPr>
            <w:tcW w:w="60" w:type="dxa"/>
            <w:vAlign w:val="bottom"/>
          </w:tcPr>
          <w:p>
            <w:pPr>
              <w:spacing w:after="0"/>
              <w:rPr>
                <w:sz w:val="6"/>
                <w:szCs w:val="6"/>
                <w:color w:val="auto"/>
              </w:rPr>
            </w:pPr>
          </w:p>
        </w:tc>
        <w:tc>
          <w:tcPr>
            <w:tcW w:w="880" w:type="dxa"/>
            <w:vAlign w:val="bottom"/>
          </w:tcPr>
          <w:p>
            <w:pPr>
              <w:spacing w:after="0"/>
              <w:rPr>
                <w:sz w:val="6"/>
                <w:szCs w:val="6"/>
                <w:color w:val="auto"/>
              </w:rPr>
            </w:pPr>
          </w:p>
        </w:tc>
        <w:tc>
          <w:tcPr>
            <w:tcW w:w="60" w:type="dxa"/>
            <w:vAlign w:val="bottom"/>
          </w:tcPr>
          <w:p>
            <w:pPr>
              <w:spacing w:after="0"/>
              <w:rPr>
                <w:sz w:val="6"/>
                <w:szCs w:val="6"/>
                <w:color w:val="auto"/>
              </w:rPr>
            </w:pPr>
          </w:p>
        </w:tc>
        <w:tc>
          <w:tcPr>
            <w:tcW w:w="900" w:type="dxa"/>
            <w:vAlign w:val="bottom"/>
          </w:tcPr>
          <w:p>
            <w:pPr>
              <w:spacing w:after="0"/>
              <w:rPr>
                <w:sz w:val="6"/>
                <w:szCs w:val="6"/>
                <w:color w:val="auto"/>
              </w:rPr>
            </w:pPr>
          </w:p>
        </w:tc>
        <w:tc>
          <w:tcPr>
            <w:tcW w:w="40" w:type="dxa"/>
            <w:vAlign w:val="bottom"/>
          </w:tcPr>
          <w:p>
            <w:pPr>
              <w:spacing w:after="0"/>
              <w:rPr>
                <w:sz w:val="6"/>
                <w:szCs w:val="6"/>
                <w:color w:val="auto"/>
              </w:rPr>
            </w:pPr>
          </w:p>
        </w:tc>
        <w:tc>
          <w:tcPr>
            <w:tcW w:w="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0" w:type="dxa"/>
            <w:vAlign w:val="bottom"/>
          </w:tcPr>
          <w:p>
            <w:pPr>
              <w:spacing w:after="0"/>
              <w:rPr>
                <w:sz w:val="6"/>
                <w:szCs w:val="6"/>
                <w:color w:val="auto"/>
              </w:rPr>
            </w:pPr>
          </w:p>
        </w:tc>
        <w:tc>
          <w:tcPr>
            <w:tcW w:w="480" w:type="dxa"/>
            <w:vAlign w:val="bottom"/>
          </w:tcPr>
          <w:p>
            <w:pPr>
              <w:spacing w:after="0"/>
              <w:rPr>
                <w:sz w:val="6"/>
                <w:szCs w:val="6"/>
                <w:color w:val="auto"/>
              </w:rPr>
            </w:pPr>
          </w:p>
        </w:tc>
        <w:tc>
          <w:tcPr>
            <w:tcW w:w="100" w:type="dxa"/>
            <w:vAlign w:val="bottom"/>
          </w:tcPr>
          <w:p>
            <w:pPr>
              <w:spacing w:after="0"/>
              <w:rPr>
                <w:sz w:val="6"/>
                <w:szCs w:val="6"/>
                <w:color w:val="auto"/>
              </w:rPr>
            </w:pPr>
          </w:p>
        </w:tc>
        <w:tc>
          <w:tcPr>
            <w:tcW w:w="4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26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60" w:type="dxa"/>
            <w:vAlign w:val="bottom"/>
          </w:tcPr>
          <w:p>
            <w:pPr>
              <w:spacing w:after="0"/>
              <w:rPr>
                <w:sz w:val="6"/>
                <w:szCs w:val="6"/>
                <w:color w:val="auto"/>
              </w:rPr>
            </w:pP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100" w:type="dxa"/>
            <w:vAlign w:val="bottom"/>
            <w:tcBorders>
              <w:top w:val="single" w:sz="8" w:color="auto"/>
            </w:tcBorders>
          </w:tcPr>
          <w:p>
            <w:pPr>
              <w:spacing w:after="0"/>
              <w:rPr>
                <w:sz w:val="7"/>
                <w:szCs w:val="7"/>
                <w:color w:val="auto"/>
              </w:rPr>
            </w:pPr>
          </w:p>
        </w:tc>
        <w:tc>
          <w:tcPr>
            <w:tcW w:w="500" w:type="dxa"/>
            <w:vAlign w:val="bottom"/>
            <w:tcBorders>
              <w:top w:val="single" w:sz="8" w:color="auto"/>
              <w:bottom w:val="single" w:sz="8" w:color="auto"/>
            </w:tcBorders>
          </w:tcPr>
          <w:p>
            <w:pPr>
              <w:spacing w:after="0" w:line="85" w:lineRule="exact"/>
              <w:rPr>
                <w:sz w:val="20"/>
                <w:szCs w:val="20"/>
                <w:color w:val="auto"/>
              </w:rPr>
            </w:pPr>
            <w:r>
              <w:rPr>
                <w:rFonts w:ascii="Times New Roman" w:cs="Times New Roman" w:eastAsia="Times New Roman" w:hAnsi="Times New Roman"/>
                <w:sz w:val="9"/>
                <w:szCs w:val="9"/>
                <w:b w:val="1"/>
                <w:bCs w:val="1"/>
                <w:color w:val="auto"/>
              </w:rPr>
              <w:t>Investments</w:t>
            </w:r>
          </w:p>
        </w:tc>
        <w:tc>
          <w:tcPr>
            <w:tcW w:w="440" w:type="dxa"/>
            <w:vAlign w:val="bottom"/>
            <w:tcBorders>
              <w:top w:val="single" w:sz="8" w:color="auto"/>
            </w:tcBorders>
          </w:tcPr>
          <w:p>
            <w:pPr>
              <w:spacing w:after="0"/>
              <w:rPr>
                <w:sz w:val="7"/>
                <w:szCs w:val="7"/>
                <w:color w:val="auto"/>
              </w:rPr>
            </w:pPr>
          </w:p>
        </w:tc>
        <w:tc>
          <w:tcPr>
            <w:tcW w:w="240" w:type="dxa"/>
            <w:vAlign w:val="bottom"/>
            <w:gridSpan w:val="2"/>
          </w:tcPr>
          <w:p>
            <w:pPr>
              <w:spacing w:after="0"/>
              <w:rPr>
                <w:sz w:val="7"/>
                <w:szCs w:val="7"/>
                <w:color w:val="auto"/>
              </w:rPr>
            </w:pPr>
          </w:p>
        </w:tc>
        <w:tc>
          <w:tcPr>
            <w:tcW w:w="60" w:type="dxa"/>
            <w:vAlign w:val="bottom"/>
          </w:tcPr>
          <w:p>
            <w:pPr>
              <w:spacing w:after="0"/>
              <w:rPr>
                <w:sz w:val="7"/>
                <w:szCs w:val="7"/>
                <w:color w:val="auto"/>
              </w:rPr>
            </w:pPr>
          </w:p>
        </w:tc>
        <w:tc>
          <w:tcPr>
            <w:tcW w:w="880" w:type="dxa"/>
            <w:vAlign w:val="bottom"/>
          </w:tcPr>
          <w:p>
            <w:pPr>
              <w:spacing w:after="0"/>
              <w:rPr>
                <w:sz w:val="7"/>
                <w:szCs w:val="7"/>
                <w:color w:val="auto"/>
              </w:rPr>
            </w:pPr>
          </w:p>
        </w:tc>
        <w:tc>
          <w:tcPr>
            <w:tcW w:w="60" w:type="dxa"/>
            <w:vAlign w:val="bottom"/>
          </w:tcPr>
          <w:p>
            <w:pPr>
              <w:spacing w:after="0"/>
              <w:rPr>
                <w:sz w:val="7"/>
                <w:szCs w:val="7"/>
                <w:color w:val="auto"/>
              </w:rPr>
            </w:pPr>
          </w:p>
        </w:tc>
        <w:tc>
          <w:tcPr>
            <w:tcW w:w="900" w:type="dxa"/>
            <w:vAlign w:val="bottom"/>
          </w:tcPr>
          <w:p>
            <w:pPr>
              <w:spacing w:after="0"/>
              <w:rPr>
                <w:sz w:val="7"/>
                <w:szCs w:val="7"/>
                <w:color w:val="auto"/>
              </w:rPr>
            </w:pPr>
          </w:p>
        </w:tc>
        <w:tc>
          <w:tcPr>
            <w:tcW w:w="40" w:type="dxa"/>
            <w:vAlign w:val="bottom"/>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6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26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0" w:type="dxa"/>
            <w:vAlign w:val="bottom"/>
          </w:tcPr>
          <w:p>
            <w:pPr>
              <w:spacing w:after="0"/>
              <w:rPr>
                <w:sz w:val="7"/>
                <w:szCs w:val="7"/>
                <w:color w:val="auto"/>
              </w:rPr>
            </w:pPr>
          </w:p>
        </w:tc>
        <w:tc>
          <w:tcPr>
            <w:tcW w:w="36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1280" w:type="dxa"/>
            <w:vAlign w:val="bottom"/>
            <w:gridSpan w:val="5"/>
            <w:shd w:val="clear" w:color="auto" w:fill="CCEEFF"/>
          </w:tcPr>
          <w:p>
            <w:pPr>
              <w:spacing w:after="0" w:line="82" w:lineRule="exact"/>
              <w:rPr>
                <w:sz w:val="20"/>
                <w:szCs w:val="20"/>
                <w:color w:val="auto"/>
              </w:rPr>
            </w:pPr>
            <w:r>
              <w:rPr>
                <w:rFonts w:ascii="Times New Roman" w:cs="Times New Roman" w:eastAsia="Times New Roman" w:hAnsi="Times New Roman"/>
                <w:sz w:val="9"/>
                <w:szCs w:val="9"/>
                <w:i w:val="1"/>
                <w:iCs w:val="1"/>
                <w:color w:val="auto"/>
              </w:rPr>
              <w:t>2KDirect, Inc. (dba iPromote)</w:t>
            </w:r>
          </w:p>
        </w:tc>
        <w:tc>
          <w:tcPr>
            <w:tcW w:w="60" w:type="dxa"/>
            <w:vAlign w:val="bottom"/>
            <w:shd w:val="clear" w:color="auto" w:fill="CCEEFF"/>
          </w:tcPr>
          <w:p>
            <w:pPr>
              <w:spacing w:after="0"/>
              <w:rPr>
                <w:sz w:val="7"/>
                <w:szCs w:val="7"/>
                <w:color w:val="auto"/>
              </w:rPr>
            </w:pPr>
          </w:p>
        </w:tc>
        <w:tc>
          <w:tcPr>
            <w:tcW w:w="8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940" w:type="dxa"/>
            <w:vAlign w:val="bottom"/>
            <w:gridSpan w:val="2"/>
            <w:shd w:val="clear" w:color="auto" w:fill="CCEEFF"/>
          </w:tcPr>
          <w:p>
            <w:pPr>
              <w:spacing w:after="0" w:line="82" w:lineRule="exact"/>
              <w:rPr>
                <w:sz w:val="20"/>
                <w:szCs w:val="20"/>
                <w:color w:val="auto"/>
              </w:rPr>
            </w:pPr>
            <w:r>
              <w:rPr>
                <w:rFonts w:ascii="Times New Roman" w:cs="Times New Roman" w:eastAsia="Times New Roman" w:hAnsi="Times New Roman"/>
                <w:sz w:val="9"/>
                <w:szCs w:val="9"/>
                <w:color w:val="auto"/>
              </w:rPr>
              <w:t>Information</w:t>
            </w:r>
          </w:p>
        </w:tc>
        <w:tc>
          <w:tcPr>
            <w:tcW w:w="56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8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18"/>
        </w:trPr>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0"/>
                <w:szCs w:val="10"/>
                <w:color w:val="auto"/>
              </w:rPr>
              <w:t>Technology Services</w:t>
            </w:r>
          </w:p>
        </w:tc>
        <w:tc>
          <w:tcPr>
            <w:tcW w:w="5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100" w:type="dxa"/>
            <w:vAlign w:val="bottom"/>
          </w:tcPr>
          <w:p>
            <w:pPr>
              <w:spacing w:after="0"/>
              <w:rPr>
                <w:sz w:val="9"/>
                <w:szCs w:val="9"/>
                <w:color w:val="auto"/>
              </w:rPr>
            </w:pPr>
          </w:p>
        </w:tc>
        <w:tc>
          <w:tcPr>
            <w:tcW w:w="1180" w:type="dxa"/>
            <w:vAlign w:val="bottom"/>
            <w:gridSpan w:val="4"/>
          </w:tcPr>
          <w:p>
            <w:pPr>
              <w:spacing w:after="0" w:line="105" w:lineRule="exact"/>
              <w:rPr>
                <w:sz w:val="20"/>
                <w:szCs w:val="20"/>
                <w:color w:val="auto"/>
              </w:rPr>
            </w:pPr>
            <w:r>
              <w:rPr>
                <w:rFonts w:ascii="Times New Roman" w:cs="Times New Roman" w:eastAsia="Times New Roman" w:hAnsi="Times New Roman"/>
                <w:sz w:val="10"/>
                <w:szCs w:val="10"/>
                <w:color w:val="auto"/>
              </w:rPr>
              <w:t>3000 Broad St; Suite 115</w:t>
            </w:r>
          </w:p>
        </w:tc>
        <w:tc>
          <w:tcPr>
            <w:tcW w:w="1000" w:type="dxa"/>
            <w:vAlign w:val="bottom"/>
            <w:gridSpan w:val="3"/>
          </w:tcPr>
          <w:p>
            <w:pPr>
              <w:ind w:left="60"/>
              <w:spacing w:after="0" w:line="105" w:lineRule="exact"/>
              <w:rPr>
                <w:sz w:val="20"/>
                <w:szCs w:val="20"/>
                <w:color w:val="auto"/>
              </w:rPr>
            </w:pPr>
            <w:r>
              <w:rPr>
                <w:rFonts w:ascii="Times New Roman" w:cs="Times New Roman" w:eastAsia="Times New Roman" w:hAnsi="Times New Roman"/>
                <w:sz w:val="10"/>
                <w:szCs w:val="10"/>
                <w:color w:val="auto"/>
              </w:rPr>
              <w:t>First Lien Debt (at)</w:t>
            </w:r>
          </w:p>
        </w:tc>
        <w:tc>
          <w:tcPr>
            <w:tcW w:w="90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920" w:type="dxa"/>
            <w:vAlign w:val="bottom"/>
            <w:gridSpan w:val="2"/>
          </w:tcPr>
          <w:p>
            <w:pPr>
              <w:jc w:val="center"/>
              <w:ind w:right="60"/>
              <w:spacing w:after="0" w:line="105" w:lineRule="exact"/>
              <w:rPr>
                <w:sz w:val="20"/>
                <w:szCs w:val="20"/>
                <w:color w:val="auto"/>
              </w:rPr>
            </w:pPr>
            <w:r>
              <w:rPr>
                <w:rFonts w:ascii="Times New Roman" w:cs="Times New Roman" w:eastAsia="Times New Roman" w:hAnsi="Times New Roman"/>
                <w:sz w:val="10"/>
                <w:szCs w:val="10"/>
                <w:color w:val="auto"/>
                <w:w w:val="96"/>
              </w:rPr>
              <w:t>(S + 8.00%) / (0.50%)</w:t>
            </w:r>
          </w:p>
        </w:tc>
        <w:tc>
          <w:tcPr>
            <w:tcW w:w="700" w:type="dxa"/>
            <w:vAlign w:val="bottom"/>
            <w:gridSpan w:val="2"/>
          </w:tcPr>
          <w:p>
            <w:pPr>
              <w:jc w:val="right"/>
              <w:ind w:right="100"/>
              <w:spacing w:after="0" w:line="105" w:lineRule="exact"/>
              <w:rPr>
                <w:sz w:val="20"/>
                <w:szCs w:val="20"/>
                <w:color w:val="auto"/>
              </w:rPr>
            </w:pPr>
            <w:r>
              <w:rPr>
                <w:rFonts w:ascii="Times New Roman" w:cs="Times New Roman" w:eastAsia="Times New Roman" w:hAnsi="Times New Roman"/>
                <w:sz w:val="10"/>
                <w:szCs w:val="10"/>
                <w:color w:val="auto"/>
                <w:w w:val="97"/>
              </w:rPr>
              <w:t>11.81%/0.00%</w:t>
            </w:r>
          </w:p>
        </w:tc>
        <w:tc>
          <w:tcPr>
            <w:tcW w:w="580" w:type="dxa"/>
            <w:vAlign w:val="bottom"/>
            <w:gridSpan w:val="2"/>
          </w:tcPr>
          <w:p>
            <w:pPr>
              <w:jc w:val="right"/>
              <w:ind w:right="100"/>
              <w:spacing w:after="0" w:line="105" w:lineRule="exact"/>
              <w:rPr>
                <w:sz w:val="20"/>
                <w:szCs w:val="20"/>
                <w:color w:val="auto"/>
              </w:rPr>
            </w:pPr>
            <w:r>
              <w:rPr>
                <w:rFonts w:ascii="Times New Roman" w:cs="Times New Roman" w:eastAsia="Times New Roman" w:hAnsi="Times New Roman"/>
                <w:sz w:val="10"/>
                <w:szCs w:val="10"/>
                <w:color w:val="auto"/>
              </w:rPr>
              <w:t>6/25/2021</w:t>
            </w:r>
          </w:p>
        </w:tc>
        <w:tc>
          <w:tcPr>
            <w:tcW w:w="480" w:type="dxa"/>
            <w:vAlign w:val="bottom"/>
          </w:tcPr>
          <w:p>
            <w:pPr>
              <w:jc w:val="right"/>
              <w:spacing w:after="0" w:line="105" w:lineRule="exact"/>
              <w:rPr>
                <w:sz w:val="20"/>
                <w:szCs w:val="20"/>
                <w:color w:val="auto"/>
              </w:rPr>
            </w:pPr>
            <w:r>
              <w:rPr>
                <w:rFonts w:ascii="Times New Roman" w:cs="Times New Roman" w:eastAsia="Times New Roman" w:hAnsi="Times New Roman"/>
                <w:sz w:val="10"/>
                <w:szCs w:val="10"/>
                <w:color w:val="auto"/>
              </w:rPr>
              <w:t>9/30/2027</w:t>
            </w:r>
          </w:p>
        </w:tc>
        <w:tc>
          <w:tcPr>
            <w:tcW w:w="100" w:type="dxa"/>
            <w:vAlign w:val="bottom"/>
          </w:tcPr>
          <w:p>
            <w:pPr>
              <w:spacing w:after="0"/>
              <w:rPr>
                <w:sz w:val="9"/>
                <w:szCs w:val="9"/>
                <w:color w:val="auto"/>
              </w:rPr>
            </w:pPr>
          </w:p>
        </w:tc>
        <w:tc>
          <w:tcPr>
            <w:tcW w:w="60" w:type="dxa"/>
            <w:vAlign w:val="bottom"/>
          </w:tcPr>
          <w:p>
            <w:pPr>
              <w:spacing w:after="0" w:line="105" w:lineRule="exact"/>
              <w:rPr>
                <w:sz w:val="20"/>
                <w:szCs w:val="20"/>
                <w:color w:val="auto"/>
              </w:rPr>
            </w:pPr>
            <w:r>
              <w:rPr>
                <w:rFonts w:ascii="Times New Roman" w:cs="Times New Roman" w:eastAsia="Times New Roman" w:hAnsi="Times New Roman"/>
                <w:sz w:val="10"/>
                <w:szCs w:val="10"/>
                <w:color w:val="auto"/>
                <w:w w:val="79"/>
              </w:rPr>
              <w:t>$</w:t>
            </w:r>
          </w:p>
        </w:tc>
        <w:tc>
          <w:tcPr>
            <w:tcW w:w="260" w:type="dxa"/>
            <w:vAlign w:val="bottom"/>
          </w:tcPr>
          <w:p>
            <w:pPr>
              <w:jc w:val="right"/>
              <w:spacing w:after="0" w:line="105" w:lineRule="exact"/>
              <w:rPr>
                <w:sz w:val="20"/>
                <w:szCs w:val="20"/>
                <w:color w:val="auto"/>
              </w:rPr>
            </w:pPr>
            <w:r>
              <w:rPr>
                <w:rFonts w:ascii="Times New Roman" w:cs="Times New Roman" w:eastAsia="Times New Roman" w:hAnsi="Times New Roman"/>
                <w:sz w:val="10"/>
                <w:szCs w:val="10"/>
                <w:color w:val="auto"/>
              </w:rPr>
              <w:t>6,573</w:t>
            </w:r>
          </w:p>
        </w:tc>
        <w:tc>
          <w:tcPr>
            <w:tcW w:w="60" w:type="dxa"/>
            <w:vAlign w:val="bottom"/>
          </w:tcPr>
          <w:p>
            <w:pPr>
              <w:spacing w:after="0"/>
              <w:rPr>
                <w:sz w:val="9"/>
                <w:szCs w:val="9"/>
                <w:color w:val="auto"/>
              </w:rPr>
            </w:pPr>
          </w:p>
        </w:tc>
        <w:tc>
          <w:tcPr>
            <w:tcW w:w="100" w:type="dxa"/>
            <w:vAlign w:val="bottom"/>
            <w:gridSpan w:val="2"/>
          </w:tcPr>
          <w:p>
            <w:pPr>
              <w:jc w:val="right"/>
              <w:spacing w:after="0" w:line="105" w:lineRule="exact"/>
              <w:rPr>
                <w:sz w:val="20"/>
                <w:szCs w:val="20"/>
                <w:color w:val="auto"/>
              </w:rPr>
            </w:pPr>
            <w:r>
              <w:rPr>
                <w:rFonts w:ascii="Times New Roman" w:cs="Times New Roman" w:eastAsia="Times New Roman" w:hAnsi="Times New Roman"/>
                <w:sz w:val="10"/>
                <w:szCs w:val="10"/>
                <w:color w:val="auto"/>
              </w:rPr>
              <w:t>$</w:t>
            </w:r>
          </w:p>
        </w:tc>
        <w:tc>
          <w:tcPr>
            <w:tcW w:w="260" w:type="dxa"/>
            <w:vAlign w:val="bottom"/>
          </w:tcPr>
          <w:p>
            <w:pPr>
              <w:jc w:val="right"/>
              <w:spacing w:after="0" w:line="105" w:lineRule="exact"/>
              <w:rPr>
                <w:sz w:val="20"/>
                <w:szCs w:val="20"/>
                <w:color w:val="auto"/>
              </w:rPr>
            </w:pPr>
            <w:r>
              <w:rPr>
                <w:rFonts w:ascii="Times New Roman" w:cs="Times New Roman" w:eastAsia="Times New Roman" w:hAnsi="Times New Roman"/>
                <w:sz w:val="10"/>
                <w:szCs w:val="10"/>
                <w:color w:val="auto"/>
              </w:rPr>
              <w:t>6,566</w:t>
            </w:r>
          </w:p>
        </w:tc>
        <w:tc>
          <w:tcPr>
            <w:tcW w:w="100" w:type="dxa"/>
            <w:vAlign w:val="bottom"/>
          </w:tcPr>
          <w:p>
            <w:pPr>
              <w:spacing w:after="0"/>
              <w:rPr>
                <w:sz w:val="9"/>
                <w:szCs w:val="9"/>
                <w:color w:val="auto"/>
              </w:rPr>
            </w:pPr>
          </w:p>
        </w:tc>
        <w:tc>
          <w:tcPr>
            <w:tcW w:w="60" w:type="dxa"/>
            <w:vAlign w:val="bottom"/>
          </w:tcPr>
          <w:p>
            <w:pPr>
              <w:jc w:val="right"/>
              <w:spacing w:after="0" w:line="105" w:lineRule="exact"/>
              <w:rPr>
                <w:sz w:val="20"/>
                <w:szCs w:val="20"/>
                <w:color w:val="auto"/>
              </w:rPr>
            </w:pPr>
            <w:r>
              <w:rPr>
                <w:rFonts w:ascii="Times New Roman" w:cs="Times New Roman" w:eastAsia="Times New Roman" w:hAnsi="Times New Roman"/>
                <w:sz w:val="10"/>
                <w:szCs w:val="10"/>
                <w:color w:val="auto"/>
                <w:w w:val="79"/>
              </w:rPr>
              <w:t>$</w:t>
            </w:r>
          </w:p>
        </w:tc>
        <w:tc>
          <w:tcPr>
            <w:tcW w:w="420" w:type="dxa"/>
            <w:vAlign w:val="bottom"/>
            <w:gridSpan w:val="2"/>
          </w:tcPr>
          <w:p>
            <w:pPr>
              <w:jc w:val="right"/>
              <w:ind w:right="100"/>
              <w:spacing w:after="0" w:line="105" w:lineRule="exact"/>
              <w:rPr>
                <w:sz w:val="20"/>
                <w:szCs w:val="20"/>
                <w:color w:val="auto"/>
              </w:rPr>
            </w:pPr>
            <w:r>
              <w:rPr>
                <w:rFonts w:ascii="Times New Roman" w:cs="Times New Roman" w:eastAsia="Times New Roman" w:hAnsi="Times New Roman"/>
                <w:sz w:val="10"/>
                <w:szCs w:val="10"/>
                <w:color w:val="auto"/>
              </w:rPr>
              <w:t>6,573</w:t>
            </w: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00" w:type="dxa"/>
            <w:vAlign w:val="bottom"/>
            <w:shd w:val="clear" w:color="auto" w:fill="CCEEFF"/>
          </w:tcPr>
          <w:p>
            <w:pPr>
              <w:spacing w:after="0"/>
              <w:rPr>
                <w:sz w:val="9"/>
                <w:szCs w:val="9"/>
                <w:color w:val="auto"/>
              </w:rPr>
            </w:pPr>
          </w:p>
        </w:tc>
        <w:tc>
          <w:tcPr>
            <w:tcW w:w="1180" w:type="dxa"/>
            <w:vAlign w:val="bottom"/>
            <w:gridSpan w:val="4"/>
            <w:shd w:val="clear" w:color="auto" w:fill="CCEEFF"/>
          </w:tcPr>
          <w:p>
            <w:pPr>
              <w:spacing w:after="0" w:line="105" w:lineRule="exact"/>
              <w:rPr>
                <w:sz w:val="20"/>
                <w:szCs w:val="20"/>
                <w:color w:val="auto"/>
              </w:rPr>
            </w:pPr>
            <w:r>
              <w:rPr>
                <w:rFonts w:ascii="Times New Roman" w:cs="Times New Roman" w:eastAsia="Times New Roman" w:hAnsi="Times New Roman"/>
                <w:sz w:val="10"/>
                <w:szCs w:val="10"/>
                <w:color w:val="auto"/>
              </w:rPr>
              <w:t>San Luis Obispo, CA 93401</w:t>
            </w:r>
          </w:p>
        </w:tc>
        <w:tc>
          <w:tcPr>
            <w:tcW w:w="1000" w:type="dxa"/>
            <w:vAlign w:val="bottom"/>
            <w:gridSpan w:val="3"/>
            <w:shd w:val="clear" w:color="auto" w:fill="CCEEFF"/>
          </w:tcPr>
          <w:p>
            <w:pPr>
              <w:ind w:left="60"/>
              <w:spacing w:after="0" w:line="105" w:lineRule="exact"/>
              <w:rPr>
                <w:sz w:val="20"/>
                <w:szCs w:val="20"/>
                <w:color w:val="auto"/>
              </w:rPr>
            </w:pPr>
            <w:r>
              <w:rPr>
                <w:rFonts w:ascii="Times New Roman" w:cs="Times New Roman" w:eastAsia="Times New Roman" w:hAnsi="Times New Roman"/>
                <w:sz w:val="10"/>
                <w:szCs w:val="10"/>
                <w:color w:val="auto"/>
              </w:rPr>
              <w:t>First Lien Debt (aa)</w:t>
            </w:r>
          </w:p>
        </w:tc>
        <w:tc>
          <w:tcPr>
            <w:tcW w:w="9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920" w:type="dxa"/>
            <w:vAlign w:val="bottom"/>
            <w:gridSpan w:val="2"/>
            <w:shd w:val="clear" w:color="auto" w:fill="CCEEFF"/>
          </w:tcPr>
          <w:p>
            <w:pPr>
              <w:jc w:val="center"/>
              <w:ind w:right="60"/>
              <w:spacing w:after="0" w:line="105" w:lineRule="exact"/>
              <w:rPr>
                <w:sz w:val="20"/>
                <w:szCs w:val="20"/>
                <w:color w:val="auto"/>
              </w:rPr>
            </w:pPr>
            <w:r>
              <w:rPr>
                <w:rFonts w:ascii="Times New Roman" w:cs="Times New Roman" w:eastAsia="Times New Roman" w:hAnsi="Times New Roman"/>
                <w:sz w:val="10"/>
                <w:szCs w:val="10"/>
                <w:color w:val="auto"/>
                <w:w w:val="96"/>
              </w:rPr>
              <w:t>(S + 8.00%) / (0.50%)</w:t>
            </w:r>
          </w:p>
        </w:tc>
        <w:tc>
          <w:tcPr>
            <w:tcW w:w="700" w:type="dxa"/>
            <w:vAlign w:val="bottom"/>
            <w:gridSpan w:val="2"/>
            <w:shd w:val="clear" w:color="auto" w:fill="CCEEFF"/>
          </w:tcPr>
          <w:p>
            <w:pPr>
              <w:jc w:val="right"/>
              <w:ind w:right="100"/>
              <w:spacing w:after="0" w:line="105" w:lineRule="exact"/>
              <w:rPr>
                <w:sz w:val="20"/>
                <w:szCs w:val="20"/>
                <w:color w:val="auto"/>
              </w:rPr>
            </w:pPr>
            <w:r>
              <w:rPr>
                <w:rFonts w:ascii="Times New Roman" w:cs="Times New Roman" w:eastAsia="Times New Roman" w:hAnsi="Times New Roman"/>
                <w:sz w:val="10"/>
                <w:szCs w:val="10"/>
                <w:color w:val="auto"/>
              </w:rPr>
              <w:t>8.06%/0.00%</w:t>
            </w:r>
          </w:p>
        </w:tc>
        <w:tc>
          <w:tcPr>
            <w:tcW w:w="580" w:type="dxa"/>
            <w:vAlign w:val="bottom"/>
            <w:gridSpan w:val="2"/>
            <w:shd w:val="clear" w:color="auto" w:fill="CCEEFF"/>
          </w:tcPr>
          <w:p>
            <w:pPr>
              <w:jc w:val="right"/>
              <w:ind w:right="100"/>
              <w:spacing w:after="0" w:line="105" w:lineRule="exact"/>
              <w:rPr>
                <w:sz w:val="20"/>
                <w:szCs w:val="20"/>
                <w:color w:val="auto"/>
              </w:rPr>
            </w:pPr>
            <w:r>
              <w:rPr>
                <w:rFonts w:ascii="Times New Roman" w:cs="Times New Roman" w:eastAsia="Times New Roman" w:hAnsi="Times New Roman"/>
                <w:sz w:val="10"/>
                <w:szCs w:val="10"/>
                <w:color w:val="auto"/>
              </w:rPr>
              <w:t>7/30/2021</w:t>
            </w:r>
          </w:p>
        </w:tc>
        <w:tc>
          <w:tcPr>
            <w:tcW w:w="480" w:type="dxa"/>
            <w:vAlign w:val="bottom"/>
            <w:shd w:val="clear" w:color="auto" w:fill="CCEEFF"/>
          </w:tcPr>
          <w:p>
            <w:pPr>
              <w:jc w:val="right"/>
              <w:spacing w:after="0" w:line="105" w:lineRule="exact"/>
              <w:rPr>
                <w:sz w:val="20"/>
                <w:szCs w:val="20"/>
                <w:color w:val="auto"/>
              </w:rPr>
            </w:pPr>
            <w:r>
              <w:rPr>
                <w:rFonts w:ascii="Times New Roman" w:cs="Times New Roman" w:eastAsia="Times New Roman" w:hAnsi="Times New Roman"/>
                <w:sz w:val="10"/>
                <w:szCs w:val="10"/>
                <w:color w:val="auto"/>
              </w:rPr>
              <w:t>9/30/2027</w:t>
            </w: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60" w:type="dxa"/>
            <w:vAlign w:val="bottom"/>
            <w:shd w:val="clear" w:color="auto" w:fill="CCEEFF"/>
          </w:tcPr>
          <w:p>
            <w:pPr>
              <w:jc w:val="right"/>
              <w:spacing w:after="0" w:line="105" w:lineRule="exact"/>
              <w:rPr>
                <w:sz w:val="20"/>
                <w:szCs w:val="20"/>
                <w:color w:val="auto"/>
              </w:rPr>
            </w:pPr>
            <w:r>
              <w:rPr>
                <w:rFonts w:ascii="Times New Roman" w:cs="Times New Roman" w:eastAsia="Times New Roman" w:hAnsi="Times New Roman"/>
                <w:sz w:val="10"/>
                <w:szCs w:val="10"/>
                <w:color w:val="auto"/>
              </w:rPr>
              <w:t>1,771</w:t>
            </w: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60" w:type="dxa"/>
            <w:vAlign w:val="bottom"/>
            <w:shd w:val="clear" w:color="auto" w:fill="CCEEFF"/>
          </w:tcPr>
          <w:p>
            <w:pPr>
              <w:jc w:val="right"/>
              <w:spacing w:after="0" w:line="105" w:lineRule="exact"/>
              <w:rPr>
                <w:sz w:val="20"/>
                <w:szCs w:val="20"/>
                <w:color w:val="auto"/>
              </w:rPr>
            </w:pPr>
            <w:r>
              <w:rPr>
                <w:rFonts w:ascii="Times New Roman" w:cs="Times New Roman" w:eastAsia="Times New Roman" w:hAnsi="Times New Roman"/>
                <w:sz w:val="10"/>
                <w:szCs w:val="10"/>
                <w:color w:val="auto"/>
              </w:rPr>
              <w:t>1,771</w:t>
            </w: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20" w:type="dxa"/>
            <w:vAlign w:val="bottom"/>
            <w:gridSpan w:val="2"/>
            <w:shd w:val="clear" w:color="auto" w:fill="CCEEFF"/>
          </w:tcPr>
          <w:p>
            <w:pPr>
              <w:jc w:val="right"/>
              <w:ind w:right="100"/>
              <w:spacing w:after="0" w:line="105" w:lineRule="exact"/>
              <w:rPr>
                <w:sz w:val="20"/>
                <w:szCs w:val="20"/>
                <w:color w:val="auto"/>
              </w:rPr>
            </w:pPr>
            <w:r>
              <w:rPr>
                <w:rFonts w:ascii="Times New Roman" w:cs="Times New Roman" w:eastAsia="Times New Roman" w:hAnsi="Times New Roman"/>
                <w:sz w:val="10"/>
                <w:szCs w:val="10"/>
                <w:color w:val="auto"/>
              </w:rPr>
              <w:t>1,771</w:t>
            </w:r>
          </w:p>
        </w:tc>
        <w:tc>
          <w:tcPr>
            <w:tcW w:w="3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91"/>
        </w:trPr>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0" w:type="dxa"/>
            <w:vAlign w:val="bottom"/>
            <w:gridSpan w:val="3"/>
          </w:tcPr>
          <w:p>
            <w:pPr>
              <w:ind w:left="60"/>
              <w:spacing w:after="0" w:line="92" w:lineRule="exact"/>
              <w:rPr>
                <w:sz w:val="20"/>
                <w:szCs w:val="20"/>
                <w:color w:val="auto"/>
              </w:rPr>
            </w:pPr>
            <w:r>
              <w:rPr>
                <w:rFonts w:ascii="Times New Roman" w:cs="Times New Roman" w:eastAsia="Times New Roman" w:hAnsi="Times New Roman"/>
                <w:sz w:val="10"/>
                <w:szCs w:val="10"/>
                <w:color w:val="auto"/>
              </w:rPr>
              <w:t>Common Equity</w:t>
            </w:r>
          </w:p>
        </w:tc>
        <w:tc>
          <w:tcPr>
            <w:tcW w:w="900" w:type="dxa"/>
            <w:vAlign w:val="bottom"/>
          </w:tcPr>
          <w:p>
            <w:pPr>
              <w:spacing w:after="0"/>
              <w:rPr>
                <w:sz w:val="7"/>
                <w:szCs w:val="7"/>
                <w:color w:val="auto"/>
              </w:rPr>
            </w:pPr>
          </w:p>
        </w:tc>
        <w:tc>
          <w:tcPr>
            <w:tcW w:w="40" w:type="dxa"/>
            <w:vAlign w:val="bottom"/>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6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26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0" w:type="dxa"/>
            <w:vAlign w:val="bottom"/>
          </w:tcPr>
          <w:p>
            <w:pPr>
              <w:spacing w:after="0"/>
              <w:rPr>
                <w:sz w:val="7"/>
                <w:szCs w:val="7"/>
                <w:color w:val="auto"/>
              </w:rPr>
            </w:pPr>
          </w:p>
        </w:tc>
        <w:tc>
          <w:tcPr>
            <w:tcW w:w="36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9"/>
        </w:trPr>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0" w:type="dxa"/>
            <w:vAlign w:val="bottom"/>
            <w:gridSpan w:val="3"/>
          </w:tcPr>
          <w:p>
            <w:pPr>
              <w:ind w:left="60"/>
              <w:spacing w:after="0"/>
              <w:rPr>
                <w:sz w:val="20"/>
                <w:szCs w:val="20"/>
                <w:color w:val="auto"/>
              </w:rPr>
            </w:pPr>
            <w:r>
              <w:rPr>
                <w:rFonts w:ascii="Times New Roman" w:cs="Times New Roman" w:eastAsia="Times New Roman" w:hAnsi="Times New Roman"/>
                <w:sz w:val="10"/>
                <w:szCs w:val="10"/>
                <w:color w:val="auto"/>
              </w:rPr>
              <w:t>(1,000,000 units)</w:t>
            </w:r>
          </w:p>
        </w:tc>
        <w:tc>
          <w:tcPr>
            <w:tcW w:w="9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2.5%</w:t>
            </w:r>
          </w:p>
        </w:tc>
        <w:tc>
          <w:tcPr>
            <w:tcW w:w="8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6/25/2021</w:t>
            </w: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1,000</w:t>
            </w:r>
          </w:p>
        </w:tc>
        <w:tc>
          <w:tcPr>
            <w:tcW w:w="10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— </w:t>
            </w: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60" w:type="dxa"/>
            <w:vAlign w:val="bottom"/>
            <w:shd w:val="clear" w:color="auto" w:fill="CCEEFF"/>
          </w:tcPr>
          <w:p>
            <w:pPr>
              <w:jc w:val="right"/>
              <w:spacing w:after="0" w:line="105" w:lineRule="exact"/>
              <w:rPr>
                <w:sz w:val="20"/>
                <w:szCs w:val="20"/>
                <w:color w:val="auto"/>
              </w:rPr>
            </w:pPr>
            <w:r>
              <w:rPr>
                <w:rFonts w:ascii="Times New Roman" w:cs="Times New Roman" w:eastAsia="Times New Roman" w:hAnsi="Times New Roman"/>
                <w:sz w:val="10"/>
                <w:szCs w:val="10"/>
                <w:color w:val="auto"/>
              </w:rPr>
              <w:t>9,337</w:t>
            </w: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20" w:type="dxa"/>
            <w:vAlign w:val="bottom"/>
            <w:gridSpan w:val="2"/>
            <w:shd w:val="clear" w:color="auto" w:fill="CCEEFF"/>
          </w:tcPr>
          <w:p>
            <w:pPr>
              <w:jc w:val="right"/>
              <w:ind w:right="100"/>
              <w:spacing w:after="0" w:line="105" w:lineRule="exact"/>
              <w:rPr>
                <w:sz w:val="20"/>
                <w:szCs w:val="20"/>
                <w:color w:val="auto"/>
              </w:rPr>
            </w:pPr>
            <w:r>
              <w:rPr>
                <w:rFonts w:ascii="Times New Roman" w:cs="Times New Roman" w:eastAsia="Times New Roman" w:hAnsi="Times New Roman"/>
                <w:sz w:val="10"/>
                <w:szCs w:val="10"/>
                <w:color w:val="auto"/>
              </w:rPr>
              <w:t>8,344</w:t>
            </w:r>
          </w:p>
        </w:tc>
        <w:tc>
          <w:tcPr>
            <w:tcW w:w="480" w:type="dxa"/>
            <w:vAlign w:val="bottom"/>
            <w:gridSpan w:val="2"/>
            <w:shd w:val="clear" w:color="auto" w:fill="CCEEFF"/>
          </w:tcPr>
          <w:p>
            <w:pPr>
              <w:jc w:val="right"/>
              <w:ind w:right="40"/>
              <w:spacing w:after="0" w:line="105" w:lineRule="exact"/>
              <w:rPr>
                <w:sz w:val="20"/>
                <w:szCs w:val="20"/>
                <w:color w:val="auto"/>
              </w:rPr>
            </w:pPr>
            <w:r>
              <w:rPr>
                <w:rFonts w:ascii="Times New Roman" w:cs="Times New Roman" w:eastAsia="Times New Roman" w:hAnsi="Times New Roman"/>
                <w:sz w:val="10"/>
                <w:szCs w:val="10"/>
                <w:color w:val="auto"/>
              </w:rPr>
              <w:t>1%</w:t>
            </w:r>
          </w:p>
        </w:tc>
        <w:tc>
          <w:tcPr>
            <w:tcW w:w="0" w:type="dxa"/>
            <w:vAlign w:val="bottom"/>
          </w:tcPr>
          <w:p>
            <w:pPr>
              <w:spacing w:after="0"/>
              <w:rPr>
                <w:sz w:val="1"/>
                <w:szCs w:val="1"/>
                <w:color w:val="auto"/>
              </w:rPr>
            </w:pPr>
          </w:p>
        </w:tc>
      </w:tr>
      <w:tr>
        <w:trPr>
          <w:trHeight w:val="89"/>
        </w:trPr>
        <w:tc>
          <w:tcPr>
            <w:tcW w:w="1280" w:type="dxa"/>
            <w:vAlign w:val="bottom"/>
            <w:gridSpan w:val="5"/>
          </w:tcPr>
          <w:p>
            <w:pPr>
              <w:spacing w:after="0" w:line="90" w:lineRule="exact"/>
              <w:rPr>
                <w:sz w:val="20"/>
                <w:szCs w:val="20"/>
                <w:color w:val="auto"/>
              </w:rPr>
            </w:pPr>
            <w:r>
              <w:rPr>
                <w:rFonts w:ascii="Times New Roman" w:cs="Times New Roman" w:eastAsia="Times New Roman" w:hAnsi="Times New Roman"/>
                <w:sz w:val="10"/>
                <w:szCs w:val="10"/>
                <w:i w:val="1"/>
                <w:iCs w:val="1"/>
                <w:color w:val="auto"/>
              </w:rPr>
              <w:t>301 Edison Holdings Inc. (dba</w:t>
            </w:r>
          </w:p>
        </w:tc>
        <w:tc>
          <w:tcPr>
            <w:tcW w:w="60" w:type="dxa"/>
            <w:vAlign w:val="bottom"/>
          </w:tcPr>
          <w:p>
            <w:pPr>
              <w:spacing w:after="0"/>
              <w:rPr>
                <w:sz w:val="7"/>
                <w:szCs w:val="7"/>
                <w:color w:val="auto"/>
              </w:rPr>
            </w:pPr>
          </w:p>
        </w:tc>
        <w:tc>
          <w:tcPr>
            <w:tcW w:w="880" w:type="dxa"/>
            <w:vAlign w:val="bottom"/>
          </w:tcPr>
          <w:p>
            <w:pPr>
              <w:spacing w:after="0"/>
              <w:rPr>
                <w:sz w:val="7"/>
                <w:szCs w:val="7"/>
                <w:color w:val="auto"/>
              </w:rPr>
            </w:pPr>
          </w:p>
        </w:tc>
        <w:tc>
          <w:tcPr>
            <w:tcW w:w="60" w:type="dxa"/>
            <w:vAlign w:val="bottom"/>
          </w:tcPr>
          <w:p>
            <w:pPr>
              <w:spacing w:after="0"/>
              <w:rPr>
                <w:sz w:val="7"/>
                <w:szCs w:val="7"/>
                <w:color w:val="auto"/>
              </w:rPr>
            </w:pPr>
          </w:p>
        </w:tc>
        <w:tc>
          <w:tcPr>
            <w:tcW w:w="900" w:type="dxa"/>
            <w:vAlign w:val="bottom"/>
          </w:tcPr>
          <w:p>
            <w:pPr>
              <w:spacing w:after="0"/>
              <w:rPr>
                <w:sz w:val="7"/>
                <w:szCs w:val="7"/>
                <w:color w:val="auto"/>
              </w:rPr>
            </w:pPr>
          </w:p>
        </w:tc>
        <w:tc>
          <w:tcPr>
            <w:tcW w:w="40" w:type="dxa"/>
            <w:vAlign w:val="bottom"/>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6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26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0" w:type="dxa"/>
            <w:vAlign w:val="bottom"/>
          </w:tcPr>
          <w:p>
            <w:pPr>
              <w:spacing w:after="0"/>
              <w:rPr>
                <w:sz w:val="7"/>
                <w:szCs w:val="7"/>
                <w:color w:val="auto"/>
              </w:rPr>
            </w:pPr>
          </w:p>
        </w:tc>
        <w:tc>
          <w:tcPr>
            <w:tcW w:w="36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0"/>
        </w:trPr>
        <w:tc>
          <w:tcPr>
            <w:tcW w:w="1280" w:type="dxa"/>
            <w:vAlign w:val="bottom"/>
            <w:gridSpan w:val="5"/>
          </w:tcPr>
          <w:p>
            <w:pPr>
              <w:spacing w:after="0"/>
              <w:rPr>
                <w:sz w:val="20"/>
                <w:szCs w:val="20"/>
                <w:color w:val="auto"/>
              </w:rPr>
            </w:pPr>
            <w:r>
              <w:rPr>
                <w:rFonts w:ascii="Times New Roman" w:cs="Times New Roman" w:eastAsia="Times New Roman" w:hAnsi="Times New Roman"/>
                <w:sz w:val="10"/>
                <w:szCs w:val="10"/>
                <w:i w:val="1"/>
                <w:iCs w:val="1"/>
                <w:color w:val="auto"/>
              </w:rPr>
              <w:t>LGG Industrial)</w:t>
            </w:r>
          </w:p>
        </w:tc>
        <w:tc>
          <w:tcPr>
            <w:tcW w:w="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Specialty Distribution</w:t>
            </w: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100" w:type="dxa"/>
            <w:vAlign w:val="bottom"/>
            <w:shd w:val="clear" w:color="auto" w:fill="CCEEFF"/>
          </w:tcPr>
          <w:p>
            <w:pPr>
              <w:spacing w:after="0"/>
              <w:rPr>
                <w:sz w:val="7"/>
                <w:szCs w:val="7"/>
                <w:color w:val="auto"/>
              </w:rPr>
            </w:pPr>
          </w:p>
        </w:tc>
        <w:tc>
          <w:tcPr>
            <w:tcW w:w="1180" w:type="dxa"/>
            <w:vAlign w:val="bottom"/>
            <w:gridSpan w:val="4"/>
            <w:shd w:val="clear" w:color="auto" w:fill="CCEEFF"/>
          </w:tcPr>
          <w:p>
            <w:pPr>
              <w:spacing w:after="0" w:line="92" w:lineRule="exact"/>
              <w:rPr>
                <w:sz w:val="20"/>
                <w:szCs w:val="20"/>
                <w:color w:val="auto"/>
              </w:rPr>
            </w:pPr>
            <w:r>
              <w:rPr>
                <w:rFonts w:ascii="Times New Roman" w:cs="Times New Roman" w:eastAsia="Times New Roman" w:hAnsi="Times New Roman"/>
                <w:sz w:val="10"/>
                <w:szCs w:val="10"/>
                <w:color w:val="auto"/>
              </w:rPr>
              <w:t>650 Washington Road, Suite</w:t>
            </w:r>
          </w:p>
        </w:tc>
        <w:tc>
          <w:tcPr>
            <w:tcW w:w="60" w:type="dxa"/>
            <w:vAlign w:val="bottom"/>
            <w:shd w:val="clear" w:color="auto" w:fill="CCEEFF"/>
          </w:tcPr>
          <w:p>
            <w:pPr>
              <w:spacing w:after="0"/>
              <w:rPr>
                <w:sz w:val="7"/>
                <w:szCs w:val="7"/>
                <w:color w:val="auto"/>
              </w:rPr>
            </w:pPr>
          </w:p>
        </w:tc>
        <w:tc>
          <w:tcPr>
            <w:tcW w:w="8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90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8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18"/>
        </w:trPr>
        <w:tc>
          <w:tcPr>
            <w:tcW w:w="6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0"/>
                <w:szCs w:val="10"/>
                <w:color w:val="auto"/>
              </w:rPr>
              <w:t>500</w:t>
            </w:r>
          </w:p>
        </w:tc>
        <w:tc>
          <w:tcPr>
            <w:tcW w:w="4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0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0"/>
                <w:szCs w:val="10"/>
                <w:color w:val="auto"/>
              </w:rPr>
              <w:t>First Lien Debt (j)</w:t>
            </w:r>
          </w:p>
        </w:tc>
        <w:tc>
          <w:tcPr>
            <w:tcW w:w="9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w w:val="97"/>
              </w:rPr>
              <w:t>11.75%/1.50%</w:t>
            </w: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11/14/2023</w:t>
            </w: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11/13/2028</w:t>
            </w:r>
          </w:p>
        </w:tc>
        <w:tc>
          <w:tcPr>
            <w:tcW w:w="60" w:type="dxa"/>
            <w:vAlign w:val="bottom"/>
            <w:shd w:val="clear" w:color="auto" w:fill="CCEEFF"/>
          </w:tcPr>
          <w:p>
            <w:pPr>
              <w:spacing w:after="0"/>
              <w:rPr>
                <w:sz w:val="10"/>
                <w:szCs w:val="10"/>
                <w:color w:val="auto"/>
              </w:rPr>
            </w:pPr>
          </w:p>
        </w:tc>
        <w:tc>
          <w:tcPr>
            <w:tcW w:w="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w w:val="87"/>
              </w:rPr>
              <w:t>11,819</w:t>
            </w: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w w:val="87"/>
              </w:rPr>
              <w:t>11,733</w:t>
            </w:r>
          </w:p>
        </w:tc>
        <w:tc>
          <w:tcPr>
            <w:tcW w:w="60" w:type="dxa"/>
            <w:vAlign w:val="bottom"/>
            <w:shd w:val="clear" w:color="auto" w:fill="CCEEFF"/>
          </w:tcPr>
          <w:p>
            <w:pPr>
              <w:spacing w:after="0"/>
              <w:rPr>
                <w:sz w:val="10"/>
                <w:szCs w:val="10"/>
                <w:color w:val="auto"/>
              </w:rPr>
            </w:pPr>
          </w:p>
        </w:tc>
        <w:tc>
          <w:tcPr>
            <w:tcW w:w="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11,495</w:t>
            </w:r>
          </w:p>
        </w:tc>
        <w:tc>
          <w:tcPr>
            <w:tcW w:w="3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100" w:type="dxa"/>
            <w:vAlign w:val="bottom"/>
          </w:tcPr>
          <w:p>
            <w:pPr>
              <w:spacing w:after="0"/>
              <w:rPr>
                <w:sz w:val="7"/>
                <w:szCs w:val="7"/>
                <w:color w:val="auto"/>
              </w:rPr>
            </w:pPr>
          </w:p>
        </w:tc>
        <w:tc>
          <w:tcPr>
            <w:tcW w:w="1180" w:type="dxa"/>
            <w:vAlign w:val="bottom"/>
            <w:gridSpan w:val="4"/>
          </w:tcPr>
          <w:p>
            <w:pPr>
              <w:spacing w:after="0" w:line="92" w:lineRule="exact"/>
              <w:rPr>
                <w:sz w:val="20"/>
                <w:szCs w:val="20"/>
                <w:color w:val="auto"/>
              </w:rPr>
            </w:pPr>
            <w:r>
              <w:rPr>
                <w:rFonts w:ascii="Times New Roman" w:cs="Times New Roman" w:eastAsia="Times New Roman" w:hAnsi="Times New Roman"/>
                <w:sz w:val="10"/>
                <w:szCs w:val="10"/>
                <w:color w:val="auto"/>
              </w:rPr>
              <w:t>Pittsburgh, PA 15228</w:t>
            </w:r>
          </w:p>
        </w:tc>
        <w:tc>
          <w:tcPr>
            <w:tcW w:w="1000" w:type="dxa"/>
            <w:vAlign w:val="bottom"/>
            <w:gridSpan w:val="3"/>
          </w:tcPr>
          <w:p>
            <w:pPr>
              <w:ind w:left="60"/>
              <w:spacing w:after="0" w:line="92" w:lineRule="exact"/>
              <w:rPr>
                <w:sz w:val="20"/>
                <w:szCs w:val="20"/>
                <w:color w:val="auto"/>
              </w:rPr>
            </w:pPr>
            <w:r>
              <w:rPr>
                <w:rFonts w:ascii="Times New Roman" w:cs="Times New Roman" w:eastAsia="Times New Roman" w:hAnsi="Times New Roman"/>
                <w:sz w:val="10"/>
                <w:szCs w:val="10"/>
                <w:color w:val="auto"/>
              </w:rPr>
              <w:t>Preferred Equity</w:t>
            </w:r>
          </w:p>
        </w:tc>
        <w:tc>
          <w:tcPr>
            <w:tcW w:w="900" w:type="dxa"/>
            <w:vAlign w:val="bottom"/>
          </w:tcPr>
          <w:p>
            <w:pPr>
              <w:spacing w:after="0"/>
              <w:rPr>
                <w:sz w:val="7"/>
                <w:szCs w:val="7"/>
                <w:color w:val="auto"/>
              </w:rPr>
            </w:pPr>
          </w:p>
        </w:tc>
        <w:tc>
          <w:tcPr>
            <w:tcW w:w="40" w:type="dxa"/>
            <w:vAlign w:val="bottom"/>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6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26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0" w:type="dxa"/>
            <w:vAlign w:val="bottom"/>
          </w:tcPr>
          <w:p>
            <w:pPr>
              <w:spacing w:after="0"/>
              <w:rPr>
                <w:sz w:val="7"/>
                <w:szCs w:val="7"/>
                <w:color w:val="auto"/>
              </w:rPr>
            </w:pPr>
          </w:p>
        </w:tc>
        <w:tc>
          <w:tcPr>
            <w:tcW w:w="36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9"/>
        </w:trPr>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0" w:type="dxa"/>
            <w:vAlign w:val="bottom"/>
            <w:gridSpan w:val="3"/>
          </w:tcPr>
          <w:p>
            <w:pPr>
              <w:ind w:left="60"/>
              <w:spacing w:after="0"/>
              <w:rPr>
                <w:sz w:val="20"/>
                <w:szCs w:val="20"/>
                <w:color w:val="auto"/>
              </w:rPr>
            </w:pPr>
            <w:r>
              <w:rPr>
                <w:rFonts w:ascii="Times New Roman" w:cs="Times New Roman" w:eastAsia="Times New Roman" w:hAnsi="Times New Roman"/>
                <w:sz w:val="10"/>
                <w:szCs w:val="10"/>
                <w:color w:val="auto"/>
              </w:rPr>
              <w:t>(518,135 units)</w:t>
            </w:r>
          </w:p>
        </w:tc>
        <w:tc>
          <w:tcPr>
            <w:tcW w:w="9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0.6%</w:t>
            </w:r>
          </w:p>
        </w:tc>
        <w:tc>
          <w:tcPr>
            <w:tcW w:w="8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11/14/2023</w:t>
            </w: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1,000</w:t>
            </w:r>
          </w:p>
        </w:tc>
        <w:tc>
          <w:tcPr>
            <w:tcW w:w="10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1,000</w:t>
            </w: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60" w:type="dxa"/>
            <w:vAlign w:val="bottom"/>
            <w:gridSpan w:val="2"/>
            <w:shd w:val="clear" w:color="auto" w:fill="CCEEFF"/>
          </w:tcPr>
          <w:p>
            <w:pPr>
              <w:jc w:val="right"/>
              <w:ind w:right="100"/>
              <w:spacing w:after="0" w:line="105" w:lineRule="exact"/>
              <w:rPr>
                <w:sz w:val="20"/>
                <w:szCs w:val="20"/>
                <w:color w:val="auto"/>
              </w:rPr>
            </w:pPr>
            <w:r>
              <w:rPr>
                <w:rFonts w:ascii="Times New Roman" w:cs="Times New Roman" w:eastAsia="Times New Roman" w:hAnsi="Times New Roman"/>
                <w:sz w:val="10"/>
                <w:szCs w:val="10"/>
                <w:color w:val="auto"/>
                <w:w w:val="87"/>
              </w:rPr>
              <w:t>12,733</w:t>
            </w:r>
          </w:p>
        </w:tc>
        <w:tc>
          <w:tcPr>
            <w:tcW w:w="60" w:type="dxa"/>
            <w:vAlign w:val="bottom"/>
            <w:shd w:val="clear" w:color="auto" w:fill="CCEEFF"/>
          </w:tcPr>
          <w:p>
            <w:pPr>
              <w:spacing w:after="0"/>
              <w:rPr>
                <w:sz w:val="9"/>
                <w:szCs w:val="9"/>
                <w:color w:val="auto"/>
              </w:rPr>
            </w:pPr>
          </w:p>
        </w:tc>
        <w:tc>
          <w:tcPr>
            <w:tcW w:w="420" w:type="dxa"/>
            <w:vAlign w:val="bottom"/>
            <w:gridSpan w:val="2"/>
            <w:shd w:val="clear" w:color="auto" w:fill="CCEEFF"/>
          </w:tcPr>
          <w:p>
            <w:pPr>
              <w:jc w:val="right"/>
              <w:ind w:right="100"/>
              <w:spacing w:after="0" w:line="105" w:lineRule="exact"/>
              <w:rPr>
                <w:sz w:val="20"/>
                <w:szCs w:val="20"/>
                <w:color w:val="auto"/>
              </w:rPr>
            </w:pPr>
            <w:r>
              <w:rPr>
                <w:rFonts w:ascii="Times New Roman" w:cs="Times New Roman" w:eastAsia="Times New Roman" w:hAnsi="Times New Roman"/>
                <w:sz w:val="10"/>
                <w:szCs w:val="10"/>
                <w:color w:val="auto"/>
              </w:rPr>
              <w:t>12,495</w:t>
            </w:r>
          </w:p>
        </w:tc>
        <w:tc>
          <w:tcPr>
            <w:tcW w:w="480" w:type="dxa"/>
            <w:vAlign w:val="bottom"/>
            <w:gridSpan w:val="2"/>
            <w:shd w:val="clear" w:color="auto" w:fill="CCEEFF"/>
          </w:tcPr>
          <w:p>
            <w:pPr>
              <w:jc w:val="right"/>
              <w:ind w:right="40"/>
              <w:spacing w:after="0" w:line="105" w:lineRule="exact"/>
              <w:rPr>
                <w:sz w:val="20"/>
                <w:szCs w:val="20"/>
                <w:color w:val="auto"/>
              </w:rPr>
            </w:pPr>
            <w:r>
              <w:rPr>
                <w:rFonts w:ascii="Times New Roman" w:cs="Times New Roman" w:eastAsia="Times New Roman" w:hAnsi="Times New Roman"/>
                <w:sz w:val="10"/>
                <w:szCs w:val="10"/>
                <w:color w:val="auto"/>
              </w:rPr>
              <w:t>2%</w:t>
            </w:r>
          </w:p>
        </w:tc>
        <w:tc>
          <w:tcPr>
            <w:tcW w:w="0" w:type="dxa"/>
            <w:vAlign w:val="bottom"/>
          </w:tcPr>
          <w:p>
            <w:pPr>
              <w:spacing w:after="0"/>
              <w:rPr>
                <w:sz w:val="1"/>
                <w:szCs w:val="1"/>
                <w:color w:val="auto"/>
              </w:rPr>
            </w:pPr>
          </w:p>
        </w:tc>
      </w:tr>
      <w:tr>
        <w:trPr>
          <w:trHeight w:val="91"/>
        </w:trPr>
        <w:tc>
          <w:tcPr>
            <w:tcW w:w="1280" w:type="dxa"/>
            <w:vAlign w:val="bottom"/>
            <w:gridSpan w:val="5"/>
          </w:tcPr>
          <w:p>
            <w:pPr>
              <w:spacing w:after="0" w:line="92" w:lineRule="exact"/>
              <w:rPr>
                <w:sz w:val="20"/>
                <w:szCs w:val="20"/>
                <w:color w:val="auto"/>
              </w:rPr>
            </w:pPr>
            <w:r>
              <w:rPr>
                <w:rFonts w:ascii="Times New Roman" w:cs="Times New Roman" w:eastAsia="Times New Roman" w:hAnsi="Times New Roman"/>
                <w:sz w:val="10"/>
                <w:szCs w:val="10"/>
                <w:i w:val="1"/>
                <w:iCs w:val="1"/>
                <w:color w:val="auto"/>
              </w:rPr>
              <w:t>Acendre Midco, Inc.</w:t>
            </w:r>
          </w:p>
        </w:tc>
        <w:tc>
          <w:tcPr>
            <w:tcW w:w="60" w:type="dxa"/>
            <w:vAlign w:val="bottom"/>
          </w:tcPr>
          <w:p>
            <w:pPr>
              <w:spacing w:after="0"/>
              <w:rPr>
                <w:sz w:val="7"/>
                <w:szCs w:val="7"/>
                <w:color w:val="auto"/>
              </w:rPr>
            </w:pPr>
          </w:p>
        </w:tc>
        <w:tc>
          <w:tcPr>
            <w:tcW w:w="880" w:type="dxa"/>
            <w:vAlign w:val="bottom"/>
          </w:tcPr>
          <w:p>
            <w:pPr>
              <w:spacing w:after="0"/>
              <w:rPr>
                <w:sz w:val="7"/>
                <w:szCs w:val="7"/>
                <w:color w:val="auto"/>
              </w:rPr>
            </w:pPr>
          </w:p>
        </w:tc>
        <w:tc>
          <w:tcPr>
            <w:tcW w:w="60" w:type="dxa"/>
            <w:vAlign w:val="bottom"/>
          </w:tcPr>
          <w:p>
            <w:pPr>
              <w:spacing w:after="0"/>
              <w:rPr>
                <w:sz w:val="7"/>
                <w:szCs w:val="7"/>
                <w:color w:val="auto"/>
              </w:rPr>
            </w:pPr>
          </w:p>
        </w:tc>
        <w:tc>
          <w:tcPr>
            <w:tcW w:w="940" w:type="dxa"/>
            <w:vAlign w:val="bottom"/>
            <w:gridSpan w:val="2"/>
          </w:tcPr>
          <w:p>
            <w:pPr>
              <w:spacing w:after="0" w:line="92" w:lineRule="exact"/>
              <w:rPr>
                <w:sz w:val="20"/>
                <w:szCs w:val="20"/>
                <w:color w:val="auto"/>
              </w:rPr>
            </w:pPr>
            <w:r>
              <w:rPr>
                <w:rFonts w:ascii="Times New Roman" w:cs="Times New Roman" w:eastAsia="Times New Roman" w:hAnsi="Times New Roman"/>
                <w:sz w:val="10"/>
                <w:szCs w:val="10"/>
                <w:color w:val="auto"/>
              </w:rPr>
              <w:t>Information</w:t>
            </w: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6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26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0" w:type="dxa"/>
            <w:vAlign w:val="bottom"/>
          </w:tcPr>
          <w:p>
            <w:pPr>
              <w:spacing w:after="0"/>
              <w:rPr>
                <w:sz w:val="7"/>
                <w:szCs w:val="7"/>
                <w:color w:val="auto"/>
              </w:rPr>
            </w:pPr>
          </w:p>
        </w:tc>
        <w:tc>
          <w:tcPr>
            <w:tcW w:w="36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8"/>
        </w:trPr>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Technology Services</w:t>
            </w: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100" w:type="dxa"/>
            <w:vAlign w:val="bottom"/>
            <w:shd w:val="clear" w:color="auto" w:fill="CCEEFF"/>
          </w:tcPr>
          <w:p>
            <w:pPr>
              <w:spacing w:after="0"/>
              <w:rPr>
                <w:sz w:val="9"/>
                <w:szCs w:val="9"/>
                <w:color w:val="auto"/>
              </w:rPr>
            </w:pPr>
          </w:p>
        </w:tc>
        <w:tc>
          <w:tcPr>
            <w:tcW w:w="1180" w:type="dxa"/>
            <w:vAlign w:val="bottom"/>
            <w:gridSpan w:val="4"/>
            <w:shd w:val="clear" w:color="auto" w:fill="CCEEFF"/>
          </w:tcPr>
          <w:p>
            <w:pPr>
              <w:spacing w:after="0" w:line="105" w:lineRule="exact"/>
              <w:rPr>
                <w:sz w:val="20"/>
                <w:szCs w:val="20"/>
                <w:color w:val="auto"/>
              </w:rPr>
            </w:pPr>
            <w:r>
              <w:rPr>
                <w:rFonts w:ascii="Times New Roman" w:cs="Times New Roman" w:eastAsia="Times New Roman" w:hAnsi="Times New Roman"/>
                <w:sz w:val="10"/>
                <w:szCs w:val="10"/>
                <w:color w:val="auto"/>
              </w:rPr>
              <w:t>45 N Broad St., Office 316</w:t>
            </w:r>
          </w:p>
        </w:tc>
        <w:tc>
          <w:tcPr>
            <w:tcW w:w="1000" w:type="dxa"/>
            <w:vAlign w:val="bottom"/>
            <w:gridSpan w:val="3"/>
            <w:shd w:val="clear" w:color="auto" w:fill="CCEEFF"/>
          </w:tcPr>
          <w:p>
            <w:pPr>
              <w:ind w:left="60"/>
              <w:spacing w:after="0" w:line="105" w:lineRule="exact"/>
              <w:rPr>
                <w:sz w:val="20"/>
                <w:szCs w:val="20"/>
                <w:color w:val="auto"/>
              </w:rPr>
            </w:pPr>
            <w:r>
              <w:rPr>
                <w:rFonts w:ascii="Times New Roman" w:cs="Times New Roman" w:eastAsia="Times New Roman" w:hAnsi="Times New Roman"/>
                <w:sz w:val="10"/>
                <w:szCs w:val="10"/>
                <w:color w:val="auto"/>
              </w:rPr>
              <w:t>First Lien Debt</w:t>
            </w:r>
          </w:p>
        </w:tc>
        <w:tc>
          <w:tcPr>
            <w:tcW w:w="9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00" w:type="dxa"/>
            <w:vAlign w:val="bottom"/>
            <w:gridSpan w:val="2"/>
            <w:shd w:val="clear" w:color="auto" w:fill="CCEEFF"/>
          </w:tcPr>
          <w:p>
            <w:pPr>
              <w:jc w:val="right"/>
              <w:ind w:right="100"/>
              <w:spacing w:after="0" w:line="105" w:lineRule="exact"/>
              <w:rPr>
                <w:sz w:val="20"/>
                <w:szCs w:val="20"/>
                <w:color w:val="auto"/>
              </w:rPr>
            </w:pPr>
            <w:r>
              <w:rPr>
                <w:rFonts w:ascii="Times New Roman" w:cs="Times New Roman" w:eastAsia="Times New Roman" w:hAnsi="Times New Roman"/>
                <w:sz w:val="10"/>
                <w:szCs w:val="10"/>
                <w:color w:val="auto"/>
                <w:w w:val="97"/>
              </w:rPr>
              <w:t>12.50%/1.25%</w:t>
            </w:r>
          </w:p>
        </w:tc>
        <w:tc>
          <w:tcPr>
            <w:tcW w:w="580" w:type="dxa"/>
            <w:vAlign w:val="bottom"/>
            <w:gridSpan w:val="2"/>
            <w:shd w:val="clear" w:color="auto" w:fill="CCEEFF"/>
          </w:tcPr>
          <w:p>
            <w:pPr>
              <w:jc w:val="right"/>
              <w:ind w:right="100"/>
              <w:spacing w:after="0" w:line="105" w:lineRule="exact"/>
              <w:rPr>
                <w:sz w:val="20"/>
                <w:szCs w:val="20"/>
                <w:color w:val="auto"/>
              </w:rPr>
            </w:pPr>
            <w:r>
              <w:rPr>
                <w:rFonts w:ascii="Times New Roman" w:cs="Times New Roman" w:eastAsia="Times New Roman" w:hAnsi="Times New Roman"/>
                <w:sz w:val="10"/>
                <w:szCs w:val="10"/>
                <w:color w:val="auto"/>
              </w:rPr>
              <w:t>10/6/2021</w:t>
            </w:r>
          </w:p>
        </w:tc>
        <w:tc>
          <w:tcPr>
            <w:tcW w:w="580" w:type="dxa"/>
            <w:vAlign w:val="bottom"/>
            <w:gridSpan w:val="2"/>
            <w:shd w:val="clear" w:color="auto" w:fill="CCEEFF"/>
          </w:tcPr>
          <w:p>
            <w:pPr>
              <w:jc w:val="right"/>
              <w:ind w:right="100"/>
              <w:spacing w:after="0" w:line="105" w:lineRule="exact"/>
              <w:rPr>
                <w:sz w:val="20"/>
                <w:szCs w:val="20"/>
                <w:color w:val="auto"/>
              </w:rPr>
            </w:pPr>
            <w:r>
              <w:rPr>
                <w:rFonts w:ascii="Times New Roman" w:cs="Times New Roman" w:eastAsia="Times New Roman" w:hAnsi="Times New Roman"/>
                <w:sz w:val="10"/>
                <w:szCs w:val="10"/>
                <w:color w:val="auto"/>
              </w:rPr>
              <w:t>5/8/2026</w:t>
            </w:r>
          </w:p>
        </w:tc>
        <w:tc>
          <w:tcPr>
            <w:tcW w:w="60" w:type="dxa"/>
            <w:vAlign w:val="bottom"/>
            <w:shd w:val="clear" w:color="auto" w:fill="CCEEFF"/>
          </w:tcPr>
          <w:p>
            <w:pPr>
              <w:spacing w:after="0"/>
              <w:rPr>
                <w:sz w:val="9"/>
                <w:szCs w:val="9"/>
                <w:color w:val="auto"/>
              </w:rPr>
            </w:pPr>
          </w:p>
        </w:tc>
        <w:tc>
          <w:tcPr>
            <w:tcW w:w="260" w:type="dxa"/>
            <w:vAlign w:val="bottom"/>
            <w:shd w:val="clear" w:color="auto" w:fill="CCEEFF"/>
          </w:tcPr>
          <w:p>
            <w:pPr>
              <w:jc w:val="right"/>
              <w:spacing w:after="0" w:line="105" w:lineRule="exact"/>
              <w:rPr>
                <w:sz w:val="20"/>
                <w:szCs w:val="20"/>
                <w:color w:val="auto"/>
              </w:rPr>
            </w:pPr>
            <w:r>
              <w:rPr>
                <w:rFonts w:ascii="Times New Roman" w:cs="Times New Roman" w:eastAsia="Times New Roman" w:hAnsi="Times New Roman"/>
                <w:sz w:val="10"/>
                <w:szCs w:val="10"/>
                <w:color w:val="auto"/>
              </w:rPr>
              <w:t>5,762</w:t>
            </w: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60" w:type="dxa"/>
            <w:vAlign w:val="bottom"/>
            <w:shd w:val="clear" w:color="auto" w:fill="CCEEFF"/>
          </w:tcPr>
          <w:p>
            <w:pPr>
              <w:jc w:val="right"/>
              <w:spacing w:after="0" w:line="105" w:lineRule="exact"/>
              <w:rPr>
                <w:sz w:val="20"/>
                <w:szCs w:val="20"/>
                <w:color w:val="auto"/>
              </w:rPr>
            </w:pPr>
            <w:r>
              <w:rPr>
                <w:rFonts w:ascii="Times New Roman" w:cs="Times New Roman" w:eastAsia="Times New Roman" w:hAnsi="Times New Roman"/>
                <w:sz w:val="10"/>
                <w:szCs w:val="10"/>
                <w:color w:val="auto"/>
              </w:rPr>
              <w:t>5,762</w:t>
            </w: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20" w:type="dxa"/>
            <w:vAlign w:val="bottom"/>
            <w:gridSpan w:val="2"/>
            <w:shd w:val="clear" w:color="auto" w:fill="CCEEFF"/>
          </w:tcPr>
          <w:p>
            <w:pPr>
              <w:jc w:val="right"/>
              <w:ind w:right="100"/>
              <w:spacing w:after="0" w:line="105" w:lineRule="exact"/>
              <w:rPr>
                <w:sz w:val="20"/>
                <w:szCs w:val="20"/>
                <w:color w:val="auto"/>
              </w:rPr>
            </w:pPr>
            <w:r>
              <w:rPr>
                <w:rFonts w:ascii="Times New Roman" w:cs="Times New Roman" w:eastAsia="Times New Roman" w:hAnsi="Times New Roman"/>
                <w:sz w:val="10"/>
                <w:szCs w:val="10"/>
                <w:color w:val="auto"/>
              </w:rPr>
              <w:t>5,762</w:t>
            </w:r>
          </w:p>
        </w:tc>
        <w:tc>
          <w:tcPr>
            <w:tcW w:w="3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00" w:type="dxa"/>
            <w:vAlign w:val="bottom"/>
          </w:tcPr>
          <w:p>
            <w:pPr>
              <w:spacing w:after="0"/>
              <w:rPr>
                <w:sz w:val="9"/>
                <w:szCs w:val="9"/>
                <w:color w:val="auto"/>
              </w:rPr>
            </w:pPr>
          </w:p>
        </w:tc>
        <w:tc>
          <w:tcPr>
            <w:tcW w:w="1180" w:type="dxa"/>
            <w:vAlign w:val="bottom"/>
            <w:gridSpan w:val="4"/>
          </w:tcPr>
          <w:p>
            <w:pPr>
              <w:spacing w:after="0" w:line="105" w:lineRule="exact"/>
              <w:rPr>
                <w:sz w:val="20"/>
                <w:szCs w:val="20"/>
                <w:color w:val="auto"/>
              </w:rPr>
            </w:pPr>
            <w:r>
              <w:rPr>
                <w:rFonts w:ascii="Times New Roman" w:cs="Times New Roman" w:eastAsia="Times New Roman" w:hAnsi="Times New Roman"/>
                <w:sz w:val="10"/>
                <w:szCs w:val="10"/>
                <w:color w:val="auto"/>
              </w:rPr>
              <w:t>Ridgewood, NJ 07450</w:t>
            </w:r>
          </w:p>
        </w:tc>
        <w:tc>
          <w:tcPr>
            <w:tcW w:w="1000" w:type="dxa"/>
            <w:vAlign w:val="bottom"/>
            <w:gridSpan w:val="3"/>
          </w:tcPr>
          <w:p>
            <w:pPr>
              <w:ind w:left="60"/>
              <w:spacing w:after="0" w:line="105" w:lineRule="exact"/>
              <w:rPr>
                <w:sz w:val="20"/>
                <w:szCs w:val="20"/>
                <w:color w:val="auto"/>
              </w:rPr>
            </w:pPr>
            <w:r>
              <w:rPr>
                <w:rFonts w:ascii="Times New Roman" w:cs="Times New Roman" w:eastAsia="Times New Roman" w:hAnsi="Times New Roman"/>
                <w:sz w:val="10"/>
                <w:szCs w:val="10"/>
                <w:color w:val="auto"/>
              </w:rPr>
              <w:t>First Lien Debt</w:t>
            </w:r>
          </w:p>
        </w:tc>
        <w:tc>
          <w:tcPr>
            <w:tcW w:w="90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gridSpan w:val="2"/>
          </w:tcPr>
          <w:p>
            <w:pPr>
              <w:jc w:val="right"/>
              <w:ind w:right="100"/>
              <w:spacing w:after="0" w:line="105" w:lineRule="exact"/>
              <w:rPr>
                <w:sz w:val="20"/>
                <w:szCs w:val="20"/>
                <w:color w:val="auto"/>
              </w:rPr>
            </w:pPr>
            <w:r>
              <w:rPr>
                <w:rFonts w:ascii="Times New Roman" w:cs="Times New Roman" w:eastAsia="Times New Roman" w:hAnsi="Times New Roman"/>
                <w:sz w:val="10"/>
                <w:szCs w:val="10"/>
                <w:color w:val="auto"/>
                <w:w w:val="97"/>
              </w:rPr>
              <w:t>12.50%/1.25%</w:t>
            </w:r>
          </w:p>
        </w:tc>
        <w:tc>
          <w:tcPr>
            <w:tcW w:w="580" w:type="dxa"/>
            <w:vAlign w:val="bottom"/>
            <w:gridSpan w:val="2"/>
          </w:tcPr>
          <w:p>
            <w:pPr>
              <w:jc w:val="right"/>
              <w:ind w:right="100"/>
              <w:spacing w:after="0" w:line="105" w:lineRule="exact"/>
              <w:rPr>
                <w:sz w:val="20"/>
                <w:szCs w:val="20"/>
                <w:color w:val="auto"/>
              </w:rPr>
            </w:pPr>
            <w:r>
              <w:rPr>
                <w:rFonts w:ascii="Times New Roman" w:cs="Times New Roman" w:eastAsia="Times New Roman" w:hAnsi="Times New Roman"/>
                <w:sz w:val="10"/>
                <w:szCs w:val="10"/>
                <w:color w:val="auto"/>
              </w:rPr>
              <w:t>10/6/2021</w:t>
            </w:r>
          </w:p>
        </w:tc>
        <w:tc>
          <w:tcPr>
            <w:tcW w:w="580" w:type="dxa"/>
            <w:vAlign w:val="bottom"/>
            <w:gridSpan w:val="2"/>
          </w:tcPr>
          <w:p>
            <w:pPr>
              <w:jc w:val="right"/>
              <w:ind w:right="100"/>
              <w:spacing w:after="0" w:line="105" w:lineRule="exact"/>
              <w:rPr>
                <w:sz w:val="20"/>
                <w:szCs w:val="20"/>
                <w:color w:val="auto"/>
              </w:rPr>
            </w:pPr>
            <w:r>
              <w:rPr>
                <w:rFonts w:ascii="Times New Roman" w:cs="Times New Roman" w:eastAsia="Times New Roman" w:hAnsi="Times New Roman"/>
                <w:sz w:val="10"/>
                <w:szCs w:val="10"/>
                <w:color w:val="auto"/>
              </w:rPr>
              <w:t>5/8/2026</w:t>
            </w:r>
          </w:p>
        </w:tc>
        <w:tc>
          <w:tcPr>
            <w:tcW w:w="60" w:type="dxa"/>
            <w:vAlign w:val="bottom"/>
          </w:tcPr>
          <w:p>
            <w:pPr>
              <w:spacing w:after="0"/>
              <w:rPr>
                <w:sz w:val="9"/>
                <w:szCs w:val="9"/>
                <w:color w:val="auto"/>
              </w:rPr>
            </w:pPr>
          </w:p>
        </w:tc>
        <w:tc>
          <w:tcPr>
            <w:tcW w:w="320" w:type="dxa"/>
            <w:vAlign w:val="bottom"/>
            <w:gridSpan w:val="2"/>
          </w:tcPr>
          <w:p>
            <w:pPr>
              <w:jc w:val="right"/>
              <w:ind w:right="60"/>
              <w:spacing w:after="0" w:line="105" w:lineRule="exact"/>
              <w:rPr>
                <w:sz w:val="20"/>
                <w:szCs w:val="20"/>
                <w:color w:val="auto"/>
              </w:rPr>
            </w:pPr>
            <w:r>
              <w:rPr>
                <w:rFonts w:ascii="Times New Roman" w:cs="Times New Roman" w:eastAsia="Times New Roman" w:hAnsi="Times New Roman"/>
                <w:sz w:val="10"/>
                <w:szCs w:val="10"/>
                <w:color w:val="auto"/>
                <w:w w:val="87"/>
              </w:rPr>
              <w:t>13,096</w:t>
            </w: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gridSpan w:val="2"/>
          </w:tcPr>
          <w:p>
            <w:pPr>
              <w:jc w:val="right"/>
              <w:ind w:right="100"/>
              <w:spacing w:after="0" w:line="105" w:lineRule="exact"/>
              <w:rPr>
                <w:sz w:val="20"/>
                <w:szCs w:val="20"/>
                <w:color w:val="auto"/>
              </w:rPr>
            </w:pPr>
            <w:r>
              <w:rPr>
                <w:rFonts w:ascii="Times New Roman" w:cs="Times New Roman" w:eastAsia="Times New Roman" w:hAnsi="Times New Roman"/>
                <w:sz w:val="10"/>
                <w:szCs w:val="10"/>
                <w:color w:val="auto"/>
                <w:w w:val="87"/>
              </w:rPr>
              <w:t>13,096</w:t>
            </w:r>
          </w:p>
        </w:tc>
        <w:tc>
          <w:tcPr>
            <w:tcW w:w="60" w:type="dxa"/>
            <w:vAlign w:val="bottom"/>
          </w:tcPr>
          <w:p>
            <w:pPr>
              <w:spacing w:after="0"/>
              <w:rPr>
                <w:sz w:val="9"/>
                <w:szCs w:val="9"/>
                <w:color w:val="auto"/>
              </w:rPr>
            </w:pPr>
          </w:p>
        </w:tc>
        <w:tc>
          <w:tcPr>
            <w:tcW w:w="420" w:type="dxa"/>
            <w:vAlign w:val="bottom"/>
            <w:gridSpan w:val="2"/>
          </w:tcPr>
          <w:p>
            <w:pPr>
              <w:jc w:val="right"/>
              <w:ind w:right="100"/>
              <w:spacing w:after="0" w:line="105" w:lineRule="exact"/>
              <w:rPr>
                <w:sz w:val="20"/>
                <w:szCs w:val="20"/>
                <w:color w:val="auto"/>
              </w:rPr>
            </w:pPr>
            <w:r>
              <w:rPr>
                <w:rFonts w:ascii="Times New Roman" w:cs="Times New Roman" w:eastAsia="Times New Roman" w:hAnsi="Times New Roman"/>
                <w:sz w:val="10"/>
                <w:szCs w:val="10"/>
                <w:color w:val="auto"/>
              </w:rPr>
              <w:t>13,096</w:t>
            </w: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000" w:type="dxa"/>
            <w:vAlign w:val="bottom"/>
            <w:gridSpan w:val="3"/>
            <w:shd w:val="clear" w:color="auto" w:fill="CCEEFF"/>
          </w:tcPr>
          <w:p>
            <w:pPr>
              <w:ind w:left="60"/>
              <w:spacing w:after="0" w:line="105" w:lineRule="exact"/>
              <w:rPr>
                <w:sz w:val="20"/>
                <w:szCs w:val="20"/>
                <w:color w:val="auto"/>
              </w:rPr>
            </w:pPr>
            <w:r>
              <w:rPr>
                <w:rFonts w:ascii="Times New Roman" w:cs="Times New Roman" w:eastAsia="Times New Roman" w:hAnsi="Times New Roman"/>
                <w:sz w:val="10"/>
                <w:szCs w:val="10"/>
                <w:color w:val="auto"/>
              </w:rPr>
              <w:t>Revolving Loan (i)</w:t>
            </w:r>
          </w:p>
        </w:tc>
        <w:tc>
          <w:tcPr>
            <w:tcW w:w="9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00" w:type="dxa"/>
            <w:vAlign w:val="bottom"/>
            <w:gridSpan w:val="2"/>
            <w:shd w:val="clear" w:color="auto" w:fill="CCEEFF"/>
          </w:tcPr>
          <w:p>
            <w:pPr>
              <w:jc w:val="right"/>
              <w:ind w:right="100"/>
              <w:spacing w:after="0" w:line="105" w:lineRule="exact"/>
              <w:rPr>
                <w:sz w:val="20"/>
                <w:szCs w:val="20"/>
                <w:color w:val="auto"/>
              </w:rPr>
            </w:pPr>
            <w:r>
              <w:rPr>
                <w:rFonts w:ascii="Times New Roman" w:cs="Times New Roman" w:eastAsia="Times New Roman" w:hAnsi="Times New Roman"/>
                <w:sz w:val="10"/>
                <w:szCs w:val="10"/>
                <w:color w:val="auto"/>
                <w:w w:val="97"/>
              </w:rPr>
              <w:t>12.50%/1.25%</w:t>
            </w:r>
          </w:p>
        </w:tc>
        <w:tc>
          <w:tcPr>
            <w:tcW w:w="580" w:type="dxa"/>
            <w:vAlign w:val="bottom"/>
            <w:gridSpan w:val="2"/>
            <w:shd w:val="clear" w:color="auto" w:fill="CCEEFF"/>
          </w:tcPr>
          <w:p>
            <w:pPr>
              <w:jc w:val="right"/>
              <w:ind w:right="100"/>
              <w:spacing w:after="0" w:line="105" w:lineRule="exact"/>
              <w:rPr>
                <w:sz w:val="20"/>
                <w:szCs w:val="20"/>
                <w:color w:val="auto"/>
              </w:rPr>
            </w:pPr>
            <w:r>
              <w:rPr>
                <w:rFonts w:ascii="Times New Roman" w:cs="Times New Roman" w:eastAsia="Times New Roman" w:hAnsi="Times New Roman"/>
                <w:sz w:val="10"/>
                <w:szCs w:val="10"/>
                <w:color w:val="auto"/>
              </w:rPr>
              <w:t>10/6/2021</w:t>
            </w:r>
          </w:p>
        </w:tc>
        <w:tc>
          <w:tcPr>
            <w:tcW w:w="580" w:type="dxa"/>
            <w:vAlign w:val="bottom"/>
            <w:gridSpan w:val="2"/>
            <w:shd w:val="clear" w:color="auto" w:fill="CCEEFF"/>
          </w:tcPr>
          <w:p>
            <w:pPr>
              <w:jc w:val="right"/>
              <w:ind w:right="100"/>
              <w:spacing w:after="0" w:line="105" w:lineRule="exact"/>
              <w:rPr>
                <w:sz w:val="20"/>
                <w:szCs w:val="20"/>
                <w:color w:val="auto"/>
              </w:rPr>
            </w:pPr>
            <w:r>
              <w:rPr>
                <w:rFonts w:ascii="Times New Roman" w:cs="Times New Roman" w:eastAsia="Times New Roman" w:hAnsi="Times New Roman"/>
                <w:sz w:val="10"/>
                <w:szCs w:val="10"/>
                <w:color w:val="auto"/>
              </w:rPr>
              <w:t>5/8/2026</w:t>
            </w:r>
          </w:p>
        </w:tc>
        <w:tc>
          <w:tcPr>
            <w:tcW w:w="60" w:type="dxa"/>
            <w:vAlign w:val="bottom"/>
            <w:shd w:val="clear" w:color="auto" w:fill="CCEEFF"/>
          </w:tcPr>
          <w:p>
            <w:pPr>
              <w:spacing w:after="0"/>
              <w:rPr>
                <w:sz w:val="9"/>
                <w:szCs w:val="9"/>
                <w:color w:val="auto"/>
              </w:rPr>
            </w:pPr>
          </w:p>
        </w:tc>
        <w:tc>
          <w:tcPr>
            <w:tcW w:w="260" w:type="dxa"/>
            <w:vAlign w:val="bottom"/>
            <w:shd w:val="clear" w:color="auto" w:fill="CCEEFF"/>
          </w:tcPr>
          <w:p>
            <w:pPr>
              <w:jc w:val="right"/>
              <w:spacing w:after="0" w:line="105" w:lineRule="exact"/>
              <w:rPr>
                <w:sz w:val="20"/>
                <w:szCs w:val="20"/>
                <w:color w:val="auto"/>
              </w:rPr>
            </w:pPr>
            <w:r>
              <w:rPr>
                <w:rFonts w:ascii="Times New Roman" w:cs="Times New Roman" w:eastAsia="Times New Roman" w:hAnsi="Times New Roman"/>
                <w:sz w:val="10"/>
                <w:szCs w:val="10"/>
                <w:color w:val="auto"/>
              </w:rPr>
              <w:t>1,013</w:t>
            </w: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60" w:type="dxa"/>
            <w:vAlign w:val="bottom"/>
            <w:shd w:val="clear" w:color="auto" w:fill="CCEEFF"/>
          </w:tcPr>
          <w:p>
            <w:pPr>
              <w:jc w:val="right"/>
              <w:spacing w:after="0" w:line="105" w:lineRule="exact"/>
              <w:rPr>
                <w:sz w:val="20"/>
                <w:szCs w:val="20"/>
                <w:color w:val="auto"/>
              </w:rPr>
            </w:pPr>
            <w:r>
              <w:rPr>
                <w:rFonts w:ascii="Times New Roman" w:cs="Times New Roman" w:eastAsia="Times New Roman" w:hAnsi="Times New Roman"/>
                <w:sz w:val="10"/>
                <w:szCs w:val="10"/>
                <w:color w:val="auto"/>
              </w:rPr>
              <w:t>1,013</w:t>
            </w: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20" w:type="dxa"/>
            <w:vAlign w:val="bottom"/>
            <w:gridSpan w:val="2"/>
            <w:shd w:val="clear" w:color="auto" w:fill="CCEEFF"/>
          </w:tcPr>
          <w:p>
            <w:pPr>
              <w:jc w:val="right"/>
              <w:ind w:right="100"/>
              <w:spacing w:after="0" w:line="105" w:lineRule="exact"/>
              <w:rPr>
                <w:sz w:val="20"/>
                <w:szCs w:val="20"/>
                <w:color w:val="auto"/>
              </w:rPr>
            </w:pPr>
            <w:r>
              <w:rPr>
                <w:rFonts w:ascii="Times New Roman" w:cs="Times New Roman" w:eastAsia="Times New Roman" w:hAnsi="Times New Roman"/>
                <w:sz w:val="10"/>
                <w:szCs w:val="10"/>
                <w:color w:val="auto"/>
              </w:rPr>
              <w:t>1,012</w:t>
            </w:r>
          </w:p>
        </w:tc>
        <w:tc>
          <w:tcPr>
            <w:tcW w:w="3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91"/>
        </w:trPr>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0" w:type="dxa"/>
            <w:vAlign w:val="bottom"/>
            <w:gridSpan w:val="3"/>
          </w:tcPr>
          <w:p>
            <w:pPr>
              <w:ind w:left="60"/>
              <w:spacing w:after="0" w:line="92" w:lineRule="exact"/>
              <w:rPr>
                <w:sz w:val="20"/>
                <w:szCs w:val="20"/>
                <w:color w:val="auto"/>
              </w:rPr>
            </w:pPr>
            <w:r>
              <w:rPr>
                <w:rFonts w:ascii="Times New Roman" w:cs="Times New Roman" w:eastAsia="Times New Roman" w:hAnsi="Times New Roman"/>
                <w:sz w:val="10"/>
                <w:szCs w:val="10"/>
                <w:color w:val="auto"/>
              </w:rPr>
              <w:t>Common Equity</w:t>
            </w:r>
          </w:p>
        </w:tc>
        <w:tc>
          <w:tcPr>
            <w:tcW w:w="900" w:type="dxa"/>
            <w:vAlign w:val="bottom"/>
          </w:tcPr>
          <w:p>
            <w:pPr>
              <w:spacing w:after="0"/>
              <w:rPr>
                <w:sz w:val="7"/>
                <w:szCs w:val="7"/>
                <w:color w:val="auto"/>
              </w:rPr>
            </w:pPr>
          </w:p>
        </w:tc>
        <w:tc>
          <w:tcPr>
            <w:tcW w:w="40" w:type="dxa"/>
            <w:vAlign w:val="bottom"/>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6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26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0" w:type="dxa"/>
            <w:vAlign w:val="bottom"/>
          </w:tcPr>
          <w:p>
            <w:pPr>
              <w:spacing w:after="0"/>
              <w:rPr>
                <w:sz w:val="7"/>
                <w:szCs w:val="7"/>
                <w:color w:val="auto"/>
              </w:rPr>
            </w:pPr>
          </w:p>
        </w:tc>
        <w:tc>
          <w:tcPr>
            <w:tcW w:w="36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8"/>
        </w:trPr>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0" w:type="dxa"/>
            <w:vAlign w:val="bottom"/>
            <w:gridSpan w:val="3"/>
          </w:tcPr>
          <w:p>
            <w:pPr>
              <w:ind w:left="60"/>
              <w:spacing w:after="0"/>
              <w:rPr>
                <w:sz w:val="20"/>
                <w:szCs w:val="20"/>
                <w:color w:val="auto"/>
              </w:rPr>
            </w:pPr>
            <w:r>
              <w:rPr>
                <w:rFonts w:ascii="Times New Roman" w:cs="Times New Roman" w:eastAsia="Times New Roman" w:hAnsi="Times New Roman"/>
                <w:sz w:val="10"/>
                <w:szCs w:val="10"/>
                <w:color w:val="auto"/>
              </w:rPr>
              <w:t>(500,000 shares)</w:t>
            </w:r>
          </w:p>
        </w:tc>
        <w:tc>
          <w:tcPr>
            <w:tcW w:w="9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0.7%</w:t>
            </w:r>
          </w:p>
        </w:tc>
        <w:tc>
          <w:tcPr>
            <w:tcW w:w="8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10/6/2021</w:t>
            </w: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371</w:t>
            </w:r>
          </w:p>
        </w:tc>
        <w:tc>
          <w:tcPr>
            <w:tcW w:w="60" w:type="dxa"/>
            <w:vAlign w:val="bottom"/>
          </w:tcPr>
          <w:p>
            <w:pPr>
              <w:spacing w:after="0"/>
              <w:rPr>
                <w:sz w:val="10"/>
                <w:szCs w:val="10"/>
                <w:color w:val="auto"/>
              </w:rPr>
            </w:pPr>
          </w:p>
        </w:tc>
        <w:tc>
          <w:tcPr>
            <w:tcW w:w="42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— </w:t>
            </w: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10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000" w:type="dxa"/>
            <w:vAlign w:val="bottom"/>
            <w:gridSpan w:val="3"/>
            <w:shd w:val="clear" w:color="auto" w:fill="CCEEFF"/>
          </w:tcPr>
          <w:p>
            <w:pPr>
              <w:ind w:left="60"/>
              <w:spacing w:after="0" w:line="92" w:lineRule="exact"/>
              <w:rPr>
                <w:sz w:val="20"/>
                <w:szCs w:val="20"/>
                <w:color w:val="auto"/>
              </w:rPr>
            </w:pPr>
            <w:r>
              <w:rPr>
                <w:rFonts w:ascii="Times New Roman" w:cs="Times New Roman" w:eastAsia="Times New Roman" w:hAnsi="Times New Roman"/>
                <w:sz w:val="10"/>
                <w:szCs w:val="10"/>
                <w:color w:val="auto"/>
              </w:rPr>
              <w:t>Warrant (275,000</w:t>
            </w:r>
          </w:p>
        </w:tc>
        <w:tc>
          <w:tcPr>
            <w:tcW w:w="90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8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18"/>
        </w:trPr>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0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0"/>
                <w:szCs w:val="10"/>
                <w:color w:val="auto"/>
              </w:rPr>
              <w:t>shares) (m)</w:t>
            </w:r>
          </w:p>
        </w:tc>
        <w:tc>
          <w:tcPr>
            <w:tcW w:w="9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0.4%</w:t>
            </w:r>
          </w:p>
        </w:tc>
        <w:tc>
          <w:tcPr>
            <w:tcW w:w="8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10/6/2021</w:t>
            </w: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253</w:t>
            </w:r>
          </w:p>
        </w:tc>
        <w:tc>
          <w:tcPr>
            <w:tcW w:w="60" w:type="dxa"/>
            <w:vAlign w:val="bottom"/>
            <w:shd w:val="clear" w:color="auto" w:fill="CCEEFF"/>
          </w:tcPr>
          <w:p>
            <w:pPr>
              <w:spacing w:after="0"/>
              <w:rPr>
                <w:sz w:val="10"/>
                <w:szCs w:val="10"/>
                <w:color w:val="auto"/>
              </w:rPr>
            </w:pPr>
          </w:p>
        </w:tc>
        <w:tc>
          <w:tcPr>
            <w:tcW w:w="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— </w:t>
            </w:r>
          </w:p>
        </w:tc>
        <w:tc>
          <w:tcPr>
            <w:tcW w:w="3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0" w:type="dxa"/>
            <w:vAlign w:val="bottom"/>
            <w:gridSpan w:val="3"/>
          </w:tcPr>
          <w:p>
            <w:pPr>
              <w:ind w:left="60"/>
              <w:spacing w:after="0" w:line="92" w:lineRule="exact"/>
              <w:rPr>
                <w:sz w:val="20"/>
                <w:szCs w:val="20"/>
                <w:color w:val="auto"/>
              </w:rPr>
            </w:pPr>
            <w:r>
              <w:rPr>
                <w:rFonts w:ascii="Times New Roman" w:cs="Times New Roman" w:eastAsia="Times New Roman" w:hAnsi="Times New Roman"/>
                <w:sz w:val="10"/>
                <w:szCs w:val="10"/>
                <w:color w:val="auto"/>
              </w:rPr>
              <w:t>Preferred Equity</w:t>
            </w:r>
          </w:p>
        </w:tc>
        <w:tc>
          <w:tcPr>
            <w:tcW w:w="900" w:type="dxa"/>
            <w:vAlign w:val="bottom"/>
          </w:tcPr>
          <w:p>
            <w:pPr>
              <w:spacing w:after="0"/>
              <w:rPr>
                <w:sz w:val="7"/>
                <w:szCs w:val="7"/>
                <w:color w:val="auto"/>
              </w:rPr>
            </w:pPr>
          </w:p>
        </w:tc>
        <w:tc>
          <w:tcPr>
            <w:tcW w:w="40" w:type="dxa"/>
            <w:vAlign w:val="bottom"/>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6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26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0" w:type="dxa"/>
            <w:vAlign w:val="bottom"/>
          </w:tcPr>
          <w:p>
            <w:pPr>
              <w:spacing w:after="0"/>
              <w:rPr>
                <w:sz w:val="7"/>
                <w:szCs w:val="7"/>
                <w:color w:val="auto"/>
              </w:rPr>
            </w:pPr>
          </w:p>
        </w:tc>
        <w:tc>
          <w:tcPr>
            <w:tcW w:w="36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8"/>
        </w:trPr>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0" w:type="dxa"/>
            <w:vAlign w:val="bottom"/>
            <w:gridSpan w:val="3"/>
          </w:tcPr>
          <w:p>
            <w:pPr>
              <w:ind w:left="60"/>
              <w:spacing w:after="0"/>
              <w:rPr>
                <w:sz w:val="20"/>
                <w:szCs w:val="20"/>
                <w:color w:val="auto"/>
              </w:rPr>
            </w:pPr>
            <w:r>
              <w:rPr>
                <w:rFonts w:ascii="Times New Roman" w:cs="Times New Roman" w:eastAsia="Times New Roman" w:hAnsi="Times New Roman"/>
                <w:sz w:val="10"/>
                <w:szCs w:val="10"/>
                <w:color w:val="auto"/>
              </w:rPr>
              <w:t>(77,016 shares)</w:t>
            </w:r>
          </w:p>
        </w:tc>
        <w:tc>
          <w:tcPr>
            <w:tcW w:w="9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0.1%</w:t>
            </w:r>
          </w:p>
        </w:tc>
        <w:tc>
          <w:tcPr>
            <w:tcW w:w="8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9/26/2022</w:t>
            </w: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88</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17</w:t>
            </w: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10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000" w:type="dxa"/>
            <w:vAlign w:val="bottom"/>
            <w:gridSpan w:val="3"/>
            <w:shd w:val="clear" w:color="auto" w:fill="CCEEFF"/>
          </w:tcPr>
          <w:p>
            <w:pPr>
              <w:ind w:left="60"/>
              <w:spacing w:after="0" w:line="92" w:lineRule="exact"/>
              <w:rPr>
                <w:sz w:val="20"/>
                <w:szCs w:val="20"/>
                <w:color w:val="auto"/>
              </w:rPr>
            </w:pPr>
            <w:r>
              <w:rPr>
                <w:rFonts w:ascii="Times New Roman" w:cs="Times New Roman" w:eastAsia="Times New Roman" w:hAnsi="Times New Roman"/>
                <w:sz w:val="10"/>
                <w:szCs w:val="10"/>
                <w:color w:val="auto"/>
              </w:rPr>
              <w:t>Preferred Equity</w:t>
            </w:r>
          </w:p>
        </w:tc>
        <w:tc>
          <w:tcPr>
            <w:tcW w:w="90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8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18"/>
        </w:trPr>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0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0"/>
                <w:szCs w:val="10"/>
                <w:color w:val="auto"/>
              </w:rPr>
              <w:t>(568,182 shares)</w:t>
            </w:r>
          </w:p>
        </w:tc>
        <w:tc>
          <w:tcPr>
            <w:tcW w:w="9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0.8%</w:t>
            </w:r>
          </w:p>
        </w:tc>
        <w:tc>
          <w:tcPr>
            <w:tcW w:w="8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6/10/2025</w:t>
            </w: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375</w:t>
            </w:r>
          </w:p>
        </w:tc>
        <w:tc>
          <w:tcPr>
            <w:tcW w:w="60" w:type="dxa"/>
            <w:vAlign w:val="bottom"/>
            <w:shd w:val="clear" w:color="auto" w:fill="CCEEFF"/>
          </w:tcPr>
          <w:p>
            <w:pPr>
              <w:spacing w:after="0"/>
              <w:rPr>
                <w:sz w:val="10"/>
                <w:szCs w:val="10"/>
                <w:color w:val="auto"/>
              </w:rPr>
            </w:pPr>
          </w:p>
        </w:tc>
        <w:tc>
          <w:tcPr>
            <w:tcW w:w="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1,000</w:t>
            </w:r>
          </w:p>
        </w:tc>
        <w:tc>
          <w:tcPr>
            <w:tcW w:w="3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87"/>
              </w:rPr>
              <w:t>20,958</w:t>
            </w:r>
          </w:p>
        </w:tc>
        <w:tc>
          <w:tcPr>
            <w:tcW w:w="10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20,887</w:t>
            </w:r>
          </w:p>
        </w:tc>
        <w:tc>
          <w:tcPr>
            <w:tcW w:w="100" w:type="dxa"/>
            <w:vAlign w:val="bottom"/>
          </w:tcPr>
          <w:p>
            <w:pPr>
              <w:spacing w:after="0"/>
              <w:rPr>
                <w:sz w:val="10"/>
                <w:szCs w:val="10"/>
                <w:color w:val="auto"/>
              </w:rPr>
            </w:pPr>
          </w:p>
        </w:tc>
        <w:tc>
          <w:tcPr>
            <w:tcW w:w="480" w:type="dxa"/>
            <w:vAlign w:val="bottom"/>
            <w:gridSpan w:val="2"/>
          </w:tcPr>
          <w:p>
            <w:pPr>
              <w:jc w:val="right"/>
              <w:ind w:right="40"/>
              <w:spacing w:after="0" w:line="113" w:lineRule="exact"/>
              <w:rPr>
                <w:sz w:val="20"/>
                <w:szCs w:val="20"/>
                <w:color w:val="auto"/>
              </w:rPr>
            </w:pPr>
            <w:r>
              <w:rPr>
                <w:rFonts w:ascii="Times New Roman" w:cs="Times New Roman" w:eastAsia="Times New Roman" w:hAnsi="Times New Roman"/>
                <w:sz w:val="10"/>
                <w:szCs w:val="10"/>
                <w:color w:val="auto"/>
              </w:rPr>
              <w:t>3%</w:t>
            </w:r>
          </w:p>
        </w:tc>
        <w:tc>
          <w:tcPr>
            <w:tcW w:w="0" w:type="dxa"/>
            <w:vAlign w:val="bottom"/>
          </w:tcPr>
          <w:p>
            <w:pPr>
              <w:spacing w:after="0"/>
              <w:rPr>
                <w:sz w:val="1"/>
                <w:szCs w:val="1"/>
                <w:color w:val="auto"/>
              </w:rPr>
            </w:pPr>
          </w:p>
        </w:tc>
      </w:tr>
    </w:tbl>
    <w:p>
      <w:pPr>
        <w:spacing w:after="0" w:line="9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47</w:t>
      </w:r>
    </w:p>
    <w:p>
      <w:pPr>
        <w:sectPr>
          <w:pgSz w:w="11900" w:h="16838" w:orient="portrait"/>
          <w:cols w:equalWidth="0" w:num="1">
            <w:col w:w="10159"/>
          </w:cols>
          <w:pgMar w:left="300" w:top="384" w:right="1440"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2">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ectPr>
          <w:pgSz w:w="11900" w:h="16838" w:orient="portrait"/>
          <w:cols w:equalWidth="0" w:num="1">
            <w:col w:w="10159"/>
          </w:cols>
          <w:pgMar w:left="300" w:top="384" w:right="1440" w:bottom="1440" w:gutter="0" w:footer="0" w:header="0"/>
        </w:sectPr>
      </w:pPr>
    </w:p>
    <w:p>
      <w:pPr>
        <w:spacing w:after="0" w:line="264" w:lineRule="exact"/>
        <w:rPr>
          <w:sz w:val="20"/>
          <w:szCs w:val="20"/>
          <w:color w:val="auto"/>
        </w:rPr>
      </w:pPr>
    </w:p>
    <w:tbl>
      <w:tblPr>
        <w:tblLayout w:type="fixed"/>
        <w:tblInd w:w="1380" w:type="dxa"/>
        <w:tblCellMar>
          <w:top w:w="0" w:type="dxa"/>
          <w:left w:w="0" w:type="dxa"/>
          <w:bottom w:w="0" w:type="dxa"/>
          <w:right w:w="0" w:type="dxa"/>
        </w:tblCellMar>
      </w:tblPr>
      <w:tr>
        <w:trPr>
          <w:trHeight w:val="94"/>
        </w:trPr>
        <w:tc>
          <w:tcPr>
            <w:tcW w:w="1240" w:type="dxa"/>
            <w:vAlign w:val="bottom"/>
            <w:gridSpan w:val="2"/>
          </w:tcPr>
          <w:p>
            <w:pPr>
              <w:spacing w:after="0"/>
              <w:rPr>
                <w:sz w:val="20"/>
                <w:szCs w:val="20"/>
                <w:color w:val="auto"/>
              </w:rPr>
            </w:pPr>
            <w:r>
              <w:rPr>
                <w:rFonts w:ascii="Times New Roman" w:cs="Times New Roman" w:eastAsia="Times New Roman" w:hAnsi="Times New Roman"/>
                <w:sz w:val="8"/>
                <w:szCs w:val="8"/>
                <w:b w:val="1"/>
                <w:bCs w:val="1"/>
                <w:color w:val="auto"/>
              </w:rPr>
              <w:t>Portfolio Company (a)(b)</w:t>
            </w:r>
          </w:p>
        </w:tc>
        <w:tc>
          <w:tcPr>
            <w:tcW w:w="40" w:type="dxa"/>
            <w:vAlign w:val="bottom"/>
          </w:tcPr>
          <w:p>
            <w:pPr>
              <w:spacing w:after="0"/>
              <w:rPr>
                <w:sz w:val="8"/>
                <w:szCs w:val="8"/>
                <w:color w:val="auto"/>
              </w:rPr>
            </w:pPr>
          </w:p>
        </w:tc>
        <w:tc>
          <w:tcPr>
            <w:tcW w:w="940" w:type="dxa"/>
            <w:vAlign w:val="bottom"/>
          </w:tcPr>
          <w:p>
            <w:pPr>
              <w:spacing w:after="0"/>
              <w:rPr>
                <w:sz w:val="8"/>
                <w:szCs w:val="8"/>
                <w:color w:val="auto"/>
              </w:rPr>
            </w:pPr>
          </w:p>
        </w:tc>
        <w:tc>
          <w:tcPr>
            <w:tcW w:w="60" w:type="dxa"/>
            <w:vAlign w:val="bottom"/>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1240" w:type="dxa"/>
            <w:vAlign w:val="bottom"/>
            <w:gridSpan w:val="2"/>
          </w:tcPr>
          <w:p>
            <w:pPr>
              <w:spacing w:after="0"/>
              <w:rPr>
                <w:sz w:val="20"/>
                <w:szCs w:val="20"/>
                <w:color w:val="auto"/>
              </w:rPr>
            </w:pPr>
            <w:r>
              <w:rPr>
                <w:rFonts w:ascii="Times New Roman" w:cs="Times New Roman" w:eastAsia="Times New Roman" w:hAnsi="Times New Roman"/>
                <w:sz w:val="8"/>
                <w:szCs w:val="8"/>
                <w:b w:val="1"/>
                <w:bCs w:val="1"/>
                <w:color w:val="auto"/>
              </w:rPr>
              <w:t>Address of Portfolio Company</w:t>
            </w:r>
          </w:p>
        </w:tc>
        <w:tc>
          <w:tcPr>
            <w:tcW w:w="40" w:type="dxa"/>
            <w:vAlign w:val="bottom"/>
          </w:tcPr>
          <w:p>
            <w:pPr>
              <w:spacing w:after="0"/>
              <w:rPr>
                <w:sz w:val="10"/>
                <w:szCs w:val="10"/>
                <w:color w:val="auto"/>
              </w:rPr>
            </w:pPr>
          </w:p>
        </w:tc>
        <w:tc>
          <w:tcPr>
            <w:tcW w:w="1000" w:type="dxa"/>
            <w:vAlign w:val="bottom"/>
            <w:gridSpan w:val="2"/>
          </w:tcPr>
          <w:p>
            <w:pPr>
              <w:ind w:left="120"/>
              <w:spacing w:after="0"/>
              <w:rPr>
                <w:sz w:val="20"/>
                <w:szCs w:val="20"/>
                <w:color w:val="auto"/>
              </w:rPr>
            </w:pPr>
            <w:r>
              <w:rPr>
                <w:rFonts w:ascii="Times New Roman" w:cs="Times New Roman" w:eastAsia="Times New Roman" w:hAnsi="Times New Roman"/>
                <w:sz w:val="8"/>
                <w:szCs w:val="8"/>
                <w:b w:val="1"/>
                <w:bCs w:val="1"/>
                <w:color w:val="auto"/>
              </w:rPr>
              <w:t>Investment Type (c)</w:t>
            </w:r>
          </w:p>
        </w:tc>
        <w:tc>
          <w:tcPr>
            <w:tcW w:w="900" w:type="dxa"/>
            <w:vAlign w:val="bottom"/>
          </w:tcPr>
          <w:p>
            <w:pPr>
              <w:ind w:left="300"/>
              <w:spacing w:after="0"/>
              <w:rPr>
                <w:sz w:val="20"/>
                <w:szCs w:val="20"/>
                <w:color w:val="auto"/>
              </w:rPr>
            </w:pPr>
            <w:r>
              <w:rPr>
                <w:rFonts w:ascii="Times New Roman" w:cs="Times New Roman" w:eastAsia="Times New Roman" w:hAnsi="Times New Roman"/>
                <w:sz w:val="8"/>
                <w:szCs w:val="8"/>
                <w:b w:val="1"/>
                <w:bCs w:val="1"/>
                <w:color w:val="auto"/>
              </w:rPr>
              <w:t>Industry</w:t>
            </w:r>
          </w:p>
        </w:tc>
        <w:tc>
          <w:tcPr>
            <w:tcW w:w="0" w:type="dxa"/>
            <w:vAlign w:val="bottom"/>
          </w:tcPr>
          <w:p>
            <w:pPr>
              <w:spacing w:after="0"/>
              <w:rPr>
                <w:sz w:val="1"/>
                <w:szCs w:val="1"/>
                <w:color w:val="auto"/>
              </w:rPr>
            </w:pPr>
          </w:p>
        </w:tc>
      </w:tr>
      <w:tr>
        <w:trPr>
          <w:trHeight w:val="65"/>
        </w:trPr>
        <w:tc>
          <w:tcPr>
            <w:tcW w:w="1100" w:type="dxa"/>
            <w:vAlign w:val="bottom"/>
            <w:tcBorders>
              <w:top w:val="single" w:sz="8" w:color="auto"/>
            </w:tcBorders>
          </w:tcPr>
          <w:p>
            <w:pPr>
              <w:spacing w:after="0" w:line="65" w:lineRule="exact"/>
              <w:rPr>
                <w:sz w:val="20"/>
                <w:szCs w:val="20"/>
                <w:color w:val="auto"/>
              </w:rPr>
            </w:pPr>
            <w:r>
              <w:rPr>
                <w:rFonts w:ascii="Times New Roman" w:cs="Times New Roman" w:eastAsia="Times New Roman" w:hAnsi="Times New Roman"/>
                <w:sz w:val="7"/>
                <w:szCs w:val="7"/>
                <w:i w:val="1"/>
                <w:iCs w:val="1"/>
                <w:color w:val="auto"/>
              </w:rPr>
              <w:t>Ad Info Parent, Inc. (dba</w:t>
            </w: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940" w:type="dxa"/>
            <w:vAlign w:val="bottom"/>
            <w:tcBorders>
              <w:top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900" w:type="dxa"/>
            <w:vAlign w:val="bottom"/>
            <w:tcBorders>
              <w:top w:val="single" w:sz="8" w:color="auto"/>
            </w:tcBorders>
          </w:tcPr>
          <w:p>
            <w:pPr>
              <w:spacing w:after="0" w:line="65" w:lineRule="exact"/>
              <w:rPr>
                <w:sz w:val="20"/>
                <w:szCs w:val="20"/>
                <w:color w:val="auto"/>
              </w:rPr>
            </w:pPr>
            <w:r>
              <w:rPr>
                <w:rFonts w:ascii="Times New Roman" w:cs="Times New Roman" w:eastAsia="Times New Roman" w:hAnsi="Times New Roman"/>
                <w:sz w:val="7"/>
                <w:szCs w:val="7"/>
                <w:color w:val="auto"/>
              </w:rPr>
              <w:t>Information</w:t>
            </w:r>
          </w:p>
        </w:tc>
        <w:tc>
          <w:tcPr>
            <w:tcW w:w="0" w:type="dxa"/>
            <w:vAlign w:val="bottom"/>
          </w:tcPr>
          <w:p>
            <w:pPr>
              <w:spacing w:after="0"/>
              <w:rPr>
                <w:sz w:val="1"/>
                <w:szCs w:val="1"/>
                <w:color w:val="auto"/>
              </w:rPr>
            </w:pPr>
          </w:p>
        </w:tc>
      </w:tr>
      <w:tr>
        <w:trPr>
          <w:trHeight w:val="112"/>
        </w:trPr>
        <w:tc>
          <w:tcPr>
            <w:tcW w:w="1240" w:type="dxa"/>
            <w:vAlign w:val="bottom"/>
            <w:gridSpan w:val="2"/>
          </w:tcPr>
          <w:p>
            <w:pPr>
              <w:spacing w:after="0" w:line="113" w:lineRule="exact"/>
              <w:rPr>
                <w:sz w:val="20"/>
                <w:szCs w:val="20"/>
                <w:color w:val="auto"/>
              </w:rPr>
            </w:pPr>
            <w:r>
              <w:rPr>
                <w:rFonts w:ascii="Times New Roman" w:cs="Times New Roman" w:eastAsia="Times New Roman" w:hAnsi="Times New Roman"/>
                <w:sz w:val="10"/>
                <w:szCs w:val="10"/>
                <w:i w:val="1"/>
                <w:iCs w:val="1"/>
                <w:color w:val="auto"/>
              </w:rPr>
              <w:t>MediaRadar)</w:t>
            </w:r>
          </w:p>
        </w:tc>
        <w:tc>
          <w:tcPr>
            <w:tcW w:w="40" w:type="dxa"/>
            <w:vAlign w:val="bottom"/>
          </w:tcPr>
          <w:p>
            <w:pPr>
              <w:spacing w:after="0"/>
              <w:rPr>
                <w:sz w:val="9"/>
                <w:szCs w:val="9"/>
                <w:color w:val="auto"/>
              </w:rPr>
            </w:pPr>
          </w:p>
        </w:tc>
        <w:tc>
          <w:tcPr>
            <w:tcW w:w="940" w:type="dxa"/>
            <w:vAlign w:val="bottom"/>
          </w:tcPr>
          <w:p>
            <w:pPr>
              <w:spacing w:after="0"/>
              <w:rPr>
                <w:sz w:val="9"/>
                <w:szCs w:val="9"/>
                <w:color w:val="auto"/>
              </w:rPr>
            </w:pPr>
          </w:p>
        </w:tc>
        <w:tc>
          <w:tcPr>
            <w:tcW w:w="60" w:type="dxa"/>
            <w:vAlign w:val="bottom"/>
          </w:tcPr>
          <w:p>
            <w:pPr>
              <w:spacing w:after="0"/>
              <w:rPr>
                <w:sz w:val="9"/>
                <w:szCs w:val="9"/>
                <w:color w:val="auto"/>
              </w:rPr>
            </w:pPr>
          </w:p>
        </w:tc>
        <w:tc>
          <w:tcPr>
            <w:tcW w:w="90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Technology Services</w:t>
            </w:r>
          </w:p>
        </w:tc>
        <w:tc>
          <w:tcPr>
            <w:tcW w:w="0" w:type="dxa"/>
            <w:vAlign w:val="bottom"/>
          </w:tcPr>
          <w:p>
            <w:pPr>
              <w:spacing w:after="0"/>
              <w:rPr>
                <w:sz w:val="1"/>
                <w:szCs w:val="1"/>
                <w:color w:val="auto"/>
              </w:rPr>
            </w:pPr>
          </w:p>
        </w:tc>
      </w:tr>
      <w:tr>
        <w:trPr>
          <w:trHeight w:val="105"/>
        </w:trPr>
        <w:tc>
          <w:tcPr>
            <w:tcW w:w="1240" w:type="dxa"/>
            <w:vAlign w:val="bottom"/>
            <w:gridSpan w:val="2"/>
          </w:tcPr>
          <w:p>
            <w:pPr>
              <w:ind w:left="100"/>
              <w:spacing w:after="0" w:line="105" w:lineRule="exact"/>
              <w:rPr>
                <w:sz w:val="20"/>
                <w:szCs w:val="20"/>
                <w:color w:val="auto"/>
              </w:rPr>
            </w:pPr>
            <w:r>
              <w:rPr>
                <w:rFonts w:ascii="Times New Roman" w:cs="Times New Roman" w:eastAsia="Times New Roman" w:hAnsi="Times New Roman"/>
                <w:sz w:val="10"/>
                <w:szCs w:val="10"/>
                <w:color w:val="auto"/>
              </w:rPr>
              <w:t>252 West 37th Street</w:t>
            </w:r>
          </w:p>
        </w:tc>
        <w:tc>
          <w:tcPr>
            <w:tcW w:w="1040" w:type="dxa"/>
            <w:vAlign w:val="bottom"/>
            <w:gridSpan w:val="3"/>
          </w:tcPr>
          <w:p>
            <w:pPr>
              <w:ind w:left="40"/>
              <w:spacing w:after="0" w:line="105" w:lineRule="exact"/>
              <w:rPr>
                <w:sz w:val="20"/>
                <w:szCs w:val="20"/>
                <w:color w:val="auto"/>
              </w:rPr>
            </w:pPr>
            <w:r>
              <w:rPr>
                <w:rFonts w:ascii="Times New Roman" w:cs="Times New Roman" w:eastAsia="Times New Roman" w:hAnsi="Times New Roman"/>
                <w:sz w:val="10"/>
                <w:szCs w:val="10"/>
                <w:color w:val="auto"/>
              </w:rPr>
              <w:t>First Lien Debt (j)</w:t>
            </w: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240" w:type="dxa"/>
            <w:vAlign w:val="bottom"/>
            <w:gridSpan w:val="2"/>
          </w:tcPr>
          <w:p>
            <w:pPr>
              <w:ind w:left="100"/>
              <w:spacing w:after="0" w:line="105" w:lineRule="exact"/>
              <w:rPr>
                <w:sz w:val="20"/>
                <w:szCs w:val="20"/>
                <w:color w:val="auto"/>
              </w:rPr>
            </w:pPr>
            <w:r>
              <w:rPr>
                <w:rFonts w:ascii="Times New Roman" w:cs="Times New Roman" w:eastAsia="Times New Roman" w:hAnsi="Times New Roman"/>
                <w:sz w:val="10"/>
                <w:szCs w:val="10"/>
                <w:color w:val="auto"/>
              </w:rPr>
              <w:t>New York, NY 10018</w:t>
            </w:r>
          </w:p>
        </w:tc>
        <w:tc>
          <w:tcPr>
            <w:tcW w:w="1040" w:type="dxa"/>
            <w:vAlign w:val="bottom"/>
            <w:gridSpan w:val="3"/>
          </w:tcPr>
          <w:p>
            <w:pPr>
              <w:ind w:left="40"/>
              <w:spacing w:after="0" w:line="105" w:lineRule="exact"/>
              <w:rPr>
                <w:sz w:val="20"/>
                <w:szCs w:val="20"/>
                <w:color w:val="auto"/>
              </w:rPr>
            </w:pPr>
            <w:r>
              <w:rPr>
                <w:rFonts w:ascii="Times New Roman" w:cs="Times New Roman" w:eastAsia="Times New Roman" w:hAnsi="Times New Roman"/>
                <w:sz w:val="10"/>
                <w:szCs w:val="10"/>
                <w:color w:val="auto"/>
              </w:rPr>
              <w:t>Revolving Loan</w:t>
            </w: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gridSpan w:val="3"/>
          </w:tcPr>
          <w:p>
            <w:pPr>
              <w:ind w:left="40"/>
              <w:spacing w:after="0" w:line="105" w:lineRule="exact"/>
              <w:rPr>
                <w:sz w:val="20"/>
                <w:szCs w:val="20"/>
                <w:color w:val="auto"/>
              </w:rPr>
            </w:pPr>
            <w:r>
              <w:rPr>
                <w:rFonts w:ascii="Times New Roman" w:cs="Times New Roman" w:eastAsia="Times New Roman" w:hAnsi="Times New Roman"/>
                <w:sz w:val="10"/>
                <w:szCs w:val="10"/>
                <w:color w:val="auto"/>
              </w:rPr>
              <w:t>($1,442 unfunded</w:t>
            </w: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gridSpan w:val="3"/>
          </w:tcPr>
          <w:p>
            <w:pPr>
              <w:ind w:left="40"/>
              <w:spacing w:after="0" w:line="105" w:lineRule="exact"/>
              <w:rPr>
                <w:sz w:val="20"/>
                <w:szCs w:val="20"/>
                <w:color w:val="auto"/>
              </w:rPr>
            </w:pPr>
            <w:r>
              <w:rPr>
                <w:rFonts w:ascii="Times New Roman" w:cs="Times New Roman" w:eastAsia="Times New Roman" w:hAnsi="Times New Roman"/>
                <w:sz w:val="10"/>
                <w:szCs w:val="10"/>
                <w:color w:val="auto"/>
              </w:rPr>
              <w:t>commitment) (i)</w:t>
            </w: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gridSpan w:val="3"/>
          </w:tcPr>
          <w:p>
            <w:pPr>
              <w:ind w:left="40"/>
              <w:spacing w:after="0" w:line="105" w:lineRule="exact"/>
              <w:rPr>
                <w:sz w:val="20"/>
                <w:szCs w:val="20"/>
                <w:color w:val="auto"/>
              </w:rPr>
            </w:pPr>
            <w:r>
              <w:rPr>
                <w:rFonts w:ascii="Times New Roman" w:cs="Times New Roman" w:eastAsia="Times New Roman" w:hAnsi="Times New Roman"/>
                <w:sz w:val="10"/>
                <w:szCs w:val="10"/>
                <w:color w:val="auto"/>
              </w:rPr>
              <w:t>Preferred Equity</w:t>
            </w: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1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gridSpan w:val="3"/>
          </w:tcPr>
          <w:p>
            <w:pPr>
              <w:ind w:left="40"/>
              <w:spacing w:after="0"/>
              <w:rPr>
                <w:sz w:val="20"/>
                <w:szCs w:val="20"/>
                <w:color w:val="auto"/>
              </w:rPr>
            </w:pPr>
            <w:r>
              <w:rPr>
                <w:rFonts w:ascii="Times New Roman" w:cs="Times New Roman" w:eastAsia="Times New Roman" w:hAnsi="Times New Roman"/>
                <w:sz w:val="10"/>
                <w:szCs w:val="10"/>
                <w:color w:val="auto"/>
              </w:rPr>
              <w:t>(1,250,000 units)</w:t>
            </w: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0"/>
        </w:trPr>
        <w:tc>
          <w:tcPr>
            <w:tcW w:w="1240" w:type="dxa"/>
            <w:vAlign w:val="bottom"/>
            <w:gridSpan w:val="2"/>
          </w:tcPr>
          <w:p>
            <w:pPr>
              <w:spacing w:after="0"/>
              <w:rPr>
                <w:sz w:val="20"/>
                <w:szCs w:val="20"/>
                <w:color w:val="auto"/>
              </w:rPr>
            </w:pPr>
            <w:r>
              <w:rPr>
                <w:rFonts w:ascii="Times New Roman" w:cs="Times New Roman" w:eastAsia="Times New Roman" w:hAnsi="Times New Roman"/>
                <w:sz w:val="10"/>
                <w:szCs w:val="10"/>
                <w:i w:val="1"/>
                <w:iCs w:val="1"/>
                <w:color w:val="auto"/>
              </w:rPr>
              <w:t>Air Burners, Inc.</w:t>
            </w:r>
          </w:p>
        </w:tc>
        <w:tc>
          <w:tcPr>
            <w:tcW w:w="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0"/>
                <w:szCs w:val="10"/>
                <w:color w:val="auto"/>
              </w:rPr>
              <w:t>Utility Equipment</w:t>
            </w:r>
          </w:p>
        </w:tc>
        <w:tc>
          <w:tcPr>
            <w:tcW w:w="0" w:type="dxa"/>
            <w:vAlign w:val="bottom"/>
          </w:tcPr>
          <w:p>
            <w:pPr>
              <w:spacing w:after="0"/>
              <w:rPr>
                <w:sz w:val="1"/>
                <w:szCs w:val="1"/>
                <w:color w:val="auto"/>
              </w:rPr>
            </w:pPr>
          </w:p>
        </w:tc>
      </w:tr>
      <w:tr>
        <w:trPr>
          <w:trHeight w:val="125"/>
        </w:trPr>
        <w:tc>
          <w:tcPr>
            <w:tcW w:w="12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0"/>
                <w:szCs w:val="10"/>
                <w:color w:val="auto"/>
              </w:rPr>
              <w:t>4390 SW Cargo Way</w:t>
            </w:r>
          </w:p>
        </w:tc>
        <w:tc>
          <w:tcPr>
            <w:tcW w:w="1040" w:type="dxa"/>
            <w:vAlign w:val="bottom"/>
            <w:gridSpan w:val="3"/>
            <w:vMerge w:val="restart"/>
          </w:tcPr>
          <w:p>
            <w:pPr>
              <w:ind w:left="40"/>
              <w:spacing w:after="0"/>
              <w:rPr>
                <w:sz w:val="20"/>
                <w:szCs w:val="20"/>
                <w:color w:val="auto"/>
              </w:rPr>
            </w:pPr>
            <w:r>
              <w:rPr>
                <w:rFonts w:ascii="Times New Roman" w:cs="Times New Roman" w:eastAsia="Times New Roman" w:hAnsi="Times New Roman"/>
                <w:sz w:val="10"/>
                <w:szCs w:val="10"/>
                <w:color w:val="auto"/>
              </w:rPr>
              <w:t>First Lien Debt (j)(ah)</w:t>
            </w:r>
          </w:p>
        </w:tc>
        <w:tc>
          <w:tcPr>
            <w:tcW w:w="900" w:type="dxa"/>
            <w:vAlign w:val="bottom"/>
          </w:tcPr>
          <w:p>
            <w:pPr>
              <w:spacing w:after="0"/>
              <w:rPr>
                <w:sz w:val="20"/>
                <w:szCs w:val="20"/>
                <w:color w:val="auto"/>
              </w:rPr>
            </w:pPr>
            <w:r>
              <w:rPr>
                <w:rFonts w:ascii="Times New Roman" w:cs="Times New Roman" w:eastAsia="Times New Roman" w:hAnsi="Times New Roman"/>
                <w:sz w:val="10"/>
                <w:szCs w:val="10"/>
                <w:color w:val="auto"/>
              </w:rPr>
              <w:t>Manufacturing</w:t>
            </w:r>
          </w:p>
        </w:tc>
        <w:tc>
          <w:tcPr>
            <w:tcW w:w="0" w:type="dxa"/>
            <w:vAlign w:val="bottom"/>
          </w:tcPr>
          <w:p>
            <w:pPr>
              <w:spacing w:after="0"/>
              <w:rPr>
                <w:sz w:val="1"/>
                <w:szCs w:val="1"/>
                <w:color w:val="auto"/>
              </w:rPr>
            </w:pPr>
          </w:p>
        </w:tc>
      </w:tr>
      <w:tr>
        <w:trPr>
          <w:trHeight w:val="84"/>
        </w:trPr>
        <w:tc>
          <w:tcPr>
            <w:tcW w:w="1240" w:type="dxa"/>
            <w:vAlign w:val="bottom"/>
            <w:gridSpan w:val="2"/>
            <w:vMerge w:val="continue"/>
          </w:tcPr>
          <w:p>
            <w:pPr>
              <w:spacing w:after="0"/>
              <w:rPr>
                <w:sz w:val="7"/>
                <w:szCs w:val="7"/>
                <w:color w:val="auto"/>
              </w:rPr>
            </w:pPr>
          </w:p>
        </w:tc>
        <w:tc>
          <w:tcPr>
            <w:tcW w:w="104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5"/>
        </w:trPr>
        <w:tc>
          <w:tcPr>
            <w:tcW w:w="1240" w:type="dxa"/>
            <w:vAlign w:val="bottom"/>
            <w:gridSpan w:val="2"/>
          </w:tcPr>
          <w:p>
            <w:pPr>
              <w:ind w:left="100"/>
              <w:spacing w:after="0" w:line="105" w:lineRule="exact"/>
              <w:rPr>
                <w:sz w:val="20"/>
                <w:szCs w:val="20"/>
                <w:color w:val="auto"/>
              </w:rPr>
            </w:pPr>
            <w:r>
              <w:rPr>
                <w:rFonts w:ascii="Times New Roman" w:cs="Times New Roman" w:eastAsia="Times New Roman" w:hAnsi="Times New Roman"/>
                <w:sz w:val="10"/>
                <w:szCs w:val="10"/>
                <w:color w:val="auto"/>
              </w:rPr>
              <w:t>Palm City, FL 34990</w:t>
            </w:r>
          </w:p>
        </w:tc>
        <w:tc>
          <w:tcPr>
            <w:tcW w:w="1040" w:type="dxa"/>
            <w:vAlign w:val="bottom"/>
            <w:gridSpan w:val="3"/>
          </w:tcPr>
          <w:p>
            <w:pPr>
              <w:ind w:left="40"/>
              <w:spacing w:after="0" w:line="105" w:lineRule="exact"/>
              <w:rPr>
                <w:sz w:val="20"/>
                <w:szCs w:val="20"/>
                <w:color w:val="auto"/>
              </w:rPr>
            </w:pPr>
            <w:r>
              <w:rPr>
                <w:rFonts w:ascii="Times New Roman" w:cs="Times New Roman" w:eastAsia="Times New Roman" w:hAnsi="Times New Roman"/>
                <w:sz w:val="10"/>
                <w:szCs w:val="10"/>
                <w:color w:val="auto"/>
              </w:rPr>
              <w:t>Common Equity (817</w:t>
            </w: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gridSpan w:val="3"/>
          </w:tcPr>
          <w:p>
            <w:pPr>
              <w:ind w:left="40"/>
              <w:spacing w:after="0" w:line="105" w:lineRule="exact"/>
              <w:rPr>
                <w:sz w:val="20"/>
                <w:szCs w:val="20"/>
                <w:color w:val="auto"/>
              </w:rPr>
            </w:pPr>
            <w:r>
              <w:rPr>
                <w:rFonts w:ascii="Times New Roman" w:cs="Times New Roman" w:eastAsia="Times New Roman" w:hAnsi="Times New Roman"/>
                <w:sz w:val="10"/>
                <w:szCs w:val="10"/>
                <w:color w:val="auto"/>
              </w:rPr>
              <w:t>units) ($200 unfunded</w:t>
            </w: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1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gridSpan w:val="3"/>
          </w:tcPr>
          <w:p>
            <w:pPr>
              <w:ind w:left="40"/>
              <w:spacing w:after="0"/>
              <w:rPr>
                <w:sz w:val="20"/>
                <w:szCs w:val="20"/>
                <w:color w:val="auto"/>
              </w:rPr>
            </w:pPr>
            <w:r>
              <w:rPr>
                <w:rFonts w:ascii="Times New Roman" w:cs="Times New Roman" w:eastAsia="Times New Roman" w:hAnsi="Times New Roman"/>
                <w:sz w:val="10"/>
                <w:szCs w:val="10"/>
                <w:color w:val="auto"/>
              </w:rPr>
              <w:t>commitment)</w:t>
            </w: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8"/>
        </w:trPr>
        <w:tc>
          <w:tcPr>
            <w:tcW w:w="1240" w:type="dxa"/>
            <w:vAlign w:val="bottom"/>
            <w:gridSpan w:val="2"/>
          </w:tcPr>
          <w:p>
            <w:pPr>
              <w:spacing w:after="0"/>
              <w:rPr>
                <w:sz w:val="20"/>
                <w:szCs w:val="20"/>
                <w:color w:val="auto"/>
              </w:rPr>
            </w:pPr>
            <w:r>
              <w:rPr>
                <w:rFonts w:ascii="Times New Roman" w:cs="Times New Roman" w:eastAsia="Times New Roman" w:hAnsi="Times New Roman"/>
                <w:sz w:val="10"/>
                <w:szCs w:val="10"/>
                <w:i w:val="1"/>
                <w:iCs w:val="1"/>
                <w:color w:val="auto"/>
                <w:w w:val="96"/>
              </w:rPr>
              <w:t>Allredi, LLC (fka Marco Group</w:t>
            </w:r>
          </w:p>
        </w:tc>
        <w:tc>
          <w:tcPr>
            <w:tcW w:w="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0"/>
                <w:szCs w:val="10"/>
                <w:color w:val="auto"/>
              </w:rPr>
              <w:t>Industrial Cleaning &amp;</w:t>
            </w:r>
          </w:p>
        </w:tc>
        <w:tc>
          <w:tcPr>
            <w:tcW w:w="0" w:type="dxa"/>
            <w:vAlign w:val="bottom"/>
          </w:tcPr>
          <w:p>
            <w:pPr>
              <w:spacing w:after="0"/>
              <w:rPr>
                <w:sz w:val="1"/>
                <w:szCs w:val="1"/>
                <w:color w:val="auto"/>
              </w:rPr>
            </w:pPr>
          </w:p>
        </w:tc>
      </w:tr>
      <w:tr>
        <w:trPr>
          <w:trHeight w:val="107"/>
        </w:trPr>
        <w:tc>
          <w:tcPr>
            <w:tcW w:w="1240" w:type="dxa"/>
            <w:vAlign w:val="bottom"/>
            <w:gridSpan w:val="2"/>
          </w:tcPr>
          <w:p>
            <w:pPr>
              <w:spacing w:after="0" w:line="107" w:lineRule="exact"/>
              <w:rPr>
                <w:sz w:val="20"/>
                <w:szCs w:val="20"/>
                <w:color w:val="auto"/>
              </w:rPr>
            </w:pPr>
            <w:r>
              <w:rPr>
                <w:rFonts w:ascii="Times New Roman" w:cs="Times New Roman" w:eastAsia="Times New Roman" w:hAnsi="Times New Roman"/>
                <w:sz w:val="10"/>
                <w:szCs w:val="10"/>
                <w:i w:val="1"/>
                <w:iCs w:val="1"/>
                <w:color w:val="auto"/>
              </w:rPr>
              <w:t>International OpCo, LLC)</w:t>
            </w:r>
          </w:p>
        </w:tc>
        <w:tc>
          <w:tcPr>
            <w:tcW w:w="40" w:type="dxa"/>
            <w:vAlign w:val="bottom"/>
          </w:tcPr>
          <w:p>
            <w:pPr>
              <w:spacing w:after="0"/>
              <w:rPr>
                <w:sz w:val="9"/>
                <w:szCs w:val="9"/>
                <w:color w:val="auto"/>
              </w:rPr>
            </w:pPr>
          </w:p>
        </w:tc>
        <w:tc>
          <w:tcPr>
            <w:tcW w:w="940" w:type="dxa"/>
            <w:vAlign w:val="bottom"/>
          </w:tcPr>
          <w:p>
            <w:pPr>
              <w:spacing w:after="0"/>
              <w:rPr>
                <w:sz w:val="9"/>
                <w:szCs w:val="9"/>
                <w:color w:val="auto"/>
              </w:rPr>
            </w:pPr>
          </w:p>
        </w:tc>
        <w:tc>
          <w:tcPr>
            <w:tcW w:w="60" w:type="dxa"/>
            <w:vAlign w:val="bottom"/>
          </w:tcPr>
          <w:p>
            <w:pPr>
              <w:spacing w:after="0"/>
              <w:rPr>
                <w:sz w:val="9"/>
                <w:szCs w:val="9"/>
                <w:color w:val="auto"/>
              </w:rPr>
            </w:pPr>
          </w:p>
        </w:tc>
        <w:tc>
          <w:tcPr>
            <w:tcW w:w="900" w:type="dxa"/>
            <w:vAlign w:val="bottom"/>
          </w:tcPr>
          <w:p>
            <w:pPr>
              <w:spacing w:after="0" w:line="107" w:lineRule="exact"/>
              <w:rPr>
                <w:sz w:val="20"/>
                <w:szCs w:val="20"/>
                <w:color w:val="auto"/>
              </w:rPr>
            </w:pPr>
            <w:r>
              <w:rPr>
                <w:rFonts w:ascii="Times New Roman" w:cs="Times New Roman" w:eastAsia="Times New Roman" w:hAnsi="Times New Roman"/>
                <w:sz w:val="10"/>
                <w:szCs w:val="10"/>
                <w:color w:val="auto"/>
              </w:rPr>
              <w:t>Coatings</w:t>
            </w:r>
          </w:p>
        </w:tc>
        <w:tc>
          <w:tcPr>
            <w:tcW w:w="0" w:type="dxa"/>
            <w:vAlign w:val="bottom"/>
          </w:tcPr>
          <w:p>
            <w:pPr>
              <w:spacing w:after="0"/>
              <w:rPr>
                <w:sz w:val="1"/>
                <w:szCs w:val="1"/>
                <w:color w:val="auto"/>
              </w:rPr>
            </w:pPr>
          </w:p>
        </w:tc>
      </w:tr>
      <w:tr>
        <w:trPr>
          <w:trHeight w:val="105"/>
        </w:trPr>
        <w:tc>
          <w:tcPr>
            <w:tcW w:w="1240" w:type="dxa"/>
            <w:vAlign w:val="bottom"/>
            <w:gridSpan w:val="2"/>
          </w:tcPr>
          <w:p>
            <w:pPr>
              <w:ind w:left="100"/>
              <w:spacing w:after="0" w:line="105" w:lineRule="exact"/>
              <w:rPr>
                <w:sz w:val="20"/>
                <w:szCs w:val="20"/>
                <w:color w:val="auto"/>
              </w:rPr>
            </w:pPr>
            <w:r>
              <w:rPr>
                <w:rFonts w:ascii="Times New Roman" w:cs="Times New Roman" w:eastAsia="Times New Roman" w:hAnsi="Times New Roman"/>
                <w:sz w:val="10"/>
                <w:szCs w:val="10"/>
                <w:color w:val="auto"/>
              </w:rPr>
              <w:t>3009 Pasadena Freeway</w:t>
            </w:r>
          </w:p>
        </w:tc>
        <w:tc>
          <w:tcPr>
            <w:tcW w:w="40" w:type="dxa"/>
            <w:vAlign w:val="bottom"/>
          </w:tcPr>
          <w:p>
            <w:pPr>
              <w:spacing w:after="0"/>
              <w:rPr>
                <w:sz w:val="9"/>
                <w:szCs w:val="9"/>
                <w:color w:val="auto"/>
              </w:rPr>
            </w:pPr>
          </w:p>
        </w:tc>
        <w:tc>
          <w:tcPr>
            <w:tcW w:w="940" w:type="dxa"/>
            <w:vAlign w:val="bottom"/>
          </w:tcPr>
          <w:p>
            <w:pPr>
              <w:spacing w:after="0"/>
              <w:rPr>
                <w:sz w:val="9"/>
                <w:szCs w:val="9"/>
                <w:color w:val="auto"/>
              </w:rPr>
            </w:pPr>
          </w:p>
        </w:tc>
        <w:tc>
          <w:tcPr>
            <w:tcW w:w="6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240" w:type="dxa"/>
            <w:vAlign w:val="bottom"/>
            <w:gridSpan w:val="2"/>
          </w:tcPr>
          <w:p>
            <w:pPr>
              <w:ind w:left="100"/>
              <w:spacing w:after="0" w:line="105" w:lineRule="exact"/>
              <w:rPr>
                <w:sz w:val="20"/>
                <w:szCs w:val="20"/>
                <w:color w:val="auto"/>
              </w:rPr>
            </w:pPr>
            <w:r>
              <w:rPr>
                <w:rFonts w:ascii="Times New Roman" w:cs="Times New Roman" w:eastAsia="Times New Roman" w:hAnsi="Times New Roman"/>
                <w:sz w:val="10"/>
                <w:szCs w:val="10"/>
                <w:color w:val="auto"/>
              </w:rPr>
              <w:t>Frontage Rd, #100</w:t>
            </w:r>
          </w:p>
        </w:tc>
        <w:tc>
          <w:tcPr>
            <w:tcW w:w="1040" w:type="dxa"/>
            <w:vAlign w:val="bottom"/>
            <w:gridSpan w:val="3"/>
          </w:tcPr>
          <w:p>
            <w:pPr>
              <w:ind w:left="40"/>
              <w:spacing w:after="0" w:line="105" w:lineRule="exact"/>
              <w:rPr>
                <w:sz w:val="20"/>
                <w:szCs w:val="20"/>
                <w:color w:val="auto"/>
              </w:rPr>
            </w:pPr>
            <w:r>
              <w:rPr>
                <w:rFonts w:ascii="Times New Roman" w:cs="Times New Roman" w:eastAsia="Times New Roman" w:hAnsi="Times New Roman"/>
                <w:sz w:val="10"/>
                <w:szCs w:val="10"/>
                <w:color w:val="auto"/>
              </w:rPr>
              <w:t>Second Lien Debt</w:t>
            </w: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240" w:type="dxa"/>
            <w:vAlign w:val="bottom"/>
            <w:gridSpan w:val="2"/>
          </w:tcPr>
          <w:p>
            <w:pPr>
              <w:ind w:left="100"/>
              <w:spacing w:after="0" w:line="105" w:lineRule="exact"/>
              <w:rPr>
                <w:sz w:val="20"/>
                <w:szCs w:val="20"/>
                <w:color w:val="auto"/>
              </w:rPr>
            </w:pPr>
            <w:r>
              <w:rPr>
                <w:rFonts w:ascii="Times New Roman" w:cs="Times New Roman" w:eastAsia="Times New Roman" w:hAnsi="Times New Roman"/>
                <w:sz w:val="10"/>
                <w:szCs w:val="10"/>
                <w:color w:val="auto"/>
              </w:rPr>
              <w:t>Pasadena, TX 77503</w:t>
            </w:r>
          </w:p>
        </w:tc>
        <w:tc>
          <w:tcPr>
            <w:tcW w:w="1040" w:type="dxa"/>
            <w:vAlign w:val="bottom"/>
            <w:gridSpan w:val="3"/>
          </w:tcPr>
          <w:p>
            <w:pPr>
              <w:ind w:left="40"/>
              <w:spacing w:after="0" w:line="105" w:lineRule="exact"/>
              <w:rPr>
                <w:sz w:val="20"/>
                <w:szCs w:val="20"/>
                <w:color w:val="auto"/>
              </w:rPr>
            </w:pPr>
            <w:r>
              <w:rPr>
                <w:rFonts w:ascii="Times New Roman" w:cs="Times New Roman" w:eastAsia="Times New Roman" w:hAnsi="Times New Roman"/>
                <w:sz w:val="10"/>
                <w:szCs w:val="10"/>
                <w:color w:val="auto"/>
              </w:rPr>
              <w:t>Common Equity</w:t>
            </w: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gridSpan w:val="3"/>
          </w:tcPr>
          <w:p>
            <w:pPr>
              <w:ind w:left="40"/>
              <w:spacing w:after="0" w:line="105" w:lineRule="exact"/>
              <w:rPr>
                <w:sz w:val="20"/>
                <w:szCs w:val="20"/>
                <w:color w:val="auto"/>
              </w:rPr>
            </w:pPr>
            <w:r>
              <w:rPr>
                <w:rFonts w:ascii="Times New Roman" w:cs="Times New Roman" w:eastAsia="Times New Roman" w:hAnsi="Times New Roman"/>
                <w:sz w:val="10"/>
                <w:szCs w:val="10"/>
                <w:color w:val="auto"/>
              </w:rPr>
              <w:t>(570,636 units) (h)</w:t>
            </w: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gridSpan w:val="3"/>
          </w:tcPr>
          <w:p>
            <w:pPr>
              <w:ind w:left="40"/>
              <w:spacing w:after="0" w:line="105" w:lineRule="exact"/>
              <w:rPr>
                <w:sz w:val="20"/>
                <w:szCs w:val="20"/>
                <w:color w:val="auto"/>
              </w:rPr>
            </w:pPr>
            <w:r>
              <w:rPr>
                <w:rFonts w:ascii="Times New Roman" w:cs="Times New Roman" w:eastAsia="Times New Roman" w:hAnsi="Times New Roman"/>
                <w:sz w:val="10"/>
                <w:szCs w:val="10"/>
                <w:color w:val="auto"/>
              </w:rPr>
              <w:t>Common Equity</w:t>
            </w: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gridSpan w:val="3"/>
          </w:tcPr>
          <w:p>
            <w:pPr>
              <w:ind w:left="40"/>
              <w:spacing w:after="0" w:line="105" w:lineRule="exact"/>
              <w:rPr>
                <w:sz w:val="20"/>
                <w:szCs w:val="20"/>
                <w:color w:val="auto"/>
              </w:rPr>
            </w:pPr>
            <w:r>
              <w:rPr>
                <w:rFonts w:ascii="Times New Roman" w:cs="Times New Roman" w:eastAsia="Times New Roman" w:hAnsi="Times New Roman"/>
                <w:sz w:val="10"/>
                <w:szCs w:val="10"/>
                <w:color w:val="auto"/>
              </w:rPr>
              <w:t>(39,443 units) (h)</w:t>
            </w: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gridSpan w:val="3"/>
          </w:tcPr>
          <w:p>
            <w:pPr>
              <w:ind w:left="40"/>
              <w:spacing w:after="0" w:line="105" w:lineRule="exact"/>
              <w:rPr>
                <w:sz w:val="20"/>
                <w:szCs w:val="20"/>
                <w:color w:val="auto"/>
              </w:rPr>
            </w:pPr>
            <w:r>
              <w:rPr>
                <w:rFonts w:ascii="Times New Roman" w:cs="Times New Roman" w:eastAsia="Times New Roman" w:hAnsi="Times New Roman"/>
                <w:sz w:val="10"/>
                <w:szCs w:val="10"/>
                <w:color w:val="auto"/>
              </w:rPr>
              <w:t>Common Equity</w:t>
            </w: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1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gridSpan w:val="3"/>
          </w:tcPr>
          <w:p>
            <w:pPr>
              <w:ind w:left="40"/>
              <w:spacing w:after="0"/>
              <w:rPr>
                <w:sz w:val="20"/>
                <w:szCs w:val="20"/>
                <w:color w:val="auto"/>
              </w:rPr>
            </w:pPr>
            <w:r>
              <w:rPr>
                <w:rFonts w:ascii="Times New Roman" w:cs="Times New Roman" w:eastAsia="Times New Roman" w:hAnsi="Times New Roman"/>
                <w:sz w:val="10"/>
                <w:szCs w:val="10"/>
                <w:color w:val="auto"/>
              </w:rPr>
              <w:t>(524,624 units) (h)</w:t>
            </w: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8"/>
        </w:trPr>
        <w:tc>
          <w:tcPr>
            <w:tcW w:w="1240" w:type="dxa"/>
            <w:vAlign w:val="bottom"/>
            <w:gridSpan w:val="2"/>
          </w:tcPr>
          <w:p>
            <w:pPr>
              <w:spacing w:after="0"/>
              <w:rPr>
                <w:sz w:val="20"/>
                <w:szCs w:val="20"/>
                <w:color w:val="auto"/>
              </w:rPr>
            </w:pPr>
            <w:r>
              <w:rPr>
                <w:rFonts w:ascii="Times New Roman" w:cs="Times New Roman" w:eastAsia="Times New Roman" w:hAnsi="Times New Roman"/>
                <w:sz w:val="10"/>
                <w:szCs w:val="10"/>
                <w:i w:val="1"/>
                <w:iCs w:val="1"/>
                <w:color w:val="auto"/>
              </w:rPr>
              <w:t>American AllWaste LLC (dba</w:t>
            </w:r>
          </w:p>
        </w:tc>
        <w:tc>
          <w:tcPr>
            <w:tcW w:w="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0"/>
                <w:szCs w:val="10"/>
                <w:color w:val="auto"/>
              </w:rPr>
              <w:t>Environmental</w:t>
            </w:r>
          </w:p>
        </w:tc>
        <w:tc>
          <w:tcPr>
            <w:tcW w:w="0" w:type="dxa"/>
            <w:vAlign w:val="bottom"/>
          </w:tcPr>
          <w:p>
            <w:pPr>
              <w:spacing w:after="0"/>
              <w:rPr>
                <w:sz w:val="1"/>
                <w:szCs w:val="1"/>
                <w:color w:val="auto"/>
              </w:rPr>
            </w:pPr>
          </w:p>
        </w:tc>
      </w:tr>
      <w:tr>
        <w:trPr>
          <w:trHeight w:val="105"/>
        </w:trPr>
        <w:tc>
          <w:tcPr>
            <w:tcW w:w="1240" w:type="dxa"/>
            <w:vAlign w:val="bottom"/>
            <w:gridSpan w:val="2"/>
          </w:tcPr>
          <w:p>
            <w:pPr>
              <w:spacing w:after="0" w:line="105" w:lineRule="exact"/>
              <w:rPr>
                <w:sz w:val="20"/>
                <w:szCs w:val="20"/>
                <w:color w:val="auto"/>
              </w:rPr>
            </w:pPr>
            <w:r>
              <w:rPr>
                <w:rFonts w:ascii="Times New Roman" w:cs="Times New Roman" w:eastAsia="Times New Roman" w:hAnsi="Times New Roman"/>
                <w:sz w:val="10"/>
                <w:szCs w:val="10"/>
                <w:i w:val="1"/>
                <w:iCs w:val="1"/>
                <w:color w:val="auto"/>
              </w:rPr>
              <w:t>WasteWater Transport</w:t>
            </w:r>
          </w:p>
        </w:tc>
        <w:tc>
          <w:tcPr>
            <w:tcW w:w="40" w:type="dxa"/>
            <w:vAlign w:val="bottom"/>
          </w:tcPr>
          <w:p>
            <w:pPr>
              <w:spacing w:after="0"/>
              <w:rPr>
                <w:sz w:val="9"/>
                <w:szCs w:val="9"/>
                <w:color w:val="auto"/>
              </w:rPr>
            </w:pPr>
          </w:p>
        </w:tc>
        <w:tc>
          <w:tcPr>
            <w:tcW w:w="940" w:type="dxa"/>
            <w:vAlign w:val="bottom"/>
          </w:tcPr>
          <w:p>
            <w:pPr>
              <w:spacing w:after="0"/>
              <w:rPr>
                <w:sz w:val="9"/>
                <w:szCs w:val="9"/>
                <w:color w:val="auto"/>
              </w:rPr>
            </w:pPr>
          </w:p>
        </w:tc>
        <w:tc>
          <w:tcPr>
            <w:tcW w:w="60" w:type="dxa"/>
            <w:vAlign w:val="bottom"/>
          </w:tcPr>
          <w:p>
            <w:pPr>
              <w:spacing w:after="0"/>
              <w:rPr>
                <w:sz w:val="9"/>
                <w:szCs w:val="9"/>
                <w:color w:val="auto"/>
              </w:rPr>
            </w:pPr>
          </w:p>
        </w:tc>
        <w:tc>
          <w:tcPr>
            <w:tcW w:w="900" w:type="dxa"/>
            <w:vAlign w:val="bottom"/>
          </w:tcPr>
          <w:p>
            <w:pPr>
              <w:spacing w:after="0" w:line="105" w:lineRule="exact"/>
              <w:rPr>
                <w:sz w:val="20"/>
                <w:szCs w:val="20"/>
                <w:color w:val="auto"/>
              </w:rPr>
            </w:pPr>
            <w:r>
              <w:rPr>
                <w:rFonts w:ascii="Times New Roman" w:cs="Times New Roman" w:eastAsia="Times New Roman" w:hAnsi="Times New Roman"/>
                <w:sz w:val="10"/>
                <w:szCs w:val="10"/>
                <w:color w:val="auto"/>
              </w:rPr>
              <w:t>Industries</w:t>
            </w:r>
          </w:p>
        </w:tc>
        <w:tc>
          <w:tcPr>
            <w:tcW w:w="0" w:type="dxa"/>
            <w:vAlign w:val="bottom"/>
          </w:tcPr>
          <w:p>
            <w:pPr>
              <w:spacing w:after="0"/>
              <w:rPr>
                <w:sz w:val="1"/>
                <w:szCs w:val="1"/>
                <w:color w:val="auto"/>
              </w:rPr>
            </w:pPr>
          </w:p>
        </w:tc>
      </w:tr>
      <w:tr>
        <w:trPr>
          <w:trHeight w:val="107"/>
        </w:trPr>
        <w:tc>
          <w:tcPr>
            <w:tcW w:w="1240" w:type="dxa"/>
            <w:vAlign w:val="bottom"/>
            <w:gridSpan w:val="2"/>
          </w:tcPr>
          <w:p>
            <w:pPr>
              <w:spacing w:after="0" w:line="107" w:lineRule="exact"/>
              <w:rPr>
                <w:sz w:val="20"/>
                <w:szCs w:val="20"/>
                <w:color w:val="auto"/>
              </w:rPr>
            </w:pPr>
            <w:r>
              <w:rPr>
                <w:rFonts w:ascii="Times New Roman" w:cs="Times New Roman" w:eastAsia="Times New Roman" w:hAnsi="Times New Roman"/>
                <w:sz w:val="10"/>
                <w:szCs w:val="10"/>
                <w:i w:val="1"/>
                <w:iCs w:val="1"/>
                <w:color w:val="auto"/>
              </w:rPr>
              <w:t>Services)</w:t>
            </w:r>
          </w:p>
        </w:tc>
        <w:tc>
          <w:tcPr>
            <w:tcW w:w="40" w:type="dxa"/>
            <w:vAlign w:val="bottom"/>
          </w:tcPr>
          <w:p>
            <w:pPr>
              <w:spacing w:after="0"/>
              <w:rPr>
                <w:sz w:val="9"/>
                <w:szCs w:val="9"/>
                <w:color w:val="auto"/>
              </w:rPr>
            </w:pPr>
          </w:p>
        </w:tc>
        <w:tc>
          <w:tcPr>
            <w:tcW w:w="940" w:type="dxa"/>
            <w:vAlign w:val="bottom"/>
          </w:tcPr>
          <w:p>
            <w:pPr>
              <w:spacing w:after="0"/>
              <w:rPr>
                <w:sz w:val="9"/>
                <w:szCs w:val="9"/>
                <w:color w:val="auto"/>
              </w:rPr>
            </w:pPr>
          </w:p>
        </w:tc>
        <w:tc>
          <w:tcPr>
            <w:tcW w:w="6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240" w:type="dxa"/>
            <w:vAlign w:val="bottom"/>
            <w:gridSpan w:val="2"/>
          </w:tcPr>
          <w:p>
            <w:pPr>
              <w:ind w:left="100"/>
              <w:spacing w:after="0" w:line="105" w:lineRule="exact"/>
              <w:rPr>
                <w:sz w:val="20"/>
                <w:szCs w:val="20"/>
                <w:color w:val="auto"/>
              </w:rPr>
            </w:pPr>
            <w:r>
              <w:rPr>
                <w:rFonts w:ascii="Times New Roman" w:cs="Times New Roman" w:eastAsia="Times New Roman" w:hAnsi="Times New Roman"/>
                <w:sz w:val="10"/>
                <w:szCs w:val="10"/>
                <w:color w:val="auto"/>
              </w:rPr>
              <w:t>12141 Wickchester Ln.,</w:t>
            </w:r>
          </w:p>
        </w:tc>
        <w:tc>
          <w:tcPr>
            <w:tcW w:w="40" w:type="dxa"/>
            <w:vAlign w:val="bottom"/>
          </w:tcPr>
          <w:p>
            <w:pPr>
              <w:spacing w:after="0"/>
              <w:rPr>
                <w:sz w:val="9"/>
                <w:szCs w:val="9"/>
                <w:color w:val="auto"/>
              </w:rPr>
            </w:pPr>
          </w:p>
        </w:tc>
        <w:tc>
          <w:tcPr>
            <w:tcW w:w="940" w:type="dxa"/>
            <w:vAlign w:val="bottom"/>
          </w:tcPr>
          <w:p>
            <w:pPr>
              <w:spacing w:after="0"/>
              <w:rPr>
                <w:sz w:val="9"/>
                <w:szCs w:val="9"/>
                <w:color w:val="auto"/>
              </w:rPr>
            </w:pPr>
          </w:p>
        </w:tc>
        <w:tc>
          <w:tcPr>
            <w:tcW w:w="6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240" w:type="dxa"/>
            <w:vAlign w:val="bottom"/>
            <w:gridSpan w:val="2"/>
          </w:tcPr>
          <w:p>
            <w:pPr>
              <w:ind w:left="100"/>
              <w:spacing w:after="0" w:line="105" w:lineRule="exact"/>
              <w:rPr>
                <w:sz w:val="20"/>
                <w:szCs w:val="20"/>
                <w:color w:val="auto"/>
              </w:rPr>
            </w:pPr>
            <w:r>
              <w:rPr>
                <w:rFonts w:ascii="Times New Roman" w:cs="Times New Roman" w:eastAsia="Times New Roman" w:hAnsi="Times New Roman"/>
                <w:sz w:val="10"/>
                <w:szCs w:val="10"/>
                <w:color w:val="auto"/>
              </w:rPr>
              <w:t>Suite 325</w:t>
            </w:r>
          </w:p>
        </w:tc>
        <w:tc>
          <w:tcPr>
            <w:tcW w:w="1040" w:type="dxa"/>
            <w:vAlign w:val="bottom"/>
            <w:gridSpan w:val="3"/>
          </w:tcPr>
          <w:p>
            <w:pPr>
              <w:ind w:left="40"/>
              <w:spacing w:after="0" w:line="105" w:lineRule="exact"/>
              <w:rPr>
                <w:sz w:val="20"/>
                <w:szCs w:val="20"/>
                <w:color w:val="auto"/>
              </w:rPr>
            </w:pPr>
            <w:r>
              <w:rPr>
                <w:rFonts w:ascii="Times New Roman" w:cs="Times New Roman" w:eastAsia="Times New Roman" w:hAnsi="Times New Roman"/>
                <w:sz w:val="10"/>
                <w:szCs w:val="10"/>
                <w:color w:val="auto"/>
              </w:rPr>
              <w:t>First Lien Debt</w:t>
            </w: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240" w:type="dxa"/>
            <w:vAlign w:val="bottom"/>
            <w:gridSpan w:val="2"/>
          </w:tcPr>
          <w:p>
            <w:pPr>
              <w:ind w:left="100"/>
              <w:spacing w:after="0" w:line="105" w:lineRule="exact"/>
              <w:rPr>
                <w:sz w:val="20"/>
                <w:szCs w:val="20"/>
                <w:color w:val="auto"/>
              </w:rPr>
            </w:pPr>
            <w:r>
              <w:rPr>
                <w:rFonts w:ascii="Times New Roman" w:cs="Times New Roman" w:eastAsia="Times New Roman" w:hAnsi="Times New Roman"/>
                <w:sz w:val="10"/>
                <w:szCs w:val="10"/>
                <w:color w:val="auto"/>
              </w:rPr>
              <w:t>Houston, TX 77079</w:t>
            </w:r>
          </w:p>
        </w:tc>
        <w:tc>
          <w:tcPr>
            <w:tcW w:w="1040" w:type="dxa"/>
            <w:vAlign w:val="bottom"/>
            <w:gridSpan w:val="3"/>
          </w:tcPr>
          <w:p>
            <w:pPr>
              <w:ind w:left="40"/>
              <w:spacing w:after="0" w:line="105" w:lineRule="exact"/>
              <w:rPr>
                <w:sz w:val="20"/>
                <w:szCs w:val="20"/>
                <w:color w:val="auto"/>
              </w:rPr>
            </w:pPr>
            <w:r>
              <w:rPr>
                <w:rFonts w:ascii="Times New Roman" w:cs="Times New Roman" w:eastAsia="Times New Roman" w:hAnsi="Times New Roman"/>
                <w:sz w:val="10"/>
                <w:szCs w:val="10"/>
                <w:color w:val="auto"/>
              </w:rPr>
              <w:t>Preferred Equity (500</w:t>
            </w: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gridSpan w:val="3"/>
          </w:tcPr>
          <w:p>
            <w:pPr>
              <w:ind w:left="40"/>
              <w:spacing w:after="0" w:line="105" w:lineRule="exact"/>
              <w:rPr>
                <w:sz w:val="20"/>
                <w:szCs w:val="20"/>
                <w:color w:val="auto"/>
              </w:rPr>
            </w:pPr>
            <w:r>
              <w:rPr>
                <w:rFonts w:ascii="Times New Roman" w:cs="Times New Roman" w:eastAsia="Times New Roman" w:hAnsi="Times New Roman"/>
                <w:sz w:val="10"/>
                <w:szCs w:val="10"/>
                <w:color w:val="auto"/>
              </w:rPr>
              <w:t>units) (h)</w:t>
            </w: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gridSpan w:val="3"/>
          </w:tcPr>
          <w:p>
            <w:pPr>
              <w:ind w:left="40"/>
              <w:spacing w:after="0" w:line="105" w:lineRule="exact"/>
              <w:rPr>
                <w:sz w:val="20"/>
                <w:szCs w:val="20"/>
                <w:color w:val="auto"/>
              </w:rPr>
            </w:pPr>
            <w:r>
              <w:rPr>
                <w:rFonts w:ascii="Times New Roman" w:cs="Times New Roman" w:eastAsia="Times New Roman" w:hAnsi="Times New Roman"/>
                <w:sz w:val="10"/>
                <w:szCs w:val="10"/>
                <w:color w:val="auto"/>
              </w:rPr>
              <w:t>Preferred Equity (207</w:t>
            </w: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gridSpan w:val="3"/>
          </w:tcPr>
          <w:p>
            <w:pPr>
              <w:ind w:left="40"/>
              <w:spacing w:after="0" w:line="105" w:lineRule="exact"/>
              <w:rPr>
                <w:sz w:val="20"/>
                <w:szCs w:val="20"/>
                <w:color w:val="auto"/>
              </w:rPr>
            </w:pPr>
            <w:r>
              <w:rPr>
                <w:rFonts w:ascii="Times New Roman" w:cs="Times New Roman" w:eastAsia="Times New Roman" w:hAnsi="Times New Roman"/>
                <w:sz w:val="10"/>
                <w:szCs w:val="10"/>
                <w:color w:val="auto"/>
              </w:rPr>
              <w:t>units) (h)</w:t>
            </w: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gridSpan w:val="3"/>
          </w:tcPr>
          <w:p>
            <w:pPr>
              <w:ind w:left="40"/>
              <w:spacing w:after="0" w:line="105" w:lineRule="exact"/>
              <w:rPr>
                <w:sz w:val="20"/>
                <w:szCs w:val="20"/>
                <w:color w:val="auto"/>
              </w:rPr>
            </w:pPr>
            <w:r>
              <w:rPr>
                <w:rFonts w:ascii="Times New Roman" w:cs="Times New Roman" w:eastAsia="Times New Roman" w:hAnsi="Times New Roman"/>
                <w:sz w:val="10"/>
                <w:szCs w:val="10"/>
                <w:color w:val="auto"/>
              </w:rPr>
              <w:t>Preferred Equity (141</w:t>
            </w: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gridSpan w:val="3"/>
          </w:tcPr>
          <w:p>
            <w:pPr>
              <w:ind w:left="40"/>
              <w:spacing w:after="0" w:line="105" w:lineRule="exact"/>
              <w:rPr>
                <w:sz w:val="20"/>
                <w:szCs w:val="20"/>
                <w:color w:val="auto"/>
              </w:rPr>
            </w:pPr>
            <w:r>
              <w:rPr>
                <w:rFonts w:ascii="Times New Roman" w:cs="Times New Roman" w:eastAsia="Times New Roman" w:hAnsi="Times New Roman"/>
                <w:sz w:val="10"/>
                <w:szCs w:val="10"/>
                <w:color w:val="auto"/>
              </w:rPr>
              <w:t>units) (h)</w:t>
            </w: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gridSpan w:val="3"/>
          </w:tcPr>
          <w:p>
            <w:pPr>
              <w:ind w:left="40"/>
              <w:spacing w:after="0" w:line="105" w:lineRule="exact"/>
              <w:rPr>
                <w:sz w:val="20"/>
                <w:szCs w:val="20"/>
                <w:color w:val="auto"/>
              </w:rPr>
            </w:pPr>
            <w:r>
              <w:rPr>
                <w:rFonts w:ascii="Times New Roman" w:cs="Times New Roman" w:eastAsia="Times New Roman" w:hAnsi="Times New Roman"/>
                <w:sz w:val="10"/>
                <w:szCs w:val="10"/>
                <w:color w:val="auto"/>
              </w:rPr>
              <w:t>Preferred Equity (74</w:t>
            </w: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gridSpan w:val="3"/>
          </w:tcPr>
          <w:p>
            <w:pPr>
              <w:ind w:left="40"/>
              <w:spacing w:after="0" w:line="105" w:lineRule="exact"/>
              <w:rPr>
                <w:sz w:val="20"/>
                <w:szCs w:val="20"/>
                <w:color w:val="auto"/>
              </w:rPr>
            </w:pPr>
            <w:r>
              <w:rPr>
                <w:rFonts w:ascii="Times New Roman" w:cs="Times New Roman" w:eastAsia="Times New Roman" w:hAnsi="Times New Roman"/>
                <w:sz w:val="10"/>
                <w:szCs w:val="10"/>
                <w:color w:val="auto"/>
              </w:rPr>
              <w:t>units) (h)</w:t>
            </w: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gridSpan w:val="3"/>
          </w:tcPr>
          <w:p>
            <w:pPr>
              <w:ind w:left="40"/>
              <w:spacing w:after="0" w:line="105" w:lineRule="exact"/>
              <w:rPr>
                <w:sz w:val="20"/>
                <w:szCs w:val="20"/>
                <w:color w:val="auto"/>
              </w:rPr>
            </w:pPr>
            <w:r>
              <w:rPr>
                <w:rFonts w:ascii="Times New Roman" w:cs="Times New Roman" w:eastAsia="Times New Roman" w:hAnsi="Times New Roman"/>
                <w:sz w:val="10"/>
                <w:szCs w:val="10"/>
                <w:color w:val="auto"/>
              </w:rPr>
              <w:t>Preferred Equity (52</w:t>
            </w: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gridSpan w:val="3"/>
          </w:tcPr>
          <w:p>
            <w:pPr>
              <w:ind w:left="40"/>
              <w:spacing w:after="0" w:line="105" w:lineRule="exact"/>
              <w:rPr>
                <w:sz w:val="20"/>
                <w:szCs w:val="20"/>
                <w:color w:val="auto"/>
              </w:rPr>
            </w:pPr>
            <w:r>
              <w:rPr>
                <w:rFonts w:ascii="Times New Roman" w:cs="Times New Roman" w:eastAsia="Times New Roman" w:hAnsi="Times New Roman"/>
                <w:sz w:val="10"/>
                <w:szCs w:val="10"/>
                <w:color w:val="auto"/>
              </w:rPr>
              <w:t>units) (h)</w:t>
            </w: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gridSpan w:val="3"/>
          </w:tcPr>
          <w:p>
            <w:pPr>
              <w:ind w:left="40"/>
              <w:spacing w:after="0" w:line="105" w:lineRule="exact"/>
              <w:rPr>
                <w:sz w:val="20"/>
                <w:szCs w:val="20"/>
                <w:color w:val="auto"/>
              </w:rPr>
            </w:pPr>
            <w:r>
              <w:rPr>
                <w:rFonts w:ascii="Times New Roman" w:cs="Times New Roman" w:eastAsia="Times New Roman" w:hAnsi="Times New Roman"/>
                <w:sz w:val="10"/>
                <w:szCs w:val="10"/>
                <w:color w:val="auto"/>
              </w:rPr>
              <w:t>Preferred Equity (312</w:t>
            </w: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gridSpan w:val="3"/>
          </w:tcPr>
          <w:p>
            <w:pPr>
              <w:ind w:left="40"/>
              <w:spacing w:after="0" w:line="105" w:lineRule="exact"/>
              <w:rPr>
                <w:sz w:val="20"/>
                <w:szCs w:val="20"/>
                <w:color w:val="auto"/>
              </w:rPr>
            </w:pPr>
            <w:r>
              <w:rPr>
                <w:rFonts w:ascii="Times New Roman" w:cs="Times New Roman" w:eastAsia="Times New Roman" w:hAnsi="Times New Roman"/>
                <w:sz w:val="10"/>
                <w:szCs w:val="10"/>
                <w:color w:val="auto"/>
              </w:rPr>
              <w:t>units) (h)</w:t>
            </w: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gridSpan w:val="3"/>
          </w:tcPr>
          <w:p>
            <w:pPr>
              <w:ind w:left="40"/>
              <w:spacing w:after="0" w:line="105" w:lineRule="exact"/>
              <w:rPr>
                <w:sz w:val="20"/>
                <w:szCs w:val="20"/>
                <w:color w:val="auto"/>
              </w:rPr>
            </w:pPr>
            <w:r>
              <w:rPr>
                <w:rFonts w:ascii="Times New Roman" w:cs="Times New Roman" w:eastAsia="Times New Roman" w:hAnsi="Times New Roman"/>
                <w:sz w:val="10"/>
                <w:szCs w:val="10"/>
                <w:color w:val="auto"/>
              </w:rPr>
              <w:t>Common Equity (1,405</w:t>
            </w: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1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gridSpan w:val="3"/>
          </w:tcPr>
          <w:p>
            <w:pPr>
              <w:ind w:left="40"/>
              <w:spacing w:after="0"/>
              <w:rPr>
                <w:sz w:val="20"/>
                <w:szCs w:val="20"/>
                <w:color w:val="auto"/>
              </w:rPr>
            </w:pPr>
            <w:r>
              <w:rPr>
                <w:rFonts w:ascii="Times New Roman" w:cs="Times New Roman" w:eastAsia="Times New Roman" w:hAnsi="Times New Roman"/>
                <w:sz w:val="10"/>
                <w:szCs w:val="10"/>
                <w:color w:val="auto"/>
              </w:rPr>
              <w:t>units) (h)</w:t>
            </w: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0"/>
        </w:trPr>
        <w:tc>
          <w:tcPr>
            <w:tcW w:w="1240" w:type="dxa"/>
            <w:vAlign w:val="bottom"/>
            <w:gridSpan w:val="2"/>
          </w:tcPr>
          <w:p>
            <w:pPr>
              <w:spacing w:after="0"/>
              <w:rPr>
                <w:sz w:val="20"/>
                <w:szCs w:val="20"/>
                <w:color w:val="auto"/>
              </w:rPr>
            </w:pPr>
            <w:r>
              <w:rPr>
                <w:rFonts w:ascii="Times New Roman" w:cs="Times New Roman" w:eastAsia="Times New Roman" w:hAnsi="Times New Roman"/>
                <w:sz w:val="10"/>
                <w:szCs w:val="10"/>
                <w:i w:val="1"/>
                <w:iCs w:val="1"/>
                <w:color w:val="auto"/>
              </w:rPr>
              <w:t>AmeriWater, LLC</w:t>
            </w:r>
          </w:p>
        </w:tc>
        <w:tc>
          <w:tcPr>
            <w:tcW w:w="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0"/>
                <w:szCs w:val="10"/>
                <w:color w:val="auto"/>
              </w:rPr>
              <w:t>Component</w:t>
            </w:r>
          </w:p>
        </w:tc>
        <w:tc>
          <w:tcPr>
            <w:tcW w:w="0" w:type="dxa"/>
            <w:vAlign w:val="bottom"/>
          </w:tcPr>
          <w:p>
            <w:pPr>
              <w:spacing w:after="0"/>
              <w:rPr>
                <w:sz w:val="1"/>
                <w:szCs w:val="1"/>
                <w:color w:val="auto"/>
              </w:rPr>
            </w:pPr>
          </w:p>
        </w:tc>
      </w:tr>
      <w:tr>
        <w:trPr>
          <w:trHeight w:val="125"/>
        </w:trPr>
        <w:tc>
          <w:tcPr>
            <w:tcW w:w="12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0"/>
                <w:szCs w:val="10"/>
                <w:color w:val="auto"/>
              </w:rPr>
              <w:t>3354 Stop 8 Rd.</w:t>
            </w:r>
          </w:p>
        </w:tc>
        <w:tc>
          <w:tcPr>
            <w:tcW w:w="1040" w:type="dxa"/>
            <w:vAlign w:val="bottom"/>
            <w:gridSpan w:val="3"/>
            <w:vMerge w:val="restart"/>
          </w:tcPr>
          <w:p>
            <w:pPr>
              <w:ind w:left="40"/>
              <w:spacing w:after="0"/>
              <w:rPr>
                <w:sz w:val="20"/>
                <w:szCs w:val="20"/>
                <w:color w:val="auto"/>
              </w:rPr>
            </w:pPr>
            <w:r>
              <w:rPr>
                <w:rFonts w:ascii="Times New Roman" w:cs="Times New Roman" w:eastAsia="Times New Roman" w:hAnsi="Times New Roman"/>
                <w:sz w:val="10"/>
                <w:szCs w:val="10"/>
                <w:color w:val="auto"/>
              </w:rPr>
              <w:t>First Lien Debt (af)</w:t>
            </w:r>
          </w:p>
        </w:tc>
        <w:tc>
          <w:tcPr>
            <w:tcW w:w="900" w:type="dxa"/>
            <w:vAlign w:val="bottom"/>
          </w:tcPr>
          <w:p>
            <w:pPr>
              <w:spacing w:after="0"/>
              <w:rPr>
                <w:sz w:val="20"/>
                <w:szCs w:val="20"/>
                <w:color w:val="auto"/>
              </w:rPr>
            </w:pPr>
            <w:r>
              <w:rPr>
                <w:rFonts w:ascii="Times New Roman" w:cs="Times New Roman" w:eastAsia="Times New Roman" w:hAnsi="Times New Roman"/>
                <w:sz w:val="10"/>
                <w:szCs w:val="10"/>
                <w:color w:val="auto"/>
              </w:rPr>
              <w:t>Manufacturing</w:t>
            </w:r>
          </w:p>
        </w:tc>
        <w:tc>
          <w:tcPr>
            <w:tcW w:w="0" w:type="dxa"/>
            <w:vAlign w:val="bottom"/>
          </w:tcPr>
          <w:p>
            <w:pPr>
              <w:spacing w:after="0"/>
              <w:rPr>
                <w:sz w:val="1"/>
                <w:szCs w:val="1"/>
                <w:color w:val="auto"/>
              </w:rPr>
            </w:pPr>
          </w:p>
        </w:tc>
      </w:tr>
      <w:tr>
        <w:trPr>
          <w:trHeight w:val="84"/>
        </w:trPr>
        <w:tc>
          <w:tcPr>
            <w:tcW w:w="1240" w:type="dxa"/>
            <w:vAlign w:val="bottom"/>
            <w:gridSpan w:val="2"/>
            <w:vMerge w:val="continue"/>
          </w:tcPr>
          <w:p>
            <w:pPr>
              <w:spacing w:after="0"/>
              <w:rPr>
                <w:sz w:val="7"/>
                <w:szCs w:val="7"/>
                <w:color w:val="auto"/>
              </w:rPr>
            </w:pPr>
          </w:p>
        </w:tc>
        <w:tc>
          <w:tcPr>
            <w:tcW w:w="104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5"/>
        </w:trPr>
        <w:tc>
          <w:tcPr>
            <w:tcW w:w="1240" w:type="dxa"/>
            <w:vAlign w:val="bottom"/>
            <w:gridSpan w:val="2"/>
          </w:tcPr>
          <w:p>
            <w:pPr>
              <w:ind w:left="100"/>
              <w:spacing w:after="0" w:line="105" w:lineRule="exact"/>
              <w:rPr>
                <w:sz w:val="20"/>
                <w:szCs w:val="20"/>
                <w:color w:val="auto"/>
              </w:rPr>
            </w:pPr>
            <w:r>
              <w:rPr>
                <w:rFonts w:ascii="Times New Roman" w:cs="Times New Roman" w:eastAsia="Times New Roman" w:hAnsi="Times New Roman"/>
                <w:sz w:val="10"/>
                <w:szCs w:val="10"/>
                <w:color w:val="auto"/>
              </w:rPr>
              <w:t>Dayton, OH 45414</w:t>
            </w:r>
          </w:p>
        </w:tc>
        <w:tc>
          <w:tcPr>
            <w:tcW w:w="1040" w:type="dxa"/>
            <w:vAlign w:val="bottom"/>
            <w:gridSpan w:val="3"/>
          </w:tcPr>
          <w:p>
            <w:pPr>
              <w:ind w:left="40"/>
              <w:spacing w:after="0" w:line="105" w:lineRule="exact"/>
              <w:rPr>
                <w:sz w:val="20"/>
                <w:szCs w:val="20"/>
                <w:color w:val="auto"/>
              </w:rPr>
            </w:pPr>
            <w:r>
              <w:rPr>
                <w:rFonts w:ascii="Times New Roman" w:cs="Times New Roman" w:eastAsia="Times New Roman" w:hAnsi="Times New Roman"/>
                <w:sz w:val="10"/>
                <w:szCs w:val="10"/>
                <w:color w:val="auto"/>
              </w:rPr>
              <w:t>Common Equity (1,000</w:t>
            </w: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1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gridSpan w:val="3"/>
          </w:tcPr>
          <w:p>
            <w:pPr>
              <w:ind w:left="40"/>
              <w:spacing w:after="0"/>
              <w:rPr>
                <w:sz w:val="20"/>
                <w:szCs w:val="20"/>
                <w:color w:val="auto"/>
              </w:rPr>
            </w:pPr>
            <w:r>
              <w:rPr>
                <w:rFonts w:ascii="Times New Roman" w:cs="Times New Roman" w:eastAsia="Times New Roman" w:hAnsi="Times New Roman"/>
                <w:sz w:val="10"/>
                <w:szCs w:val="10"/>
                <w:color w:val="auto"/>
              </w:rPr>
              <w:t>units) (h)</w:t>
            </w: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0"/>
        </w:trPr>
        <w:tc>
          <w:tcPr>
            <w:tcW w:w="1240" w:type="dxa"/>
            <w:vAlign w:val="bottom"/>
            <w:gridSpan w:val="2"/>
          </w:tcPr>
          <w:p>
            <w:pPr>
              <w:spacing w:after="0"/>
              <w:rPr>
                <w:sz w:val="20"/>
                <w:szCs w:val="20"/>
                <w:color w:val="auto"/>
              </w:rPr>
            </w:pPr>
            <w:r>
              <w:rPr>
                <w:rFonts w:ascii="Times New Roman" w:cs="Times New Roman" w:eastAsia="Times New Roman" w:hAnsi="Times New Roman"/>
                <w:sz w:val="10"/>
                <w:szCs w:val="10"/>
                <w:i w:val="1"/>
                <w:iCs w:val="1"/>
                <w:color w:val="auto"/>
              </w:rPr>
              <w:t>AMOpportunities, Inc.</w:t>
            </w:r>
          </w:p>
        </w:tc>
        <w:tc>
          <w:tcPr>
            <w:tcW w:w="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0"/>
                <w:szCs w:val="10"/>
                <w:color w:val="auto"/>
              </w:rPr>
              <w:t>Healthcare Services</w:t>
            </w:r>
          </w:p>
        </w:tc>
        <w:tc>
          <w:tcPr>
            <w:tcW w:w="0" w:type="dxa"/>
            <w:vAlign w:val="bottom"/>
          </w:tcPr>
          <w:p>
            <w:pPr>
              <w:spacing w:after="0"/>
              <w:rPr>
                <w:sz w:val="1"/>
                <w:szCs w:val="1"/>
                <w:color w:val="auto"/>
              </w:rPr>
            </w:pPr>
          </w:p>
        </w:tc>
      </w:tr>
      <w:tr>
        <w:trPr>
          <w:trHeight w:val="105"/>
        </w:trPr>
        <w:tc>
          <w:tcPr>
            <w:tcW w:w="1240" w:type="dxa"/>
            <w:vAlign w:val="bottom"/>
            <w:gridSpan w:val="2"/>
          </w:tcPr>
          <w:p>
            <w:pPr>
              <w:ind w:left="100"/>
              <w:spacing w:after="0" w:line="105" w:lineRule="exact"/>
              <w:rPr>
                <w:sz w:val="20"/>
                <w:szCs w:val="20"/>
                <w:color w:val="auto"/>
              </w:rPr>
            </w:pPr>
            <w:r>
              <w:rPr>
                <w:rFonts w:ascii="Times New Roman" w:cs="Times New Roman" w:eastAsia="Times New Roman" w:hAnsi="Times New Roman"/>
                <w:sz w:val="10"/>
                <w:szCs w:val="10"/>
                <w:color w:val="auto"/>
              </w:rPr>
              <w:t>444 N. Wells Street, Suite</w:t>
            </w:r>
          </w:p>
        </w:tc>
        <w:tc>
          <w:tcPr>
            <w:tcW w:w="40" w:type="dxa"/>
            <w:vAlign w:val="bottom"/>
          </w:tcPr>
          <w:p>
            <w:pPr>
              <w:spacing w:after="0"/>
              <w:rPr>
                <w:sz w:val="9"/>
                <w:szCs w:val="9"/>
                <w:color w:val="auto"/>
              </w:rPr>
            </w:pPr>
          </w:p>
        </w:tc>
        <w:tc>
          <w:tcPr>
            <w:tcW w:w="940" w:type="dxa"/>
            <w:vAlign w:val="bottom"/>
          </w:tcPr>
          <w:p>
            <w:pPr>
              <w:spacing w:after="0"/>
              <w:rPr>
                <w:sz w:val="9"/>
                <w:szCs w:val="9"/>
                <w:color w:val="auto"/>
              </w:rPr>
            </w:pPr>
          </w:p>
        </w:tc>
        <w:tc>
          <w:tcPr>
            <w:tcW w:w="6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100" w:type="dxa"/>
            <w:vAlign w:val="bottom"/>
          </w:tcPr>
          <w:p>
            <w:pPr>
              <w:ind w:left="100"/>
              <w:spacing w:after="0" w:line="105" w:lineRule="exact"/>
              <w:rPr>
                <w:sz w:val="20"/>
                <w:szCs w:val="20"/>
                <w:color w:val="auto"/>
              </w:rPr>
            </w:pPr>
            <w:r>
              <w:rPr>
                <w:rFonts w:ascii="Times New Roman" w:cs="Times New Roman" w:eastAsia="Times New Roman" w:hAnsi="Times New Roman"/>
                <w:sz w:val="10"/>
                <w:szCs w:val="10"/>
                <w:color w:val="auto"/>
              </w:rPr>
              <w:t>601</w:t>
            </w:r>
          </w:p>
        </w:tc>
        <w:tc>
          <w:tcPr>
            <w:tcW w:w="140" w:type="dxa"/>
            <w:vAlign w:val="bottom"/>
          </w:tcPr>
          <w:p>
            <w:pPr>
              <w:spacing w:after="0"/>
              <w:rPr>
                <w:sz w:val="9"/>
                <w:szCs w:val="9"/>
                <w:color w:val="auto"/>
              </w:rPr>
            </w:pPr>
          </w:p>
        </w:tc>
        <w:tc>
          <w:tcPr>
            <w:tcW w:w="1040" w:type="dxa"/>
            <w:vAlign w:val="bottom"/>
            <w:gridSpan w:val="3"/>
          </w:tcPr>
          <w:p>
            <w:pPr>
              <w:ind w:left="40"/>
              <w:spacing w:after="0" w:line="105" w:lineRule="exact"/>
              <w:rPr>
                <w:sz w:val="20"/>
                <w:szCs w:val="20"/>
                <w:color w:val="auto"/>
              </w:rPr>
            </w:pPr>
            <w:r>
              <w:rPr>
                <w:rFonts w:ascii="Times New Roman" w:cs="Times New Roman" w:eastAsia="Times New Roman" w:hAnsi="Times New Roman"/>
                <w:sz w:val="10"/>
                <w:szCs w:val="10"/>
                <w:color w:val="auto"/>
              </w:rPr>
              <w:t>First Lien Debt</w:t>
            </w: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240" w:type="dxa"/>
            <w:vAlign w:val="bottom"/>
            <w:gridSpan w:val="2"/>
          </w:tcPr>
          <w:p>
            <w:pPr>
              <w:ind w:left="100"/>
              <w:spacing w:after="0" w:line="105" w:lineRule="exact"/>
              <w:rPr>
                <w:sz w:val="20"/>
                <w:szCs w:val="20"/>
                <w:color w:val="auto"/>
              </w:rPr>
            </w:pPr>
            <w:r>
              <w:rPr>
                <w:rFonts w:ascii="Times New Roman" w:cs="Times New Roman" w:eastAsia="Times New Roman" w:hAnsi="Times New Roman"/>
                <w:sz w:val="10"/>
                <w:szCs w:val="10"/>
                <w:color w:val="auto"/>
              </w:rPr>
              <w:t>Chicago, IL 60654</w:t>
            </w:r>
          </w:p>
        </w:tc>
        <w:tc>
          <w:tcPr>
            <w:tcW w:w="1040" w:type="dxa"/>
            <w:vAlign w:val="bottom"/>
            <w:gridSpan w:val="3"/>
          </w:tcPr>
          <w:p>
            <w:pPr>
              <w:ind w:left="40"/>
              <w:spacing w:after="0" w:line="105" w:lineRule="exact"/>
              <w:rPr>
                <w:sz w:val="20"/>
                <w:szCs w:val="20"/>
                <w:color w:val="auto"/>
              </w:rPr>
            </w:pPr>
            <w:r>
              <w:rPr>
                <w:rFonts w:ascii="Times New Roman" w:cs="Times New Roman" w:eastAsia="Times New Roman" w:hAnsi="Times New Roman"/>
                <w:sz w:val="10"/>
                <w:szCs w:val="10"/>
                <w:color w:val="auto"/>
              </w:rPr>
              <w:t>Preferred Equity</w:t>
            </w: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1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gridSpan w:val="3"/>
          </w:tcPr>
          <w:p>
            <w:pPr>
              <w:ind w:left="40"/>
              <w:spacing w:after="0"/>
              <w:rPr>
                <w:sz w:val="20"/>
                <w:szCs w:val="20"/>
                <w:color w:val="auto"/>
              </w:rPr>
            </w:pPr>
            <w:r>
              <w:rPr>
                <w:rFonts w:ascii="Times New Roman" w:cs="Times New Roman" w:eastAsia="Times New Roman" w:hAnsi="Times New Roman"/>
                <w:sz w:val="10"/>
                <w:szCs w:val="10"/>
                <w:color w:val="auto"/>
              </w:rPr>
              <w:t>(801,414 shares)</w:t>
            </w: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4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95"/>
        </w:trPr>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8"/>
                <w:szCs w:val="8"/>
                <w:b w:val="1"/>
                <w:bCs w:val="1"/>
                <w:color w:val="auto"/>
              </w:rPr>
              <w:t>Percentage of</w:t>
            </w:r>
          </w:p>
        </w:tc>
        <w:tc>
          <w:tcPr>
            <w:tcW w:w="940" w:type="dxa"/>
            <w:vAlign w:val="bottom"/>
            <w:gridSpan w:val="2"/>
          </w:tcPr>
          <w:p>
            <w:pPr>
              <w:jc w:val="center"/>
              <w:ind w:right="60"/>
              <w:spacing w:after="0"/>
              <w:rPr>
                <w:sz w:val="20"/>
                <w:szCs w:val="20"/>
                <w:color w:val="auto"/>
              </w:rPr>
            </w:pPr>
            <w:r>
              <w:rPr>
                <w:rFonts w:ascii="Times New Roman" w:cs="Times New Roman" w:eastAsia="Times New Roman" w:hAnsi="Times New Roman"/>
                <w:sz w:val="8"/>
                <w:szCs w:val="8"/>
                <w:b w:val="1"/>
                <w:bCs w:val="1"/>
                <w:color w:val="auto"/>
              </w:rPr>
              <w:t>Variable Index</w:t>
            </w:r>
          </w:p>
        </w:tc>
        <w:tc>
          <w:tcPr>
            <w:tcW w:w="700" w:type="dxa"/>
            <w:vAlign w:val="bottom"/>
            <w:gridSpan w:val="2"/>
          </w:tcPr>
          <w:p>
            <w:pPr>
              <w:jc w:val="center"/>
              <w:ind w:right="100"/>
              <w:spacing w:after="0"/>
              <w:rPr>
                <w:sz w:val="20"/>
                <w:szCs w:val="20"/>
                <w:color w:val="auto"/>
              </w:rPr>
            </w:pPr>
            <w:r>
              <w:rPr>
                <w:rFonts w:ascii="Times New Roman" w:cs="Times New Roman" w:eastAsia="Times New Roman" w:hAnsi="Times New Roman"/>
                <w:sz w:val="8"/>
                <w:szCs w:val="8"/>
                <w:b w:val="1"/>
                <w:bCs w:val="1"/>
                <w:color w:val="auto"/>
              </w:rPr>
              <w:t>Rate (e)</w:t>
            </w: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8"/>
                <w:szCs w:val="8"/>
                <w:b w:val="1"/>
                <w:bCs w:val="1"/>
                <w:color w:val="auto"/>
              </w:rPr>
              <w:t>Investment</w:t>
            </w: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gridSpan w:val="2"/>
          </w:tcPr>
          <w:p>
            <w:pPr>
              <w:spacing w:after="0"/>
              <w:rPr>
                <w:sz w:val="20"/>
                <w:szCs w:val="20"/>
                <w:color w:val="auto"/>
              </w:rPr>
            </w:pPr>
            <w:r>
              <w:rPr>
                <w:rFonts w:ascii="Times New Roman" w:cs="Times New Roman" w:eastAsia="Times New Roman" w:hAnsi="Times New Roman"/>
                <w:sz w:val="8"/>
                <w:szCs w:val="8"/>
                <w:b w:val="1"/>
                <w:bCs w:val="1"/>
                <w:color w:val="auto"/>
              </w:rPr>
              <w:t>Principal</w:t>
            </w: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gridSpan w:val="2"/>
          </w:tcPr>
          <w:p>
            <w:pPr>
              <w:ind w:left="80"/>
              <w:spacing w:after="0"/>
              <w:rPr>
                <w:sz w:val="20"/>
                <w:szCs w:val="20"/>
                <w:color w:val="auto"/>
              </w:rPr>
            </w:pPr>
            <w:r>
              <w:rPr>
                <w:rFonts w:ascii="Times New Roman" w:cs="Times New Roman" w:eastAsia="Times New Roman" w:hAnsi="Times New Roman"/>
                <w:sz w:val="8"/>
                <w:szCs w:val="8"/>
                <w:b w:val="1"/>
                <w:bCs w:val="1"/>
                <w:color w:val="auto"/>
              </w:rPr>
              <w:t>Fair</w:t>
            </w:r>
          </w:p>
        </w:tc>
        <w:tc>
          <w:tcPr>
            <w:tcW w:w="440" w:type="dxa"/>
            <w:vAlign w:val="bottom"/>
            <w:gridSpan w:val="2"/>
          </w:tcPr>
          <w:p>
            <w:pPr>
              <w:jc w:val="right"/>
              <w:ind w:right="80"/>
              <w:spacing w:after="0"/>
              <w:rPr>
                <w:sz w:val="20"/>
                <w:szCs w:val="20"/>
                <w:color w:val="auto"/>
              </w:rPr>
            </w:pPr>
            <w:r>
              <w:rPr>
                <w:rFonts w:ascii="Times New Roman" w:cs="Times New Roman" w:eastAsia="Times New Roman" w:hAnsi="Times New Roman"/>
                <w:sz w:val="8"/>
                <w:szCs w:val="8"/>
                <w:b w:val="1"/>
                <w:bCs w:val="1"/>
                <w:color w:val="auto"/>
                <w:w w:val="97"/>
              </w:rPr>
              <w:t>Percent of</w:t>
            </w:r>
          </w:p>
        </w:tc>
      </w:tr>
      <w:tr>
        <w:trPr>
          <w:trHeight w:val="115"/>
        </w:trPr>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8"/>
                <w:szCs w:val="8"/>
                <w:b w:val="1"/>
                <w:bCs w:val="1"/>
                <w:color w:val="auto"/>
              </w:rPr>
              <w:t>Class Held (bn)</w:t>
            </w:r>
          </w:p>
        </w:tc>
        <w:tc>
          <w:tcPr>
            <w:tcW w:w="940" w:type="dxa"/>
            <w:vAlign w:val="bottom"/>
            <w:gridSpan w:val="2"/>
          </w:tcPr>
          <w:p>
            <w:pPr>
              <w:jc w:val="center"/>
              <w:ind w:right="60"/>
              <w:spacing w:after="0"/>
              <w:rPr>
                <w:sz w:val="20"/>
                <w:szCs w:val="20"/>
                <w:color w:val="auto"/>
              </w:rPr>
            </w:pPr>
            <w:r>
              <w:rPr>
                <w:rFonts w:ascii="Times New Roman" w:cs="Times New Roman" w:eastAsia="Times New Roman" w:hAnsi="Times New Roman"/>
                <w:sz w:val="8"/>
                <w:szCs w:val="8"/>
                <w:b w:val="1"/>
                <w:bCs w:val="1"/>
                <w:color w:val="auto"/>
              </w:rPr>
              <w:t>Spread / Floor (d)</w:t>
            </w:r>
          </w:p>
        </w:tc>
        <w:tc>
          <w:tcPr>
            <w:tcW w:w="700" w:type="dxa"/>
            <w:vAlign w:val="bottom"/>
            <w:gridSpan w:val="2"/>
          </w:tcPr>
          <w:p>
            <w:pPr>
              <w:jc w:val="center"/>
              <w:ind w:right="100"/>
              <w:spacing w:after="0"/>
              <w:rPr>
                <w:sz w:val="20"/>
                <w:szCs w:val="20"/>
                <w:color w:val="auto"/>
              </w:rPr>
            </w:pPr>
            <w:r>
              <w:rPr>
                <w:rFonts w:ascii="Times New Roman" w:cs="Times New Roman" w:eastAsia="Times New Roman" w:hAnsi="Times New Roman"/>
                <w:sz w:val="8"/>
                <w:szCs w:val="8"/>
                <w:b w:val="1"/>
                <w:bCs w:val="1"/>
                <w:color w:val="auto"/>
              </w:rPr>
              <w:t>Cash/PIK</w:t>
            </w:r>
          </w:p>
        </w:tc>
        <w:tc>
          <w:tcPr>
            <w:tcW w:w="580" w:type="dxa"/>
            <w:vAlign w:val="bottom"/>
            <w:gridSpan w:val="2"/>
          </w:tcPr>
          <w:p>
            <w:pPr>
              <w:jc w:val="right"/>
              <w:ind w:right="200"/>
              <w:spacing w:after="0"/>
              <w:rPr>
                <w:sz w:val="20"/>
                <w:szCs w:val="20"/>
                <w:color w:val="auto"/>
              </w:rPr>
            </w:pPr>
            <w:r>
              <w:rPr>
                <w:rFonts w:ascii="Times New Roman" w:cs="Times New Roman" w:eastAsia="Times New Roman" w:hAnsi="Times New Roman"/>
                <w:sz w:val="8"/>
                <w:szCs w:val="8"/>
                <w:b w:val="1"/>
                <w:bCs w:val="1"/>
                <w:color w:val="auto"/>
              </w:rPr>
              <w:t>Date (f)</w:t>
            </w: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8"/>
                <w:szCs w:val="8"/>
                <w:b w:val="1"/>
                <w:bCs w:val="1"/>
                <w:color w:val="auto"/>
              </w:rPr>
              <w:t>Maturity</w:t>
            </w:r>
          </w:p>
        </w:tc>
        <w:tc>
          <w:tcPr>
            <w:tcW w:w="420" w:type="dxa"/>
            <w:vAlign w:val="bottom"/>
            <w:gridSpan w:val="2"/>
          </w:tcPr>
          <w:p>
            <w:pPr>
              <w:jc w:val="right"/>
              <w:ind w:right="120"/>
              <w:spacing w:after="0"/>
              <w:rPr>
                <w:sz w:val="20"/>
                <w:szCs w:val="20"/>
                <w:color w:val="auto"/>
              </w:rPr>
            </w:pPr>
            <w:r>
              <w:rPr>
                <w:rFonts w:ascii="Times New Roman" w:cs="Times New Roman" w:eastAsia="Times New Roman" w:hAnsi="Times New Roman"/>
                <w:sz w:val="8"/>
                <w:szCs w:val="8"/>
                <w:b w:val="1"/>
                <w:bCs w:val="1"/>
                <w:color w:val="auto"/>
                <w:w w:val="99"/>
              </w:rPr>
              <w:t>Amount</w:t>
            </w:r>
          </w:p>
        </w:tc>
        <w:tc>
          <w:tcPr>
            <w:tcW w:w="440" w:type="dxa"/>
            <w:vAlign w:val="bottom"/>
            <w:gridSpan w:val="3"/>
          </w:tcPr>
          <w:p>
            <w:pPr>
              <w:jc w:val="right"/>
              <w:ind w:right="200"/>
              <w:spacing w:after="0"/>
              <w:rPr>
                <w:sz w:val="20"/>
                <w:szCs w:val="20"/>
                <w:color w:val="auto"/>
              </w:rPr>
            </w:pPr>
            <w:r>
              <w:rPr>
                <w:rFonts w:ascii="Times New Roman" w:cs="Times New Roman" w:eastAsia="Times New Roman" w:hAnsi="Times New Roman"/>
                <w:sz w:val="8"/>
                <w:szCs w:val="8"/>
                <w:b w:val="1"/>
                <w:bCs w:val="1"/>
                <w:color w:val="auto"/>
              </w:rPr>
              <w:t>Cost</w:t>
            </w:r>
          </w:p>
        </w:tc>
        <w:tc>
          <w:tcPr>
            <w:tcW w:w="420" w:type="dxa"/>
            <w:vAlign w:val="bottom"/>
            <w:gridSpan w:val="2"/>
          </w:tcPr>
          <w:p>
            <w:pPr>
              <w:spacing w:after="0"/>
              <w:rPr>
                <w:sz w:val="20"/>
                <w:szCs w:val="20"/>
                <w:color w:val="auto"/>
              </w:rPr>
            </w:pPr>
            <w:r>
              <w:rPr>
                <w:rFonts w:ascii="Times New Roman" w:cs="Times New Roman" w:eastAsia="Times New Roman" w:hAnsi="Times New Roman"/>
                <w:sz w:val="8"/>
                <w:szCs w:val="8"/>
                <w:b w:val="1"/>
                <w:bCs w:val="1"/>
                <w:color w:val="auto"/>
              </w:rPr>
              <w:t>Value (g)</w:t>
            </w:r>
          </w:p>
        </w:tc>
        <w:tc>
          <w:tcPr>
            <w:tcW w:w="440" w:type="dxa"/>
            <w:vAlign w:val="bottom"/>
            <w:gridSpan w:val="2"/>
          </w:tcPr>
          <w:p>
            <w:pPr>
              <w:jc w:val="right"/>
              <w:ind w:right="80"/>
              <w:spacing w:after="0"/>
              <w:rPr>
                <w:sz w:val="20"/>
                <w:szCs w:val="20"/>
                <w:color w:val="auto"/>
              </w:rPr>
            </w:pPr>
            <w:r>
              <w:rPr>
                <w:rFonts w:ascii="Times New Roman" w:cs="Times New Roman" w:eastAsia="Times New Roman" w:hAnsi="Times New Roman"/>
                <w:sz w:val="8"/>
                <w:szCs w:val="8"/>
                <w:b w:val="1"/>
                <w:bCs w:val="1"/>
                <w:color w:val="auto"/>
                <w:w w:val="96"/>
              </w:rPr>
              <w:t>Net Assets</w:t>
            </w:r>
          </w:p>
        </w:tc>
      </w:tr>
      <w:tr>
        <w:trPr>
          <w:trHeight w:val="20"/>
        </w:trPr>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11"/>
        </w:trPr>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8"/>
              </w:rPr>
              <w:t>(S + 4.75%) / (1.00%)</w:t>
            </w:r>
          </w:p>
        </w:tc>
        <w:tc>
          <w:tcPr>
            <w:tcW w:w="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8.45%/0.00%</w:t>
            </w:r>
          </w:p>
        </w:tc>
        <w:tc>
          <w:tcPr>
            <w:tcW w:w="80" w:type="dxa"/>
            <w:vAlign w:val="bottom"/>
          </w:tcPr>
          <w:p>
            <w:pPr>
              <w:spacing w:after="0"/>
              <w:rPr>
                <w:sz w:val="24"/>
                <w:szCs w:val="24"/>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11/1/2023</w:t>
            </w: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9/16/2029</w:t>
            </w:r>
          </w:p>
        </w:tc>
        <w:tc>
          <w:tcPr>
            <w:tcW w:w="42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15,877</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0"/>
                <w:szCs w:val="10"/>
                <w:color w:val="auto"/>
              </w:rPr>
              <w:t>15,812</w:t>
            </w:r>
          </w:p>
        </w:tc>
        <w:tc>
          <w:tcPr>
            <w:tcW w:w="120" w:type="dxa"/>
            <w:vAlign w:val="bottom"/>
          </w:tcPr>
          <w:p>
            <w:pPr>
              <w:spacing w:after="0"/>
              <w:rPr>
                <w:sz w:val="24"/>
                <w:szCs w:val="24"/>
                <w:color w:val="auto"/>
              </w:rPr>
            </w:pP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15,877</w:t>
            </w: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14"/>
        </w:trPr>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gridSpan w:val="2"/>
          </w:tcPr>
          <w:p>
            <w:pPr>
              <w:jc w:val="center"/>
              <w:ind w:right="60"/>
              <w:spacing w:after="0"/>
              <w:rPr>
                <w:sz w:val="20"/>
                <w:szCs w:val="20"/>
                <w:color w:val="auto"/>
              </w:rPr>
            </w:pPr>
            <w:r>
              <w:rPr>
                <w:rFonts w:ascii="Times New Roman" w:cs="Times New Roman" w:eastAsia="Times New Roman" w:hAnsi="Times New Roman"/>
                <w:sz w:val="10"/>
                <w:szCs w:val="10"/>
                <w:color w:val="auto"/>
                <w:w w:val="98"/>
              </w:rPr>
              <w:t>(S + 4.75%) / (1.00%)</w:t>
            </w: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8.42%/0.00%</w:t>
            </w: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11/1/2023</w:t>
            </w: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9/16/2029</w:t>
            </w:r>
          </w:p>
        </w:tc>
        <w:tc>
          <w:tcPr>
            <w:tcW w:w="42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— </w:t>
            </w:r>
          </w:p>
        </w:tc>
        <w:tc>
          <w:tcPr>
            <w:tcW w:w="440" w:type="dxa"/>
            <w:vAlign w:val="bottom"/>
            <w:gridSpan w:val="3"/>
          </w:tcPr>
          <w:p>
            <w:pPr>
              <w:jc w:val="right"/>
              <w:ind w:right="100"/>
              <w:spacing w:after="0"/>
              <w:rPr>
                <w:sz w:val="20"/>
                <w:szCs w:val="20"/>
                <w:color w:val="auto"/>
              </w:rPr>
            </w:pPr>
            <w:r>
              <w:rPr>
                <w:rFonts w:ascii="Times New Roman" w:cs="Times New Roman" w:eastAsia="Times New Roman" w:hAnsi="Times New Roman"/>
                <w:sz w:val="10"/>
                <w:szCs w:val="10"/>
                <w:color w:val="auto"/>
              </w:rPr>
              <w:t>(5)</w:t>
            </w:r>
          </w:p>
        </w:tc>
        <w:tc>
          <w:tcPr>
            <w:tcW w:w="420" w:type="dxa"/>
            <w:vAlign w:val="bottom"/>
            <w:gridSpan w:val="2"/>
          </w:tcPr>
          <w:p>
            <w:pPr>
              <w:ind w:left="180"/>
              <w:spacing w:after="0"/>
              <w:rPr>
                <w:sz w:val="20"/>
                <w:szCs w:val="20"/>
                <w:color w:val="auto"/>
              </w:rPr>
            </w:pPr>
            <w:r>
              <w:rPr>
                <w:rFonts w:ascii="Times New Roman" w:cs="Times New Roman" w:eastAsia="Times New Roman" w:hAnsi="Times New Roman"/>
                <w:sz w:val="10"/>
                <w:szCs w:val="10"/>
                <w:color w:val="auto"/>
              </w:rPr>
              <w:t>— </w:t>
            </w: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02"/>
        </w:trPr>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0.4%</w:t>
            </w: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11/1/2023</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0"/>
                <w:szCs w:val="10"/>
                <w:color w:val="auto"/>
              </w:rPr>
              <w:t>1,250</w:t>
            </w:r>
          </w:p>
        </w:tc>
        <w:tc>
          <w:tcPr>
            <w:tcW w:w="120" w:type="dxa"/>
            <w:vAlign w:val="bottom"/>
          </w:tcPr>
          <w:p>
            <w:pPr>
              <w:spacing w:after="0"/>
              <w:rPr>
                <w:sz w:val="17"/>
                <w:szCs w:val="17"/>
                <w:color w:val="auto"/>
              </w:rPr>
            </w:pP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1,292</w:t>
            </w: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15"/>
        </w:trPr>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0"/>
                <w:szCs w:val="10"/>
                <w:color w:val="auto"/>
              </w:rPr>
              <w:t>17,057</w:t>
            </w:r>
          </w:p>
        </w:tc>
        <w:tc>
          <w:tcPr>
            <w:tcW w:w="120" w:type="dxa"/>
            <w:vAlign w:val="bottom"/>
          </w:tcPr>
          <w:p>
            <w:pPr>
              <w:spacing w:after="0"/>
              <w:rPr>
                <w:sz w:val="10"/>
                <w:szCs w:val="10"/>
                <w:color w:val="auto"/>
              </w:rPr>
            </w:pPr>
          </w:p>
        </w:tc>
        <w:tc>
          <w:tcPr>
            <w:tcW w:w="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17,169</w:t>
            </w:r>
          </w:p>
        </w:tc>
        <w:tc>
          <w:tcPr>
            <w:tcW w:w="100" w:type="dxa"/>
            <w:vAlign w:val="bottom"/>
          </w:tcPr>
          <w:p>
            <w:pPr>
              <w:spacing w:after="0"/>
              <w:rPr>
                <w:sz w:val="10"/>
                <w:szCs w:val="10"/>
                <w:color w:val="auto"/>
              </w:rPr>
            </w:pPr>
          </w:p>
        </w:tc>
        <w:tc>
          <w:tcPr>
            <w:tcW w:w="440" w:type="dxa"/>
            <w:vAlign w:val="bottom"/>
            <w:gridSpan w:val="2"/>
          </w:tcPr>
          <w:p>
            <w:pPr>
              <w:jc w:val="right"/>
              <w:spacing w:after="0" w:line="113" w:lineRule="exact"/>
              <w:rPr>
                <w:sz w:val="20"/>
                <w:szCs w:val="20"/>
                <w:color w:val="auto"/>
              </w:rPr>
            </w:pPr>
            <w:r>
              <w:rPr>
                <w:rFonts w:ascii="Times New Roman" w:cs="Times New Roman" w:eastAsia="Times New Roman" w:hAnsi="Times New Roman"/>
                <w:sz w:val="10"/>
                <w:szCs w:val="10"/>
                <w:color w:val="auto"/>
              </w:rPr>
              <w:t>2%</w:t>
            </w:r>
          </w:p>
        </w:tc>
      </w:tr>
      <w:tr>
        <w:trPr>
          <w:trHeight w:val="311"/>
        </w:trPr>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gridSpan w:val="2"/>
          </w:tcPr>
          <w:p>
            <w:pPr>
              <w:jc w:val="center"/>
              <w:ind w:right="60"/>
              <w:spacing w:after="0"/>
              <w:rPr>
                <w:sz w:val="20"/>
                <w:szCs w:val="20"/>
                <w:color w:val="auto"/>
              </w:rPr>
            </w:pPr>
            <w:r>
              <w:rPr>
                <w:rFonts w:ascii="Times New Roman" w:cs="Times New Roman" w:eastAsia="Times New Roman" w:hAnsi="Times New Roman"/>
                <w:sz w:val="10"/>
                <w:szCs w:val="10"/>
                <w:color w:val="auto"/>
                <w:w w:val="98"/>
              </w:rPr>
              <w:t>(S + 5.00%) / (2.00%)</w:t>
            </w: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8.66%/0.00%</w:t>
            </w: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12/8/2025</w:t>
            </w: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11/24/2030</w:t>
            </w:r>
          </w:p>
        </w:tc>
        <w:tc>
          <w:tcPr>
            <w:tcW w:w="42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6,400</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0"/>
                <w:szCs w:val="10"/>
                <w:color w:val="auto"/>
              </w:rPr>
              <w:t>6,329</w:t>
            </w:r>
          </w:p>
        </w:tc>
        <w:tc>
          <w:tcPr>
            <w:tcW w:w="120" w:type="dxa"/>
            <w:vAlign w:val="bottom"/>
          </w:tcPr>
          <w:p>
            <w:pPr>
              <w:spacing w:after="0"/>
              <w:rPr>
                <w:sz w:val="24"/>
                <w:szCs w:val="24"/>
                <w:color w:val="auto"/>
              </w:rPr>
            </w:pP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6,329</w:t>
            </w: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07"/>
        </w:trPr>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1.6%</w:t>
            </w: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11/24/2025</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0"/>
                <w:szCs w:val="10"/>
                <w:color w:val="auto"/>
              </w:rPr>
              <w:t>800</w:t>
            </w:r>
          </w:p>
        </w:tc>
        <w:tc>
          <w:tcPr>
            <w:tcW w:w="120" w:type="dxa"/>
            <w:vAlign w:val="bottom"/>
          </w:tcPr>
          <w:p>
            <w:pPr>
              <w:spacing w:after="0"/>
              <w:rPr>
                <w:sz w:val="24"/>
                <w:szCs w:val="24"/>
                <w:color w:val="auto"/>
              </w:rPr>
            </w:pP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800</w:t>
            </w: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15"/>
        </w:trPr>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0"/>
                <w:szCs w:val="10"/>
                <w:color w:val="auto"/>
              </w:rPr>
              <w:t>7,129</w:t>
            </w:r>
          </w:p>
        </w:tc>
        <w:tc>
          <w:tcPr>
            <w:tcW w:w="120" w:type="dxa"/>
            <w:vAlign w:val="bottom"/>
          </w:tcPr>
          <w:p>
            <w:pPr>
              <w:spacing w:after="0"/>
              <w:rPr>
                <w:sz w:val="10"/>
                <w:szCs w:val="10"/>
                <w:color w:val="auto"/>
              </w:rPr>
            </w:pPr>
          </w:p>
        </w:tc>
        <w:tc>
          <w:tcPr>
            <w:tcW w:w="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7,129</w:t>
            </w:r>
          </w:p>
        </w:tc>
        <w:tc>
          <w:tcPr>
            <w:tcW w:w="100" w:type="dxa"/>
            <w:vAlign w:val="bottom"/>
          </w:tcPr>
          <w:p>
            <w:pPr>
              <w:spacing w:after="0"/>
              <w:rPr>
                <w:sz w:val="10"/>
                <w:szCs w:val="10"/>
                <w:color w:val="auto"/>
              </w:rPr>
            </w:pPr>
          </w:p>
        </w:tc>
        <w:tc>
          <w:tcPr>
            <w:tcW w:w="440" w:type="dxa"/>
            <w:vAlign w:val="bottom"/>
            <w:gridSpan w:val="2"/>
          </w:tcPr>
          <w:p>
            <w:pPr>
              <w:jc w:val="right"/>
              <w:spacing w:after="0" w:line="113" w:lineRule="exact"/>
              <w:rPr>
                <w:sz w:val="20"/>
                <w:szCs w:val="20"/>
                <w:color w:val="auto"/>
              </w:rPr>
            </w:pPr>
            <w:r>
              <w:rPr>
                <w:rFonts w:ascii="Times New Roman" w:cs="Times New Roman" w:eastAsia="Times New Roman" w:hAnsi="Times New Roman"/>
                <w:sz w:val="10"/>
                <w:szCs w:val="10"/>
                <w:color w:val="auto"/>
              </w:rPr>
              <w:t>1%</w:t>
            </w:r>
          </w:p>
        </w:tc>
      </w:tr>
      <w:tr>
        <w:trPr>
          <w:trHeight w:val="416"/>
        </w:trPr>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0.00%/15.00%</w:t>
            </w: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3/2/2020</w:t>
            </w: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9/30/2027</w:t>
            </w:r>
          </w:p>
        </w:tc>
        <w:tc>
          <w:tcPr>
            <w:tcW w:w="42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19,320</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0"/>
                <w:szCs w:val="10"/>
                <w:color w:val="auto"/>
              </w:rPr>
              <w:t>18,117</w:t>
            </w:r>
          </w:p>
        </w:tc>
        <w:tc>
          <w:tcPr>
            <w:tcW w:w="120" w:type="dxa"/>
            <w:vAlign w:val="bottom"/>
          </w:tcPr>
          <w:p>
            <w:pPr>
              <w:spacing w:after="0"/>
              <w:rPr>
                <w:sz w:val="24"/>
                <w:szCs w:val="24"/>
                <w:color w:val="auto"/>
              </w:rPr>
            </w:pP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17,771</w:t>
            </w: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09"/>
        </w:trPr>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0.3%</w:t>
            </w: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7/21/2017</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0"/>
                <w:szCs w:val="10"/>
                <w:color w:val="auto"/>
              </w:rPr>
              <w:t>637</w:t>
            </w:r>
          </w:p>
        </w:tc>
        <w:tc>
          <w:tcPr>
            <w:tcW w:w="120" w:type="dxa"/>
            <w:vAlign w:val="bottom"/>
          </w:tcPr>
          <w:p>
            <w:pPr>
              <w:spacing w:after="0"/>
              <w:rPr>
                <w:sz w:val="18"/>
                <w:szCs w:val="18"/>
                <w:color w:val="auto"/>
              </w:rPr>
            </w:pPr>
          </w:p>
        </w:tc>
        <w:tc>
          <w:tcPr>
            <w:tcW w:w="420" w:type="dxa"/>
            <w:vAlign w:val="bottom"/>
            <w:gridSpan w:val="2"/>
          </w:tcPr>
          <w:p>
            <w:pPr>
              <w:ind w:left="180"/>
              <w:spacing w:after="0"/>
              <w:rPr>
                <w:sz w:val="20"/>
                <w:szCs w:val="20"/>
                <w:color w:val="auto"/>
              </w:rPr>
            </w:pPr>
            <w:r>
              <w:rPr>
                <w:rFonts w:ascii="Times New Roman" w:cs="Times New Roman" w:eastAsia="Times New Roman" w:hAnsi="Times New Roman"/>
                <w:sz w:val="10"/>
                <w:szCs w:val="10"/>
                <w:color w:val="auto"/>
              </w:rPr>
              <w:t>— </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9"/>
        </w:trPr>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0.3%</w:t>
            </w: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11/24/2021</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0"/>
                <w:szCs w:val="10"/>
                <w:color w:val="auto"/>
              </w:rPr>
              <w:t>22</w:t>
            </w:r>
          </w:p>
        </w:tc>
        <w:tc>
          <w:tcPr>
            <w:tcW w:w="120" w:type="dxa"/>
            <w:vAlign w:val="bottom"/>
          </w:tcPr>
          <w:p>
            <w:pPr>
              <w:spacing w:after="0"/>
              <w:rPr>
                <w:sz w:val="18"/>
                <w:szCs w:val="18"/>
                <w:color w:val="auto"/>
              </w:rPr>
            </w:pPr>
          </w:p>
        </w:tc>
        <w:tc>
          <w:tcPr>
            <w:tcW w:w="420" w:type="dxa"/>
            <w:vAlign w:val="bottom"/>
            <w:gridSpan w:val="2"/>
          </w:tcPr>
          <w:p>
            <w:pPr>
              <w:ind w:left="180"/>
              <w:spacing w:after="0"/>
              <w:rPr>
                <w:sz w:val="20"/>
                <w:szCs w:val="20"/>
                <w:color w:val="auto"/>
              </w:rPr>
            </w:pPr>
            <w:r>
              <w:rPr>
                <w:rFonts w:ascii="Times New Roman" w:cs="Times New Roman" w:eastAsia="Times New Roman" w:hAnsi="Times New Roman"/>
                <w:sz w:val="10"/>
                <w:szCs w:val="10"/>
                <w:color w:val="auto"/>
              </w:rPr>
              <w:t>— </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2"/>
        </w:trPr>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0.3%</w:t>
            </w: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8/3/2023</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0"/>
                <w:szCs w:val="10"/>
                <w:color w:val="auto"/>
              </w:rPr>
              <w:t>45</w:t>
            </w:r>
          </w:p>
        </w:tc>
        <w:tc>
          <w:tcPr>
            <w:tcW w:w="120" w:type="dxa"/>
            <w:vAlign w:val="bottom"/>
          </w:tcPr>
          <w:p>
            <w:pPr>
              <w:spacing w:after="0"/>
              <w:rPr>
                <w:sz w:val="17"/>
                <w:szCs w:val="17"/>
                <w:color w:val="auto"/>
              </w:rPr>
            </w:pPr>
          </w:p>
        </w:tc>
        <w:tc>
          <w:tcPr>
            <w:tcW w:w="420" w:type="dxa"/>
            <w:vAlign w:val="bottom"/>
            <w:gridSpan w:val="2"/>
          </w:tcPr>
          <w:p>
            <w:pPr>
              <w:ind w:left="180"/>
              <w:spacing w:after="0"/>
              <w:rPr>
                <w:sz w:val="20"/>
                <w:szCs w:val="20"/>
                <w:color w:val="auto"/>
              </w:rPr>
            </w:pPr>
            <w:r>
              <w:rPr>
                <w:rFonts w:ascii="Times New Roman" w:cs="Times New Roman" w:eastAsia="Times New Roman" w:hAnsi="Times New Roman"/>
                <w:sz w:val="10"/>
                <w:szCs w:val="10"/>
                <w:color w:val="auto"/>
              </w:rPr>
              <w:t>— </w:t>
            </w: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15"/>
        </w:trPr>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0"/>
                <w:szCs w:val="10"/>
                <w:color w:val="auto"/>
              </w:rPr>
              <w:t>18,821</w:t>
            </w:r>
          </w:p>
        </w:tc>
        <w:tc>
          <w:tcPr>
            <w:tcW w:w="120" w:type="dxa"/>
            <w:vAlign w:val="bottom"/>
          </w:tcPr>
          <w:p>
            <w:pPr>
              <w:spacing w:after="0"/>
              <w:rPr>
                <w:sz w:val="10"/>
                <w:szCs w:val="10"/>
                <w:color w:val="auto"/>
              </w:rPr>
            </w:pPr>
          </w:p>
        </w:tc>
        <w:tc>
          <w:tcPr>
            <w:tcW w:w="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17,771</w:t>
            </w:r>
          </w:p>
        </w:tc>
        <w:tc>
          <w:tcPr>
            <w:tcW w:w="100" w:type="dxa"/>
            <w:vAlign w:val="bottom"/>
          </w:tcPr>
          <w:p>
            <w:pPr>
              <w:spacing w:after="0"/>
              <w:rPr>
                <w:sz w:val="10"/>
                <w:szCs w:val="10"/>
                <w:color w:val="auto"/>
              </w:rPr>
            </w:pPr>
          </w:p>
        </w:tc>
        <w:tc>
          <w:tcPr>
            <w:tcW w:w="440" w:type="dxa"/>
            <w:vAlign w:val="bottom"/>
            <w:gridSpan w:val="2"/>
          </w:tcPr>
          <w:p>
            <w:pPr>
              <w:jc w:val="right"/>
              <w:spacing w:after="0" w:line="113" w:lineRule="exact"/>
              <w:rPr>
                <w:sz w:val="20"/>
                <w:szCs w:val="20"/>
                <w:color w:val="auto"/>
              </w:rPr>
            </w:pPr>
            <w:r>
              <w:rPr>
                <w:rFonts w:ascii="Times New Roman" w:cs="Times New Roman" w:eastAsia="Times New Roman" w:hAnsi="Times New Roman"/>
                <w:sz w:val="10"/>
                <w:szCs w:val="10"/>
                <w:color w:val="auto"/>
              </w:rPr>
              <w:t>2%</w:t>
            </w:r>
          </w:p>
        </w:tc>
      </w:tr>
      <w:tr>
        <w:trPr>
          <w:trHeight w:val="520"/>
        </w:trPr>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10.00%/2.00%</w:t>
            </w: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3/27/2026</w:t>
            </w: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6/30/2027</w:t>
            </w:r>
          </w:p>
        </w:tc>
        <w:tc>
          <w:tcPr>
            <w:tcW w:w="42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48,513</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0"/>
                <w:szCs w:val="10"/>
                <w:color w:val="auto"/>
              </w:rPr>
              <w:t>48,394</w:t>
            </w:r>
          </w:p>
        </w:tc>
        <w:tc>
          <w:tcPr>
            <w:tcW w:w="120" w:type="dxa"/>
            <w:vAlign w:val="bottom"/>
          </w:tcPr>
          <w:p>
            <w:pPr>
              <w:spacing w:after="0"/>
              <w:rPr>
                <w:sz w:val="24"/>
                <w:szCs w:val="24"/>
                <w:color w:val="auto"/>
              </w:rPr>
            </w:pP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48,394</w:t>
            </w: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09"/>
        </w:trPr>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0.1%</w:t>
            </w: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5/31/2018</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0"/>
                <w:szCs w:val="10"/>
                <w:color w:val="auto"/>
              </w:rPr>
              <w:t>500</w:t>
            </w:r>
          </w:p>
        </w:tc>
        <w:tc>
          <w:tcPr>
            <w:tcW w:w="120" w:type="dxa"/>
            <w:vAlign w:val="bottom"/>
          </w:tcPr>
          <w:p>
            <w:pPr>
              <w:spacing w:after="0"/>
              <w:rPr>
                <w:sz w:val="18"/>
                <w:szCs w:val="18"/>
                <w:color w:val="auto"/>
              </w:rPr>
            </w:pPr>
          </w:p>
        </w:tc>
        <w:tc>
          <w:tcPr>
            <w:tcW w:w="420" w:type="dxa"/>
            <w:vAlign w:val="bottom"/>
            <w:gridSpan w:val="2"/>
          </w:tcPr>
          <w:p>
            <w:pPr>
              <w:ind w:left="180"/>
              <w:spacing w:after="0"/>
              <w:rPr>
                <w:sz w:val="20"/>
                <w:szCs w:val="20"/>
                <w:color w:val="auto"/>
              </w:rPr>
            </w:pPr>
            <w:r>
              <w:rPr>
                <w:rFonts w:ascii="Times New Roman" w:cs="Times New Roman" w:eastAsia="Times New Roman" w:hAnsi="Times New Roman"/>
                <w:sz w:val="10"/>
                <w:szCs w:val="10"/>
                <w:color w:val="auto"/>
              </w:rPr>
              <w:t>— </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9"/>
        </w:trPr>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0.0%</w:t>
            </w: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8/6/2019</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0"/>
                <w:szCs w:val="10"/>
                <w:color w:val="auto"/>
              </w:rPr>
              <w:t>250</w:t>
            </w:r>
          </w:p>
        </w:tc>
        <w:tc>
          <w:tcPr>
            <w:tcW w:w="120" w:type="dxa"/>
            <w:vAlign w:val="bottom"/>
          </w:tcPr>
          <w:p>
            <w:pPr>
              <w:spacing w:after="0"/>
              <w:rPr>
                <w:sz w:val="18"/>
                <w:szCs w:val="18"/>
                <w:color w:val="auto"/>
              </w:rPr>
            </w:pPr>
          </w:p>
        </w:tc>
        <w:tc>
          <w:tcPr>
            <w:tcW w:w="420" w:type="dxa"/>
            <w:vAlign w:val="bottom"/>
            <w:gridSpan w:val="2"/>
          </w:tcPr>
          <w:p>
            <w:pPr>
              <w:ind w:left="180"/>
              <w:spacing w:after="0"/>
              <w:rPr>
                <w:sz w:val="20"/>
                <w:szCs w:val="20"/>
                <w:color w:val="auto"/>
              </w:rPr>
            </w:pPr>
            <w:r>
              <w:rPr>
                <w:rFonts w:ascii="Times New Roman" w:cs="Times New Roman" w:eastAsia="Times New Roman" w:hAnsi="Times New Roman"/>
                <w:sz w:val="10"/>
                <w:szCs w:val="10"/>
                <w:color w:val="auto"/>
              </w:rPr>
              <w:t>— </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9"/>
        </w:trPr>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0.0%</w:t>
            </w: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11/2/2020</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0"/>
                <w:szCs w:val="10"/>
                <w:color w:val="auto"/>
              </w:rPr>
              <w:t>171</w:t>
            </w:r>
          </w:p>
        </w:tc>
        <w:tc>
          <w:tcPr>
            <w:tcW w:w="120" w:type="dxa"/>
            <w:vAlign w:val="bottom"/>
          </w:tcPr>
          <w:p>
            <w:pPr>
              <w:spacing w:after="0"/>
              <w:rPr>
                <w:sz w:val="18"/>
                <w:szCs w:val="18"/>
                <w:color w:val="auto"/>
              </w:rPr>
            </w:pPr>
          </w:p>
        </w:tc>
        <w:tc>
          <w:tcPr>
            <w:tcW w:w="420" w:type="dxa"/>
            <w:vAlign w:val="bottom"/>
            <w:gridSpan w:val="2"/>
          </w:tcPr>
          <w:p>
            <w:pPr>
              <w:ind w:left="180"/>
              <w:spacing w:after="0"/>
              <w:rPr>
                <w:sz w:val="20"/>
                <w:szCs w:val="20"/>
                <w:color w:val="auto"/>
              </w:rPr>
            </w:pPr>
            <w:r>
              <w:rPr>
                <w:rFonts w:ascii="Times New Roman" w:cs="Times New Roman" w:eastAsia="Times New Roman" w:hAnsi="Times New Roman"/>
                <w:sz w:val="10"/>
                <w:szCs w:val="10"/>
                <w:color w:val="auto"/>
              </w:rPr>
              <w:t>— </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9"/>
        </w:trPr>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0.0%</w:t>
            </w: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12/29/2021</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0"/>
                <w:szCs w:val="10"/>
                <w:color w:val="auto"/>
              </w:rPr>
              <w:t>97</w:t>
            </w:r>
          </w:p>
        </w:tc>
        <w:tc>
          <w:tcPr>
            <w:tcW w:w="120" w:type="dxa"/>
            <w:vAlign w:val="bottom"/>
          </w:tcPr>
          <w:p>
            <w:pPr>
              <w:spacing w:after="0"/>
              <w:rPr>
                <w:sz w:val="18"/>
                <w:szCs w:val="18"/>
                <w:color w:val="auto"/>
              </w:rPr>
            </w:pPr>
          </w:p>
        </w:tc>
        <w:tc>
          <w:tcPr>
            <w:tcW w:w="420" w:type="dxa"/>
            <w:vAlign w:val="bottom"/>
            <w:gridSpan w:val="2"/>
          </w:tcPr>
          <w:p>
            <w:pPr>
              <w:ind w:left="180"/>
              <w:spacing w:after="0"/>
              <w:rPr>
                <w:sz w:val="20"/>
                <w:szCs w:val="20"/>
                <w:color w:val="auto"/>
              </w:rPr>
            </w:pPr>
            <w:r>
              <w:rPr>
                <w:rFonts w:ascii="Times New Roman" w:cs="Times New Roman" w:eastAsia="Times New Roman" w:hAnsi="Times New Roman"/>
                <w:sz w:val="10"/>
                <w:szCs w:val="10"/>
                <w:color w:val="auto"/>
              </w:rPr>
              <w:t>— </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9"/>
        </w:trPr>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0.0%</w:t>
            </w: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11/27/2024</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0"/>
                <w:szCs w:val="10"/>
                <w:color w:val="auto"/>
              </w:rPr>
              <w:t>52</w:t>
            </w:r>
          </w:p>
        </w:tc>
        <w:tc>
          <w:tcPr>
            <w:tcW w:w="120" w:type="dxa"/>
            <w:vAlign w:val="bottom"/>
          </w:tcPr>
          <w:p>
            <w:pPr>
              <w:spacing w:after="0"/>
              <w:rPr>
                <w:sz w:val="18"/>
                <w:szCs w:val="18"/>
                <w:color w:val="auto"/>
              </w:rPr>
            </w:pPr>
          </w:p>
        </w:tc>
        <w:tc>
          <w:tcPr>
            <w:tcW w:w="420" w:type="dxa"/>
            <w:vAlign w:val="bottom"/>
            <w:gridSpan w:val="2"/>
          </w:tcPr>
          <w:p>
            <w:pPr>
              <w:ind w:left="180"/>
              <w:spacing w:after="0"/>
              <w:rPr>
                <w:sz w:val="20"/>
                <w:szCs w:val="20"/>
                <w:color w:val="auto"/>
              </w:rPr>
            </w:pPr>
            <w:r>
              <w:rPr>
                <w:rFonts w:ascii="Times New Roman" w:cs="Times New Roman" w:eastAsia="Times New Roman" w:hAnsi="Times New Roman"/>
                <w:sz w:val="10"/>
                <w:szCs w:val="10"/>
                <w:color w:val="auto"/>
              </w:rPr>
              <w:t>— </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9"/>
        </w:trPr>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0.0%</w:t>
            </w: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12/30/2024</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0"/>
                <w:szCs w:val="10"/>
                <w:color w:val="auto"/>
              </w:rPr>
              <w:t>312</w:t>
            </w:r>
          </w:p>
        </w:tc>
        <w:tc>
          <w:tcPr>
            <w:tcW w:w="120" w:type="dxa"/>
            <w:vAlign w:val="bottom"/>
          </w:tcPr>
          <w:p>
            <w:pPr>
              <w:spacing w:after="0"/>
              <w:rPr>
                <w:sz w:val="18"/>
                <w:szCs w:val="18"/>
                <w:color w:val="auto"/>
              </w:rPr>
            </w:pPr>
          </w:p>
        </w:tc>
        <w:tc>
          <w:tcPr>
            <w:tcW w:w="420" w:type="dxa"/>
            <w:vAlign w:val="bottom"/>
            <w:gridSpan w:val="2"/>
          </w:tcPr>
          <w:p>
            <w:pPr>
              <w:ind w:left="180"/>
              <w:spacing w:after="0"/>
              <w:rPr>
                <w:sz w:val="20"/>
                <w:szCs w:val="20"/>
                <w:color w:val="auto"/>
              </w:rPr>
            </w:pPr>
            <w:r>
              <w:rPr>
                <w:rFonts w:ascii="Times New Roman" w:cs="Times New Roman" w:eastAsia="Times New Roman" w:hAnsi="Times New Roman"/>
                <w:sz w:val="10"/>
                <w:szCs w:val="10"/>
                <w:color w:val="auto"/>
              </w:rPr>
              <w:t>— </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2"/>
        </w:trPr>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1.0%</w:t>
            </w: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12/30/2024</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gridSpan w:val="3"/>
          </w:tcPr>
          <w:p>
            <w:pPr>
              <w:jc w:val="right"/>
              <w:ind w:right="160"/>
              <w:spacing w:after="0"/>
              <w:rPr>
                <w:sz w:val="20"/>
                <w:szCs w:val="20"/>
                <w:color w:val="auto"/>
              </w:rPr>
            </w:pPr>
            <w:r>
              <w:rPr>
                <w:rFonts w:ascii="Times New Roman" w:cs="Times New Roman" w:eastAsia="Times New Roman" w:hAnsi="Times New Roman"/>
                <w:sz w:val="10"/>
                <w:szCs w:val="10"/>
                <w:color w:val="auto"/>
              </w:rPr>
              <w:t>— </w:t>
            </w:r>
          </w:p>
        </w:tc>
        <w:tc>
          <w:tcPr>
            <w:tcW w:w="420" w:type="dxa"/>
            <w:vAlign w:val="bottom"/>
            <w:gridSpan w:val="2"/>
          </w:tcPr>
          <w:p>
            <w:pPr>
              <w:ind w:left="180"/>
              <w:spacing w:after="0"/>
              <w:rPr>
                <w:sz w:val="20"/>
                <w:szCs w:val="20"/>
                <w:color w:val="auto"/>
              </w:rPr>
            </w:pPr>
            <w:r>
              <w:rPr>
                <w:rFonts w:ascii="Times New Roman" w:cs="Times New Roman" w:eastAsia="Times New Roman" w:hAnsi="Times New Roman"/>
                <w:sz w:val="10"/>
                <w:szCs w:val="10"/>
                <w:color w:val="auto"/>
              </w:rPr>
              <w:t>— </w:t>
            </w: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15"/>
        </w:trPr>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49,776</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48,394</w:t>
            </w:r>
          </w:p>
        </w:tc>
        <w:tc>
          <w:tcPr>
            <w:tcW w:w="100" w:type="dxa"/>
            <w:vAlign w:val="bottom"/>
          </w:tcPr>
          <w:p>
            <w:pPr>
              <w:spacing w:after="0"/>
              <w:rPr>
                <w:sz w:val="10"/>
                <w:szCs w:val="10"/>
                <w:color w:val="auto"/>
              </w:rPr>
            </w:pPr>
          </w:p>
        </w:tc>
        <w:tc>
          <w:tcPr>
            <w:tcW w:w="440" w:type="dxa"/>
            <w:vAlign w:val="bottom"/>
            <w:gridSpan w:val="2"/>
          </w:tcPr>
          <w:p>
            <w:pPr>
              <w:jc w:val="right"/>
              <w:spacing w:after="0" w:line="113" w:lineRule="exact"/>
              <w:rPr>
                <w:sz w:val="20"/>
                <w:szCs w:val="20"/>
                <w:color w:val="auto"/>
              </w:rPr>
            </w:pPr>
            <w:r>
              <w:rPr>
                <w:rFonts w:ascii="Times New Roman" w:cs="Times New Roman" w:eastAsia="Times New Roman" w:hAnsi="Times New Roman"/>
                <w:sz w:val="10"/>
                <w:szCs w:val="10"/>
                <w:color w:val="auto"/>
              </w:rPr>
              <w:t>7%</w:t>
            </w:r>
          </w:p>
        </w:tc>
      </w:tr>
      <w:tr>
        <w:trPr>
          <w:trHeight w:val="311"/>
        </w:trPr>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gridSpan w:val="2"/>
          </w:tcPr>
          <w:p>
            <w:pPr>
              <w:jc w:val="center"/>
              <w:ind w:right="60"/>
              <w:spacing w:after="0"/>
              <w:rPr>
                <w:sz w:val="20"/>
                <w:szCs w:val="20"/>
                <w:color w:val="auto"/>
              </w:rPr>
            </w:pPr>
            <w:r>
              <w:rPr>
                <w:rFonts w:ascii="Times New Roman" w:cs="Times New Roman" w:eastAsia="Times New Roman" w:hAnsi="Times New Roman"/>
                <w:sz w:val="10"/>
                <w:szCs w:val="10"/>
                <w:color w:val="auto"/>
                <w:w w:val="98"/>
              </w:rPr>
              <w:t>(S + 6.25%) / (1.00%)</w:t>
            </w: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9.95%/0.00%</w:t>
            </w: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7/8/2022</w:t>
            </w: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7/8/2027</w:t>
            </w:r>
          </w:p>
        </w:tc>
        <w:tc>
          <w:tcPr>
            <w:tcW w:w="42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6,884</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0"/>
                <w:szCs w:val="10"/>
                <w:color w:val="auto"/>
              </w:rPr>
              <w:t>6,872</w:t>
            </w:r>
          </w:p>
        </w:tc>
        <w:tc>
          <w:tcPr>
            <w:tcW w:w="120" w:type="dxa"/>
            <w:vAlign w:val="bottom"/>
          </w:tcPr>
          <w:p>
            <w:pPr>
              <w:spacing w:after="0"/>
              <w:rPr>
                <w:sz w:val="24"/>
                <w:szCs w:val="24"/>
                <w:color w:val="auto"/>
              </w:rPr>
            </w:pP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6,884</w:t>
            </w: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02"/>
        </w:trPr>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3.4%</w:t>
            </w: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7/8/2022</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0"/>
                <w:szCs w:val="10"/>
                <w:color w:val="auto"/>
              </w:rPr>
              <w:t>1,000</w:t>
            </w:r>
          </w:p>
        </w:tc>
        <w:tc>
          <w:tcPr>
            <w:tcW w:w="120" w:type="dxa"/>
            <w:vAlign w:val="bottom"/>
          </w:tcPr>
          <w:p>
            <w:pPr>
              <w:spacing w:after="0"/>
              <w:rPr>
                <w:sz w:val="17"/>
                <w:szCs w:val="17"/>
                <w:color w:val="auto"/>
              </w:rPr>
            </w:pP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2,265</w:t>
            </w: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15"/>
        </w:trPr>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0"/>
                <w:szCs w:val="10"/>
                <w:color w:val="auto"/>
              </w:rPr>
              <w:t>7,872</w:t>
            </w:r>
          </w:p>
        </w:tc>
        <w:tc>
          <w:tcPr>
            <w:tcW w:w="120" w:type="dxa"/>
            <w:vAlign w:val="bottom"/>
          </w:tcPr>
          <w:p>
            <w:pPr>
              <w:spacing w:after="0"/>
              <w:rPr>
                <w:sz w:val="10"/>
                <w:szCs w:val="10"/>
                <w:color w:val="auto"/>
              </w:rPr>
            </w:pPr>
          </w:p>
        </w:tc>
        <w:tc>
          <w:tcPr>
            <w:tcW w:w="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9,149</w:t>
            </w:r>
          </w:p>
        </w:tc>
        <w:tc>
          <w:tcPr>
            <w:tcW w:w="100" w:type="dxa"/>
            <w:vAlign w:val="bottom"/>
          </w:tcPr>
          <w:p>
            <w:pPr>
              <w:spacing w:after="0"/>
              <w:rPr>
                <w:sz w:val="10"/>
                <w:szCs w:val="10"/>
                <w:color w:val="auto"/>
              </w:rPr>
            </w:pPr>
          </w:p>
        </w:tc>
        <w:tc>
          <w:tcPr>
            <w:tcW w:w="440" w:type="dxa"/>
            <w:vAlign w:val="bottom"/>
            <w:gridSpan w:val="2"/>
          </w:tcPr>
          <w:p>
            <w:pPr>
              <w:jc w:val="right"/>
              <w:spacing w:after="0" w:line="113" w:lineRule="exact"/>
              <w:rPr>
                <w:sz w:val="20"/>
                <w:szCs w:val="20"/>
                <w:color w:val="auto"/>
              </w:rPr>
            </w:pPr>
            <w:r>
              <w:rPr>
                <w:rFonts w:ascii="Times New Roman" w:cs="Times New Roman" w:eastAsia="Times New Roman" w:hAnsi="Times New Roman"/>
                <w:sz w:val="10"/>
                <w:szCs w:val="10"/>
                <w:color w:val="auto"/>
              </w:rPr>
              <w:t>1%</w:t>
            </w:r>
          </w:p>
        </w:tc>
      </w:tr>
      <w:tr>
        <w:trPr>
          <w:trHeight w:val="311"/>
        </w:trPr>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12.50%/0.00%</w:t>
            </w: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3/12/2025</w:t>
            </w: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3/12/2029</w:t>
            </w:r>
          </w:p>
        </w:tc>
        <w:tc>
          <w:tcPr>
            <w:tcW w:w="42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10,000</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0"/>
                <w:szCs w:val="10"/>
                <w:color w:val="auto"/>
              </w:rPr>
              <w:t>9,960</w:t>
            </w:r>
          </w:p>
        </w:tc>
        <w:tc>
          <w:tcPr>
            <w:tcW w:w="120" w:type="dxa"/>
            <w:vAlign w:val="bottom"/>
          </w:tcPr>
          <w:p>
            <w:pPr>
              <w:spacing w:after="0"/>
              <w:rPr>
                <w:sz w:val="24"/>
                <w:szCs w:val="24"/>
                <w:color w:val="auto"/>
              </w:rPr>
            </w:pP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10,000</w:t>
            </w: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02"/>
        </w:trPr>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1.9%</w:t>
            </w: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3/17/2025</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0"/>
                <w:szCs w:val="10"/>
                <w:color w:val="auto"/>
              </w:rPr>
              <w:t>801</w:t>
            </w:r>
          </w:p>
        </w:tc>
        <w:tc>
          <w:tcPr>
            <w:tcW w:w="120" w:type="dxa"/>
            <w:vAlign w:val="bottom"/>
          </w:tcPr>
          <w:p>
            <w:pPr>
              <w:spacing w:after="0"/>
              <w:rPr>
                <w:sz w:val="17"/>
                <w:szCs w:val="17"/>
                <w:color w:val="auto"/>
              </w:rPr>
            </w:pP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816</w:t>
            </w: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15"/>
        </w:trPr>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0"/>
                <w:szCs w:val="10"/>
                <w:color w:val="auto"/>
              </w:rPr>
              <w:t>10,761</w:t>
            </w:r>
          </w:p>
        </w:tc>
        <w:tc>
          <w:tcPr>
            <w:tcW w:w="120" w:type="dxa"/>
            <w:vAlign w:val="bottom"/>
          </w:tcPr>
          <w:p>
            <w:pPr>
              <w:spacing w:after="0"/>
              <w:rPr>
                <w:sz w:val="10"/>
                <w:szCs w:val="10"/>
                <w:color w:val="auto"/>
              </w:rPr>
            </w:pPr>
          </w:p>
        </w:tc>
        <w:tc>
          <w:tcPr>
            <w:tcW w:w="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10,816</w:t>
            </w:r>
          </w:p>
        </w:tc>
        <w:tc>
          <w:tcPr>
            <w:tcW w:w="100" w:type="dxa"/>
            <w:vAlign w:val="bottom"/>
          </w:tcPr>
          <w:p>
            <w:pPr>
              <w:spacing w:after="0"/>
              <w:rPr>
                <w:sz w:val="10"/>
                <w:szCs w:val="10"/>
                <w:color w:val="auto"/>
              </w:rPr>
            </w:pPr>
          </w:p>
        </w:tc>
        <w:tc>
          <w:tcPr>
            <w:tcW w:w="440" w:type="dxa"/>
            <w:vAlign w:val="bottom"/>
            <w:gridSpan w:val="2"/>
          </w:tcPr>
          <w:p>
            <w:pPr>
              <w:jc w:val="right"/>
              <w:spacing w:after="0" w:line="113" w:lineRule="exact"/>
              <w:rPr>
                <w:sz w:val="20"/>
                <w:szCs w:val="20"/>
                <w:color w:val="auto"/>
              </w:rPr>
            </w:pPr>
            <w:r>
              <w:rPr>
                <w:rFonts w:ascii="Times New Roman" w:cs="Times New Roman" w:eastAsia="Times New Roman" w:hAnsi="Times New Roman"/>
                <w:sz w:val="10"/>
                <w:szCs w:val="10"/>
                <w:color w:val="auto"/>
              </w:rPr>
              <w:t>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-2059940</wp:posOffset>
            </wp:positionH>
            <wp:positionV relativeFrom="paragraph">
              <wp:posOffset>-4012565</wp:posOffset>
            </wp:positionV>
            <wp:extent cx="5422265" cy="1397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3">
                      <a:extLst>
                        <a:ext uri="{28A0092B-C50C-407E-A947-70E740481C1C}"/>
                      </a:extLst>
                    </a:blip>
                    <a:srcRect/>
                    <a:stretch>
                      <a:fillRect/>
                    </a:stretch>
                  </pic:blipFill>
                  <pic:spPr bwMode="auto">
                    <a:xfrm>
                      <a:off x="0" y="0"/>
                      <a:ext cx="5422265" cy="139700"/>
                    </a:xfrm>
                    <a:prstGeom prst="rect">
                      <a:avLst/>
                    </a:prstGeom>
                    <a:noFill/>
                  </pic:spPr>
                </pic:pic>
              </a:graphicData>
            </a:graphic>
          </wp:anchor>
        </w:drawing>
        <w:drawing>
          <wp:anchor simplePos="0" relativeHeight="251657728" behindDoc="1" locked="0" layoutInCell="0" allowOverlap="1">
            <wp:simplePos x="0" y="0"/>
            <wp:positionH relativeFrom="column">
              <wp:posOffset>-2059940</wp:posOffset>
            </wp:positionH>
            <wp:positionV relativeFrom="paragraph">
              <wp:posOffset>-3806190</wp:posOffset>
            </wp:positionV>
            <wp:extent cx="5422265" cy="1993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4">
                      <a:extLst>
                        <a:ext uri="{28A0092B-C50C-407E-A947-70E740481C1C}"/>
                      </a:extLst>
                    </a:blip>
                    <a:srcRect/>
                    <a:stretch>
                      <a:fillRect/>
                    </a:stretch>
                  </pic:blipFill>
                  <pic:spPr bwMode="auto">
                    <a:xfrm>
                      <a:off x="0" y="0"/>
                      <a:ext cx="5422265" cy="199390"/>
                    </a:xfrm>
                    <a:prstGeom prst="rect">
                      <a:avLst/>
                    </a:prstGeom>
                    <a:noFill/>
                  </pic:spPr>
                </pic:pic>
              </a:graphicData>
            </a:graphic>
          </wp:anchor>
        </w:drawing>
        <w:drawing>
          <wp:anchor simplePos="0" relativeHeight="251657728" behindDoc="1" locked="0" layoutInCell="0" allowOverlap="1">
            <wp:simplePos x="0" y="0"/>
            <wp:positionH relativeFrom="column">
              <wp:posOffset>-2059940</wp:posOffset>
            </wp:positionH>
            <wp:positionV relativeFrom="paragraph">
              <wp:posOffset>-3460750</wp:posOffset>
            </wp:positionV>
            <wp:extent cx="5422265" cy="6667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5">
                      <a:extLst>
                        <a:ext uri="{28A0092B-C50C-407E-A947-70E740481C1C}"/>
                      </a:extLst>
                    </a:blip>
                    <a:srcRect/>
                    <a:stretch>
                      <a:fillRect/>
                    </a:stretch>
                  </pic:blipFill>
                  <pic:spPr bwMode="auto">
                    <a:xfrm>
                      <a:off x="0" y="0"/>
                      <a:ext cx="5422265" cy="66675"/>
                    </a:xfrm>
                    <a:prstGeom prst="rect">
                      <a:avLst/>
                    </a:prstGeom>
                    <a:noFill/>
                  </pic:spPr>
                </pic:pic>
              </a:graphicData>
            </a:graphic>
          </wp:anchor>
        </w:drawing>
        <w:drawing>
          <wp:anchor simplePos="0" relativeHeight="251657728" behindDoc="1" locked="0" layoutInCell="0" allowOverlap="1">
            <wp:simplePos x="0" y="0"/>
            <wp:positionH relativeFrom="column">
              <wp:posOffset>-2059940</wp:posOffset>
            </wp:positionH>
            <wp:positionV relativeFrom="paragraph">
              <wp:posOffset>-3261360</wp:posOffset>
            </wp:positionV>
            <wp:extent cx="5422265" cy="6667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6">
                      <a:extLst>
                        <a:ext uri="{28A0092B-C50C-407E-A947-70E740481C1C}"/>
                      </a:extLst>
                    </a:blip>
                    <a:srcRect/>
                    <a:stretch>
                      <a:fillRect/>
                    </a:stretch>
                  </pic:blipFill>
                  <pic:spPr bwMode="auto">
                    <a:xfrm>
                      <a:off x="0" y="0"/>
                      <a:ext cx="5422265" cy="66675"/>
                    </a:xfrm>
                    <a:prstGeom prst="rect">
                      <a:avLst/>
                    </a:prstGeom>
                    <a:noFill/>
                  </pic:spPr>
                </pic:pic>
              </a:graphicData>
            </a:graphic>
          </wp:anchor>
        </w:drawing>
        <w:drawing>
          <wp:anchor simplePos="0" relativeHeight="251657728" behindDoc="1" locked="0" layoutInCell="0" allowOverlap="1">
            <wp:simplePos x="0" y="0"/>
            <wp:positionH relativeFrom="column">
              <wp:posOffset>-2059940</wp:posOffset>
            </wp:positionH>
            <wp:positionV relativeFrom="paragraph">
              <wp:posOffset>-2982595</wp:posOffset>
            </wp:positionV>
            <wp:extent cx="5422265" cy="6667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7">
                      <a:extLst>
                        <a:ext uri="{28A0092B-C50C-407E-A947-70E740481C1C}"/>
                      </a:extLst>
                    </a:blip>
                    <a:srcRect/>
                    <a:stretch>
                      <a:fillRect/>
                    </a:stretch>
                  </pic:blipFill>
                  <pic:spPr bwMode="auto">
                    <a:xfrm>
                      <a:off x="0" y="0"/>
                      <a:ext cx="5422265" cy="66675"/>
                    </a:xfrm>
                    <a:prstGeom prst="rect">
                      <a:avLst/>
                    </a:prstGeom>
                    <a:noFill/>
                  </pic:spPr>
                </pic:pic>
              </a:graphicData>
            </a:graphic>
          </wp:anchor>
        </w:drawing>
        <w:drawing>
          <wp:anchor simplePos="0" relativeHeight="251657728" behindDoc="1" locked="0" layoutInCell="0" allowOverlap="1">
            <wp:simplePos x="0" y="0"/>
            <wp:positionH relativeFrom="column">
              <wp:posOffset>-2059940</wp:posOffset>
            </wp:positionH>
            <wp:positionV relativeFrom="paragraph">
              <wp:posOffset>-2783205</wp:posOffset>
            </wp:positionV>
            <wp:extent cx="5422265" cy="13271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8">
                      <a:extLst>
                        <a:ext uri="{28A0092B-C50C-407E-A947-70E740481C1C}"/>
                      </a:extLst>
                    </a:blip>
                    <a:srcRect/>
                    <a:stretch>
                      <a:fillRect/>
                    </a:stretch>
                  </pic:blipFill>
                  <pic:spPr bwMode="auto">
                    <a:xfrm>
                      <a:off x="0" y="0"/>
                      <a:ext cx="5422265" cy="132715"/>
                    </a:xfrm>
                    <a:prstGeom prst="rect">
                      <a:avLst/>
                    </a:prstGeom>
                    <a:noFill/>
                  </pic:spPr>
                </pic:pic>
              </a:graphicData>
            </a:graphic>
          </wp:anchor>
        </w:drawing>
        <w:drawing>
          <wp:anchor simplePos="0" relativeHeight="251657728" behindDoc="1" locked="0" layoutInCell="0" allowOverlap="1">
            <wp:simplePos x="0" y="0"/>
            <wp:positionH relativeFrom="column">
              <wp:posOffset>-2059940</wp:posOffset>
            </wp:positionH>
            <wp:positionV relativeFrom="paragraph">
              <wp:posOffset>-2517140</wp:posOffset>
            </wp:positionV>
            <wp:extent cx="5422265" cy="13271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9">
                      <a:extLst>
                        <a:ext uri="{28A0092B-C50C-407E-A947-70E740481C1C}"/>
                      </a:extLst>
                    </a:blip>
                    <a:srcRect/>
                    <a:stretch>
                      <a:fillRect/>
                    </a:stretch>
                  </pic:blipFill>
                  <pic:spPr bwMode="auto">
                    <a:xfrm>
                      <a:off x="0" y="0"/>
                      <a:ext cx="5422265" cy="132715"/>
                    </a:xfrm>
                    <a:prstGeom prst="rect">
                      <a:avLst/>
                    </a:prstGeom>
                    <a:noFill/>
                  </pic:spPr>
                </pic:pic>
              </a:graphicData>
            </a:graphic>
          </wp:anchor>
        </w:drawing>
        <w:drawing>
          <wp:anchor simplePos="0" relativeHeight="251657728" behindDoc="1" locked="0" layoutInCell="0" allowOverlap="1">
            <wp:simplePos x="0" y="0"/>
            <wp:positionH relativeFrom="column">
              <wp:posOffset>-2059940</wp:posOffset>
            </wp:positionH>
            <wp:positionV relativeFrom="paragraph">
              <wp:posOffset>-2238375</wp:posOffset>
            </wp:positionV>
            <wp:extent cx="5422265" cy="6667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0">
                      <a:extLst>
                        <a:ext uri="{28A0092B-C50C-407E-A947-70E740481C1C}"/>
                      </a:extLst>
                    </a:blip>
                    <a:srcRect/>
                    <a:stretch>
                      <a:fillRect/>
                    </a:stretch>
                  </pic:blipFill>
                  <pic:spPr bwMode="auto">
                    <a:xfrm>
                      <a:off x="0" y="0"/>
                      <a:ext cx="5422265" cy="66675"/>
                    </a:xfrm>
                    <a:prstGeom prst="rect">
                      <a:avLst/>
                    </a:prstGeom>
                    <a:noFill/>
                  </pic:spPr>
                </pic:pic>
              </a:graphicData>
            </a:graphic>
          </wp:anchor>
        </w:drawing>
        <w:drawing>
          <wp:anchor simplePos="0" relativeHeight="251657728" behindDoc="1" locked="0" layoutInCell="0" allowOverlap="1">
            <wp:simplePos x="0" y="0"/>
            <wp:positionH relativeFrom="column">
              <wp:posOffset>-2059940</wp:posOffset>
            </wp:positionH>
            <wp:positionV relativeFrom="paragraph">
              <wp:posOffset>-1972310</wp:posOffset>
            </wp:positionV>
            <wp:extent cx="5422265" cy="13271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1">
                      <a:extLst>
                        <a:ext uri="{28A0092B-C50C-407E-A947-70E740481C1C}"/>
                      </a:extLst>
                    </a:blip>
                    <a:srcRect/>
                    <a:stretch>
                      <a:fillRect/>
                    </a:stretch>
                  </pic:blipFill>
                  <pic:spPr bwMode="auto">
                    <a:xfrm>
                      <a:off x="0" y="0"/>
                      <a:ext cx="5422265" cy="132715"/>
                    </a:xfrm>
                    <a:prstGeom prst="rect">
                      <a:avLst/>
                    </a:prstGeom>
                    <a:noFill/>
                  </pic:spPr>
                </pic:pic>
              </a:graphicData>
            </a:graphic>
          </wp:anchor>
        </w:drawing>
        <w:drawing>
          <wp:anchor simplePos="0" relativeHeight="251657728" behindDoc="1" locked="0" layoutInCell="0" allowOverlap="1">
            <wp:simplePos x="0" y="0"/>
            <wp:positionH relativeFrom="column">
              <wp:posOffset>-2059940</wp:posOffset>
            </wp:positionH>
            <wp:positionV relativeFrom="paragraph">
              <wp:posOffset>-1706880</wp:posOffset>
            </wp:positionV>
            <wp:extent cx="5422265" cy="13271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2">
                      <a:extLst>
                        <a:ext uri="{28A0092B-C50C-407E-A947-70E740481C1C}"/>
                      </a:extLst>
                    </a:blip>
                    <a:srcRect/>
                    <a:stretch>
                      <a:fillRect/>
                    </a:stretch>
                  </pic:blipFill>
                  <pic:spPr bwMode="auto">
                    <a:xfrm>
                      <a:off x="0" y="0"/>
                      <a:ext cx="5422265" cy="132715"/>
                    </a:xfrm>
                    <a:prstGeom prst="rect">
                      <a:avLst/>
                    </a:prstGeom>
                    <a:noFill/>
                  </pic:spPr>
                </pic:pic>
              </a:graphicData>
            </a:graphic>
          </wp:anchor>
        </w:drawing>
        <w:drawing>
          <wp:anchor simplePos="0" relativeHeight="251657728" behindDoc="1" locked="0" layoutInCell="0" allowOverlap="1">
            <wp:simplePos x="0" y="0"/>
            <wp:positionH relativeFrom="column">
              <wp:posOffset>-2059940</wp:posOffset>
            </wp:positionH>
            <wp:positionV relativeFrom="paragraph">
              <wp:posOffset>-1440815</wp:posOffset>
            </wp:positionV>
            <wp:extent cx="5422265" cy="13271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3">
                      <a:extLst>
                        <a:ext uri="{28A0092B-C50C-407E-A947-70E740481C1C}"/>
                      </a:extLst>
                    </a:blip>
                    <a:srcRect/>
                    <a:stretch>
                      <a:fillRect/>
                    </a:stretch>
                  </pic:blipFill>
                  <pic:spPr bwMode="auto">
                    <a:xfrm>
                      <a:off x="0" y="0"/>
                      <a:ext cx="5422265" cy="132715"/>
                    </a:xfrm>
                    <a:prstGeom prst="rect">
                      <a:avLst/>
                    </a:prstGeom>
                    <a:noFill/>
                  </pic:spPr>
                </pic:pic>
              </a:graphicData>
            </a:graphic>
          </wp:anchor>
        </w:drawing>
        <w:drawing>
          <wp:anchor simplePos="0" relativeHeight="251657728" behindDoc="1" locked="0" layoutInCell="0" allowOverlap="1">
            <wp:simplePos x="0" y="0"/>
            <wp:positionH relativeFrom="column">
              <wp:posOffset>-2059940</wp:posOffset>
            </wp:positionH>
            <wp:positionV relativeFrom="paragraph">
              <wp:posOffset>-1175385</wp:posOffset>
            </wp:positionV>
            <wp:extent cx="5422265" cy="13271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4">
                      <a:extLst>
                        <a:ext uri="{28A0092B-C50C-407E-A947-70E740481C1C}"/>
                      </a:extLst>
                    </a:blip>
                    <a:srcRect/>
                    <a:stretch>
                      <a:fillRect/>
                    </a:stretch>
                  </pic:blipFill>
                  <pic:spPr bwMode="auto">
                    <a:xfrm>
                      <a:off x="0" y="0"/>
                      <a:ext cx="5422265" cy="132715"/>
                    </a:xfrm>
                    <a:prstGeom prst="rect">
                      <a:avLst/>
                    </a:prstGeom>
                    <a:noFill/>
                  </pic:spPr>
                </pic:pic>
              </a:graphicData>
            </a:graphic>
          </wp:anchor>
        </w:drawing>
        <w:drawing>
          <wp:anchor simplePos="0" relativeHeight="251657728" behindDoc="1" locked="0" layoutInCell="0" allowOverlap="1">
            <wp:simplePos x="0" y="0"/>
            <wp:positionH relativeFrom="column">
              <wp:posOffset>-2059940</wp:posOffset>
            </wp:positionH>
            <wp:positionV relativeFrom="paragraph">
              <wp:posOffset>-895985</wp:posOffset>
            </wp:positionV>
            <wp:extent cx="5422265" cy="6667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5">
                      <a:extLst>
                        <a:ext uri="{28A0092B-C50C-407E-A947-70E740481C1C}"/>
                      </a:extLst>
                    </a:blip>
                    <a:srcRect/>
                    <a:stretch>
                      <a:fillRect/>
                    </a:stretch>
                  </pic:blipFill>
                  <pic:spPr bwMode="auto">
                    <a:xfrm>
                      <a:off x="0" y="0"/>
                      <a:ext cx="5422265" cy="66675"/>
                    </a:xfrm>
                    <a:prstGeom prst="rect">
                      <a:avLst/>
                    </a:prstGeom>
                    <a:noFill/>
                  </pic:spPr>
                </pic:pic>
              </a:graphicData>
            </a:graphic>
          </wp:anchor>
        </w:drawing>
        <w:drawing>
          <wp:anchor simplePos="0" relativeHeight="251657728" behindDoc="1" locked="0" layoutInCell="0" allowOverlap="1">
            <wp:simplePos x="0" y="0"/>
            <wp:positionH relativeFrom="column">
              <wp:posOffset>-2059940</wp:posOffset>
            </wp:positionH>
            <wp:positionV relativeFrom="paragraph">
              <wp:posOffset>-696595</wp:posOffset>
            </wp:positionV>
            <wp:extent cx="5422265" cy="6667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6">
                      <a:extLst>
                        <a:ext uri="{28A0092B-C50C-407E-A947-70E740481C1C}"/>
                      </a:extLst>
                    </a:blip>
                    <a:srcRect/>
                    <a:stretch>
                      <a:fillRect/>
                    </a:stretch>
                  </pic:blipFill>
                  <pic:spPr bwMode="auto">
                    <a:xfrm>
                      <a:off x="0" y="0"/>
                      <a:ext cx="5422265" cy="66675"/>
                    </a:xfrm>
                    <a:prstGeom prst="rect">
                      <a:avLst/>
                    </a:prstGeom>
                    <a:noFill/>
                  </pic:spPr>
                </pic:pic>
              </a:graphicData>
            </a:graphic>
          </wp:anchor>
        </w:drawing>
        <w:drawing>
          <wp:anchor simplePos="0" relativeHeight="251657728" behindDoc="1" locked="0" layoutInCell="0" allowOverlap="1">
            <wp:simplePos x="0" y="0"/>
            <wp:positionH relativeFrom="column">
              <wp:posOffset>-2059940</wp:posOffset>
            </wp:positionH>
            <wp:positionV relativeFrom="paragraph">
              <wp:posOffset>-483870</wp:posOffset>
            </wp:positionV>
            <wp:extent cx="5422265" cy="6667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7">
                      <a:extLst>
                        <a:ext uri="{28A0092B-C50C-407E-A947-70E740481C1C}"/>
                      </a:extLst>
                    </a:blip>
                    <a:srcRect/>
                    <a:stretch>
                      <a:fillRect/>
                    </a:stretch>
                  </pic:blipFill>
                  <pic:spPr bwMode="auto">
                    <a:xfrm>
                      <a:off x="0" y="0"/>
                      <a:ext cx="5422265" cy="66675"/>
                    </a:xfrm>
                    <a:prstGeom prst="rect">
                      <a:avLst/>
                    </a:prstGeom>
                    <a:noFill/>
                  </pic:spPr>
                </pic:pic>
              </a:graphicData>
            </a:graphic>
          </wp:anchor>
        </w:drawing>
        <w:drawing>
          <wp:anchor simplePos="0" relativeHeight="251657728" behindDoc="1" locked="0" layoutInCell="0" allowOverlap="1">
            <wp:simplePos x="0" y="0"/>
            <wp:positionH relativeFrom="column">
              <wp:posOffset>-2059940</wp:posOffset>
            </wp:positionH>
            <wp:positionV relativeFrom="paragraph">
              <wp:posOffset>-351155</wp:posOffset>
            </wp:positionV>
            <wp:extent cx="5422265" cy="13271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8">
                      <a:extLst>
                        <a:ext uri="{28A0092B-C50C-407E-A947-70E740481C1C}"/>
                      </a:extLst>
                    </a:blip>
                    <a:srcRect/>
                    <a:stretch>
                      <a:fillRect/>
                    </a:stretch>
                  </pic:blipFill>
                  <pic:spPr bwMode="auto">
                    <a:xfrm>
                      <a:off x="0" y="0"/>
                      <a:ext cx="5422265" cy="132715"/>
                    </a:xfrm>
                    <a:prstGeom prst="rect">
                      <a:avLst/>
                    </a:prstGeom>
                    <a:noFill/>
                  </pic:spPr>
                </pic:pic>
              </a:graphicData>
            </a:graphic>
          </wp:anchor>
        </w:drawing>
        <w:drawing>
          <wp:anchor simplePos="0" relativeHeight="251657728" behindDoc="1" locked="0" layoutInCell="0" allowOverlap="1">
            <wp:simplePos x="0" y="0"/>
            <wp:positionH relativeFrom="column">
              <wp:posOffset>-2059940</wp:posOffset>
            </wp:positionH>
            <wp:positionV relativeFrom="paragraph">
              <wp:posOffset>-72390</wp:posOffset>
            </wp:positionV>
            <wp:extent cx="5422265" cy="6667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9">
                      <a:extLst>
                        <a:ext uri="{28A0092B-C50C-407E-A947-70E740481C1C}"/>
                      </a:extLst>
                    </a:blip>
                    <a:srcRect/>
                    <a:stretch>
                      <a:fillRect/>
                    </a:stretch>
                  </pic:blipFill>
                  <pic:spPr bwMode="auto">
                    <a:xfrm>
                      <a:off x="0" y="0"/>
                      <a:ext cx="5422265" cy="66675"/>
                    </a:xfrm>
                    <a:prstGeom prst="rect">
                      <a:avLst/>
                    </a:prstGeom>
                    <a:noFill/>
                  </pic:spPr>
                </pic:pic>
              </a:graphicData>
            </a:graphic>
          </wp:anchor>
        </w:drawing>
      </w:r>
    </w:p>
    <w:p>
      <w:pPr>
        <w:spacing w:after="0" w:line="71"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4"/>
          <w:szCs w:val="14"/>
          <w:color w:val="auto"/>
        </w:rPr>
        <w:t>48</w:t>
      </w:r>
    </w:p>
    <w:p>
      <w:pPr>
        <w:sectPr>
          <w:pgSz w:w="11900" w:h="16838" w:orient="portrait"/>
          <w:cols w:equalWidth="0" w:num="2">
            <w:col w:w="4560" w:space="60"/>
            <w:col w:w="5539"/>
          </w:cols>
          <w:pgMar w:left="300" w:top="384" w:right="1440" w:bottom="1440" w:gutter="0" w:footer="0" w:header="0"/>
          <w:type w:val="continuous"/>
        </w:sectPr>
      </w:pPr>
    </w:p>
    <w:bookmarkStart w:id="52" w:name="page53"/>
    <w:bookmarkEnd w:id="52"/>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0">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ectPr>
          <w:pgSz w:w="11900" w:h="16838" w:orient="portrait"/>
          <w:cols w:equalWidth="0" w:num="1">
            <w:col w:w="10159"/>
          </w:cols>
          <w:pgMar w:left="300" w:top="384" w:right="1440" w:bottom="1440" w:gutter="0" w:footer="0" w:header="0"/>
        </w:sectPr>
      </w:pPr>
    </w:p>
    <w:p>
      <w:pPr>
        <w:spacing w:after="0" w:line="264" w:lineRule="exact"/>
        <w:rPr>
          <w:sz w:val="20"/>
          <w:szCs w:val="20"/>
          <w:color w:val="auto"/>
        </w:rPr>
      </w:pPr>
    </w:p>
    <w:tbl>
      <w:tblPr>
        <w:tblLayout w:type="fixed"/>
        <w:tblInd w:w="1380" w:type="dxa"/>
        <w:tblCellMar>
          <w:top w:w="0" w:type="dxa"/>
          <w:left w:w="0" w:type="dxa"/>
          <w:bottom w:w="0" w:type="dxa"/>
          <w:right w:w="0" w:type="dxa"/>
        </w:tblCellMar>
      </w:tblPr>
      <w:tr>
        <w:trPr>
          <w:trHeight w:val="94"/>
        </w:trPr>
        <w:tc>
          <w:tcPr>
            <w:tcW w:w="1240" w:type="dxa"/>
            <w:vAlign w:val="bottom"/>
            <w:gridSpan w:val="2"/>
          </w:tcPr>
          <w:p>
            <w:pPr>
              <w:spacing w:after="0"/>
              <w:rPr>
                <w:sz w:val="20"/>
                <w:szCs w:val="20"/>
                <w:color w:val="auto"/>
              </w:rPr>
            </w:pPr>
            <w:r>
              <w:rPr>
                <w:rFonts w:ascii="Times New Roman" w:cs="Times New Roman" w:eastAsia="Times New Roman" w:hAnsi="Times New Roman"/>
                <w:sz w:val="8"/>
                <w:szCs w:val="8"/>
                <w:b w:val="1"/>
                <w:bCs w:val="1"/>
                <w:color w:val="auto"/>
              </w:rPr>
              <w:t>Portfolio Company (a)(b)</w:t>
            </w:r>
          </w:p>
        </w:tc>
        <w:tc>
          <w:tcPr>
            <w:tcW w:w="40" w:type="dxa"/>
            <w:vAlign w:val="bottom"/>
          </w:tcPr>
          <w:p>
            <w:pPr>
              <w:spacing w:after="0"/>
              <w:rPr>
                <w:sz w:val="8"/>
                <w:szCs w:val="8"/>
                <w:color w:val="auto"/>
              </w:rPr>
            </w:pPr>
          </w:p>
        </w:tc>
        <w:tc>
          <w:tcPr>
            <w:tcW w:w="940" w:type="dxa"/>
            <w:vAlign w:val="bottom"/>
          </w:tcPr>
          <w:p>
            <w:pPr>
              <w:spacing w:after="0"/>
              <w:rPr>
                <w:sz w:val="8"/>
                <w:szCs w:val="8"/>
                <w:color w:val="auto"/>
              </w:rPr>
            </w:pPr>
          </w:p>
        </w:tc>
        <w:tc>
          <w:tcPr>
            <w:tcW w:w="60" w:type="dxa"/>
            <w:vAlign w:val="bottom"/>
          </w:tcPr>
          <w:p>
            <w:pPr>
              <w:spacing w:after="0"/>
              <w:rPr>
                <w:sz w:val="8"/>
                <w:szCs w:val="8"/>
                <w:color w:val="auto"/>
              </w:rPr>
            </w:pPr>
          </w:p>
        </w:tc>
        <w:tc>
          <w:tcPr>
            <w:tcW w:w="900" w:type="dxa"/>
            <w:vAlign w:val="bottom"/>
          </w:tcPr>
          <w:p>
            <w:pPr>
              <w:spacing w:after="0"/>
              <w:rPr>
                <w:sz w:val="8"/>
                <w:szCs w:val="8"/>
                <w:color w:val="auto"/>
              </w:rPr>
            </w:pPr>
          </w:p>
        </w:tc>
      </w:tr>
      <w:tr>
        <w:trPr>
          <w:trHeight w:val="126"/>
        </w:trPr>
        <w:tc>
          <w:tcPr>
            <w:tcW w:w="1240" w:type="dxa"/>
            <w:vAlign w:val="bottom"/>
            <w:gridSpan w:val="2"/>
          </w:tcPr>
          <w:p>
            <w:pPr>
              <w:spacing w:after="0"/>
              <w:rPr>
                <w:sz w:val="20"/>
                <w:szCs w:val="20"/>
                <w:color w:val="auto"/>
              </w:rPr>
            </w:pPr>
            <w:r>
              <w:rPr>
                <w:rFonts w:ascii="Times New Roman" w:cs="Times New Roman" w:eastAsia="Times New Roman" w:hAnsi="Times New Roman"/>
                <w:sz w:val="8"/>
                <w:szCs w:val="8"/>
                <w:b w:val="1"/>
                <w:bCs w:val="1"/>
                <w:color w:val="auto"/>
              </w:rPr>
              <w:t>Address of Portfolio Company</w:t>
            </w:r>
          </w:p>
        </w:tc>
        <w:tc>
          <w:tcPr>
            <w:tcW w:w="40" w:type="dxa"/>
            <w:vAlign w:val="bottom"/>
          </w:tcPr>
          <w:p>
            <w:pPr>
              <w:spacing w:after="0"/>
              <w:rPr>
                <w:sz w:val="10"/>
                <w:szCs w:val="10"/>
                <w:color w:val="auto"/>
              </w:rPr>
            </w:pPr>
          </w:p>
        </w:tc>
        <w:tc>
          <w:tcPr>
            <w:tcW w:w="1000" w:type="dxa"/>
            <w:vAlign w:val="bottom"/>
            <w:gridSpan w:val="2"/>
          </w:tcPr>
          <w:p>
            <w:pPr>
              <w:ind w:left="120"/>
              <w:spacing w:after="0"/>
              <w:rPr>
                <w:sz w:val="20"/>
                <w:szCs w:val="20"/>
                <w:color w:val="auto"/>
              </w:rPr>
            </w:pPr>
            <w:r>
              <w:rPr>
                <w:rFonts w:ascii="Times New Roman" w:cs="Times New Roman" w:eastAsia="Times New Roman" w:hAnsi="Times New Roman"/>
                <w:sz w:val="8"/>
                <w:szCs w:val="8"/>
                <w:b w:val="1"/>
                <w:bCs w:val="1"/>
                <w:color w:val="auto"/>
              </w:rPr>
              <w:t>Investment Type (c)</w:t>
            </w:r>
          </w:p>
        </w:tc>
        <w:tc>
          <w:tcPr>
            <w:tcW w:w="900" w:type="dxa"/>
            <w:vAlign w:val="bottom"/>
          </w:tcPr>
          <w:p>
            <w:pPr>
              <w:ind w:left="300"/>
              <w:spacing w:after="0"/>
              <w:rPr>
                <w:sz w:val="20"/>
                <w:szCs w:val="20"/>
                <w:color w:val="auto"/>
              </w:rPr>
            </w:pPr>
            <w:r>
              <w:rPr>
                <w:rFonts w:ascii="Times New Roman" w:cs="Times New Roman" w:eastAsia="Times New Roman" w:hAnsi="Times New Roman"/>
                <w:sz w:val="8"/>
                <w:szCs w:val="8"/>
                <w:b w:val="1"/>
                <w:bCs w:val="1"/>
                <w:color w:val="auto"/>
              </w:rPr>
              <w:t>Industry</w:t>
            </w:r>
          </w:p>
        </w:tc>
      </w:tr>
      <w:tr>
        <w:trPr>
          <w:trHeight w:val="65"/>
        </w:trPr>
        <w:tc>
          <w:tcPr>
            <w:tcW w:w="1100" w:type="dxa"/>
            <w:vAlign w:val="bottom"/>
            <w:tcBorders>
              <w:top w:val="single" w:sz="8" w:color="auto"/>
            </w:tcBorders>
          </w:tcPr>
          <w:p>
            <w:pPr>
              <w:spacing w:after="0" w:line="65" w:lineRule="exact"/>
              <w:rPr>
                <w:sz w:val="20"/>
                <w:szCs w:val="20"/>
                <w:color w:val="auto"/>
              </w:rPr>
            </w:pPr>
            <w:r>
              <w:rPr>
                <w:rFonts w:ascii="Times New Roman" w:cs="Times New Roman" w:eastAsia="Times New Roman" w:hAnsi="Times New Roman"/>
                <w:sz w:val="7"/>
                <w:szCs w:val="7"/>
                <w:i w:val="1"/>
                <w:iCs w:val="1"/>
                <w:color w:val="auto"/>
              </w:rPr>
              <w:t>AOM Intermediate Holdco,</w:t>
            </w: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940" w:type="dxa"/>
            <w:vAlign w:val="bottom"/>
            <w:tcBorders>
              <w:top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900" w:type="dxa"/>
            <w:vAlign w:val="bottom"/>
            <w:tcBorders>
              <w:top w:val="single" w:sz="8" w:color="auto"/>
            </w:tcBorders>
          </w:tcPr>
          <w:p>
            <w:pPr>
              <w:spacing w:after="0" w:line="65" w:lineRule="exact"/>
              <w:rPr>
                <w:sz w:val="20"/>
                <w:szCs w:val="20"/>
                <w:color w:val="auto"/>
              </w:rPr>
            </w:pPr>
            <w:r>
              <w:rPr>
                <w:rFonts w:ascii="Times New Roman" w:cs="Times New Roman" w:eastAsia="Times New Roman" w:hAnsi="Times New Roman"/>
                <w:sz w:val="7"/>
                <w:szCs w:val="7"/>
                <w:color w:val="auto"/>
              </w:rPr>
              <w:t>Information</w:t>
            </w:r>
          </w:p>
        </w:tc>
      </w:tr>
      <w:tr>
        <w:trPr>
          <w:trHeight w:val="112"/>
        </w:trPr>
        <w:tc>
          <w:tcPr>
            <w:tcW w:w="1240" w:type="dxa"/>
            <w:vAlign w:val="bottom"/>
            <w:gridSpan w:val="2"/>
          </w:tcPr>
          <w:p>
            <w:pPr>
              <w:spacing w:after="0" w:line="113" w:lineRule="exact"/>
              <w:rPr>
                <w:sz w:val="20"/>
                <w:szCs w:val="20"/>
                <w:color w:val="auto"/>
              </w:rPr>
            </w:pPr>
            <w:r>
              <w:rPr>
                <w:rFonts w:ascii="Times New Roman" w:cs="Times New Roman" w:eastAsia="Times New Roman" w:hAnsi="Times New Roman"/>
                <w:sz w:val="10"/>
                <w:szCs w:val="10"/>
                <w:i w:val="1"/>
                <w:iCs w:val="1"/>
                <w:color w:val="auto"/>
              </w:rPr>
              <w:t>LLC (dba AllOver Media)</w:t>
            </w:r>
          </w:p>
        </w:tc>
        <w:tc>
          <w:tcPr>
            <w:tcW w:w="40" w:type="dxa"/>
            <w:vAlign w:val="bottom"/>
          </w:tcPr>
          <w:p>
            <w:pPr>
              <w:spacing w:after="0"/>
              <w:rPr>
                <w:sz w:val="9"/>
                <w:szCs w:val="9"/>
                <w:color w:val="auto"/>
              </w:rPr>
            </w:pPr>
          </w:p>
        </w:tc>
        <w:tc>
          <w:tcPr>
            <w:tcW w:w="940" w:type="dxa"/>
            <w:vAlign w:val="bottom"/>
          </w:tcPr>
          <w:p>
            <w:pPr>
              <w:spacing w:after="0"/>
              <w:rPr>
                <w:sz w:val="9"/>
                <w:szCs w:val="9"/>
                <w:color w:val="auto"/>
              </w:rPr>
            </w:pPr>
          </w:p>
        </w:tc>
        <w:tc>
          <w:tcPr>
            <w:tcW w:w="60" w:type="dxa"/>
            <w:vAlign w:val="bottom"/>
          </w:tcPr>
          <w:p>
            <w:pPr>
              <w:spacing w:after="0"/>
              <w:rPr>
                <w:sz w:val="9"/>
                <w:szCs w:val="9"/>
                <w:color w:val="auto"/>
              </w:rPr>
            </w:pPr>
          </w:p>
        </w:tc>
        <w:tc>
          <w:tcPr>
            <w:tcW w:w="90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Technology Services</w:t>
            </w:r>
          </w:p>
        </w:tc>
      </w:tr>
      <w:tr>
        <w:trPr>
          <w:trHeight w:val="107"/>
        </w:trPr>
        <w:tc>
          <w:tcPr>
            <w:tcW w:w="1240" w:type="dxa"/>
            <w:vAlign w:val="bottom"/>
            <w:gridSpan w:val="2"/>
          </w:tcPr>
          <w:p>
            <w:pPr>
              <w:ind w:left="100"/>
              <w:spacing w:after="0" w:line="108" w:lineRule="exact"/>
              <w:rPr>
                <w:sz w:val="20"/>
                <w:szCs w:val="20"/>
                <w:color w:val="auto"/>
              </w:rPr>
            </w:pPr>
            <w:r>
              <w:rPr>
                <w:rFonts w:ascii="Times New Roman" w:cs="Times New Roman" w:eastAsia="Times New Roman" w:hAnsi="Times New Roman"/>
                <w:sz w:val="10"/>
                <w:szCs w:val="10"/>
                <w:color w:val="auto"/>
              </w:rPr>
              <w:t>16355 36th Ave. Suite 700</w:t>
            </w:r>
          </w:p>
        </w:tc>
        <w:tc>
          <w:tcPr>
            <w:tcW w:w="1040" w:type="dxa"/>
            <w:vAlign w:val="bottom"/>
            <w:gridSpan w:val="3"/>
          </w:tcPr>
          <w:p>
            <w:pPr>
              <w:ind w:left="40"/>
              <w:spacing w:after="0" w:line="108" w:lineRule="exact"/>
              <w:rPr>
                <w:sz w:val="20"/>
                <w:szCs w:val="20"/>
                <w:color w:val="auto"/>
              </w:rPr>
            </w:pPr>
            <w:r>
              <w:rPr>
                <w:rFonts w:ascii="Times New Roman" w:cs="Times New Roman" w:eastAsia="Times New Roman" w:hAnsi="Times New Roman"/>
                <w:sz w:val="10"/>
                <w:szCs w:val="10"/>
                <w:color w:val="auto"/>
              </w:rPr>
              <w:t>Common Equity (1,232</w:t>
            </w:r>
          </w:p>
        </w:tc>
        <w:tc>
          <w:tcPr>
            <w:tcW w:w="900" w:type="dxa"/>
            <w:vAlign w:val="bottom"/>
          </w:tcPr>
          <w:p>
            <w:pPr>
              <w:spacing w:after="0"/>
              <w:rPr>
                <w:sz w:val="9"/>
                <w:szCs w:val="9"/>
                <w:color w:val="auto"/>
              </w:rPr>
            </w:pPr>
          </w:p>
        </w:tc>
      </w:tr>
      <w:tr>
        <w:trPr>
          <w:trHeight w:val="133"/>
        </w:trPr>
        <w:tc>
          <w:tcPr>
            <w:tcW w:w="1240" w:type="dxa"/>
            <w:vAlign w:val="bottom"/>
            <w:gridSpan w:val="2"/>
          </w:tcPr>
          <w:p>
            <w:pPr>
              <w:ind w:left="100"/>
              <w:spacing w:after="0"/>
              <w:rPr>
                <w:sz w:val="20"/>
                <w:szCs w:val="20"/>
                <w:color w:val="auto"/>
              </w:rPr>
            </w:pPr>
            <w:r>
              <w:rPr>
                <w:rFonts w:ascii="Times New Roman" w:cs="Times New Roman" w:eastAsia="Times New Roman" w:hAnsi="Times New Roman"/>
                <w:sz w:val="10"/>
                <w:szCs w:val="10"/>
                <w:color w:val="auto"/>
              </w:rPr>
              <w:t>Minneapolis, MN 55446</w:t>
            </w:r>
          </w:p>
        </w:tc>
        <w:tc>
          <w:tcPr>
            <w:tcW w:w="1040" w:type="dxa"/>
            <w:vAlign w:val="bottom"/>
            <w:gridSpan w:val="3"/>
          </w:tcPr>
          <w:p>
            <w:pPr>
              <w:ind w:left="40"/>
              <w:spacing w:after="0"/>
              <w:rPr>
                <w:sz w:val="20"/>
                <w:szCs w:val="20"/>
                <w:color w:val="auto"/>
              </w:rPr>
            </w:pPr>
            <w:r>
              <w:rPr>
                <w:rFonts w:ascii="Times New Roman" w:cs="Times New Roman" w:eastAsia="Times New Roman" w:hAnsi="Times New Roman"/>
                <w:sz w:val="10"/>
                <w:szCs w:val="10"/>
                <w:color w:val="auto"/>
              </w:rPr>
              <w:t>units) (h)</w:t>
            </w:r>
          </w:p>
        </w:tc>
        <w:tc>
          <w:tcPr>
            <w:tcW w:w="900" w:type="dxa"/>
            <w:vAlign w:val="bottom"/>
          </w:tcPr>
          <w:p>
            <w:pPr>
              <w:spacing w:after="0"/>
              <w:rPr>
                <w:sz w:val="11"/>
                <w:szCs w:val="11"/>
                <w:color w:val="auto"/>
              </w:rPr>
            </w:pPr>
          </w:p>
        </w:tc>
      </w:tr>
      <w:tr>
        <w:trPr>
          <w:trHeight w:val="166"/>
        </w:trPr>
        <w:tc>
          <w:tcPr>
            <w:tcW w:w="1240" w:type="dxa"/>
            <w:vAlign w:val="bottom"/>
            <w:gridSpan w:val="2"/>
          </w:tcPr>
          <w:p>
            <w:pPr>
              <w:spacing w:after="0"/>
              <w:rPr>
                <w:sz w:val="20"/>
                <w:szCs w:val="20"/>
                <w:color w:val="auto"/>
              </w:rPr>
            </w:pPr>
            <w:r>
              <w:rPr>
                <w:rFonts w:ascii="Times New Roman" w:cs="Times New Roman" w:eastAsia="Times New Roman" w:hAnsi="Times New Roman"/>
                <w:sz w:val="10"/>
                <w:szCs w:val="10"/>
                <w:i w:val="1"/>
                <w:iCs w:val="1"/>
                <w:color w:val="auto"/>
              </w:rPr>
              <w:t>APM Intermediate Holdings,</w:t>
            </w:r>
          </w:p>
        </w:tc>
        <w:tc>
          <w:tcPr>
            <w:tcW w:w="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0"/>
                <w:szCs w:val="10"/>
                <w:color w:val="auto"/>
              </w:rPr>
              <w:t>Building Products</w:t>
            </w:r>
          </w:p>
        </w:tc>
      </w:tr>
      <w:tr>
        <w:trPr>
          <w:trHeight w:val="105"/>
        </w:trPr>
        <w:tc>
          <w:tcPr>
            <w:tcW w:w="1240" w:type="dxa"/>
            <w:vAlign w:val="bottom"/>
            <w:gridSpan w:val="2"/>
          </w:tcPr>
          <w:p>
            <w:pPr>
              <w:spacing w:after="0" w:line="105" w:lineRule="exact"/>
              <w:rPr>
                <w:sz w:val="20"/>
                <w:szCs w:val="20"/>
                <w:color w:val="auto"/>
              </w:rPr>
            </w:pPr>
            <w:r>
              <w:rPr>
                <w:rFonts w:ascii="Times New Roman" w:cs="Times New Roman" w:eastAsia="Times New Roman" w:hAnsi="Times New Roman"/>
                <w:sz w:val="10"/>
                <w:szCs w:val="10"/>
                <w:i w:val="1"/>
                <w:iCs w:val="1"/>
                <w:color w:val="auto"/>
              </w:rPr>
              <w:t>LLC (dba Artistic Paver</w:t>
            </w:r>
          </w:p>
        </w:tc>
        <w:tc>
          <w:tcPr>
            <w:tcW w:w="40" w:type="dxa"/>
            <w:vAlign w:val="bottom"/>
          </w:tcPr>
          <w:p>
            <w:pPr>
              <w:spacing w:after="0"/>
              <w:rPr>
                <w:sz w:val="9"/>
                <w:szCs w:val="9"/>
                <w:color w:val="auto"/>
              </w:rPr>
            </w:pPr>
          </w:p>
        </w:tc>
        <w:tc>
          <w:tcPr>
            <w:tcW w:w="940" w:type="dxa"/>
            <w:vAlign w:val="bottom"/>
          </w:tcPr>
          <w:p>
            <w:pPr>
              <w:spacing w:after="0"/>
              <w:rPr>
                <w:sz w:val="9"/>
                <w:szCs w:val="9"/>
                <w:color w:val="auto"/>
              </w:rPr>
            </w:pPr>
          </w:p>
        </w:tc>
        <w:tc>
          <w:tcPr>
            <w:tcW w:w="60" w:type="dxa"/>
            <w:vAlign w:val="bottom"/>
          </w:tcPr>
          <w:p>
            <w:pPr>
              <w:spacing w:after="0"/>
              <w:rPr>
                <w:sz w:val="9"/>
                <w:szCs w:val="9"/>
                <w:color w:val="auto"/>
              </w:rPr>
            </w:pPr>
          </w:p>
        </w:tc>
        <w:tc>
          <w:tcPr>
            <w:tcW w:w="900" w:type="dxa"/>
            <w:vAlign w:val="bottom"/>
          </w:tcPr>
          <w:p>
            <w:pPr>
              <w:spacing w:after="0" w:line="105" w:lineRule="exact"/>
              <w:rPr>
                <w:sz w:val="20"/>
                <w:szCs w:val="20"/>
                <w:color w:val="auto"/>
              </w:rPr>
            </w:pPr>
            <w:r>
              <w:rPr>
                <w:rFonts w:ascii="Times New Roman" w:cs="Times New Roman" w:eastAsia="Times New Roman" w:hAnsi="Times New Roman"/>
                <w:sz w:val="10"/>
                <w:szCs w:val="10"/>
                <w:color w:val="auto"/>
              </w:rPr>
              <w:t>Manufacturing</w:t>
            </w:r>
          </w:p>
        </w:tc>
      </w:tr>
      <w:tr>
        <w:trPr>
          <w:trHeight w:val="107"/>
        </w:trPr>
        <w:tc>
          <w:tcPr>
            <w:tcW w:w="1240" w:type="dxa"/>
            <w:vAlign w:val="bottom"/>
            <w:gridSpan w:val="2"/>
          </w:tcPr>
          <w:p>
            <w:pPr>
              <w:spacing w:after="0" w:line="107" w:lineRule="exact"/>
              <w:rPr>
                <w:sz w:val="20"/>
                <w:szCs w:val="20"/>
                <w:color w:val="auto"/>
              </w:rPr>
            </w:pPr>
            <w:r>
              <w:rPr>
                <w:rFonts w:ascii="Times New Roman" w:cs="Times New Roman" w:eastAsia="Times New Roman" w:hAnsi="Times New Roman"/>
                <w:sz w:val="10"/>
                <w:szCs w:val="10"/>
                <w:i w:val="1"/>
                <w:iCs w:val="1"/>
                <w:color w:val="auto"/>
              </w:rPr>
              <w:t>Manufacturing, Inc.)</w:t>
            </w:r>
          </w:p>
        </w:tc>
        <w:tc>
          <w:tcPr>
            <w:tcW w:w="40" w:type="dxa"/>
            <w:vAlign w:val="bottom"/>
          </w:tcPr>
          <w:p>
            <w:pPr>
              <w:spacing w:after="0"/>
              <w:rPr>
                <w:sz w:val="9"/>
                <w:szCs w:val="9"/>
                <w:color w:val="auto"/>
              </w:rPr>
            </w:pPr>
          </w:p>
        </w:tc>
        <w:tc>
          <w:tcPr>
            <w:tcW w:w="940" w:type="dxa"/>
            <w:vAlign w:val="bottom"/>
          </w:tcPr>
          <w:p>
            <w:pPr>
              <w:spacing w:after="0"/>
              <w:rPr>
                <w:sz w:val="9"/>
                <w:szCs w:val="9"/>
                <w:color w:val="auto"/>
              </w:rPr>
            </w:pPr>
          </w:p>
        </w:tc>
        <w:tc>
          <w:tcPr>
            <w:tcW w:w="60" w:type="dxa"/>
            <w:vAlign w:val="bottom"/>
          </w:tcPr>
          <w:p>
            <w:pPr>
              <w:spacing w:after="0"/>
              <w:rPr>
                <w:sz w:val="9"/>
                <w:szCs w:val="9"/>
                <w:color w:val="auto"/>
              </w:rPr>
            </w:pPr>
          </w:p>
        </w:tc>
        <w:tc>
          <w:tcPr>
            <w:tcW w:w="900" w:type="dxa"/>
            <w:vAlign w:val="bottom"/>
          </w:tcPr>
          <w:p>
            <w:pPr>
              <w:spacing w:after="0"/>
              <w:rPr>
                <w:sz w:val="9"/>
                <w:szCs w:val="9"/>
                <w:color w:val="auto"/>
              </w:rPr>
            </w:pPr>
          </w:p>
        </w:tc>
      </w:tr>
      <w:tr>
        <w:trPr>
          <w:trHeight w:val="105"/>
        </w:trPr>
        <w:tc>
          <w:tcPr>
            <w:tcW w:w="1240" w:type="dxa"/>
            <w:vAlign w:val="bottom"/>
            <w:gridSpan w:val="2"/>
          </w:tcPr>
          <w:p>
            <w:pPr>
              <w:ind w:left="100"/>
              <w:spacing w:after="0" w:line="105" w:lineRule="exact"/>
              <w:rPr>
                <w:sz w:val="20"/>
                <w:szCs w:val="20"/>
                <w:color w:val="auto"/>
              </w:rPr>
            </w:pPr>
            <w:r>
              <w:rPr>
                <w:rFonts w:ascii="Times New Roman" w:cs="Times New Roman" w:eastAsia="Times New Roman" w:hAnsi="Times New Roman"/>
                <w:sz w:val="10"/>
                <w:szCs w:val="10"/>
                <w:color w:val="auto"/>
              </w:rPr>
              <w:t>N.E. 179th Street</w:t>
            </w:r>
          </w:p>
        </w:tc>
        <w:tc>
          <w:tcPr>
            <w:tcW w:w="1040" w:type="dxa"/>
            <w:vAlign w:val="bottom"/>
            <w:gridSpan w:val="3"/>
          </w:tcPr>
          <w:p>
            <w:pPr>
              <w:ind w:left="40"/>
              <w:spacing w:after="0" w:line="105" w:lineRule="exact"/>
              <w:rPr>
                <w:sz w:val="20"/>
                <w:szCs w:val="20"/>
                <w:color w:val="auto"/>
              </w:rPr>
            </w:pPr>
            <w:r>
              <w:rPr>
                <w:rFonts w:ascii="Times New Roman" w:cs="Times New Roman" w:eastAsia="Times New Roman" w:hAnsi="Times New Roman"/>
                <w:sz w:val="10"/>
                <w:szCs w:val="10"/>
                <w:color w:val="auto"/>
              </w:rPr>
              <w:t>First Lien Debt (ai)</w:t>
            </w:r>
          </w:p>
        </w:tc>
        <w:tc>
          <w:tcPr>
            <w:tcW w:w="900" w:type="dxa"/>
            <w:vAlign w:val="bottom"/>
          </w:tcPr>
          <w:p>
            <w:pPr>
              <w:spacing w:after="0"/>
              <w:rPr>
                <w:sz w:val="9"/>
                <w:szCs w:val="9"/>
                <w:color w:val="auto"/>
              </w:rPr>
            </w:pPr>
          </w:p>
        </w:tc>
      </w:tr>
      <w:tr>
        <w:trPr>
          <w:trHeight w:val="105"/>
        </w:trPr>
        <w:tc>
          <w:tcPr>
            <w:tcW w:w="1240" w:type="dxa"/>
            <w:vAlign w:val="bottom"/>
            <w:gridSpan w:val="2"/>
          </w:tcPr>
          <w:p>
            <w:pPr>
              <w:ind w:left="100"/>
              <w:spacing w:after="0" w:line="105" w:lineRule="exact"/>
              <w:rPr>
                <w:sz w:val="20"/>
                <w:szCs w:val="20"/>
                <w:color w:val="auto"/>
              </w:rPr>
            </w:pPr>
            <w:r>
              <w:rPr>
                <w:rFonts w:ascii="Times New Roman" w:cs="Times New Roman" w:eastAsia="Times New Roman" w:hAnsi="Times New Roman"/>
                <w:sz w:val="10"/>
                <w:szCs w:val="10"/>
                <w:color w:val="auto"/>
              </w:rPr>
              <w:t>North Miami Beach, FL</w:t>
            </w:r>
          </w:p>
        </w:tc>
        <w:tc>
          <w:tcPr>
            <w:tcW w:w="40" w:type="dxa"/>
            <w:vAlign w:val="bottom"/>
          </w:tcPr>
          <w:p>
            <w:pPr>
              <w:spacing w:after="0"/>
              <w:rPr>
                <w:sz w:val="9"/>
                <w:szCs w:val="9"/>
                <w:color w:val="auto"/>
              </w:rPr>
            </w:pPr>
          </w:p>
        </w:tc>
        <w:tc>
          <w:tcPr>
            <w:tcW w:w="940" w:type="dxa"/>
            <w:vAlign w:val="bottom"/>
          </w:tcPr>
          <w:p>
            <w:pPr>
              <w:spacing w:after="0"/>
              <w:rPr>
                <w:sz w:val="9"/>
                <w:szCs w:val="9"/>
                <w:color w:val="auto"/>
              </w:rPr>
            </w:pPr>
          </w:p>
        </w:tc>
        <w:tc>
          <w:tcPr>
            <w:tcW w:w="60" w:type="dxa"/>
            <w:vAlign w:val="bottom"/>
          </w:tcPr>
          <w:p>
            <w:pPr>
              <w:spacing w:after="0"/>
              <w:rPr>
                <w:sz w:val="9"/>
                <w:szCs w:val="9"/>
                <w:color w:val="auto"/>
              </w:rPr>
            </w:pPr>
          </w:p>
        </w:tc>
        <w:tc>
          <w:tcPr>
            <w:tcW w:w="900" w:type="dxa"/>
            <w:vAlign w:val="bottom"/>
          </w:tcPr>
          <w:p>
            <w:pPr>
              <w:spacing w:after="0"/>
              <w:rPr>
                <w:sz w:val="9"/>
                <w:szCs w:val="9"/>
                <w:color w:val="auto"/>
              </w:rPr>
            </w:pPr>
          </w:p>
        </w:tc>
      </w:tr>
      <w:tr>
        <w:trPr>
          <w:trHeight w:val="105"/>
        </w:trPr>
        <w:tc>
          <w:tcPr>
            <w:tcW w:w="1100" w:type="dxa"/>
            <w:vAlign w:val="bottom"/>
          </w:tcPr>
          <w:p>
            <w:pPr>
              <w:ind w:left="100"/>
              <w:spacing w:after="0" w:line="105" w:lineRule="exact"/>
              <w:rPr>
                <w:sz w:val="20"/>
                <w:szCs w:val="20"/>
                <w:color w:val="auto"/>
              </w:rPr>
            </w:pPr>
            <w:r>
              <w:rPr>
                <w:rFonts w:ascii="Times New Roman" w:cs="Times New Roman" w:eastAsia="Times New Roman" w:hAnsi="Times New Roman"/>
                <w:sz w:val="10"/>
                <w:szCs w:val="10"/>
                <w:color w:val="auto"/>
              </w:rPr>
              <w:t>33162</w:t>
            </w:r>
          </w:p>
        </w:tc>
        <w:tc>
          <w:tcPr>
            <w:tcW w:w="140" w:type="dxa"/>
            <w:vAlign w:val="bottom"/>
          </w:tcPr>
          <w:p>
            <w:pPr>
              <w:spacing w:after="0"/>
              <w:rPr>
                <w:sz w:val="9"/>
                <w:szCs w:val="9"/>
                <w:color w:val="auto"/>
              </w:rPr>
            </w:pPr>
          </w:p>
        </w:tc>
        <w:tc>
          <w:tcPr>
            <w:tcW w:w="1040" w:type="dxa"/>
            <w:vAlign w:val="bottom"/>
            <w:gridSpan w:val="3"/>
          </w:tcPr>
          <w:p>
            <w:pPr>
              <w:ind w:left="40"/>
              <w:spacing w:after="0" w:line="105" w:lineRule="exact"/>
              <w:rPr>
                <w:sz w:val="20"/>
                <w:szCs w:val="20"/>
                <w:color w:val="auto"/>
              </w:rPr>
            </w:pPr>
            <w:r>
              <w:rPr>
                <w:rFonts w:ascii="Times New Roman" w:cs="Times New Roman" w:eastAsia="Times New Roman" w:hAnsi="Times New Roman"/>
                <w:sz w:val="10"/>
                <w:szCs w:val="10"/>
                <w:color w:val="auto"/>
              </w:rPr>
              <w:t>Subordinated Debt</w:t>
            </w:r>
          </w:p>
        </w:tc>
        <w:tc>
          <w:tcPr>
            <w:tcW w:w="900" w:type="dxa"/>
            <w:vAlign w:val="bottom"/>
          </w:tcPr>
          <w:p>
            <w:pPr>
              <w:spacing w:after="0"/>
              <w:rPr>
                <w:sz w:val="9"/>
                <w:szCs w:val="9"/>
                <w:color w:val="auto"/>
              </w:rPr>
            </w:pPr>
          </w:p>
        </w:tc>
      </w:tr>
      <w:tr>
        <w:trPr>
          <w:trHeight w:val="105"/>
        </w:trPr>
        <w:tc>
          <w:tcPr>
            <w:tcW w:w="1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gridSpan w:val="3"/>
          </w:tcPr>
          <w:p>
            <w:pPr>
              <w:ind w:left="40"/>
              <w:spacing w:after="0" w:line="105" w:lineRule="exact"/>
              <w:rPr>
                <w:sz w:val="20"/>
                <w:szCs w:val="20"/>
                <w:color w:val="auto"/>
              </w:rPr>
            </w:pPr>
            <w:r>
              <w:rPr>
                <w:rFonts w:ascii="Times New Roman" w:cs="Times New Roman" w:eastAsia="Times New Roman" w:hAnsi="Times New Roman"/>
                <w:sz w:val="10"/>
                <w:szCs w:val="10"/>
                <w:color w:val="auto"/>
              </w:rPr>
              <w:t>Common Equity (1,200</w:t>
            </w:r>
          </w:p>
        </w:tc>
        <w:tc>
          <w:tcPr>
            <w:tcW w:w="900" w:type="dxa"/>
            <w:vAlign w:val="bottom"/>
          </w:tcPr>
          <w:p>
            <w:pPr>
              <w:spacing w:after="0"/>
              <w:rPr>
                <w:sz w:val="9"/>
                <w:szCs w:val="9"/>
                <w:color w:val="auto"/>
              </w:rPr>
            </w:pPr>
          </w:p>
        </w:tc>
      </w:tr>
      <w:tr>
        <w:trPr>
          <w:trHeight w:val="125"/>
        </w:trPr>
        <w:tc>
          <w:tcPr>
            <w:tcW w:w="1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gridSpan w:val="3"/>
          </w:tcPr>
          <w:p>
            <w:pPr>
              <w:ind w:left="40"/>
              <w:spacing w:after="0"/>
              <w:rPr>
                <w:sz w:val="20"/>
                <w:szCs w:val="20"/>
                <w:color w:val="auto"/>
              </w:rPr>
            </w:pPr>
            <w:r>
              <w:rPr>
                <w:rFonts w:ascii="Times New Roman" w:cs="Times New Roman" w:eastAsia="Times New Roman" w:hAnsi="Times New Roman"/>
                <w:sz w:val="10"/>
                <w:szCs w:val="10"/>
                <w:color w:val="auto"/>
              </w:rPr>
              <w:t>units) (h)</w:t>
            </w:r>
          </w:p>
        </w:tc>
        <w:tc>
          <w:tcPr>
            <w:tcW w:w="900" w:type="dxa"/>
            <w:vAlign w:val="bottom"/>
          </w:tcPr>
          <w:p>
            <w:pPr>
              <w:spacing w:after="0"/>
              <w:rPr>
                <w:sz w:val="10"/>
                <w:szCs w:val="10"/>
                <w:color w:val="auto"/>
              </w:rPr>
            </w:pPr>
          </w:p>
        </w:tc>
      </w:tr>
      <w:tr>
        <w:trPr>
          <w:trHeight w:val="208"/>
        </w:trPr>
        <w:tc>
          <w:tcPr>
            <w:tcW w:w="1240" w:type="dxa"/>
            <w:vAlign w:val="bottom"/>
            <w:gridSpan w:val="2"/>
          </w:tcPr>
          <w:p>
            <w:pPr>
              <w:spacing w:after="0"/>
              <w:rPr>
                <w:sz w:val="20"/>
                <w:szCs w:val="20"/>
                <w:color w:val="auto"/>
              </w:rPr>
            </w:pPr>
            <w:r>
              <w:rPr>
                <w:rFonts w:ascii="Times New Roman" w:cs="Times New Roman" w:eastAsia="Times New Roman" w:hAnsi="Times New Roman"/>
                <w:sz w:val="10"/>
                <w:szCs w:val="10"/>
                <w:i w:val="1"/>
                <w:iCs w:val="1"/>
                <w:color w:val="auto"/>
              </w:rPr>
              <w:t>Auto CRM LLC (dba Dealer</w:t>
            </w:r>
          </w:p>
        </w:tc>
        <w:tc>
          <w:tcPr>
            <w:tcW w:w="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0"/>
                <w:szCs w:val="10"/>
                <w:color w:val="auto"/>
              </w:rPr>
              <w:t>Information</w:t>
            </w:r>
          </w:p>
        </w:tc>
      </w:tr>
      <w:tr>
        <w:trPr>
          <w:trHeight w:val="107"/>
        </w:trPr>
        <w:tc>
          <w:tcPr>
            <w:tcW w:w="1240" w:type="dxa"/>
            <w:vAlign w:val="bottom"/>
            <w:gridSpan w:val="2"/>
          </w:tcPr>
          <w:p>
            <w:pPr>
              <w:spacing w:after="0" w:line="107" w:lineRule="exact"/>
              <w:rPr>
                <w:sz w:val="20"/>
                <w:szCs w:val="20"/>
                <w:color w:val="auto"/>
              </w:rPr>
            </w:pPr>
            <w:r>
              <w:rPr>
                <w:rFonts w:ascii="Times New Roman" w:cs="Times New Roman" w:eastAsia="Times New Roman" w:hAnsi="Times New Roman"/>
                <w:sz w:val="10"/>
                <w:szCs w:val="10"/>
                <w:i w:val="1"/>
                <w:iCs w:val="1"/>
                <w:color w:val="auto"/>
              </w:rPr>
              <w:t>Holdings)</w:t>
            </w:r>
          </w:p>
        </w:tc>
        <w:tc>
          <w:tcPr>
            <w:tcW w:w="40" w:type="dxa"/>
            <w:vAlign w:val="bottom"/>
          </w:tcPr>
          <w:p>
            <w:pPr>
              <w:spacing w:after="0"/>
              <w:rPr>
                <w:sz w:val="9"/>
                <w:szCs w:val="9"/>
                <w:color w:val="auto"/>
              </w:rPr>
            </w:pPr>
          </w:p>
        </w:tc>
        <w:tc>
          <w:tcPr>
            <w:tcW w:w="940" w:type="dxa"/>
            <w:vAlign w:val="bottom"/>
          </w:tcPr>
          <w:p>
            <w:pPr>
              <w:spacing w:after="0"/>
              <w:rPr>
                <w:sz w:val="9"/>
                <w:szCs w:val="9"/>
                <w:color w:val="auto"/>
              </w:rPr>
            </w:pPr>
          </w:p>
        </w:tc>
        <w:tc>
          <w:tcPr>
            <w:tcW w:w="60" w:type="dxa"/>
            <w:vAlign w:val="bottom"/>
          </w:tcPr>
          <w:p>
            <w:pPr>
              <w:spacing w:after="0"/>
              <w:rPr>
                <w:sz w:val="9"/>
                <w:szCs w:val="9"/>
                <w:color w:val="auto"/>
              </w:rPr>
            </w:pPr>
          </w:p>
        </w:tc>
        <w:tc>
          <w:tcPr>
            <w:tcW w:w="900" w:type="dxa"/>
            <w:vAlign w:val="bottom"/>
          </w:tcPr>
          <w:p>
            <w:pPr>
              <w:spacing w:after="0" w:line="107" w:lineRule="exact"/>
              <w:rPr>
                <w:sz w:val="20"/>
                <w:szCs w:val="20"/>
                <w:color w:val="auto"/>
              </w:rPr>
            </w:pPr>
            <w:r>
              <w:rPr>
                <w:rFonts w:ascii="Times New Roman" w:cs="Times New Roman" w:eastAsia="Times New Roman" w:hAnsi="Times New Roman"/>
                <w:sz w:val="10"/>
                <w:szCs w:val="10"/>
                <w:color w:val="auto"/>
              </w:rPr>
              <w:t>Technology Services</w:t>
            </w:r>
          </w:p>
        </w:tc>
      </w:tr>
      <w:tr>
        <w:trPr>
          <w:trHeight w:val="105"/>
        </w:trPr>
        <w:tc>
          <w:tcPr>
            <w:tcW w:w="1240" w:type="dxa"/>
            <w:vAlign w:val="bottom"/>
            <w:gridSpan w:val="2"/>
          </w:tcPr>
          <w:p>
            <w:pPr>
              <w:ind w:left="100"/>
              <w:spacing w:after="0" w:line="105" w:lineRule="exact"/>
              <w:rPr>
                <w:sz w:val="20"/>
                <w:szCs w:val="20"/>
                <w:color w:val="auto"/>
              </w:rPr>
            </w:pPr>
            <w:r>
              <w:rPr>
                <w:rFonts w:ascii="Times New Roman" w:cs="Times New Roman" w:eastAsia="Times New Roman" w:hAnsi="Times New Roman"/>
                <w:sz w:val="10"/>
                <w:szCs w:val="10"/>
                <w:color w:val="auto"/>
              </w:rPr>
              <w:t>1115 Gunn Hwy #101</w:t>
            </w:r>
          </w:p>
        </w:tc>
        <w:tc>
          <w:tcPr>
            <w:tcW w:w="1040" w:type="dxa"/>
            <w:vAlign w:val="bottom"/>
            <w:gridSpan w:val="3"/>
          </w:tcPr>
          <w:p>
            <w:pPr>
              <w:ind w:left="40"/>
              <w:spacing w:after="0" w:line="105" w:lineRule="exact"/>
              <w:rPr>
                <w:sz w:val="20"/>
                <w:szCs w:val="20"/>
                <w:color w:val="auto"/>
              </w:rPr>
            </w:pPr>
            <w:r>
              <w:rPr>
                <w:rFonts w:ascii="Times New Roman" w:cs="Times New Roman" w:eastAsia="Times New Roman" w:hAnsi="Times New Roman"/>
                <w:sz w:val="10"/>
                <w:szCs w:val="10"/>
                <w:color w:val="auto"/>
              </w:rPr>
              <w:t>Subordinated Debt</w:t>
            </w:r>
          </w:p>
        </w:tc>
        <w:tc>
          <w:tcPr>
            <w:tcW w:w="900" w:type="dxa"/>
            <w:vAlign w:val="bottom"/>
          </w:tcPr>
          <w:p>
            <w:pPr>
              <w:spacing w:after="0"/>
              <w:rPr>
                <w:sz w:val="9"/>
                <w:szCs w:val="9"/>
                <w:color w:val="auto"/>
              </w:rPr>
            </w:pPr>
          </w:p>
        </w:tc>
      </w:tr>
      <w:tr>
        <w:trPr>
          <w:trHeight w:val="105"/>
        </w:trPr>
        <w:tc>
          <w:tcPr>
            <w:tcW w:w="1240" w:type="dxa"/>
            <w:vAlign w:val="bottom"/>
            <w:gridSpan w:val="2"/>
          </w:tcPr>
          <w:p>
            <w:pPr>
              <w:ind w:left="100"/>
              <w:spacing w:after="0" w:line="105" w:lineRule="exact"/>
              <w:rPr>
                <w:sz w:val="20"/>
                <w:szCs w:val="20"/>
                <w:color w:val="auto"/>
              </w:rPr>
            </w:pPr>
            <w:r>
              <w:rPr>
                <w:rFonts w:ascii="Times New Roman" w:cs="Times New Roman" w:eastAsia="Times New Roman" w:hAnsi="Times New Roman"/>
                <w:sz w:val="10"/>
                <w:szCs w:val="10"/>
                <w:color w:val="auto"/>
              </w:rPr>
              <w:t>Odessa, FL 33556</w:t>
            </w:r>
          </w:p>
        </w:tc>
        <w:tc>
          <w:tcPr>
            <w:tcW w:w="1040" w:type="dxa"/>
            <w:vAlign w:val="bottom"/>
            <w:gridSpan w:val="3"/>
          </w:tcPr>
          <w:p>
            <w:pPr>
              <w:ind w:left="40"/>
              <w:spacing w:after="0" w:line="105" w:lineRule="exact"/>
              <w:rPr>
                <w:sz w:val="20"/>
                <w:szCs w:val="20"/>
                <w:color w:val="auto"/>
              </w:rPr>
            </w:pPr>
            <w:r>
              <w:rPr>
                <w:rFonts w:ascii="Times New Roman" w:cs="Times New Roman" w:eastAsia="Times New Roman" w:hAnsi="Times New Roman"/>
                <w:sz w:val="10"/>
                <w:szCs w:val="10"/>
                <w:color w:val="auto"/>
              </w:rPr>
              <w:t>Subordinated Debt</w:t>
            </w:r>
          </w:p>
        </w:tc>
        <w:tc>
          <w:tcPr>
            <w:tcW w:w="900" w:type="dxa"/>
            <w:vAlign w:val="bottom"/>
          </w:tcPr>
          <w:p>
            <w:pPr>
              <w:spacing w:after="0"/>
              <w:rPr>
                <w:sz w:val="9"/>
                <w:szCs w:val="9"/>
                <w:color w:val="auto"/>
              </w:rPr>
            </w:pPr>
          </w:p>
        </w:tc>
      </w:tr>
      <w:tr>
        <w:trPr>
          <w:trHeight w:val="105"/>
        </w:trPr>
        <w:tc>
          <w:tcPr>
            <w:tcW w:w="1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gridSpan w:val="3"/>
          </w:tcPr>
          <w:p>
            <w:pPr>
              <w:ind w:left="40"/>
              <w:spacing w:after="0" w:line="105" w:lineRule="exact"/>
              <w:rPr>
                <w:sz w:val="20"/>
                <w:szCs w:val="20"/>
                <w:color w:val="auto"/>
              </w:rPr>
            </w:pPr>
            <w:r>
              <w:rPr>
                <w:rFonts w:ascii="Times New Roman" w:cs="Times New Roman" w:eastAsia="Times New Roman" w:hAnsi="Times New Roman"/>
                <w:sz w:val="10"/>
                <w:szCs w:val="10"/>
                <w:color w:val="auto"/>
              </w:rPr>
              <w:t>Common Equity (253</w:t>
            </w:r>
          </w:p>
        </w:tc>
        <w:tc>
          <w:tcPr>
            <w:tcW w:w="900" w:type="dxa"/>
            <w:vAlign w:val="bottom"/>
          </w:tcPr>
          <w:p>
            <w:pPr>
              <w:spacing w:after="0"/>
              <w:rPr>
                <w:sz w:val="9"/>
                <w:szCs w:val="9"/>
                <w:color w:val="auto"/>
              </w:rPr>
            </w:pPr>
          </w:p>
        </w:tc>
      </w:tr>
      <w:tr>
        <w:trPr>
          <w:trHeight w:val="125"/>
        </w:trPr>
        <w:tc>
          <w:tcPr>
            <w:tcW w:w="1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gridSpan w:val="3"/>
          </w:tcPr>
          <w:p>
            <w:pPr>
              <w:ind w:left="40"/>
              <w:spacing w:after="0"/>
              <w:rPr>
                <w:sz w:val="20"/>
                <w:szCs w:val="20"/>
                <w:color w:val="auto"/>
              </w:rPr>
            </w:pPr>
            <w:r>
              <w:rPr>
                <w:rFonts w:ascii="Times New Roman" w:cs="Times New Roman" w:eastAsia="Times New Roman" w:hAnsi="Times New Roman"/>
                <w:sz w:val="10"/>
                <w:szCs w:val="10"/>
                <w:color w:val="auto"/>
              </w:rPr>
              <w:t>units)</w:t>
            </w:r>
          </w:p>
        </w:tc>
        <w:tc>
          <w:tcPr>
            <w:tcW w:w="900" w:type="dxa"/>
            <w:vAlign w:val="bottom"/>
          </w:tcPr>
          <w:p>
            <w:pPr>
              <w:spacing w:after="0"/>
              <w:rPr>
                <w:sz w:val="10"/>
                <w:szCs w:val="10"/>
                <w:color w:val="auto"/>
              </w:rPr>
            </w:pPr>
          </w:p>
        </w:tc>
      </w:tr>
      <w:tr>
        <w:trPr>
          <w:trHeight w:val="208"/>
        </w:trPr>
        <w:tc>
          <w:tcPr>
            <w:tcW w:w="1240" w:type="dxa"/>
            <w:vAlign w:val="bottom"/>
            <w:gridSpan w:val="2"/>
          </w:tcPr>
          <w:p>
            <w:pPr>
              <w:spacing w:after="0"/>
              <w:rPr>
                <w:sz w:val="20"/>
                <w:szCs w:val="20"/>
                <w:color w:val="auto"/>
              </w:rPr>
            </w:pPr>
            <w:r>
              <w:rPr>
                <w:rFonts w:ascii="Times New Roman" w:cs="Times New Roman" w:eastAsia="Times New Roman" w:hAnsi="Times New Roman"/>
                <w:sz w:val="10"/>
                <w:szCs w:val="10"/>
                <w:i w:val="1"/>
                <w:iCs w:val="1"/>
                <w:color w:val="auto"/>
              </w:rPr>
              <w:t>Axis Medical Technologies</w:t>
            </w:r>
          </w:p>
        </w:tc>
        <w:tc>
          <w:tcPr>
            <w:tcW w:w="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0"/>
                <w:szCs w:val="10"/>
                <w:color w:val="auto"/>
              </w:rPr>
              <w:t>Information</w:t>
            </w:r>
          </w:p>
        </w:tc>
      </w:tr>
      <w:tr>
        <w:trPr>
          <w:trHeight w:val="107"/>
        </w:trPr>
        <w:tc>
          <w:tcPr>
            <w:tcW w:w="1240" w:type="dxa"/>
            <w:vAlign w:val="bottom"/>
            <w:gridSpan w:val="2"/>
          </w:tcPr>
          <w:p>
            <w:pPr>
              <w:spacing w:after="0" w:line="107" w:lineRule="exact"/>
              <w:rPr>
                <w:sz w:val="20"/>
                <w:szCs w:val="20"/>
                <w:color w:val="auto"/>
              </w:rPr>
            </w:pPr>
            <w:r>
              <w:rPr>
                <w:rFonts w:ascii="Times New Roman" w:cs="Times New Roman" w:eastAsia="Times New Roman" w:hAnsi="Times New Roman"/>
                <w:sz w:val="10"/>
                <w:szCs w:val="10"/>
                <w:i w:val="1"/>
                <w:iCs w:val="1"/>
                <w:color w:val="auto"/>
              </w:rPr>
              <w:t>LLC (dba MoveMedical)</w:t>
            </w:r>
          </w:p>
        </w:tc>
        <w:tc>
          <w:tcPr>
            <w:tcW w:w="40" w:type="dxa"/>
            <w:vAlign w:val="bottom"/>
          </w:tcPr>
          <w:p>
            <w:pPr>
              <w:spacing w:after="0"/>
              <w:rPr>
                <w:sz w:val="9"/>
                <w:szCs w:val="9"/>
                <w:color w:val="auto"/>
              </w:rPr>
            </w:pPr>
          </w:p>
        </w:tc>
        <w:tc>
          <w:tcPr>
            <w:tcW w:w="940" w:type="dxa"/>
            <w:vAlign w:val="bottom"/>
          </w:tcPr>
          <w:p>
            <w:pPr>
              <w:spacing w:after="0"/>
              <w:rPr>
                <w:sz w:val="9"/>
                <w:szCs w:val="9"/>
                <w:color w:val="auto"/>
              </w:rPr>
            </w:pPr>
          </w:p>
        </w:tc>
        <w:tc>
          <w:tcPr>
            <w:tcW w:w="60" w:type="dxa"/>
            <w:vAlign w:val="bottom"/>
          </w:tcPr>
          <w:p>
            <w:pPr>
              <w:spacing w:after="0"/>
              <w:rPr>
                <w:sz w:val="9"/>
                <w:szCs w:val="9"/>
                <w:color w:val="auto"/>
              </w:rPr>
            </w:pPr>
          </w:p>
        </w:tc>
        <w:tc>
          <w:tcPr>
            <w:tcW w:w="900" w:type="dxa"/>
            <w:vAlign w:val="bottom"/>
          </w:tcPr>
          <w:p>
            <w:pPr>
              <w:spacing w:after="0" w:line="107" w:lineRule="exact"/>
              <w:rPr>
                <w:sz w:val="20"/>
                <w:szCs w:val="20"/>
                <w:color w:val="auto"/>
              </w:rPr>
            </w:pPr>
            <w:r>
              <w:rPr>
                <w:rFonts w:ascii="Times New Roman" w:cs="Times New Roman" w:eastAsia="Times New Roman" w:hAnsi="Times New Roman"/>
                <w:sz w:val="10"/>
                <w:szCs w:val="10"/>
                <w:color w:val="auto"/>
              </w:rPr>
              <w:t>Technology Services</w:t>
            </w:r>
          </w:p>
        </w:tc>
      </w:tr>
      <w:tr>
        <w:trPr>
          <w:trHeight w:val="105"/>
        </w:trPr>
        <w:tc>
          <w:tcPr>
            <w:tcW w:w="1240" w:type="dxa"/>
            <w:vAlign w:val="bottom"/>
            <w:gridSpan w:val="2"/>
          </w:tcPr>
          <w:p>
            <w:pPr>
              <w:ind w:left="100"/>
              <w:spacing w:after="0" w:line="105" w:lineRule="exact"/>
              <w:rPr>
                <w:sz w:val="20"/>
                <w:szCs w:val="20"/>
                <w:color w:val="auto"/>
              </w:rPr>
            </w:pPr>
            <w:r>
              <w:rPr>
                <w:rFonts w:ascii="Times New Roman" w:cs="Times New Roman" w:eastAsia="Times New Roman" w:hAnsi="Times New Roman"/>
                <w:sz w:val="10"/>
                <w:szCs w:val="10"/>
                <w:color w:val="auto"/>
                <w:w w:val="98"/>
              </w:rPr>
              <w:t>4660 La Jolla Village Drive,</w:t>
            </w:r>
          </w:p>
        </w:tc>
        <w:tc>
          <w:tcPr>
            <w:tcW w:w="40" w:type="dxa"/>
            <w:vAlign w:val="bottom"/>
          </w:tcPr>
          <w:p>
            <w:pPr>
              <w:spacing w:after="0"/>
              <w:rPr>
                <w:sz w:val="9"/>
                <w:szCs w:val="9"/>
                <w:color w:val="auto"/>
              </w:rPr>
            </w:pPr>
          </w:p>
        </w:tc>
        <w:tc>
          <w:tcPr>
            <w:tcW w:w="940" w:type="dxa"/>
            <w:vAlign w:val="bottom"/>
          </w:tcPr>
          <w:p>
            <w:pPr>
              <w:spacing w:after="0"/>
              <w:rPr>
                <w:sz w:val="9"/>
                <w:szCs w:val="9"/>
                <w:color w:val="auto"/>
              </w:rPr>
            </w:pPr>
          </w:p>
        </w:tc>
        <w:tc>
          <w:tcPr>
            <w:tcW w:w="60" w:type="dxa"/>
            <w:vAlign w:val="bottom"/>
          </w:tcPr>
          <w:p>
            <w:pPr>
              <w:spacing w:after="0"/>
              <w:rPr>
                <w:sz w:val="9"/>
                <w:szCs w:val="9"/>
                <w:color w:val="auto"/>
              </w:rPr>
            </w:pPr>
          </w:p>
        </w:tc>
        <w:tc>
          <w:tcPr>
            <w:tcW w:w="900" w:type="dxa"/>
            <w:vAlign w:val="bottom"/>
          </w:tcPr>
          <w:p>
            <w:pPr>
              <w:spacing w:after="0"/>
              <w:rPr>
                <w:sz w:val="9"/>
                <w:szCs w:val="9"/>
                <w:color w:val="auto"/>
              </w:rPr>
            </w:pPr>
          </w:p>
        </w:tc>
      </w:tr>
      <w:tr>
        <w:trPr>
          <w:trHeight w:val="105"/>
        </w:trPr>
        <w:tc>
          <w:tcPr>
            <w:tcW w:w="1240" w:type="dxa"/>
            <w:vAlign w:val="bottom"/>
            <w:gridSpan w:val="2"/>
          </w:tcPr>
          <w:p>
            <w:pPr>
              <w:ind w:left="100"/>
              <w:spacing w:after="0" w:line="105" w:lineRule="exact"/>
              <w:rPr>
                <w:sz w:val="20"/>
                <w:szCs w:val="20"/>
                <w:color w:val="auto"/>
              </w:rPr>
            </w:pPr>
            <w:r>
              <w:rPr>
                <w:rFonts w:ascii="Times New Roman" w:cs="Times New Roman" w:eastAsia="Times New Roman" w:hAnsi="Times New Roman"/>
                <w:sz w:val="10"/>
                <w:szCs w:val="10"/>
                <w:color w:val="auto"/>
              </w:rPr>
              <w:t>Suite 100</w:t>
            </w:r>
          </w:p>
        </w:tc>
        <w:tc>
          <w:tcPr>
            <w:tcW w:w="1040" w:type="dxa"/>
            <w:vAlign w:val="bottom"/>
            <w:gridSpan w:val="3"/>
          </w:tcPr>
          <w:p>
            <w:pPr>
              <w:ind w:left="40"/>
              <w:spacing w:after="0" w:line="105" w:lineRule="exact"/>
              <w:rPr>
                <w:sz w:val="20"/>
                <w:szCs w:val="20"/>
                <w:color w:val="auto"/>
              </w:rPr>
            </w:pPr>
            <w:r>
              <w:rPr>
                <w:rFonts w:ascii="Times New Roman" w:cs="Times New Roman" w:eastAsia="Times New Roman" w:hAnsi="Times New Roman"/>
                <w:sz w:val="10"/>
                <w:szCs w:val="10"/>
                <w:color w:val="auto"/>
              </w:rPr>
              <w:t>First Lien Debt</w:t>
            </w:r>
          </w:p>
        </w:tc>
        <w:tc>
          <w:tcPr>
            <w:tcW w:w="900" w:type="dxa"/>
            <w:vAlign w:val="bottom"/>
          </w:tcPr>
          <w:p>
            <w:pPr>
              <w:spacing w:after="0"/>
              <w:rPr>
                <w:sz w:val="9"/>
                <w:szCs w:val="9"/>
                <w:color w:val="auto"/>
              </w:rPr>
            </w:pPr>
          </w:p>
        </w:tc>
      </w:tr>
      <w:tr>
        <w:trPr>
          <w:trHeight w:val="105"/>
        </w:trPr>
        <w:tc>
          <w:tcPr>
            <w:tcW w:w="1240" w:type="dxa"/>
            <w:vAlign w:val="bottom"/>
            <w:gridSpan w:val="2"/>
          </w:tcPr>
          <w:p>
            <w:pPr>
              <w:ind w:left="100"/>
              <w:spacing w:after="0" w:line="105" w:lineRule="exact"/>
              <w:rPr>
                <w:sz w:val="20"/>
                <w:szCs w:val="20"/>
                <w:color w:val="auto"/>
              </w:rPr>
            </w:pPr>
            <w:r>
              <w:rPr>
                <w:rFonts w:ascii="Times New Roman" w:cs="Times New Roman" w:eastAsia="Times New Roman" w:hAnsi="Times New Roman"/>
                <w:sz w:val="10"/>
                <w:szCs w:val="10"/>
                <w:color w:val="auto"/>
              </w:rPr>
              <w:t>San Diego, CA 92122</w:t>
            </w:r>
          </w:p>
        </w:tc>
        <w:tc>
          <w:tcPr>
            <w:tcW w:w="1040" w:type="dxa"/>
            <w:vAlign w:val="bottom"/>
            <w:gridSpan w:val="3"/>
          </w:tcPr>
          <w:p>
            <w:pPr>
              <w:ind w:left="40"/>
              <w:spacing w:after="0" w:line="105" w:lineRule="exact"/>
              <w:rPr>
                <w:sz w:val="20"/>
                <w:szCs w:val="20"/>
                <w:color w:val="auto"/>
              </w:rPr>
            </w:pPr>
            <w:r>
              <w:rPr>
                <w:rFonts w:ascii="Times New Roman" w:cs="Times New Roman" w:eastAsia="Times New Roman" w:hAnsi="Times New Roman"/>
                <w:sz w:val="10"/>
                <w:szCs w:val="10"/>
                <w:color w:val="auto"/>
              </w:rPr>
              <w:t>Revolving Loan ($800</w:t>
            </w:r>
          </w:p>
        </w:tc>
        <w:tc>
          <w:tcPr>
            <w:tcW w:w="900" w:type="dxa"/>
            <w:vAlign w:val="bottom"/>
          </w:tcPr>
          <w:p>
            <w:pPr>
              <w:spacing w:after="0"/>
              <w:rPr>
                <w:sz w:val="9"/>
                <w:szCs w:val="9"/>
                <w:color w:val="auto"/>
              </w:rPr>
            </w:pPr>
          </w:p>
        </w:tc>
      </w:tr>
      <w:tr>
        <w:trPr>
          <w:trHeight w:val="105"/>
        </w:trPr>
        <w:tc>
          <w:tcPr>
            <w:tcW w:w="1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gridSpan w:val="3"/>
          </w:tcPr>
          <w:p>
            <w:pPr>
              <w:ind w:left="40"/>
              <w:spacing w:after="0" w:line="105" w:lineRule="exact"/>
              <w:rPr>
                <w:sz w:val="20"/>
                <w:szCs w:val="20"/>
                <w:color w:val="auto"/>
              </w:rPr>
            </w:pPr>
            <w:r>
              <w:rPr>
                <w:rFonts w:ascii="Times New Roman" w:cs="Times New Roman" w:eastAsia="Times New Roman" w:hAnsi="Times New Roman"/>
                <w:sz w:val="10"/>
                <w:szCs w:val="10"/>
                <w:color w:val="auto"/>
              </w:rPr>
              <w:t>unfunded commitment)</w:t>
            </w:r>
          </w:p>
        </w:tc>
        <w:tc>
          <w:tcPr>
            <w:tcW w:w="900" w:type="dxa"/>
            <w:vAlign w:val="bottom"/>
          </w:tcPr>
          <w:p>
            <w:pPr>
              <w:spacing w:after="0"/>
              <w:rPr>
                <w:sz w:val="9"/>
                <w:szCs w:val="9"/>
                <w:color w:val="auto"/>
              </w:rPr>
            </w:pPr>
          </w:p>
        </w:tc>
      </w:tr>
      <w:tr>
        <w:trPr>
          <w:trHeight w:val="105"/>
        </w:trPr>
        <w:tc>
          <w:tcPr>
            <w:tcW w:w="1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gridSpan w:val="3"/>
          </w:tcPr>
          <w:p>
            <w:pPr>
              <w:ind w:left="40"/>
              <w:spacing w:after="0" w:line="105" w:lineRule="exact"/>
              <w:rPr>
                <w:sz w:val="20"/>
                <w:szCs w:val="20"/>
                <w:color w:val="auto"/>
              </w:rPr>
            </w:pPr>
            <w:r>
              <w:rPr>
                <w:rFonts w:ascii="Times New Roman" w:cs="Times New Roman" w:eastAsia="Times New Roman" w:hAnsi="Times New Roman"/>
                <w:sz w:val="10"/>
                <w:szCs w:val="10"/>
                <w:color w:val="auto"/>
              </w:rPr>
              <w:t>(x)</w:t>
            </w:r>
          </w:p>
        </w:tc>
        <w:tc>
          <w:tcPr>
            <w:tcW w:w="900" w:type="dxa"/>
            <w:vAlign w:val="bottom"/>
          </w:tcPr>
          <w:p>
            <w:pPr>
              <w:spacing w:after="0"/>
              <w:rPr>
                <w:sz w:val="9"/>
                <w:szCs w:val="9"/>
                <w:color w:val="auto"/>
              </w:rPr>
            </w:pPr>
          </w:p>
        </w:tc>
      </w:tr>
      <w:tr>
        <w:trPr>
          <w:trHeight w:val="105"/>
        </w:trPr>
        <w:tc>
          <w:tcPr>
            <w:tcW w:w="1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gridSpan w:val="3"/>
          </w:tcPr>
          <w:p>
            <w:pPr>
              <w:ind w:left="40"/>
              <w:spacing w:after="0" w:line="105" w:lineRule="exact"/>
              <w:rPr>
                <w:sz w:val="20"/>
                <w:szCs w:val="20"/>
                <w:color w:val="auto"/>
              </w:rPr>
            </w:pPr>
            <w:r>
              <w:rPr>
                <w:rFonts w:ascii="Times New Roman" w:cs="Times New Roman" w:eastAsia="Times New Roman" w:hAnsi="Times New Roman"/>
                <w:sz w:val="10"/>
                <w:szCs w:val="10"/>
                <w:color w:val="auto"/>
              </w:rPr>
              <w:t>Preferred Equity</w:t>
            </w:r>
          </w:p>
        </w:tc>
        <w:tc>
          <w:tcPr>
            <w:tcW w:w="900" w:type="dxa"/>
            <w:vAlign w:val="bottom"/>
          </w:tcPr>
          <w:p>
            <w:pPr>
              <w:spacing w:after="0"/>
              <w:rPr>
                <w:sz w:val="9"/>
                <w:szCs w:val="9"/>
                <w:color w:val="auto"/>
              </w:rPr>
            </w:pPr>
          </w:p>
        </w:tc>
      </w:tr>
      <w:tr>
        <w:trPr>
          <w:trHeight w:val="125"/>
        </w:trPr>
        <w:tc>
          <w:tcPr>
            <w:tcW w:w="1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gridSpan w:val="3"/>
          </w:tcPr>
          <w:p>
            <w:pPr>
              <w:ind w:left="40"/>
              <w:spacing w:after="0"/>
              <w:rPr>
                <w:sz w:val="20"/>
                <w:szCs w:val="20"/>
                <w:color w:val="auto"/>
              </w:rPr>
            </w:pPr>
            <w:r>
              <w:rPr>
                <w:rFonts w:ascii="Times New Roman" w:cs="Times New Roman" w:eastAsia="Times New Roman" w:hAnsi="Times New Roman"/>
                <w:sz w:val="10"/>
                <w:szCs w:val="10"/>
                <w:color w:val="auto"/>
              </w:rPr>
              <w:t>(1,200,000 units)</w:t>
            </w:r>
          </w:p>
        </w:tc>
        <w:tc>
          <w:tcPr>
            <w:tcW w:w="900" w:type="dxa"/>
            <w:vAlign w:val="bottom"/>
          </w:tcPr>
          <w:p>
            <w:pPr>
              <w:spacing w:after="0"/>
              <w:rPr>
                <w:sz w:val="10"/>
                <w:szCs w:val="10"/>
                <w:color w:val="auto"/>
              </w:rPr>
            </w:pPr>
          </w:p>
        </w:tc>
      </w:tr>
      <w:tr>
        <w:trPr>
          <w:trHeight w:val="208"/>
        </w:trPr>
        <w:tc>
          <w:tcPr>
            <w:tcW w:w="1240" w:type="dxa"/>
            <w:vAlign w:val="bottom"/>
            <w:gridSpan w:val="2"/>
          </w:tcPr>
          <w:p>
            <w:pPr>
              <w:spacing w:after="0"/>
              <w:rPr>
                <w:sz w:val="20"/>
                <w:szCs w:val="20"/>
                <w:color w:val="auto"/>
              </w:rPr>
            </w:pPr>
            <w:r>
              <w:rPr>
                <w:rFonts w:ascii="Times New Roman" w:cs="Times New Roman" w:eastAsia="Times New Roman" w:hAnsi="Times New Roman"/>
                <w:sz w:val="10"/>
                <w:szCs w:val="10"/>
                <w:i w:val="1"/>
                <w:iCs w:val="1"/>
                <w:color w:val="auto"/>
              </w:rPr>
              <w:t>Bad Boy Mowers JV</w:t>
            </w:r>
          </w:p>
        </w:tc>
        <w:tc>
          <w:tcPr>
            <w:tcW w:w="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107"/>
        </w:trPr>
        <w:tc>
          <w:tcPr>
            <w:tcW w:w="1240" w:type="dxa"/>
            <w:vAlign w:val="bottom"/>
            <w:gridSpan w:val="2"/>
          </w:tcPr>
          <w:p>
            <w:pPr>
              <w:spacing w:after="0" w:line="107" w:lineRule="exact"/>
              <w:rPr>
                <w:sz w:val="20"/>
                <w:szCs w:val="20"/>
                <w:color w:val="auto"/>
              </w:rPr>
            </w:pPr>
            <w:r>
              <w:rPr>
                <w:rFonts w:ascii="Times New Roman" w:cs="Times New Roman" w:eastAsia="Times New Roman" w:hAnsi="Times New Roman"/>
                <w:sz w:val="10"/>
                <w:szCs w:val="10"/>
                <w:i w:val="1"/>
                <w:iCs w:val="1"/>
                <w:color w:val="auto"/>
              </w:rPr>
              <w:t>Acquisition, LLC</w:t>
            </w:r>
          </w:p>
        </w:tc>
        <w:tc>
          <w:tcPr>
            <w:tcW w:w="40" w:type="dxa"/>
            <w:vAlign w:val="bottom"/>
          </w:tcPr>
          <w:p>
            <w:pPr>
              <w:spacing w:after="0"/>
              <w:rPr>
                <w:sz w:val="9"/>
                <w:szCs w:val="9"/>
                <w:color w:val="auto"/>
              </w:rPr>
            </w:pPr>
          </w:p>
        </w:tc>
        <w:tc>
          <w:tcPr>
            <w:tcW w:w="940" w:type="dxa"/>
            <w:vAlign w:val="bottom"/>
          </w:tcPr>
          <w:p>
            <w:pPr>
              <w:spacing w:after="0"/>
              <w:rPr>
                <w:sz w:val="9"/>
                <w:szCs w:val="9"/>
                <w:color w:val="auto"/>
              </w:rPr>
            </w:pPr>
          </w:p>
        </w:tc>
        <w:tc>
          <w:tcPr>
            <w:tcW w:w="60" w:type="dxa"/>
            <w:vAlign w:val="bottom"/>
          </w:tcPr>
          <w:p>
            <w:pPr>
              <w:spacing w:after="0"/>
              <w:rPr>
                <w:sz w:val="9"/>
                <w:szCs w:val="9"/>
                <w:color w:val="auto"/>
              </w:rPr>
            </w:pPr>
          </w:p>
        </w:tc>
        <w:tc>
          <w:tcPr>
            <w:tcW w:w="900" w:type="dxa"/>
            <w:vAlign w:val="bottom"/>
          </w:tcPr>
          <w:p>
            <w:pPr>
              <w:spacing w:after="0" w:line="107" w:lineRule="exact"/>
              <w:rPr>
                <w:sz w:val="20"/>
                <w:szCs w:val="20"/>
                <w:color w:val="auto"/>
              </w:rPr>
            </w:pPr>
            <w:r>
              <w:rPr>
                <w:rFonts w:ascii="Times New Roman" w:cs="Times New Roman" w:eastAsia="Times New Roman" w:hAnsi="Times New Roman"/>
                <w:sz w:val="10"/>
                <w:szCs w:val="10"/>
                <w:color w:val="auto"/>
              </w:rPr>
              <w:t>Consumer Products</w:t>
            </w:r>
          </w:p>
        </w:tc>
      </w:tr>
      <w:tr>
        <w:trPr>
          <w:trHeight w:val="105"/>
        </w:trPr>
        <w:tc>
          <w:tcPr>
            <w:tcW w:w="1240" w:type="dxa"/>
            <w:vAlign w:val="bottom"/>
            <w:gridSpan w:val="2"/>
          </w:tcPr>
          <w:p>
            <w:pPr>
              <w:ind w:left="100"/>
              <w:spacing w:after="0" w:line="105" w:lineRule="exact"/>
              <w:rPr>
                <w:sz w:val="20"/>
                <w:szCs w:val="20"/>
                <w:color w:val="auto"/>
              </w:rPr>
            </w:pPr>
            <w:r>
              <w:rPr>
                <w:rFonts w:ascii="Times New Roman" w:cs="Times New Roman" w:eastAsia="Times New Roman" w:hAnsi="Times New Roman"/>
                <w:sz w:val="10"/>
                <w:szCs w:val="10"/>
                <w:color w:val="auto"/>
              </w:rPr>
              <w:t>102 Industrial Drive</w:t>
            </w:r>
          </w:p>
        </w:tc>
        <w:tc>
          <w:tcPr>
            <w:tcW w:w="1040" w:type="dxa"/>
            <w:vAlign w:val="bottom"/>
            <w:gridSpan w:val="3"/>
          </w:tcPr>
          <w:p>
            <w:pPr>
              <w:ind w:left="40"/>
              <w:spacing w:after="0" w:line="105" w:lineRule="exact"/>
              <w:rPr>
                <w:sz w:val="20"/>
                <w:szCs w:val="20"/>
                <w:color w:val="auto"/>
              </w:rPr>
            </w:pPr>
            <w:r>
              <w:rPr>
                <w:rFonts w:ascii="Times New Roman" w:cs="Times New Roman" w:eastAsia="Times New Roman" w:hAnsi="Times New Roman"/>
                <w:sz w:val="10"/>
                <w:szCs w:val="10"/>
                <w:color w:val="auto"/>
              </w:rPr>
              <w:t>First Lien Debt</w:t>
            </w:r>
          </w:p>
        </w:tc>
        <w:tc>
          <w:tcPr>
            <w:tcW w:w="900" w:type="dxa"/>
            <w:vAlign w:val="bottom"/>
          </w:tcPr>
          <w:p>
            <w:pPr>
              <w:spacing w:after="0"/>
              <w:rPr>
                <w:sz w:val="9"/>
                <w:szCs w:val="9"/>
                <w:color w:val="auto"/>
              </w:rPr>
            </w:pPr>
          </w:p>
        </w:tc>
      </w:tr>
      <w:tr>
        <w:trPr>
          <w:trHeight w:val="105"/>
        </w:trPr>
        <w:tc>
          <w:tcPr>
            <w:tcW w:w="1240" w:type="dxa"/>
            <w:vAlign w:val="bottom"/>
            <w:gridSpan w:val="2"/>
          </w:tcPr>
          <w:p>
            <w:pPr>
              <w:ind w:left="100"/>
              <w:spacing w:after="0" w:line="105" w:lineRule="exact"/>
              <w:rPr>
                <w:sz w:val="20"/>
                <w:szCs w:val="20"/>
                <w:color w:val="auto"/>
              </w:rPr>
            </w:pPr>
            <w:r>
              <w:rPr>
                <w:rFonts w:ascii="Times New Roman" w:cs="Times New Roman" w:eastAsia="Times New Roman" w:hAnsi="Times New Roman"/>
                <w:sz w:val="10"/>
                <w:szCs w:val="10"/>
                <w:color w:val="auto"/>
              </w:rPr>
              <w:t>Batesville, AR 72501</w:t>
            </w:r>
          </w:p>
        </w:tc>
        <w:tc>
          <w:tcPr>
            <w:tcW w:w="1040" w:type="dxa"/>
            <w:vAlign w:val="bottom"/>
            <w:gridSpan w:val="3"/>
          </w:tcPr>
          <w:p>
            <w:pPr>
              <w:ind w:left="40"/>
              <w:spacing w:after="0" w:line="105" w:lineRule="exact"/>
              <w:rPr>
                <w:sz w:val="20"/>
                <w:szCs w:val="20"/>
                <w:color w:val="auto"/>
              </w:rPr>
            </w:pPr>
            <w:r>
              <w:rPr>
                <w:rFonts w:ascii="Times New Roman" w:cs="Times New Roman" w:eastAsia="Times New Roman" w:hAnsi="Times New Roman"/>
                <w:sz w:val="10"/>
                <w:szCs w:val="10"/>
                <w:color w:val="auto"/>
              </w:rPr>
              <w:t>Preferred Equity</w:t>
            </w:r>
          </w:p>
        </w:tc>
        <w:tc>
          <w:tcPr>
            <w:tcW w:w="900" w:type="dxa"/>
            <w:vAlign w:val="bottom"/>
          </w:tcPr>
          <w:p>
            <w:pPr>
              <w:spacing w:after="0"/>
              <w:rPr>
                <w:sz w:val="9"/>
                <w:szCs w:val="9"/>
                <w:color w:val="auto"/>
              </w:rPr>
            </w:pPr>
          </w:p>
        </w:tc>
      </w:tr>
      <w:tr>
        <w:trPr>
          <w:trHeight w:val="125"/>
        </w:trPr>
        <w:tc>
          <w:tcPr>
            <w:tcW w:w="1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gridSpan w:val="3"/>
          </w:tcPr>
          <w:p>
            <w:pPr>
              <w:ind w:left="40"/>
              <w:spacing w:after="0"/>
              <w:rPr>
                <w:sz w:val="20"/>
                <w:szCs w:val="20"/>
                <w:color w:val="auto"/>
              </w:rPr>
            </w:pPr>
            <w:r>
              <w:rPr>
                <w:rFonts w:ascii="Times New Roman" w:cs="Times New Roman" w:eastAsia="Times New Roman" w:hAnsi="Times New Roman"/>
                <w:sz w:val="10"/>
                <w:szCs w:val="10"/>
                <w:color w:val="auto"/>
              </w:rPr>
              <w:t>(13,000 units)</w:t>
            </w:r>
          </w:p>
        </w:tc>
        <w:tc>
          <w:tcPr>
            <w:tcW w:w="900" w:type="dxa"/>
            <w:vAlign w:val="bottom"/>
          </w:tcPr>
          <w:p>
            <w:pPr>
              <w:spacing w:after="0"/>
              <w:rPr>
                <w:sz w:val="10"/>
                <w:szCs w:val="10"/>
                <w:color w:val="auto"/>
              </w:rPr>
            </w:pPr>
          </w:p>
        </w:tc>
      </w:tr>
      <w:tr>
        <w:trPr>
          <w:trHeight w:val="208"/>
        </w:trPr>
        <w:tc>
          <w:tcPr>
            <w:tcW w:w="1240" w:type="dxa"/>
            <w:vAlign w:val="bottom"/>
            <w:gridSpan w:val="2"/>
          </w:tcPr>
          <w:p>
            <w:pPr>
              <w:spacing w:after="0"/>
              <w:rPr>
                <w:sz w:val="20"/>
                <w:szCs w:val="20"/>
                <w:color w:val="auto"/>
              </w:rPr>
            </w:pPr>
            <w:r>
              <w:rPr>
                <w:rFonts w:ascii="Times New Roman" w:cs="Times New Roman" w:eastAsia="Times New Roman" w:hAnsi="Times New Roman"/>
                <w:sz w:val="10"/>
                <w:szCs w:val="10"/>
                <w:i w:val="1"/>
                <w:iCs w:val="1"/>
                <w:color w:val="auto"/>
              </w:rPr>
              <w:t>Barefoot Mosquito and Pest</w:t>
            </w:r>
          </w:p>
        </w:tc>
        <w:tc>
          <w:tcPr>
            <w:tcW w:w="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107"/>
        </w:trPr>
        <w:tc>
          <w:tcPr>
            <w:tcW w:w="1240" w:type="dxa"/>
            <w:vAlign w:val="bottom"/>
            <w:gridSpan w:val="2"/>
          </w:tcPr>
          <w:p>
            <w:pPr>
              <w:spacing w:after="0" w:line="107" w:lineRule="exact"/>
              <w:rPr>
                <w:sz w:val="20"/>
                <w:szCs w:val="20"/>
                <w:color w:val="auto"/>
              </w:rPr>
            </w:pPr>
            <w:r>
              <w:rPr>
                <w:rFonts w:ascii="Times New Roman" w:cs="Times New Roman" w:eastAsia="Times New Roman" w:hAnsi="Times New Roman"/>
                <w:sz w:val="10"/>
                <w:szCs w:val="10"/>
                <w:i w:val="1"/>
                <w:iCs w:val="1"/>
                <w:color w:val="auto"/>
              </w:rPr>
              <w:t>Control, LLC</w:t>
            </w:r>
          </w:p>
        </w:tc>
        <w:tc>
          <w:tcPr>
            <w:tcW w:w="40" w:type="dxa"/>
            <w:vAlign w:val="bottom"/>
          </w:tcPr>
          <w:p>
            <w:pPr>
              <w:spacing w:after="0"/>
              <w:rPr>
                <w:sz w:val="9"/>
                <w:szCs w:val="9"/>
                <w:color w:val="auto"/>
              </w:rPr>
            </w:pPr>
          </w:p>
        </w:tc>
        <w:tc>
          <w:tcPr>
            <w:tcW w:w="940" w:type="dxa"/>
            <w:vAlign w:val="bottom"/>
          </w:tcPr>
          <w:p>
            <w:pPr>
              <w:spacing w:after="0"/>
              <w:rPr>
                <w:sz w:val="9"/>
                <w:szCs w:val="9"/>
                <w:color w:val="auto"/>
              </w:rPr>
            </w:pPr>
          </w:p>
        </w:tc>
        <w:tc>
          <w:tcPr>
            <w:tcW w:w="60" w:type="dxa"/>
            <w:vAlign w:val="bottom"/>
          </w:tcPr>
          <w:p>
            <w:pPr>
              <w:spacing w:after="0"/>
              <w:rPr>
                <w:sz w:val="9"/>
                <w:szCs w:val="9"/>
                <w:color w:val="auto"/>
              </w:rPr>
            </w:pPr>
          </w:p>
        </w:tc>
        <w:tc>
          <w:tcPr>
            <w:tcW w:w="900" w:type="dxa"/>
            <w:vAlign w:val="bottom"/>
          </w:tcPr>
          <w:p>
            <w:pPr>
              <w:spacing w:after="0" w:line="107" w:lineRule="exact"/>
              <w:rPr>
                <w:sz w:val="20"/>
                <w:szCs w:val="20"/>
                <w:color w:val="auto"/>
              </w:rPr>
            </w:pPr>
            <w:r>
              <w:rPr>
                <w:rFonts w:ascii="Times New Roman" w:cs="Times New Roman" w:eastAsia="Times New Roman" w:hAnsi="Times New Roman"/>
                <w:sz w:val="10"/>
                <w:szCs w:val="10"/>
                <w:color w:val="auto"/>
              </w:rPr>
              <w:t>Consumer Services</w:t>
            </w:r>
          </w:p>
        </w:tc>
      </w:tr>
      <w:tr>
        <w:trPr>
          <w:trHeight w:val="105"/>
        </w:trPr>
        <w:tc>
          <w:tcPr>
            <w:tcW w:w="1240" w:type="dxa"/>
            <w:vAlign w:val="bottom"/>
            <w:gridSpan w:val="2"/>
          </w:tcPr>
          <w:p>
            <w:pPr>
              <w:ind w:left="100"/>
              <w:spacing w:after="0" w:line="105" w:lineRule="exact"/>
              <w:rPr>
                <w:sz w:val="20"/>
                <w:szCs w:val="20"/>
                <w:color w:val="auto"/>
              </w:rPr>
            </w:pPr>
            <w:r>
              <w:rPr>
                <w:rFonts w:ascii="Times New Roman" w:cs="Times New Roman" w:eastAsia="Times New Roman" w:hAnsi="Times New Roman"/>
                <w:sz w:val="10"/>
                <w:szCs w:val="10"/>
                <w:color w:val="auto"/>
              </w:rPr>
              <w:t>8060 US-290</w:t>
            </w:r>
          </w:p>
        </w:tc>
        <w:tc>
          <w:tcPr>
            <w:tcW w:w="1040" w:type="dxa"/>
            <w:vAlign w:val="bottom"/>
            <w:gridSpan w:val="3"/>
          </w:tcPr>
          <w:p>
            <w:pPr>
              <w:ind w:left="40"/>
              <w:spacing w:after="0" w:line="105" w:lineRule="exact"/>
              <w:rPr>
                <w:sz w:val="20"/>
                <w:szCs w:val="20"/>
                <w:color w:val="auto"/>
              </w:rPr>
            </w:pPr>
            <w:r>
              <w:rPr>
                <w:rFonts w:ascii="Times New Roman" w:cs="Times New Roman" w:eastAsia="Times New Roman" w:hAnsi="Times New Roman"/>
                <w:sz w:val="10"/>
                <w:szCs w:val="10"/>
                <w:color w:val="auto"/>
              </w:rPr>
              <w:t>First Lien Debt (k)(s)</w:t>
            </w:r>
          </w:p>
        </w:tc>
        <w:tc>
          <w:tcPr>
            <w:tcW w:w="900" w:type="dxa"/>
            <w:vAlign w:val="bottom"/>
          </w:tcPr>
          <w:p>
            <w:pPr>
              <w:spacing w:after="0"/>
              <w:rPr>
                <w:sz w:val="9"/>
                <w:szCs w:val="9"/>
                <w:color w:val="auto"/>
              </w:rPr>
            </w:pPr>
          </w:p>
        </w:tc>
      </w:tr>
      <w:tr>
        <w:trPr>
          <w:trHeight w:val="105"/>
        </w:trPr>
        <w:tc>
          <w:tcPr>
            <w:tcW w:w="1240" w:type="dxa"/>
            <w:vAlign w:val="bottom"/>
            <w:gridSpan w:val="2"/>
          </w:tcPr>
          <w:p>
            <w:pPr>
              <w:ind w:left="100"/>
              <w:spacing w:after="0" w:line="105" w:lineRule="exact"/>
              <w:rPr>
                <w:sz w:val="20"/>
                <w:szCs w:val="20"/>
                <w:color w:val="auto"/>
              </w:rPr>
            </w:pPr>
            <w:r>
              <w:rPr>
                <w:rFonts w:ascii="Times New Roman" w:cs="Times New Roman" w:eastAsia="Times New Roman" w:hAnsi="Times New Roman"/>
                <w:sz w:val="10"/>
                <w:szCs w:val="10"/>
                <w:color w:val="auto"/>
              </w:rPr>
              <w:t>Austin, TX 78736</w:t>
            </w:r>
          </w:p>
        </w:tc>
        <w:tc>
          <w:tcPr>
            <w:tcW w:w="1040" w:type="dxa"/>
            <w:vAlign w:val="bottom"/>
            <w:gridSpan w:val="3"/>
          </w:tcPr>
          <w:p>
            <w:pPr>
              <w:ind w:left="40"/>
              <w:spacing w:after="0" w:line="105" w:lineRule="exact"/>
              <w:rPr>
                <w:sz w:val="20"/>
                <w:szCs w:val="20"/>
                <w:color w:val="auto"/>
              </w:rPr>
            </w:pPr>
            <w:r>
              <w:rPr>
                <w:rFonts w:ascii="Times New Roman" w:cs="Times New Roman" w:eastAsia="Times New Roman" w:hAnsi="Times New Roman"/>
                <w:sz w:val="10"/>
                <w:szCs w:val="10"/>
                <w:color w:val="auto"/>
              </w:rPr>
              <w:t>First Lien Debt (ba)</w:t>
            </w:r>
          </w:p>
        </w:tc>
        <w:tc>
          <w:tcPr>
            <w:tcW w:w="900" w:type="dxa"/>
            <w:vAlign w:val="bottom"/>
          </w:tcPr>
          <w:p>
            <w:pPr>
              <w:spacing w:after="0"/>
              <w:rPr>
                <w:sz w:val="9"/>
                <w:szCs w:val="9"/>
                <w:color w:val="auto"/>
              </w:rPr>
            </w:pPr>
          </w:p>
        </w:tc>
      </w:tr>
      <w:tr>
        <w:trPr>
          <w:trHeight w:val="105"/>
        </w:trPr>
        <w:tc>
          <w:tcPr>
            <w:tcW w:w="1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gridSpan w:val="3"/>
          </w:tcPr>
          <w:p>
            <w:pPr>
              <w:ind w:left="40"/>
              <w:spacing w:after="0" w:line="105" w:lineRule="exact"/>
              <w:rPr>
                <w:sz w:val="20"/>
                <w:szCs w:val="20"/>
                <w:color w:val="auto"/>
              </w:rPr>
            </w:pPr>
            <w:r>
              <w:rPr>
                <w:rFonts w:ascii="Times New Roman" w:cs="Times New Roman" w:eastAsia="Times New Roman" w:hAnsi="Times New Roman"/>
                <w:sz w:val="10"/>
                <w:szCs w:val="10"/>
                <w:color w:val="auto"/>
              </w:rPr>
              <w:t>Common Equity (6,027</w:t>
            </w:r>
          </w:p>
        </w:tc>
        <w:tc>
          <w:tcPr>
            <w:tcW w:w="900" w:type="dxa"/>
            <w:vAlign w:val="bottom"/>
          </w:tcPr>
          <w:p>
            <w:pPr>
              <w:spacing w:after="0"/>
              <w:rPr>
                <w:sz w:val="9"/>
                <w:szCs w:val="9"/>
                <w:color w:val="auto"/>
              </w:rPr>
            </w:pPr>
          </w:p>
        </w:tc>
      </w:tr>
      <w:tr>
        <w:trPr>
          <w:trHeight w:val="105"/>
        </w:trPr>
        <w:tc>
          <w:tcPr>
            <w:tcW w:w="1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gridSpan w:val="3"/>
          </w:tcPr>
          <w:p>
            <w:pPr>
              <w:ind w:left="40"/>
              <w:spacing w:after="0" w:line="105" w:lineRule="exact"/>
              <w:rPr>
                <w:sz w:val="20"/>
                <w:szCs w:val="20"/>
                <w:color w:val="auto"/>
              </w:rPr>
            </w:pPr>
            <w:r>
              <w:rPr>
                <w:rFonts w:ascii="Times New Roman" w:cs="Times New Roman" w:eastAsia="Times New Roman" w:hAnsi="Times New Roman"/>
                <w:sz w:val="10"/>
                <w:szCs w:val="10"/>
                <w:color w:val="auto"/>
              </w:rPr>
              <w:t>units) (h)</w:t>
            </w:r>
          </w:p>
        </w:tc>
        <w:tc>
          <w:tcPr>
            <w:tcW w:w="900" w:type="dxa"/>
            <w:vAlign w:val="bottom"/>
          </w:tcPr>
          <w:p>
            <w:pPr>
              <w:spacing w:after="0"/>
              <w:rPr>
                <w:sz w:val="9"/>
                <w:szCs w:val="9"/>
                <w:color w:val="auto"/>
              </w:rPr>
            </w:pPr>
          </w:p>
        </w:tc>
      </w:tr>
      <w:tr>
        <w:trPr>
          <w:trHeight w:val="105"/>
        </w:trPr>
        <w:tc>
          <w:tcPr>
            <w:tcW w:w="1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gridSpan w:val="3"/>
          </w:tcPr>
          <w:p>
            <w:pPr>
              <w:ind w:left="40"/>
              <w:spacing w:after="0" w:line="105" w:lineRule="exact"/>
              <w:rPr>
                <w:sz w:val="20"/>
                <w:szCs w:val="20"/>
                <w:color w:val="auto"/>
              </w:rPr>
            </w:pPr>
            <w:r>
              <w:rPr>
                <w:rFonts w:ascii="Times New Roman" w:cs="Times New Roman" w:eastAsia="Times New Roman" w:hAnsi="Times New Roman"/>
                <w:sz w:val="10"/>
                <w:szCs w:val="10"/>
                <w:color w:val="auto"/>
              </w:rPr>
              <w:t>Preferred Equity</w:t>
            </w:r>
          </w:p>
        </w:tc>
        <w:tc>
          <w:tcPr>
            <w:tcW w:w="900" w:type="dxa"/>
            <w:vAlign w:val="bottom"/>
          </w:tcPr>
          <w:p>
            <w:pPr>
              <w:spacing w:after="0"/>
              <w:rPr>
                <w:sz w:val="9"/>
                <w:szCs w:val="9"/>
                <w:color w:val="auto"/>
              </w:rPr>
            </w:pPr>
          </w:p>
        </w:tc>
      </w:tr>
      <w:tr>
        <w:trPr>
          <w:trHeight w:val="105"/>
        </w:trPr>
        <w:tc>
          <w:tcPr>
            <w:tcW w:w="1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gridSpan w:val="3"/>
          </w:tcPr>
          <w:p>
            <w:pPr>
              <w:ind w:left="40"/>
              <w:spacing w:after="0" w:line="105" w:lineRule="exact"/>
              <w:rPr>
                <w:sz w:val="20"/>
                <w:szCs w:val="20"/>
                <w:color w:val="auto"/>
              </w:rPr>
            </w:pPr>
            <w:r>
              <w:rPr>
                <w:rFonts w:ascii="Times New Roman" w:cs="Times New Roman" w:eastAsia="Times New Roman" w:hAnsi="Times New Roman"/>
                <w:sz w:val="10"/>
                <w:szCs w:val="10"/>
                <w:color w:val="auto"/>
              </w:rPr>
              <w:t>(20,137 units) (h)</w:t>
            </w:r>
          </w:p>
        </w:tc>
        <w:tc>
          <w:tcPr>
            <w:tcW w:w="900" w:type="dxa"/>
            <w:vAlign w:val="bottom"/>
          </w:tcPr>
          <w:p>
            <w:pPr>
              <w:spacing w:after="0"/>
              <w:rPr>
                <w:sz w:val="9"/>
                <w:szCs w:val="9"/>
                <w:color w:val="auto"/>
              </w:rPr>
            </w:pPr>
          </w:p>
        </w:tc>
      </w:tr>
      <w:tr>
        <w:trPr>
          <w:trHeight w:val="105"/>
        </w:trPr>
        <w:tc>
          <w:tcPr>
            <w:tcW w:w="1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gridSpan w:val="3"/>
          </w:tcPr>
          <w:p>
            <w:pPr>
              <w:ind w:left="40"/>
              <w:spacing w:after="0" w:line="105" w:lineRule="exact"/>
              <w:rPr>
                <w:sz w:val="20"/>
                <w:szCs w:val="20"/>
                <w:color w:val="auto"/>
              </w:rPr>
            </w:pPr>
            <w:r>
              <w:rPr>
                <w:rFonts w:ascii="Times New Roman" w:cs="Times New Roman" w:eastAsia="Times New Roman" w:hAnsi="Times New Roman"/>
                <w:sz w:val="10"/>
                <w:szCs w:val="10"/>
                <w:color w:val="auto"/>
              </w:rPr>
              <w:t>Preferred Equity (1,370</w:t>
            </w:r>
          </w:p>
        </w:tc>
        <w:tc>
          <w:tcPr>
            <w:tcW w:w="900" w:type="dxa"/>
            <w:vAlign w:val="bottom"/>
          </w:tcPr>
          <w:p>
            <w:pPr>
              <w:spacing w:after="0"/>
              <w:rPr>
                <w:sz w:val="9"/>
                <w:szCs w:val="9"/>
                <w:color w:val="auto"/>
              </w:rPr>
            </w:pPr>
          </w:p>
        </w:tc>
      </w:tr>
      <w:tr>
        <w:trPr>
          <w:trHeight w:val="125"/>
        </w:trPr>
        <w:tc>
          <w:tcPr>
            <w:tcW w:w="1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gridSpan w:val="3"/>
          </w:tcPr>
          <w:p>
            <w:pPr>
              <w:ind w:left="40"/>
              <w:spacing w:after="0"/>
              <w:rPr>
                <w:sz w:val="20"/>
                <w:szCs w:val="20"/>
                <w:color w:val="auto"/>
              </w:rPr>
            </w:pPr>
            <w:r>
              <w:rPr>
                <w:rFonts w:ascii="Times New Roman" w:cs="Times New Roman" w:eastAsia="Times New Roman" w:hAnsi="Times New Roman"/>
                <w:sz w:val="10"/>
                <w:szCs w:val="10"/>
                <w:color w:val="auto"/>
              </w:rPr>
              <w:t>units) (h)</w:t>
            </w:r>
          </w:p>
        </w:tc>
        <w:tc>
          <w:tcPr>
            <w:tcW w:w="900" w:type="dxa"/>
            <w:vAlign w:val="bottom"/>
          </w:tcPr>
          <w:p>
            <w:pPr>
              <w:spacing w:after="0"/>
              <w:rPr>
                <w:sz w:val="10"/>
                <w:szCs w:val="10"/>
                <w:color w:val="auto"/>
              </w:rPr>
            </w:pPr>
          </w:p>
        </w:tc>
      </w:tr>
      <w:tr>
        <w:trPr>
          <w:trHeight w:val="208"/>
        </w:trPr>
        <w:tc>
          <w:tcPr>
            <w:tcW w:w="1240" w:type="dxa"/>
            <w:vAlign w:val="bottom"/>
            <w:gridSpan w:val="2"/>
          </w:tcPr>
          <w:p>
            <w:pPr>
              <w:spacing w:after="0"/>
              <w:rPr>
                <w:sz w:val="20"/>
                <w:szCs w:val="20"/>
                <w:color w:val="auto"/>
              </w:rPr>
            </w:pPr>
            <w:r>
              <w:rPr>
                <w:rFonts w:ascii="Times New Roman" w:cs="Times New Roman" w:eastAsia="Times New Roman" w:hAnsi="Times New Roman"/>
                <w:sz w:val="10"/>
                <w:szCs w:val="10"/>
                <w:i w:val="1"/>
                <w:iCs w:val="1"/>
                <w:color w:val="auto"/>
              </w:rPr>
              <w:t>BCM One Group Holdings,</w:t>
            </w:r>
          </w:p>
        </w:tc>
        <w:tc>
          <w:tcPr>
            <w:tcW w:w="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0"/>
                <w:szCs w:val="10"/>
                <w:color w:val="auto"/>
              </w:rPr>
              <w:t>Information</w:t>
            </w:r>
          </w:p>
        </w:tc>
      </w:tr>
      <w:tr>
        <w:trPr>
          <w:trHeight w:val="107"/>
        </w:trPr>
        <w:tc>
          <w:tcPr>
            <w:tcW w:w="1240" w:type="dxa"/>
            <w:vAlign w:val="bottom"/>
            <w:gridSpan w:val="2"/>
          </w:tcPr>
          <w:p>
            <w:pPr>
              <w:spacing w:after="0" w:line="107" w:lineRule="exact"/>
              <w:rPr>
                <w:sz w:val="20"/>
                <w:szCs w:val="20"/>
                <w:color w:val="auto"/>
              </w:rPr>
            </w:pPr>
            <w:r>
              <w:rPr>
                <w:rFonts w:ascii="Times New Roman" w:cs="Times New Roman" w:eastAsia="Times New Roman" w:hAnsi="Times New Roman"/>
                <w:sz w:val="10"/>
                <w:szCs w:val="10"/>
                <w:i w:val="1"/>
                <w:iCs w:val="1"/>
                <w:color w:val="auto"/>
              </w:rPr>
              <w:t>Inc.</w:t>
            </w:r>
          </w:p>
        </w:tc>
        <w:tc>
          <w:tcPr>
            <w:tcW w:w="40" w:type="dxa"/>
            <w:vAlign w:val="bottom"/>
          </w:tcPr>
          <w:p>
            <w:pPr>
              <w:spacing w:after="0"/>
              <w:rPr>
                <w:sz w:val="9"/>
                <w:szCs w:val="9"/>
                <w:color w:val="auto"/>
              </w:rPr>
            </w:pPr>
          </w:p>
        </w:tc>
        <w:tc>
          <w:tcPr>
            <w:tcW w:w="940" w:type="dxa"/>
            <w:vAlign w:val="bottom"/>
          </w:tcPr>
          <w:p>
            <w:pPr>
              <w:spacing w:after="0"/>
              <w:rPr>
                <w:sz w:val="9"/>
                <w:szCs w:val="9"/>
                <w:color w:val="auto"/>
              </w:rPr>
            </w:pPr>
          </w:p>
        </w:tc>
        <w:tc>
          <w:tcPr>
            <w:tcW w:w="60" w:type="dxa"/>
            <w:vAlign w:val="bottom"/>
          </w:tcPr>
          <w:p>
            <w:pPr>
              <w:spacing w:after="0"/>
              <w:rPr>
                <w:sz w:val="9"/>
                <w:szCs w:val="9"/>
                <w:color w:val="auto"/>
              </w:rPr>
            </w:pPr>
          </w:p>
        </w:tc>
        <w:tc>
          <w:tcPr>
            <w:tcW w:w="900" w:type="dxa"/>
            <w:vAlign w:val="bottom"/>
          </w:tcPr>
          <w:p>
            <w:pPr>
              <w:spacing w:after="0" w:line="107" w:lineRule="exact"/>
              <w:rPr>
                <w:sz w:val="20"/>
                <w:szCs w:val="20"/>
                <w:color w:val="auto"/>
              </w:rPr>
            </w:pPr>
            <w:r>
              <w:rPr>
                <w:rFonts w:ascii="Times New Roman" w:cs="Times New Roman" w:eastAsia="Times New Roman" w:hAnsi="Times New Roman"/>
                <w:sz w:val="10"/>
                <w:szCs w:val="10"/>
                <w:color w:val="auto"/>
              </w:rPr>
              <w:t>Technology Services</w:t>
            </w:r>
          </w:p>
        </w:tc>
      </w:tr>
      <w:tr>
        <w:trPr>
          <w:trHeight w:val="105"/>
        </w:trPr>
        <w:tc>
          <w:tcPr>
            <w:tcW w:w="1240" w:type="dxa"/>
            <w:vAlign w:val="bottom"/>
            <w:gridSpan w:val="2"/>
          </w:tcPr>
          <w:p>
            <w:pPr>
              <w:ind w:left="100"/>
              <w:spacing w:after="0" w:line="105" w:lineRule="exact"/>
              <w:rPr>
                <w:sz w:val="20"/>
                <w:szCs w:val="20"/>
                <w:color w:val="auto"/>
              </w:rPr>
            </w:pPr>
            <w:r>
              <w:rPr>
                <w:rFonts w:ascii="Times New Roman" w:cs="Times New Roman" w:eastAsia="Times New Roman" w:hAnsi="Times New Roman"/>
                <w:sz w:val="10"/>
                <w:szCs w:val="10"/>
                <w:color w:val="auto"/>
              </w:rPr>
              <w:t>295 Madison Avenue, 5th</w:t>
            </w:r>
          </w:p>
        </w:tc>
        <w:tc>
          <w:tcPr>
            <w:tcW w:w="40" w:type="dxa"/>
            <w:vAlign w:val="bottom"/>
          </w:tcPr>
          <w:p>
            <w:pPr>
              <w:spacing w:after="0"/>
              <w:rPr>
                <w:sz w:val="9"/>
                <w:szCs w:val="9"/>
                <w:color w:val="auto"/>
              </w:rPr>
            </w:pPr>
          </w:p>
        </w:tc>
        <w:tc>
          <w:tcPr>
            <w:tcW w:w="940" w:type="dxa"/>
            <w:vAlign w:val="bottom"/>
          </w:tcPr>
          <w:p>
            <w:pPr>
              <w:spacing w:after="0"/>
              <w:rPr>
                <w:sz w:val="9"/>
                <w:szCs w:val="9"/>
                <w:color w:val="auto"/>
              </w:rPr>
            </w:pPr>
          </w:p>
        </w:tc>
        <w:tc>
          <w:tcPr>
            <w:tcW w:w="60" w:type="dxa"/>
            <w:vAlign w:val="bottom"/>
          </w:tcPr>
          <w:p>
            <w:pPr>
              <w:spacing w:after="0"/>
              <w:rPr>
                <w:sz w:val="9"/>
                <w:szCs w:val="9"/>
                <w:color w:val="auto"/>
              </w:rPr>
            </w:pPr>
          </w:p>
        </w:tc>
        <w:tc>
          <w:tcPr>
            <w:tcW w:w="900" w:type="dxa"/>
            <w:vAlign w:val="bottom"/>
          </w:tcPr>
          <w:p>
            <w:pPr>
              <w:spacing w:after="0"/>
              <w:rPr>
                <w:sz w:val="9"/>
                <w:szCs w:val="9"/>
                <w:color w:val="auto"/>
              </w:rPr>
            </w:pPr>
          </w:p>
        </w:tc>
      </w:tr>
      <w:tr>
        <w:trPr>
          <w:trHeight w:val="125"/>
        </w:trPr>
        <w:tc>
          <w:tcPr>
            <w:tcW w:w="1240" w:type="dxa"/>
            <w:vAlign w:val="bottom"/>
            <w:gridSpan w:val="2"/>
          </w:tcPr>
          <w:p>
            <w:pPr>
              <w:ind w:left="100"/>
              <w:spacing w:after="0"/>
              <w:rPr>
                <w:sz w:val="20"/>
                <w:szCs w:val="20"/>
                <w:color w:val="auto"/>
              </w:rPr>
            </w:pPr>
            <w:r>
              <w:rPr>
                <w:rFonts w:ascii="Times New Roman" w:cs="Times New Roman" w:eastAsia="Times New Roman" w:hAnsi="Times New Roman"/>
                <w:sz w:val="10"/>
                <w:szCs w:val="10"/>
                <w:color w:val="auto"/>
                <w:w w:val="99"/>
              </w:rPr>
              <w:t>Floor New York, NY 10017</w:t>
            </w:r>
          </w:p>
        </w:tc>
        <w:tc>
          <w:tcPr>
            <w:tcW w:w="1040" w:type="dxa"/>
            <w:vAlign w:val="bottom"/>
            <w:gridSpan w:val="3"/>
          </w:tcPr>
          <w:p>
            <w:pPr>
              <w:ind w:left="40"/>
              <w:spacing w:after="0"/>
              <w:rPr>
                <w:sz w:val="20"/>
                <w:szCs w:val="20"/>
                <w:color w:val="auto"/>
              </w:rPr>
            </w:pPr>
            <w:r>
              <w:rPr>
                <w:rFonts w:ascii="Times New Roman" w:cs="Times New Roman" w:eastAsia="Times New Roman" w:hAnsi="Times New Roman"/>
                <w:sz w:val="10"/>
                <w:szCs w:val="10"/>
                <w:color w:val="auto"/>
              </w:rPr>
              <w:t>Subordinated Debt</w:t>
            </w:r>
          </w:p>
        </w:tc>
        <w:tc>
          <w:tcPr>
            <w:tcW w:w="900" w:type="dxa"/>
            <w:vAlign w:val="bottom"/>
          </w:tcPr>
          <w:p>
            <w:pPr>
              <w:spacing w:after="0"/>
              <w:rPr>
                <w:sz w:val="10"/>
                <w:szCs w:val="10"/>
                <w:color w:val="auto"/>
              </w:rPr>
            </w:pPr>
          </w:p>
        </w:tc>
      </w:tr>
      <w:tr>
        <w:trPr>
          <w:trHeight w:val="168"/>
        </w:trPr>
        <w:tc>
          <w:tcPr>
            <w:tcW w:w="1240" w:type="dxa"/>
            <w:vAlign w:val="bottom"/>
            <w:gridSpan w:val="2"/>
          </w:tcPr>
          <w:p>
            <w:pPr>
              <w:spacing w:after="0"/>
              <w:rPr>
                <w:sz w:val="20"/>
                <w:szCs w:val="20"/>
                <w:color w:val="auto"/>
              </w:rPr>
            </w:pPr>
            <w:r>
              <w:rPr>
                <w:rFonts w:ascii="Times New Roman" w:cs="Times New Roman" w:eastAsia="Times New Roman" w:hAnsi="Times New Roman"/>
                <w:sz w:val="10"/>
                <w:szCs w:val="10"/>
                <w:i w:val="1"/>
                <w:iCs w:val="1"/>
                <w:color w:val="auto"/>
              </w:rPr>
              <w:t>Bedford Precision Parts LLC</w:t>
            </w:r>
          </w:p>
        </w:tc>
        <w:tc>
          <w:tcPr>
            <w:tcW w:w="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0"/>
                <w:szCs w:val="10"/>
                <w:color w:val="auto"/>
                <w:w w:val="99"/>
              </w:rPr>
              <w:t>Specialty Distribution</w:t>
            </w:r>
          </w:p>
        </w:tc>
      </w:tr>
      <w:tr>
        <w:trPr>
          <w:trHeight w:val="105"/>
        </w:trPr>
        <w:tc>
          <w:tcPr>
            <w:tcW w:w="1240" w:type="dxa"/>
            <w:vAlign w:val="bottom"/>
            <w:gridSpan w:val="2"/>
          </w:tcPr>
          <w:p>
            <w:pPr>
              <w:ind w:left="100"/>
              <w:spacing w:after="0" w:line="105" w:lineRule="exact"/>
              <w:rPr>
                <w:sz w:val="20"/>
                <w:szCs w:val="20"/>
                <w:color w:val="auto"/>
              </w:rPr>
            </w:pPr>
            <w:r>
              <w:rPr>
                <w:rFonts w:ascii="Times New Roman" w:cs="Times New Roman" w:eastAsia="Times New Roman" w:hAnsi="Times New Roman"/>
                <w:sz w:val="10"/>
                <w:szCs w:val="10"/>
                <w:color w:val="auto"/>
              </w:rPr>
              <w:t>290 Adams St. Bedford</w:t>
            </w:r>
          </w:p>
        </w:tc>
        <w:tc>
          <w:tcPr>
            <w:tcW w:w="1040" w:type="dxa"/>
            <w:vAlign w:val="bottom"/>
            <w:gridSpan w:val="3"/>
          </w:tcPr>
          <w:p>
            <w:pPr>
              <w:ind w:left="40"/>
              <w:spacing w:after="0" w:line="105" w:lineRule="exact"/>
              <w:rPr>
                <w:sz w:val="20"/>
                <w:szCs w:val="20"/>
                <w:color w:val="auto"/>
              </w:rPr>
            </w:pPr>
            <w:r>
              <w:rPr>
                <w:rFonts w:ascii="Times New Roman" w:cs="Times New Roman" w:eastAsia="Times New Roman" w:hAnsi="Times New Roman"/>
                <w:sz w:val="10"/>
                <w:szCs w:val="10"/>
                <w:color w:val="auto"/>
              </w:rPr>
              <w:t>Common Equity</w:t>
            </w:r>
          </w:p>
        </w:tc>
        <w:tc>
          <w:tcPr>
            <w:tcW w:w="900" w:type="dxa"/>
            <w:vAlign w:val="bottom"/>
          </w:tcPr>
          <w:p>
            <w:pPr>
              <w:spacing w:after="0"/>
              <w:rPr>
                <w:sz w:val="9"/>
                <w:szCs w:val="9"/>
                <w:color w:val="auto"/>
              </w:rPr>
            </w:pPr>
          </w:p>
        </w:tc>
      </w:tr>
      <w:tr>
        <w:trPr>
          <w:trHeight w:val="125"/>
        </w:trPr>
        <w:tc>
          <w:tcPr>
            <w:tcW w:w="1240" w:type="dxa"/>
            <w:vAlign w:val="bottom"/>
            <w:gridSpan w:val="2"/>
          </w:tcPr>
          <w:p>
            <w:pPr>
              <w:ind w:left="100"/>
              <w:spacing w:after="0"/>
              <w:rPr>
                <w:sz w:val="20"/>
                <w:szCs w:val="20"/>
                <w:color w:val="auto"/>
              </w:rPr>
            </w:pPr>
            <w:r>
              <w:rPr>
                <w:rFonts w:ascii="Times New Roman" w:cs="Times New Roman" w:eastAsia="Times New Roman" w:hAnsi="Times New Roman"/>
                <w:sz w:val="10"/>
                <w:szCs w:val="10"/>
                <w:color w:val="auto"/>
              </w:rPr>
              <w:t>Hills, NY 10507</w:t>
            </w:r>
          </w:p>
        </w:tc>
        <w:tc>
          <w:tcPr>
            <w:tcW w:w="1040" w:type="dxa"/>
            <w:vAlign w:val="bottom"/>
            <w:gridSpan w:val="3"/>
          </w:tcPr>
          <w:p>
            <w:pPr>
              <w:ind w:left="40"/>
              <w:spacing w:after="0"/>
              <w:rPr>
                <w:sz w:val="20"/>
                <w:szCs w:val="20"/>
                <w:color w:val="auto"/>
              </w:rPr>
            </w:pPr>
            <w:r>
              <w:rPr>
                <w:rFonts w:ascii="Times New Roman" w:cs="Times New Roman" w:eastAsia="Times New Roman" w:hAnsi="Times New Roman"/>
                <w:sz w:val="10"/>
                <w:szCs w:val="10"/>
                <w:color w:val="auto"/>
              </w:rPr>
              <w:t>(500,000 units) (h)</w:t>
            </w:r>
          </w:p>
        </w:tc>
        <w:tc>
          <w:tcPr>
            <w:tcW w:w="900" w:type="dxa"/>
            <w:vAlign w:val="bottom"/>
          </w:tcPr>
          <w:p>
            <w:pPr>
              <w:spacing w:after="0"/>
              <w:rPr>
                <w:sz w:val="10"/>
                <w:szCs w:val="10"/>
                <w:color w:val="auto"/>
              </w:rPr>
            </w:pPr>
          </w:p>
        </w:tc>
      </w:tr>
      <w:tr>
        <w:trPr>
          <w:trHeight w:val="168"/>
        </w:trPr>
        <w:tc>
          <w:tcPr>
            <w:tcW w:w="1240" w:type="dxa"/>
            <w:vAlign w:val="bottom"/>
            <w:gridSpan w:val="2"/>
          </w:tcPr>
          <w:p>
            <w:pPr>
              <w:spacing w:after="0"/>
              <w:rPr>
                <w:sz w:val="20"/>
                <w:szCs w:val="20"/>
                <w:color w:val="auto"/>
              </w:rPr>
            </w:pPr>
            <w:r>
              <w:rPr>
                <w:rFonts w:ascii="Times New Roman" w:cs="Times New Roman" w:eastAsia="Times New Roman" w:hAnsi="Times New Roman"/>
                <w:sz w:val="10"/>
                <w:szCs w:val="10"/>
                <w:i w:val="1"/>
                <w:iCs w:val="1"/>
                <w:color w:val="auto"/>
              </w:rPr>
              <w:t>Bobcat of Connecticut, LLC</w:t>
            </w:r>
          </w:p>
        </w:tc>
        <w:tc>
          <w:tcPr>
            <w:tcW w:w="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0"/>
                <w:szCs w:val="10"/>
                <w:color w:val="auto"/>
                <w:w w:val="99"/>
              </w:rPr>
              <w:t>Specialty Distribution</w:t>
            </w:r>
          </w:p>
        </w:tc>
      </w:tr>
      <w:tr>
        <w:trPr>
          <w:trHeight w:val="105"/>
        </w:trPr>
        <w:tc>
          <w:tcPr>
            <w:tcW w:w="1240" w:type="dxa"/>
            <w:vAlign w:val="bottom"/>
            <w:gridSpan w:val="2"/>
          </w:tcPr>
          <w:p>
            <w:pPr>
              <w:ind w:left="100"/>
              <w:spacing w:after="0" w:line="105" w:lineRule="exact"/>
              <w:rPr>
                <w:sz w:val="20"/>
                <w:szCs w:val="20"/>
                <w:color w:val="auto"/>
              </w:rPr>
            </w:pPr>
            <w:r>
              <w:rPr>
                <w:rFonts w:ascii="Times New Roman" w:cs="Times New Roman" w:eastAsia="Times New Roman" w:hAnsi="Times New Roman"/>
                <w:sz w:val="10"/>
                <w:szCs w:val="10"/>
                <w:color w:val="auto"/>
              </w:rPr>
              <w:t>54 Alna Lane</w:t>
            </w:r>
          </w:p>
        </w:tc>
        <w:tc>
          <w:tcPr>
            <w:tcW w:w="1040" w:type="dxa"/>
            <w:vAlign w:val="bottom"/>
            <w:gridSpan w:val="3"/>
          </w:tcPr>
          <w:p>
            <w:pPr>
              <w:ind w:left="40"/>
              <w:spacing w:after="0" w:line="105" w:lineRule="exact"/>
              <w:rPr>
                <w:sz w:val="20"/>
                <w:szCs w:val="20"/>
                <w:color w:val="auto"/>
              </w:rPr>
            </w:pPr>
            <w:r>
              <w:rPr>
                <w:rFonts w:ascii="Times New Roman" w:cs="Times New Roman" w:eastAsia="Times New Roman" w:hAnsi="Times New Roman"/>
                <w:sz w:val="10"/>
                <w:szCs w:val="10"/>
                <w:color w:val="auto"/>
              </w:rPr>
              <w:t>First Lien Debt (bk)</w:t>
            </w:r>
          </w:p>
        </w:tc>
        <w:tc>
          <w:tcPr>
            <w:tcW w:w="900" w:type="dxa"/>
            <w:vAlign w:val="bottom"/>
          </w:tcPr>
          <w:p>
            <w:pPr>
              <w:spacing w:after="0"/>
              <w:rPr>
                <w:sz w:val="9"/>
                <w:szCs w:val="9"/>
                <w:color w:val="auto"/>
              </w:rPr>
            </w:pPr>
          </w:p>
        </w:tc>
      </w:tr>
      <w:tr>
        <w:trPr>
          <w:trHeight w:val="105"/>
        </w:trPr>
        <w:tc>
          <w:tcPr>
            <w:tcW w:w="1240" w:type="dxa"/>
            <w:vAlign w:val="bottom"/>
            <w:gridSpan w:val="2"/>
          </w:tcPr>
          <w:p>
            <w:pPr>
              <w:ind w:left="100"/>
              <w:spacing w:after="0" w:line="105" w:lineRule="exact"/>
              <w:rPr>
                <w:sz w:val="20"/>
                <w:szCs w:val="20"/>
                <w:color w:val="auto"/>
              </w:rPr>
            </w:pPr>
            <w:r>
              <w:rPr>
                <w:rFonts w:ascii="Times New Roman" w:cs="Times New Roman" w:eastAsia="Times New Roman" w:hAnsi="Times New Roman"/>
                <w:sz w:val="10"/>
                <w:szCs w:val="10"/>
                <w:color w:val="auto"/>
              </w:rPr>
              <w:t>East Hartford, CT 06108</w:t>
            </w:r>
          </w:p>
        </w:tc>
        <w:tc>
          <w:tcPr>
            <w:tcW w:w="1040" w:type="dxa"/>
            <w:vAlign w:val="bottom"/>
            <w:gridSpan w:val="3"/>
          </w:tcPr>
          <w:p>
            <w:pPr>
              <w:ind w:left="40"/>
              <w:spacing w:after="0" w:line="105" w:lineRule="exact"/>
              <w:rPr>
                <w:sz w:val="20"/>
                <w:szCs w:val="20"/>
                <w:color w:val="auto"/>
              </w:rPr>
            </w:pPr>
            <w:r>
              <w:rPr>
                <w:rFonts w:ascii="Times New Roman" w:cs="Times New Roman" w:eastAsia="Times New Roman" w:hAnsi="Times New Roman"/>
                <w:sz w:val="10"/>
                <w:szCs w:val="10"/>
                <w:color w:val="auto"/>
              </w:rPr>
              <w:t>Common Equity</w:t>
            </w:r>
          </w:p>
        </w:tc>
        <w:tc>
          <w:tcPr>
            <w:tcW w:w="900" w:type="dxa"/>
            <w:vAlign w:val="bottom"/>
          </w:tcPr>
          <w:p>
            <w:pPr>
              <w:spacing w:after="0"/>
              <w:rPr>
                <w:sz w:val="9"/>
                <w:szCs w:val="9"/>
                <w:color w:val="auto"/>
              </w:rPr>
            </w:pPr>
          </w:p>
        </w:tc>
      </w:tr>
      <w:tr>
        <w:trPr>
          <w:trHeight w:val="105"/>
        </w:trPr>
        <w:tc>
          <w:tcPr>
            <w:tcW w:w="1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gridSpan w:val="3"/>
          </w:tcPr>
          <w:p>
            <w:pPr>
              <w:ind w:left="40"/>
              <w:spacing w:after="0" w:line="105" w:lineRule="exact"/>
              <w:rPr>
                <w:sz w:val="20"/>
                <w:szCs w:val="20"/>
                <w:color w:val="auto"/>
              </w:rPr>
            </w:pPr>
            <w:r>
              <w:rPr>
                <w:rFonts w:ascii="Times New Roman" w:cs="Times New Roman" w:eastAsia="Times New Roman" w:hAnsi="Times New Roman"/>
                <w:sz w:val="10"/>
                <w:szCs w:val="10"/>
                <w:color w:val="auto"/>
              </w:rPr>
              <w:t>(1,000,000 units) ($250</w:t>
            </w:r>
          </w:p>
        </w:tc>
        <w:tc>
          <w:tcPr>
            <w:tcW w:w="900" w:type="dxa"/>
            <w:vAlign w:val="bottom"/>
          </w:tcPr>
          <w:p>
            <w:pPr>
              <w:spacing w:after="0"/>
              <w:rPr>
                <w:sz w:val="9"/>
                <w:szCs w:val="9"/>
                <w:color w:val="auto"/>
              </w:rPr>
            </w:pPr>
          </w:p>
        </w:tc>
      </w:tr>
      <w:tr>
        <w:trPr>
          <w:trHeight w:val="125"/>
        </w:trPr>
        <w:tc>
          <w:tcPr>
            <w:tcW w:w="1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gridSpan w:val="3"/>
          </w:tcPr>
          <w:p>
            <w:pPr>
              <w:ind w:left="40"/>
              <w:spacing w:after="0"/>
              <w:rPr>
                <w:sz w:val="20"/>
                <w:szCs w:val="20"/>
                <w:color w:val="auto"/>
              </w:rPr>
            </w:pPr>
            <w:r>
              <w:rPr>
                <w:rFonts w:ascii="Times New Roman" w:cs="Times New Roman" w:eastAsia="Times New Roman" w:hAnsi="Times New Roman"/>
                <w:sz w:val="10"/>
                <w:szCs w:val="10"/>
                <w:color w:val="auto"/>
              </w:rPr>
              <w:t>unfunded commitment)</w:t>
            </w:r>
          </w:p>
        </w:tc>
        <w:tc>
          <w:tcPr>
            <w:tcW w:w="90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br w:type="column"/>
      </w:r>
    </w:p>
    <w:p>
      <w:pPr>
        <w:spacing w:after="0" w:line="24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95"/>
        </w:trPr>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8"/>
                <w:szCs w:val="8"/>
                <w:b w:val="1"/>
                <w:bCs w:val="1"/>
                <w:color w:val="auto"/>
              </w:rPr>
              <w:t>Percentage of</w:t>
            </w:r>
          </w:p>
        </w:tc>
        <w:tc>
          <w:tcPr>
            <w:tcW w:w="940" w:type="dxa"/>
            <w:vAlign w:val="bottom"/>
            <w:gridSpan w:val="2"/>
          </w:tcPr>
          <w:p>
            <w:pPr>
              <w:jc w:val="center"/>
              <w:ind w:right="60"/>
              <w:spacing w:after="0"/>
              <w:rPr>
                <w:sz w:val="20"/>
                <w:szCs w:val="20"/>
                <w:color w:val="auto"/>
              </w:rPr>
            </w:pPr>
            <w:r>
              <w:rPr>
                <w:rFonts w:ascii="Times New Roman" w:cs="Times New Roman" w:eastAsia="Times New Roman" w:hAnsi="Times New Roman"/>
                <w:sz w:val="8"/>
                <w:szCs w:val="8"/>
                <w:b w:val="1"/>
                <w:bCs w:val="1"/>
                <w:color w:val="auto"/>
              </w:rPr>
              <w:t>Variable Index</w:t>
            </w:r>
          </w:p>
        </w:tc>
        <w:tc>
          <w:tcPr>
            <w:tcW w:w="700" w:type="dxa"/>
            <w:vAlign w:val="bottom"/>
            <w:gridSpan w:val="2"/>
          </w:tcPr>
          <w:p>
            <w:pPr>
              <w:jc w:val="center"/>
              <w:ind w:right="100"/>
              <w:spacing w:after="0"/>
              <w:rPr>
                <w:sz w:val="20"/>
                <w:szCs w:val="20"/>
                <w:color w:val="auto"/>
              </w:rPr>
            </w:pPr>
            <w:r>
              <w:rPr>
                <w:rFonts w:ascii="Times New Roman" w:cs="Times New Roman" w:eastAsia="Times New Roman" w:hAnsi="Times New Roman"/>
                <w:sz w:val="8"/>
                <w:szCs w:val="8"/>
                <w:b w:val="1"/>
                <w:bCs w:val="1"/>
                <w:color w:val="auto"/>
              </w:rPr>
              <w:t>Rate (e)</w:t>
            </w: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8"/>
                <w:szCs w:val="8"/>
                <w:b w:val="1"/>
                <w:bCs w:val="1"/>
                <w:color w:val="auto"/>
              </w:rPr>
              <w:t>Investment</w:t>
            </w: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gridSpan w:val="2"/>
          </w:tcPr>
          <w:p>
            <w:pPr>
              <w:spacing w:after="0"/>
              <w:rPr>
                <w:sz w:val="20"/>
                <w:szCs w:val="20"/>
                <w:color w:val="auto"/>
              </w:rPr>
            </w:pPr>
            <w:r>
              <w:rPr>
                <w:rFonts w:ascii="Times New Roman" w:cs="Times New Roman" w:eastAsia="Times New Roman" w:hAnsi="Times New Roman"/>
                <w:sz w:val="8"/>
                <w:szCs w:val="8"/>
                <w:b w:val="1"/>
                <w:bCs w:val="1"/>
                <w:color w:val="auto"/>
              </w:rPr>
              <w:t>Principal</w:t>
            </w: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20" w:type="dxa"/>
            <w:vAlign w:val="bottom"/>
            <w:gridSpan w:val="2"/>
          </w:tcPr>
          <w:p>
            <w:pPr>
              <w:ind w:left="80"/>
              <w:spacing w:after="0"/>
              <w:rPr>
                <w:sz w:val="20"/>
                <w:szCs w:val="20"/>
                <w:color w:val="auto"/>
              </w:rPr>
            </w:pPr>
            <w:r>
              <w:rPr>
                <w:rFonts w:ascii="Times New Roman" w:cs="Times New Roman" w:eastAsia="Times New Roman" w:hAnsi="Times New Roman"/>
                <w:sz w:val="8"/>
                <w:szCs w:val="8"/>
                <w:b w:val="1"/>
                <w:bCs w:val="1"/>
                <w:color w:val="auto"/>
              </w:rPr>
              <w:t>Fair</w:t>
            </w:r>
          </w:p>
        </w:tc>
        <w:tc>
          <w:tcPr>
            <w:tcW w:w="440" w:type="dxa"/>
            <w:vAlign w:val="bottom"/>
            <w:gridSpan w:val="2"/>
          </w:tcPr>
          <w:p>
            <w:pPr>
              <w:jc w:val="right"/>
              <w:ind w:right="80"/>
              <w:spacing w:after="0"/>
              <w:rPr>
                <w:sz w:val="20"/>
                <w:szCs w:val="20"/>
                <w:color w:val="auto"/>
              </w:rPr>
            </w:pPr>
            <w:r>
              <w:rPr>
                <w:rFonts w:ascii="Times New Roman" w:cs="Times New Roman" w:eastAsia="Times New Roman" w:hAnsi="Times New Roman"/>
                <w:sz w:val="8"/>
                <w:szCs w:val="8"/>
                <w:b w:val="1"/>
                <w:bCs w:val="1"/>
                <w:color w:val="auto"/>
                <w:w w:val="97"/>
              </w:rPr>
              <w:t>Percent of</w:t>
            </w:r>
          </w:p>
        </w:tc>
      </w:tr>
      <w:tr>
        <w:trPr>
          <w:trHeight w:val="115"/>
        </w:trPr>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8"/>
                <w:szCs w:val="8"/>
                <w:b w:val="1"/>
                <w:bCs w:val="1"/>
                <w:color w:val="auto"/>
              </w:rPr>
              <w:t>Class Held (bn)</w:t>
            </w:r>
          </w:p>
        </w:tc>
        <w:tc>
          <w:tcPr>
            <w:tcW w:w="940" w:type="dxa"/>
            <w:vAlign w:val="bottom"/>
            <w:gridSpan w:val="2"/>
          </w:tcPr>
          <w:p>
            <w:pPr>
              <w:jc w:val="center"/>
              <w:ind w:right="60"/>
              <w:spacing w:after="0"/>
              <w:rPr>
                <w:sz w:val="20"/>
                <w:szCs w:val="20"/>
                <w:color w:val="auto"/>
              </w:rPr>
            </w:pPr>
            <w:r>
              <w:rPr>
                <w:rFonts w:ascii="Times New Roman" w:cs="Times New Roman" w:eastAsia="Times New Roman" w:hAnsi="Times New Roman"/>
                <w:sz w:val="8"/>
                <w:szCs w:val="8"/>
                <w:b w:val="1"/>
                <w:bCs w:val="1"/>
                <w:color w:val="auto"/>
              </w:rPr>
              <w:t>Spread / Floor (d)</w:t>
            </w:r>
          </w:p>
        </w:tc>
        <w:tc>
          <w:tcPr>
            <w:tcW w:w="700" w:type="dxa"/>
            <w:vAlign w:val="bottom"/>
            <w:gridSpan w:val="2"/>
          </w:tcPr>
          <w:p>
            <w:pPr>
              <w:jc w:val="center"/>
              <w:ind w:right="100"/>
              <w:spacing w:after="0"/>
              <w:rPr>
                <w:sz w:val="20"/>
                <w:szCs w:val="20"/>
                <w:color w:val="auto"/>
              </w:rPr>
            </w:pPr>
            <w:r>
              <w:rPr>
                <w:rFonts w:ascii="Times New Roman" w:cs="Times New Roman" w:eastAsia="Times New Roman" w:hAnsi="Times New Roman"/>
                <w:sz w:val="8"/>
                <w:szCs w:val="8"/>
                <w:b w:val="1"/>
                <w:bCs w:val="1"/>
                <w:color w:val="auto"/>
              </w:rPr>
              <w:t>Cash/PIK</w:t>
            </w:r>
          </w:p>
        </w:tc>
        <w:tc>
          <w:tcPr>
            <w:tcW w:w="580" w:type="dxa"/>
            <w:vAlign w:val="bottom"/>
            <w:gridSpan w:val="2"/>
          </w:tcPr>
          <w:p>
            <w:pPr>
              <w:jc w:val="right"/>
              <w:ind w:right="200"/>
              <w:spacing w:after="0"/>
              <w:rPr>
                <w:sz w:val="20"/>
                <w:szCs w:val="20"/>
                <w:color w:val="auto"/>
              </w:rPr>
            </w:pPr>
            <w:r>
              <w:rPr>
                <w:rFonts w:ascii="Times New Roman" w:cs="Times New Roman" w:eastAsia="Times New Roman" w:hAnsi="Times New Roman"/>
                <w:sz w:val="8"/>
                <w:szCs w:val="8"/>
                <w:b w:val="1"/>
                <w:bCs w:val="1"/>
                <w:color w:val="auto"/>
              </w:rPr>
              <w:t>Date (f)</w:t>
            </w: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8"/>
                <w:szCs w:val="8"/>
                <w:b w:val="1"/>
                <w:bCs w:val="1"/>
                <w:color w:val="auto"/>
              </w:rPr>
              <w:t>Maturity</w:t>
            </w:r>
          </w:p>
        </w:tc>
        <w:tc>
          <w:tcPr>
            <w:tcW w:w="420" w:type="dxa"/>
            <w:vAlign w:val="bottom"/>
            <w:gridSpan w:val="2"/>
          </w:tcPr>
          <w:p>
            <w:pPr>
              <w:jc w:val="right"/>
              <w:ind w:right="120"/>
              <w:spacing w:after="0"/>
              <w:rPr>
                <w:sz w:val="20"/>
                <w:szCs w:val="20"/>
                <w:color w:val="auto"/>
              </w:rPr>
            </w:pPr>
            <w:r>
              <w:rPr>
                <w:rFonts w:ascii="Times New Roman" w:cs="Times New Roman" w:eastAsia="Times New Roman" w:hAnsi="Times New Roman"/>
                <w:sz w:val="8"/>
                <w:szCs w:val="8"/>
                <w:b w:val="1"/>
                <w:bCs w:val="1"/>
                <w:color w:val="auto"/>
                <w:w w:val="99"/>
              </w:rPr>
              <w:t>Amount</w:t>
            </w:r>
          </w:p>
        </w:tc>
        <w:tc>
          <w:tcPr>
            <w:tcW w:w="440" w:type="dxa"/>
            <w:vAlign w:val="bottom"/>
            <w:gridSpan w:val="2"/>
          </w:tcPr>
          <w:p>
            <w:pPr>
              <w:jc w:val="right"/>
              <w:ind w:right="200"/>
              <w:spacing w:after="0"/>
              <w:rPr>
                <w:sz w:val="20"/>
                <w:szCs w:val="20"/>
                <w:color w:val="auto"/>
              </w:rPr>
            </w:pPr>
            <w:r>
              <w:rPr>
                <w:rFonts w:ascii="Times New Roman" w:cs="Times New Roman" w:eastAsia="Times New Roman" w:hAnsi="Times New Roman"/>
                <w:sz w:val="8"/>
                <w:szCs w:val="8"/>
                <w:b w:val="1"/>
                <w:bCs w:val="1"/>
                <w:color w:val="auto"/>
              </w:rPr>
              <w:t>Cost</w:t>
            </w:r>
          </w:p>
        </w:tc>
        <w:tc>
          <w:tcPr>
            <w:tcW w:w="420" w:type="dxa"/>
            <w:vAlign w:val="bottom"/>
            <w:gridSpan w:val="2"/>
          </w:tcPr>
          <w:p>
            <w:pPr>
              <w:spacing w:after="0"/>
              <w:rPr>
                <w:sz w:val="20"/>
                <w:szCs w:val="20"/>
                <w:color w:val="auto"/>
              </w:rPr>
            </w:pPr>
            <w:r>
              <w:rPr>
                <w:rFonts w:ascii="Times New Roman" w:cs="Times New Roman" w:eastAsia="Times New Roman" w:hAnsi="Times New Roman"/>
                <w:sz w:val="8"/>
                <w:szCs w:val="8"/>
                <w:b w:val="1"/>
                <w:bCs w:val="1"/>
                <w:color w:val="auto"/>
              </w:rPr>
              <w:t>Value (g)</w:t>
            </w:r>
          </w:p>
        </w:tc>
        <w:tc>
          <w:tcPr>
            <w:tcW w:w="440" w:type="dxa"/>
            <w:vAlign w:val="bottom"/>
            <w:gridSpan w:val="2"/>
          </w:tcPr>
          <w:p>
            <w:pPr>
              <w:jc w:val="right"/>
              <w:ind w:right="80"/>
              <w:spacing w:after="0"/>
              <w:rPr>
                <w:sz w:val="20"/>
                <w:szCs w:val="20"/>
                <w:color w:val="auto"/>
              </w:rPr>
            </w:pPr>
            <w:r>
              <w:rPr>
                <w:rFonts w:ascii="Times New Roman" w:cs="Times New Roman" w:eastAsia="Times New Roman" w:hAnsi="Times New Roman"/>
                <w:sz w:val="8"/>
                <w:szCs w:val="8"/>
                <w:b w:val="1"/>
                <w:bCs w:val="1"/>
                <w:color w:val="auto"/>
                <w:w w:val="96"/>
              </w:rPr>
              <w:t>Net Assets</w:t>
            </w:r>
          </w:p>
        </w:tc>
      </w:tr>
      <w:tr>
        <w:trPr>
          <w:trHeight w:val="20"/>
        </w:trPr>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27"/>
        </w:trPr>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1.7%</w:t>
            </w: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2/1/2022</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1,372</w:t>
            </w:r>
          </w:p>
        </w:tc>
        <w:tc>
          <w:tcPr>
            <w:tcW w:w="140" w:type="dxa"/>
            <w:vAlign w:val="bottom"/>
          </w:tcPr>
          <w:p>
            <w:pPr>
              <w:spacing w:after="0"/>
              <w:rPr>
                <w:sz w:val="24"/>
                <w:szCs w:val="24"/>
                <w:color w:val="auto"/>
              </w:rPr>
            </w:pP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1,680</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0%</w:t>
            </w:r>
          </w:p>
        </w:tc>
      </w:tr>
      <w:tr>
        <w:trPr>
          <w:trHeight w:val="502"/>
        </w:trPr>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gridSpan w:val="2"/>
          </w:tcPr>
          <w:p>
            <w:pPr>
              <w:jc w:val="center"/>
              <w:ind w:right="60"/>
              <w:spacing w:after="0"/>
              <w:rPr>
                <w:sz w:val="20"/>
                <w:szCs w:val="20"/>
                <w:color w:val="auto"/>
              </w:rPr>
            </w:pPr>
            <w:r>
              <w:rPr>
                <w:rFonts w:ascii="Times New Roman" w:cs="Times New Roman" w:eastAsia="Times New Roman" w:hAnsi="Times New Roman"/>
                <w:sz w:val="10"/>
                <w:szCs w:val="10"/>
                <w:color w:val="auto"/>
                <w:w w:val="98"/>
              </w:rPr>
              <w:t>(S + 7.00%) / (2.00%)</w:t>
            </w: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10.65%/0.00%</w:t>
            </w: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11/8/2022</w:t>
            </w:r>
          </w:p>
        </w:tc>
        <w:tc>
          <w:tcPr>
            <w:tcW w:w="4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11/8/2027</w:t>
            </w:r>
          </w:p>
        </w:tc>
        <w:tc>
          <w:tcPr>
            <w:tcW w:w="100" w:type="dxa"/>
            <w:vAlign w:val="bottom"/>
          </w:tcPr>
          <w:p>
            <w:pPr>
              <w:spacing w:after="0"/>
              <w:rPr>
                <w:sz w:val="24"/>
                <w:szCs w:val="24"/>
                <w:color w:val="auto"/>
              </w:rPr>
            </w:pPr>
          </w:p>
        </w:tc>
        <w:tc>
          <w:tcPr>
            <w:tcW w:w="42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18,200</w:t>
            </w:r>
          </w:p>
        </w:tc>
        <w:tc>
          <w:tcPr>
            <w:tcW w:w="3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18,167</w:t>
            </w:r>
          </w:p>
        </w:tc>
        <w:tc>
          <w:tcPr>
            <w:tcW w:w="140" w:type="dxa"/>
            <w:vAlign w:val="bottom"/>
          </w:tcPr>
          <w:p>
            <w:pPr>
              <w:spacing w:after="0"/>
              <w:rPr>
                <w:sz w:val="24"/>
                <w:szCs w:val="24"/>
                <w:color w:val="auto"/>
              </w:rPr>
            </w:pP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18,200</w:t>
            </w: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09"/>
        </w:trPr>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10.00%/5.00%</w:t>
            </w: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12/19/2025</w:t>
            </w: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2/8/2028</w:t>
            </w:r>
          </w:p>
        </w:tc>
        <w:tc>
          <w:tcPr>
            <w:tcW w:w="42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2,536</w:t>
            </w:r>
          </w:p>
        </w:tc>
        <w:tc>
          <w:tcPr>
            <w:tcW w:w="3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2,524</w:t>
            </w:r>
          </w:p>
        </w:tc>
        <w:tc>
          <w:tcPr>
            <w:tcW w:w="140" w:type="dxa"/>
            <w:vAlign w:val="bottom"/>
          </w:tcPr>
          <w:p>
            <w:pPr>
              <w:spacing w:after="0"/>
              <w:rPr>
                <w:sz w:val="18"/>
                <w:szCs w:val="18"/>
                <w:color w:val="auto"/>
              </w:rPr>
            </w:pP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2,525</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2"/>
        </w:trPr>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2.4%</w:t>
            </w: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11/8/2022</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1,200</w:t>
            </w:r>
          </w:p>
        </w:tc>
        <w:tc>
          <w:tcPr>
            <w:tcW w:w="140" w:type="dxa"/>
            <w:vAlign w:val="bottom"/>
          </w:tcPr>
          <w:p>
            <w:pPr>
              <w:spacing w:after="0"/>
              <w:rPr>
                <w:sz w:val="17"/>
                <w:szCs w:val="17"/>
                <w:color w:val="auto"/>
              </w:rPr>
            </w:pP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1,239</w:t>
            </w: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15"/>
        </w:trPr>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21,891</w:t>
            </w:r>
          </w:p>
        </w:tc>
        <w:tc>
          <w:tcPr>
            <w:tcW w:w="140" w:type="dxa"/>
            <w:vAlign w:val="bottom"/>
          </w:tcPr>
          <w:p>
            <w:pPr>
              <w:spacing w:after="0"/>
              <w:rPr>
                <w:sz w:val="10"/>
                <w:szCs w:val="10"/>
                <w:color w:val="auto"/>
              </w:rPr>
            </w:pPr>
          </w:p>
        </w:tc>
        <w:tc>
          <w:tcPr>
            <w:tcW w:w="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21,964</w:t>
            </w:r>
          </w:p>
        </w:tc>
        <w:tc>
          <w:tcPr>
            <w:tcW w:w="100" w:type="dxa"/>
            <w:vAlign w:val="bottom"/>
          </w:tcPr>
          <w:p>
            <w:pPr>
              <w:spacing w:after="0"/>
              <w:rPr>
                <w:sz w:val="10"/>
                <w:szCs w:val="10"/>
                <w:color w:val="auto"/>
              </w:rPr>
            </w:pPr>
          </w:p>
        </w:tc>
        <w:tc>
          <w:tcPr>
            <w:tcW w:w="440" w:type="dxa"/>
            <w:vAlign w:val="bottom"/>
            <w:gridSpan w:val="2"/>
          </w:tcPr>
          <w:p>
            <w:pPr>
              <w:jc w:val="right"/>
              <w:spacing w:after="0" w:line="113" w:lineRule="exact"/>
              <w:rPr>
                <w:sz w:val="20"/>
                <w:szCs w:val="20"/>
                <w:color w:val="auto"/>
              </w:rPr>
            </w:pPr>
            <w:r>
              <w:rPr>
                <w:rFonts w:ascii="Times New Roman" w:cs="Times New Roman" w:eastAsia="Times New Roman" w:hAnsi="Times New Roman"/>
                <w:sz w:val="10"/>
                <w:szCs w:val="10"/>
                <w:color w:val="auto"/>
              </w:rPr>
              <w:t>3%</w:t>
            </w:r>
          </w:p>
        </w:tc>
      </w:tr>
      <w:tr>
        <w:trPr>
          <w:trHeight w:val="291"/>
        </w:trPr>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0.00%/14.50%</w:t>
            </w: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10/1/2021</w:t>
            </w: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12/31/2028</w:t>
            </w:r>
          </w:p>
        </w:tc>
        <w:tc>
          <w:tcPr>
            <w:tcW w:w="42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941</w:t>
            </w:r>
          </w:p>
        </w:tc>
        <w:tc>
          <w:tcPr>
            <w:tcW w:w="3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939</w:t>
            </w:r>
          </w:p>
        </w:tc>
        <w:tc>
          <w:tcPr>
            <w:tcW w:w="140" w:type="dxa"/>
            <w:vAlign w:val="bottom"/>
          </w:tcPr>
          <w:p>
            <w:pPr>
              <w:spacing w:after="0"/>
              <w:rPr>
                <w:sz w:val="24"/>
                <w:szCs w:val="24"/>
                <w:color w:val="auto"/>
              </w:rPr>
            </w:pP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941</w:t>
            </w: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25"/>
        </w:trPr>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0.00%/14.50%</w:t>
            </w: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12/30/2024</w:t>
            </w: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12/31/2028</w:t>
            </w:r>
          </w:p>
        </w:tc>
        <w:tc>
          <w:tcPr>
            <w:tcW w:w="42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2,066</w:t>
            </w:r>
          </w:p>
        </w:tc>
        <w:tc>
          <w:tcPr>
            <w:tcW w:w="3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2,065</w:t>
            </w:r>
          </w:p>
        </w:tc>
        <w:tc>
          <w:tcPr>
            <w:tcW w:w="140" w:type="dxa"/>
            <w:vAlign w:val="bottom"/>
          </w:tcPr>
          <w:p>
            <w:pPr>
              <w:spacing w:after="0"/>
              <w:rPr>
                <w:sz w:val="10"/>
                <w:szCs w:val="10"/>
                <w:color w:val="auto"/>
              </w:rPr>
            </w:pP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2,066</w:t>
            </w: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202"/>
        </w:trPr>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0.2%</w:t>
            </w: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10/1/2021</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253</w:t>
            </w:r>
          </w:p>
        </w:tc>
        <w:tc>
          <w:tcPr>
            <w:tcW w:w="140" w:type="dxa"/>
            <w:vAlign w:val="bottom"/>
          </w:tcPr>
          <w:p>
            <w:pPr>
              <w:spacing w:after="0"/>
              <w:rPr>
                <w:sz w:val="17"/>
                <w:szCs w:val="17"/>
                <w:color w:val="auto"/>
              </w:rPr>
            </w:pPr>
          </w:p>
        </w:tc>
        <w:tc>
          <w:tcPr>
            <w:tcW w:w="420" w:type="dxa"/>
            <w:vAlign w:val="bottom"/>
            <w:gridSpan w:val="2"/>
          </w:tcPr>
          <w:p>
            <w:pPr>
              <w:ind w:left="180"/>
              <w:spacing w:after="0"/>
              <w:rPr>
                <w:sz w:val="20"/>
                <w:szCs w:val="20"/>
                <w:color w:val="auto"/>
              </w:rPr>
            </w:pPr>
            <w:r>
              <w:rPr>
                <w:rFonts w:ascii="Times New Roman" w:cs="Times New Roman" w:eastAsia="Times New Roman" w:hAnsi="Times New Roman"/>
                <w:sz w:val="10"/>
                <w:szCs w:val="10"/>
                <w:color w:val="auto"/>
              </w:rPr>
              <w:t>— </w:t>
            </w: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15"/>
        </w:trPr>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3,257</w:t>
            </w:r>
          </w:p>
        </w:tc>
        <w:tc>
          <w:tcPr>
            <w:tcW w:w="140" w:type="dxa"/>
            <w:vAlign w:val="bottom"/>
          </w:tcPr>
          <w:p>
            <w:pPr>
              <w:spacing w:after="0"/>
              <w:rPr>
                <w:sz w:val="10"/>
                <w:szCs w:val="10"/>
                <w:color w:val="auto"/>
              </w:rPr>
            </w:pPr>
          </w:p>
        </w:tc>
        <w:tc>
          <w:tcPr>
            <w:tcW w:w="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3,007</w:t>
            </w:r>
          </w:p>
        </w:tc>
        <w:tc>
          <w:tcPr>
            <w:tcW w:w="100" w:type="dxa"/>
            <w:vAlign w:val="bottom"/>
          </w:tcPr>
          <w:p>
            <w:pPr>
              <w:spacing w:after="0"/>
              <w:rPr>
                <w:sz w:val="10"/>
                <w:szCs w:val="10"/>
                <w:color w:val="auto"/>
              </w:rPr>
            </w:pPr>
          </w:p>
        </w:tc>
        <w:tc>
          <w:tcPr>
            <w:tcW w:w="440" w:type="dxa"/>
            <w:vAlign w:val="bottom"/>
            <w:gridSpan w:val="2"/>
          </w:tcPr>
          <w:p>
            <w:pPr>
              <w:jc w:val="right"/>
              <w:spacing w:after="0" w:line="113" w:lineRule="exact"/>
              <w:rPr>
                <w:sz w:val="20"/>
                <w:szCs w:val="20"/>
                <w:color w:val="auto"/>
              </w:rPr>
            </w:pPr>
            <w:r>
              <w:rPr>
                <w:rFonts w:ascii="Times New Roman" w:cs="Times New Roman" w:eastAsia="Times New Roman" w:hAnsi="Times New Roman"/>
                <w:sz w:val="10"/>
                <w:szCs w:val="10"/>
                <w:color w:val="auto"/>
              </w:rPr>
              <w:t>0%</w:t>
            </w:r>
          </w:p>
        </w:tc>
      </w:tr>
      <w:tr>
        <w:trPr>
          <w:trHeight w:val="416"/>
        </w:trPr>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gridSpan w:val="2"/>
          </w:tcPr>
          <w:p>
            <w:pPr>
              <w:jc w:val="center"/>
              <w:ind w:right="60"/>
              <w:spacing w:after="0"/>
              <w:rPr>
                <w:sz w:val="20"/>
                <w:szCs w:val="20"/>
                <w:color w:val="auto"/>
              </w:rPr>
            </w:pPr>
            <w:r>
              <w:rPr>
                <w:rFonts w:ascii="Times New Roman" w:cs="Times New Roman" w:eastAsia="Times New Roman" w:hAnsi="Times New Roman"/>
                <w:sz w:val="10"/>
                <w:szCs w:val="10"/>
                <w:color w:val="auto"/>
                <w:w w:val="98"/>
              </w:rPr>
              <w:t>(S + 6.50%) / (2.00%)</w:t>
            </w: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10.16%/0.00%</w:t>
            </w: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10/24/2024</w:t>
            </w: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10/24/2029</w:t>
            </w:r>
          </w:p>
        </w:tc>
        <w:tc>
          <w:tcPr>
            <w:tcW w:w="42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13,600</w:t>
            </w:r>
          </w:p>
        </w:tc>
        <w:tc>
          <w:tcPr>
            <w:tcW w:w="3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13,551</w:t>
            </w:r>
          </w:p>
        </w:tc>
        <w:tc>
          <w:tcPr>
            <w:tcW w:w="140" w:type="dxa"/>
            <w:vAlign w:val="bottom"/>
          </w:tcPr>
          <w:p>
            <w:pPr>
              <w:spacing w:after="0"/>
              <w:rPr>
                <w:sz w:val="24"/>
                <w:szCs w:val="24"/>
                <w:color w:val="auto"/>
              </w:rPr>
            </w:pP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13,600</w:t>
            </w: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14"/>
        </w:trPr>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gridSpan w:val="2"/>
          </w:tcPr>
          <w:p>
            <w:pPr>
              <w:jc w:val="center"/>
              <w:ind w:right="60"/>
              <w:spacing w:after="0"/>
              <w:rPr>
                <w:sz w:val="20"/>
                <w:szCs w:val="20"/>
                <w:color w:val="auto"/>
              </w:rPr>
            </w:pPr>
            <w:r>
              <w:rPr>
                <w:rFonts w:ascii="Times New Roman" w:cs="Times New Roman" w:eastAsia="Times New Roman" w:hAnsi="Times New Roman"/>
                <w:sz w:val="10"/>
                <w:szCs w:val="10"/>
                <w:color w:val="auto"/>
                <w:w w:val="98"/>
              </w:rPr>
              <w:t>(S + 6.50%) / (2.00%)</w:t>
            </w: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10.16%/0.00%</w:t>
            </w: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10/24/2024</w:t>
            </w: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10/24/2029</w:t>
            </w:r>
          </w:p>
        </w:tc>
        <w:tc>
          <w:tcPr>
            <w:tcW w:w="42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— </w:t>
            </w: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(3)</w:t>
            </w:r>
          </w:p>
        </w:tc>
        <w:tc>
          <w:tcPr>
            <w:tcW w:w="420" w:type="dxa"/>
            <w:vAlign w:val="bottom"/>
            <w:gridSpan w:val="2"/>
          </w:tcPr>
          <w:p>
            <w:pPr>
              <w:ind w:left="180"/>
              <w:spacing w:after="0"/>
              <w:rPr>
                <w:sz w:val="20"/>
                <w:szCs w:val="20"/>
                <w:color w:val="auto"/>
              </w:rPr>
            </w:pPr>
            <w:r>
              <w:rPr>
                <w:rFonts w:ascii="Times New Roman" w:cs="Times New Roman" w:eastAsia="Times New Roman" w:hAnsi="Times New Roman"/>
                <w:sz w:val="10"/>
                <w:szCs w:val="10"/>
                <w:color w:val="auto"/>
              </w:rPr>
              <w:t>— </w:t>
            </w: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02"/>
        </w:trPr>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1.0%</w:t>
            </w: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10/25/2024</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1,148</w:t>
            </w:r>
          </w:p>
        </w:tc>
        <w:tc>
          <w:tcPr>
            <w:tcW w:w="140" w:type="dxa"/>
            <w:vAlign w:val="bottom"/>
          </w:tcPr>
          <w:p>
            <w:pPr>
              <w:spacing w:after="0"/>
              <w:rPr>
                <w:sz w:val="17"/>
                <w:szCs w:val="17"/>
                <w:color w:val="auto"/>
              </w:rPr>
            </w:pP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1,282</w:t>
            </w: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15"/>
        </w:trPr>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14,696</w:t>
            </w:r>
          </w:p>
        </w:tc>
        <w:tc>
          <w:tcPr>
            <w:tcW w:w="140" w:type="dxa"/>
            <w:vAlign w:val="bottom"/>
          </w:tcPr>
          <w:p>
            <w:pPr>
              <w:spacing w:after="0"/>
              <w:rPr>
                <w:sz w:val="10"/>
                <w:szCs w:val="10"/>
                <w:color w:val="auto"/>
              </w:rPr>
            </w:pPr>
          </w:p>
        </w:tc>
        <w:tc>
          <w:tcPr>
            <w:tcW w:w="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14,882</w:t>
            </w:r>
          </w:p>
        </w:tc>
        <w:tc>
          <w:tcPr>
            <w:tcW w:w="100" w:type="dxa"/>
            <w:vAlign w:val="bottom"/>
          </w:tcPr>
          <w:p>
            <w:pPr>
              <w:spacing w:after="0"/>
              <w:rPr>
                <w:sz w:val="10"/>
                <w:szCs w:val="10"/>
                <w:color w:val="auto"/>
              </w:rPr>
            </w:pPr>
          </w:p>
        </w:tc>
        <w:tc>
          <w:tcPr>
            <w:tcW w:w="440" w:type="dxa"/>
            <w:vAlign w:val="bottom"/>
            <w:gridSpan w:val="2"/>
          </w:tcPr>
          <w:p>
            <w:pPr>
              <w:jc w:val="right"/>
              <w:spacing w:after="0" w:line="113" w:lineRule="exact"/>
              <w:rPr>
                <w:sz w:val="20"/>
                <w:szCs w:val="20"/>
                <w:color w:val="auto"/>
              </w:rPr>
            </w:pPr>
            <w:r>
              <w:rPr>
                <w:rFonts w:ascii="Times New Roman" w:cs="Times New Roman" w:eastAsia="Times New Roman" w:hAnsi="Times New Roman"/>
                <w:sz w:val="10"/>
                <w:szCs w:val="10"/>
                <w:color w:val="auto"/>
              </w:rPr>
              <w:t>2%</w:t>
            </w:r>
          </w:p>
        </w:tc>
      </w:tr>
      <w:tr>
        <w:trPr>
          <w:trHeight w:val="311"/>
        </w:trPr>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gridSpan w:val="2"/>
          </w:tcPr>
          <w:p>
            <w:pPr>
              <w:jc w:val="center"/>
              <w:ind w:right="60"/>
              <w:spacing w:after="0"/>
              <w:rPr>
                <w:sz w:val="20"/>
                <w:szCs w:val="20"/>
                <w:color w:val="auto"/>
              </w:rPr>
            </w:pPr>
            <w:r>
              <w:rPr>
                <w:rFonts w:ascii="Times New Roman" w:cs="Times New Roman" w:eastAsia="Times New Roman" w:hAnsi="Times New Roman"/>
                <w:sz w:val="10"/>
                <w:szCs w:val="10"/>
                <w:color w:val="auto"/>
                <w:w w:val="98"/>
              </w:rPr>
              <w:t>(S + 5.25%) / (0.75%)</w:t>
            </w: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8.94%/0.00%</w:t>
            </w: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12/12/2025</w:t>
            </w:r>
          </w:p>
        </w:tc>
        <w:tc>
          <w:tcPr>
            <w:tcW w:w="4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11/9/2029</w:t>
            </w:r>
          </w:p>
        </w:tc>
        <w:tc>
          <w:tcPr>
            <w:tcW w:w="100" w:type="dxa"/>
            <w:vAlign w:val="bottom"/>
          </w:tcPr>
          <w:p>
            <w:pPr>
              <w:spacing w:after="0"/>
              <w:rPr>
                <w:sz w:val="24"/>
                <w:szCs w:val="24"/>
                <w:color w:val="auto"/>
              </w:rPr>
            </w:pPr>
          </w:p>
        </w:tc>
        <w:tc>
          <w:tcPr>
            <w:tcW w:w="42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9,954</w:t>
            </w:r>
          </w:p>
        </w:tc>
        <w:tc>
          <w:tcPr>
            <w:tcW w:w="3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9,908</w:t>
            </w:r>
          </w:p>
        </w:tc>
        <w:tc>
          <w:tcPr>
            <w:tcW w:w="140" w:type="dxa"/>
            <w:vAlign w:val="bottom"/>
          </w:tcPr>
          <w:p>
            <w:pPr>
              <w:spacing w:after="0"/>
              <w:rPr>
                <w:sz w:val="24"/>
                <w:szCs w:val="24"/>
                <w:color w:val="auto"/>
              </w:rPr>
            </w:pP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9,908</w:t>
            </w: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02"/>
        </w:trPr>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0.2%</w:t>
            </w: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11/9/2023</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1,300</w:t>
            </w:r>
          </w:p>
        </w:tc>
        <w:tc>
          <w:tcPr>
            <w:tcW w:w="140" w:type="dxa"/>
            <w:vAlign w:val="bottom"/>
          </w:tcPr>
          <w:p>
            <w:pPr>
              <w:spacing w:after="0"/>
              <w:rPr>
                <w:sz w:val="17"/>
                <w:szCs w:val="17"/>
                <w:color w:val="auto"/>
              </w:rPr>
            </w:pP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2,037</w:t>
            </w: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15"/>
        </w:trPr>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11,208</w:t>
            </w:r>
          </w:p>
        </w:tc>
        <w:tc>
          <w:tcPr>
            <w:tcW w:w="140" w:type="dxa"/>
            <w:vAlign w:val="bottom"/>
          </w:tcPr>
          <w:p>
            <w:pPr>
              <w:spacing w:after="0"/>
              <w:rPr>
                <w:sz w:val="10"/>
                <w:szCs w:val="10"/>
                <w:color w:val="auto"/>
              </w:rPr>
            </w:pPr>
          </w:p>
        </w:tc>
        <w:tc>
          <w:tcPr>
            <w:tcW w:w="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11,945</w:t>
            </w:r>
          </w:p>
        </w:tc>
        <w:tc>
          <w:tcPr>
            <w:tcW w:w="100" w:type="dxa"/>
            <w:vAlign w:val="bottom"/>
          </w:tcPr>
          <w:p>
            <w:pPr>
              <w:spacing w:after="0"/>
              <w:rPr>
                <w:sz w:val="10"/>
                <w:szCs w:val="10"/>
                <w:color w:val="auto"/>
              </w:rPr>
            </w:pPr>
          </w:p>
        </w:tc>
        <w:tc>
          <w:tcPr>
            <w:tcW w:w="440" w:type="dxa"/>
            <w:vAlign w:val="bottom"/>
            <w:gridSpan w:val="2"/>
          </w:tcPr>
          <w:p>
            <w:pPr>
              <w:jc w:val="right"/>
              <w:spacing w:after="0" w:line="113" w:lineRule="exact"/>
              <w:rPr>
                <w:sz w:val="20"/>
                <w:szCs w:val="20"/>
                <w:color w:val="auto"/>
              </w:rPr>
            </w:pPr>
            <w:r>
              <w:rPr>
                <w:rFonts w:ascii="Times New Roman" w:cs="Times New Roman" w:eastAsia="Times New Roman" w:hAnsi="Times New Roman"/>
                <w:sz w:val="10"/>
                <w:szCs w:val="10"/>
                <w:color w:val="auto"/>
              </w:rPr>
              <w:t>2%</w:t>
            </w:r>
          </w:p>
        </w:tc>
      </w:tr>
      <w:tr>
        <w:trPr>
          <w:trHeight w:val="291"/>
        </w:trPr>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gridSpan w:val="2"/>
          </w:tcPr>
          <w:p>
            <w:pPr>
              <w:jc w:val="center"/>
              <w:ind w:right="60"/>
              <w:spacing w:after="0"/>
              <w:rPr>
                <w:sz w:val="20"/>
                <w:szCs w:val="20"/>
                <w:color w:val="auto"/>
              </w:rPr>
            </w:pPr>
            <w:r>
              <w:rPr>
                <w:rFonts w:ascii="Times New Roman" w:cs="Times New Roman" w:eastAsia="Times New Roman" w:hAnsi="Times New Roman"/>
                <w:sz w:val="10"/>
                <w:szCs w:val="10"/>
                <w:color w:val="auto"/>
                <w:w w:val="98"/>
              </w:rPr>
              <w:t>(S + 6.00%) / (2.00%)</w:t>
            </w: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9.67%/0.00%</w:t>
            </w: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11/27/2024</w:t>
            </w: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12/22/2029</w:t>
            </w:r>
          </w:p>
        </w:tc>
        <w:tc>
          <w:tcPr>
            <w:tcW w:w="42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32,795</w:t>
            </w:r>
          </w:p>
        </w:tc>
        <w:tc>
          <w:tcPr>
            <w:tcW w:w="3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32,773</w:t>
            </w:r>
          </w:p>
        </w:tc>
        <w:tc>
          <w:tcPr>
            <w:tcW w:w="140" w:type="dxa"/>
            <w:vAlign w:val="bottom"/>
          </w:tcPr>
          <w:p>
            <w:pPr>
              <w:spacing w:after="0"/>
              <w:rPr>
                <w:sz w:val="24"/>
                <w:szCs w:val="24"/>
                <w:color w:val="auto"/>
              </w:rPr>
            </w:pP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29,719</w:t>
            </w: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25"/>
        </w:trPr>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40" w:type="dxa"/>
            <w:vAlign w:val="bottom"/>
            <w:gridSpan w:val="2"/>
          </w:tcPr>
          <w:p>
            <w:pPr>
              <w:jc w:val="center"/>
              <w:ind w:right="60"/>
              <w:spacing w:after="0"/>
              <w:rPr>
                <w:sz w:val="20"/>
                <w:szCs w:val="20"/>
                <w:color w:val="auto"/>
              </w:rPr>
            </w:pPr>
            <w:r>
              <w:rPr>
                <w:rFonts w:ascii="Times New Roman" w:cs="Times New Roman" w:eastAsia="Times New Roman" w:hAnsi="Times New Roman"/>
                <w:sz w:val="10"/>
                <w:szCs w:val="10"/>
                <w:color w:val="auto"/>
                <w:w w:val="98"/>
              </w:rPr>
              <w:t>(S + 6.00%) / (2.00%)</w:t>
            </w: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6.92%/0.00%</w:t>
            </w: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7/14/2025</w:t>
            </w: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12/22/2029</w:t>
            </w:r>
          </w:p>
        </w:tc>
        <w:tc>
          <w:tcPr>
            <w:tcW w:w="42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5</w:t>
            </w:r>
          </w:p>
        </w:tc>
        <w:tc>
          <w:tcPr>
            <w:tcW w:w="3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w:t>
            </w:r>
          </w:p>
        </w:tc>
        <w:tc>
          <w:tcPr>
            <w:tcW w:w="140" w:type="dxa"/>
            <w:vAlign w:val="bottom"/>
          </w:tcPr>
          <w:p>
            <w:pPr>
              <w:spacing w:after="0"/>
              <w:rPr>
                <w:sz w:val="10"/>
                <w:szCs w:val="10"/>
                <w:color w:val="auto"/>
              </w:rPr>
            </w:pP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5</w:t>
            </w: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209"/>
        </w:trPr>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0.6%</w:t>
            </w: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12/22/2023</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w:t>
            </w:r>
          </w:p>
        </w:tc>
        <w:tc>
          <w:tcPr>
            <w:tcW w:w="140" w:type="dxa"/>
            <w:vAlign w:val="bottom"/>
          </w:tcPr>
          <w:p>
            <w:pPr>
              <w:spacing w:after="0"/>
              <w:rPr>
                <w:sz w:val="18"/>
                <w:szCs w:val="18"/>
                <w:color w:val="auto"/>
              </w:rPr>
            </w:pPr>
          </w:p>
        </w:tc>
        <w:tc>
          <w:tcPr>
            <w:tcW w:w="420" w:type="dxa"/>
            <w:vAlign w:val="bottom"/>
            <w:gridSpan w:val="2"/>
          </w:tcPr>
          <w:p>
            <w:pPr>
              <w:ind w:left="180"/>
              <w:spacing w:after="0"/>
              <w:rPr>
                <w:sz w:val="20"/>
                <w:szCs w:val="20"/>
                <w:color w:val="auto"/>
              </w:rPr>
            </w:pPr>
            <w:r>
              <w:rPr>
                <w:rFonts w:ascii="Times New Roman" w:cs="Times New Roman" w:eastAsia="Times New Roman" w:hAnsi="Times New Roman"/>
                <w:sz w:val="10"/>
                <w:szCs w:val="10"/>
                <w:color w:val="auto"/>
              </w:rPr>
              <w:t>— </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9"/>
        </w:trPr>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0.0%</w:t>
            </w: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12/22/2023</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2,014</w:t>
            </w:r>
          </w:p>
        </w:tc>
        <w:tc>
          <w:tcPr>
            <w:tcW w:w="140" w:type="dxa"/>
            <w:vAlign w:val="bottom"/>
          </w:tcPr>
          <w:p>
            <w:pPr>
              <w:spacing w:after="0"/>
              <w:rPr>
                <w:sz w:val="18"/>
                <w:szCs w:val="18"/>
                <w:color w:val="auto"/>
              </w:rPr>
            </w:pPr>
          </w:p>
        </w:tc>
        <w:tc>
          <w:tcPr>
            <w:tcW w:w="420" w:type="dxa"/>
            <w:vAlign w:val="bottom"/>
            <w:gridSpan w:val="2"/>
          </w:tcPr>
          <w:p>
            <w:pPr>
              <w:ind w:left="180"/>
              <w:spacing w:after="0"/>
              <w:rPr>
                <w:sz w:val="20"/>
                <w:szCs w:val="20"/>
                <w:color w:val="auto"/>
              </w:rPr>
            </w:pPr>
            <w:r>
              <w:rPr>
                <w:rFonts w:ascii="Times New Roman" w:cs="Times New Roman" w:eastAsia="Times New Roman" w:hAnsi="Times New Roman"/>
                <w:sz w:val="10"/>
                <w:szCs w:val="10"/>
                <w:color w:val="auto"/>
              </w:rPr>
              <w:t>— </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2"/>
        </w:trPr>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0.0%</w:t>
            </w: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2/18/2026</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137</w:t>
            </w:r>
          </w:p>
        </w:tc>
        <w:tc>
          <w:tcPr>
            <w:tcW w:w="140" w:type="dxa"/>
            <w:vAlign w:val="bottom"/>
          </w:tcPr>
          <w:p>
            <w:pPr>
              <w:spacing w:after="0"/>
              <w:rPr>
                <w:sz w:val="17"/>
                <w:szCs w:val="17"/>
                <w:color w:val="auto"/>
              </w:rPr>
            </w:pP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842</w:t>
            </w: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15"/>
        </w:trPr>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34,941</w:t>
            </w:r>
          </w:p>
        </w:tc>
        <w:tc>
          <w:tcPr>
            <w:tcW w:w="140" w:type="dxa"/>
            <w:vAlign w:val="bottom"/>
          </w:tcPr>
          <w:p>
            <w:pPr>
              <w:spacing w:after="0"/>
              <w:rPr>
                <w:sz w:val="10"/>
                <w:szCs w:val="10"/>
                <w:color w:val="auto"/>
              </w:rPr>
            </w:pPr>
          </w:p>
        </w:tc>
        <w:tc>
          <w:tcPr>
            <w:tcW w:w="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30,566</w:t>
            </w:r>
          </w:p>
        </w:tc>
        <w:tc>
          <w:tcPr>
            <w:tcW w:w="100" w:type="dxa"/>
            <w:vAlign w:val="bottom"/>
          </w:tcPr>
          <w:p>
            <w:pPr>
              <w:spacing w:after="0"/>
              <w:rPr>
                <w:sz w:val="10"/>
                <w:szCs w:val="10"/>
                <w:color w:val="auto"/>
              </w:rPr>
            </w:pPr>
          </w:p>
        </w:tc>
        <w:tc>
          <w:tcPr>
            <w:tcW w:w="440" w:type="dxa"/>
            <w:vAlign w:val="bottom"/>
            <w:gridSpan w:val="2"/>
          </w:tcPr>
          <w:p>
            <w:pPr>
              <w:jc w:val="right"/>
              <w:spacing w:after="0" w:line="113" w:lineRule="exact"/>
              <w:rPr>
                <w:sz w:val="20"/>
                <w:szCs w:val="20"/>
                <w:color w:val="auto"/>
              </w:rPr>
            </w:pPr>
            <w:r>
              <w:rPr>
                <w:rFonts w:ascii="Times New Roman" w:cs="Times New Roman" w:eastAsia="Times New Roman" w:hAnsi="Times New Roman"/>
                <w:sz w:val="10"/>
                <w:szCs w:val="10"/>
                <w:color w:val="auto"/>
              </w:rPr>
              <w:t>4%</w:t>
            </w:r>
          </w:p>
        </w:tc>
      </w:tr>
      <w:tr>
        <w:trPr>
          <w:trHeight w:val="416"/>
        </w:trPr>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11.75%/0.00%</w:t>
            </w: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11/17/2021</w:t>
            </w: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11/17/2028</w:t>
            </w:r>
          </w:p>
        </w:tc>
        <w:tc>
          <w:tcPr>
            <w:tcW w:w="42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17,667</w:t>
            </w:r>
          </w:p>
        </w:tc>
        <w:tc>
          <w:tcPr>
            <w:tcW w:w="3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17,595</w:t>
            </w:r>
          </w:p>
        </w:tc>
        <w:tc>
          <w:tcPr>
            <w:tcW w:w="140" w:type="dxa"/>
            <w:vAlign w:val="bottom"/>
          </w:tcPr>
          <w:p>
            <w:pPr>
              <w:spacing w:after="0"/>
              <w:rPr>
                <w:sz w:val="24"/>
                <w:szCs w:val="24"/>
                <w:color w:val="auto"/>
              </w:rPr>
            </w:pP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17,666</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2%</w:t>
            </w:r>
          </w:p>
        </w:tc>
      </w:tr>
      <w:tr>
        <w:trPr>
          <w:trHeight w:val="398"/>
        </w:trPr>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4.6%</w:t>
            </w: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3/12/2019</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478</w:t>
            </w:r>
          </w:p>
        </w:tc>
        <w:tc>
          <w:tcPr>
            <w:tcW w:w="140" w:type="dxa"/>
            <w:vAlign w:val="bottom"/>
          </w:tcPr>
          <w:p>
            <w:pPr>
              <w:spacing w:after="0"/>
              <w:rPr>
                <w:sz w:val="24"/>
                <w:szCs w:val="24"/>
                <w:color w:val="auto"/>
              </w:rPr>
            </w:pP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378</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0%</w:t>
            </w:r>
          </w:p>
        </w:tc>
      </w:tr>
      <w:tr>
        <w:trPr>
          <w:trHeight w:val="293"/>
        </w:trPr>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gridSpan w:val="2"/>
          </w:tcPr>
          <w:p>
            <w:pPr>
              <w:jc w:val="center"/>
              <w:ind w:right="60"/>
              <w:spacing w:after="0"/>
              <w:rPr>
                <w:sz w:val="20"/>
                <w:szCs w:val="20"/>
                <w:color w:val="auto"/>
              </w:rPr>
            </w:pPr>
            <w:r>
              <w:rPr>
                <w:rFonts w:ascii="Times New Roman" w:cs="Times New Roman" w:eastAsia="Times New Roman" w:hAnsi="Times New Roman"/>
                <w:sz w:val="10"/>
                <w:szCs w:val="10"/>
                <w:color w:val="auto"/>
                <w:w w:val="98"/>
              </w:rPr>
              <w:t>(S + 5.75%) / (2.00%)</w:t>
            </w: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9.41%/0.00%</w:t>
            </w: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10/1/2025</w:t>
            </w: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10/1/2030</w:t>
            </w:r>
          </w:p>
        </w:tc>
        <w:tc>
          <w:tcPr>
            <w:tcW w:w="42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16,000</w:t>
            </w:r>
          </w:p>
        </w:tc>
        <w:tc>
          <w:tcPr>
            <w:tcW w:w="3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15,892</w:t>
            </w:r>
          </w:p>
        </w:tc>
        <w:tc>
          <w:tcPr>
            <w:tcW w:w="140" w:type="dxa"/>
            <w:vAlign w:val="bottom"/>
          </w:tcPr>
          <w:p>
            <w:pPr>
              <w:spacing w:after="0"/>
              <w:rPr>
                <w:sz w:val="24"/>
                <w:szCs w:val="24"/>
                <w:color w:val="auto"/>
              </w:rPr>
            </w:pP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15,892</w:t>
            </w: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07"/>
        </w:trPr>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2.6%</w:t>
            </w: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10/1/2025</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1,000</w:t>
            </w:r>
          </w:p>
        </w:tc>
        <w:tc>
          <w:tcPr>
            <w:tcW w:w="140" w:type="dxa"/>
            <w:vAlign w:val="bottom"/>
          </w:tcPr>
          <w:p>
            <w:pPr>
              <w:spacing w:after="0"/>
              <w:rPr>
                <w:sz w:val="24"/>
                <w:szCs w:val="24"/>
                <w:color w:val="auto"/>
              </w:rPr>
            </w:pP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1,000</w:t>
            </w: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15"/>
        </w:trPr>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16,892</w:t>
            </w:r>
          </w:p>
        </w:tc>
        <w:tc>
          <w:tcPr>
            <w:tcW w:w="140" w:type="dxa"/>
            <w:vAlign w:val="bottom"/>
          </w:tcPr>
          <w:p>
            <w:pPr>
              <w:spacing w:after="0"/>
              <w:rPr>
                <w:sz w:val="10"/>
                <w:szCs w:val="10"/>
                <w:color w:val="auto"/>
              </w:rPr>
            </w:pPr>
          </w:p>
        </w:tc>
        <w:tc>
          <w:tcPr>
            <w:tcW w:w="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16,892</w:t>
            </w:r>
          </w:p>
        </w:tc>
        <w:tc>
          <w:tcPr>
            <w:tcW w:w="100" w:type="dxa"/>
            <w:vAlign w:val="bottom"/>
          </w:tcPr>
          <w:p>
            <w:pPr>
              <w:spacing w:after="0"/>
              <w:rPr>
                <w:sz w:val="10"/>
                <w:szCs w:val="10"/>
                <w:color w:val="auto"/>
              </w:rPr>
            </w:pPr>
          </w:p>
        </w:tc>
        <w:tc>
          <w:tcPr>
            <w:tcW w:w="440" w:type="dxa"/>
            <w:vAlign w:val="bottom"/>
            <w:gridSpan w:val="2"/>
          </w:tcPr>
          <w:p>
            <w:pPr>
              <w:jc w:val="right"/>
              <w:spacing w:after="0" w:line="113" w:lineRule="exact"/>
              <w:rPr>
                <w:sz w:val="20"/>
                <w:szCs w:val="20"/>
                <w:color w:val="auto"/>
              </w:rPr>
            </w:pPr>
            <w:r>
              <w:rPr>
                <w:rFonts w:ascii="Times New Roman" w:cs="Times New Roman" w:eastAsia="Times New Roman" w:hAnsi="Times New Roman"/>
                <w:sz w:val="10"/>
                <w:szCs w:val="10"/>
                <w:color w:val="auto"/>
              </w:rPr>
              <w:t>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-2059940</wp:posOffset>
            </wp:positionH>
            <wp:positionV relativeFrom="paragraph">
              <wp:posOffset>-4244975</wp:posOffset>
            </wp:positionV>
            <wp:extent cx="5422265" cy="1397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1">
                      <a:extLst>
                        <a:ext uri="{28A0092B-C50C-407E-A947-70E740481C1C}"/>
                      </a:extLst>
                    </a:blip>
                    <a:srcRect/>
                    <a:stretch>
                      <a:fillRect/>
                    </a:stretch>
                  </pic:blipFill>
                  <pic:spPr bwMode="auto">
                    <a:xfrm>
                      <a:off x="0" y="0"/>
                      <a:ext cx="5422265" cy="139700"/>
                    </a:xfrm>
                    <a:prstGeom prst="rect">
                      <a:avLst/>
                    </a:prstGeom>
                    <a:noFill/>
                  </pic:spPr>
                </pic:pic>
              </a:graphicData>
            </a:graphic>
          </wp:anchor>
        </w:drawing>
        <w:drawing>
          <wp:anchor simplePos="0" relativeHeight="251657728" behindDoc="1" locked="0" layoutInCell="0" allowOverlap="1">
            <wp:simplePos x="0" y="0"/>
            <wp:positionH relativeFrom="column">
              <wp:posOffset>-2059940</wp:posOffset>
            </wp:positionH>
            <wp:positionV relativeFrom="paragraph">
              <wp:posOffset>-3912870</wp:posOffset>
            </wp:positionV>
            <wp:extent cx="5422265" cy="1993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2">
                      <a:extLst>
                        <a:ext uri="{28A0092B-C50C-407E-A947-70E740481C1C}"/>
                      </a:extLst>
                    </a:blip>
                    <a:srcRect/>
                    <a:stretch>
                      <a:fillRect/>
                    </a:stretch>
                  </pic:blipFill>
                  <pic:spPr bwMode="auto">
                    <a:xfrm>
                      <a:off x="0" y="0"/>
                      <a:ext cx="5422265" cy="199390"/>
                    </a:xfrm>
                    <a:prstGeom prst="rect">
                      <a:avLst/>
                    </a:prstGeom>
                    <a:noFill/>
                  </pic:spPr>
                </pic:pic>
              </a:graphicData>
            </a:graphic>
          </wp:anchor>
        </w:drawing>
        <w:drawing>
          <wp:anchor simplePos="0" relativeHeight="251657728" behindDoc="1" locked="0" layoutInCell="0" allowOverlap="1">
            <wp:simplePos x="0" y="0"/>
            <wp:positionH relativeFrom="column">
              <wp:posOffset>-2059940</wp:posOffset>
            </wp:positionH>
            <wp:positionV relativeFrom="paragraph">
              <wp:posOffset>-3646805</wp:posOffset>
            </wp:positionV>
            <wp:extent cx="5422265" cy="13271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3">
                      <a:extLst>
                        <a:ext uri="{28A0092B-C50C-407E-A947-70E740481C1C}"/>
                      </a:extLst>
                    </a:blip>
                    <a:srcRect/>
                    <a:stretch>
                      <a:fillRect/>
                    </a:stretch>
                  </pic:blipFill>
                  <pic:spPr bwMode="auto">
                    <a:xfrm>
                      <a:off x="0" y="0"/>
                      <a:ext cx="5422265" cy="132715"/>
                    </a:xfrm>
                    <a:prstGeom prst="rect">
                      <a:avLst/>
                    </a:prstGeom>
                    <a:noFill/>
                  </pic:spPr>
                </pic:pic>
              </a:graphicData>
            </a:graphic>
          </wp:anchor>
        </w:drawing>
        <w:drawing>
          <wp:anchor simplePos="0" relativeHeight="251657728" behindDoc="1" locked="0" layoutInCell="0" allowOverlap="1">
            <wp:simplePos x="0" y="0"/>
            <wp:positionH relativeFrom="column">
              <wp:posOffset>-2059940</wp:posOffset>
            </wp:positionH>
            <wp:positionV relativeFrom="paragraph">
              <wp:posOffset>-3368040</wp:posOffset>
            </wp:positionV>
            <wp:extent cx="5422265" cy="6667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4">
                      <a:extLst>
                        <a:ext uri="{28A0092B-C50C-407E-A947-70E740481C1C}"/>
                      </a:extLst>
                    </a:blip>
                    <a:srcRect/>
                    <a:stretch>
                      <a:fillRect/>
                    </a:stretch>
                  </pic:blipFill>
                  <pic:spPr bwMode="auto">
                    <a:xfrm>
                      <a:off x="0" y="0"/>
                      <a:ext cx="5422265" cy="66675"/>
                    </a:xfrm>
                    <a:prstGeom prst="rect">
                      <a:avLst/>
                    </a:prstGeom>
                    <a:noFill/>
                  </pic:spPr>
                </pic:pic>
              </a:graphicData>
            </a:graphic>
          </wp:anchor>
        </w:drawing>
        <w:drawing>
          <wp:anchor simplePos="0" relativeHeight="251657728" behindDoc="1" locked="0" layoutInCell="0" allowOverlap="1">
            <wp:simplePos x="0" y="0"/>
            <wp:positionH relativeFrom="column">
              <wp:posOffset>-2059940</wp:posOffset>
            </wp:positionH>
            <wp:positionV relativeFrom="paragraph">
              <wp:posOffset>-3168650</wp:posOffset>
            </wp:positionV>
            <wp:extent cx="5422265" cy="6667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5">
                      <a:extLst>
                        <a:ext uri="{28A0092B-C50C-407E-A947-70E740481C1C}"/>
                      </a:extLst>
                    </a:blip>
                    <a:srcRect/>
                    <a:stretch>
                      <a:fillRect/>
                    </a:stretch>
                  </pic:blipFill>
                  <pic:spPr bwMode="auto">
                    <a:xfrm>
                      <a:off x="0" y="0"/>
                      <a:ext cx="5422265" cy="66675"/>
                    </a:xfrm>
                    <a:prstGeom prst="rect">
                      <a:avLst/>
                    </a:prstGeom>
                    <a:noFill/>
                  </pic:spPr>
                </pic:pic>
              </a:graphicData>
            </a:graphic>
          </wp:anchor>
        </w:drawing>
        <w:drawing>
          <wp:anchor simplePos="0" relativeHeight="251657728" behindDoc="1" locked="0" layoutInCell="0" allowOverlap="1">
            <wp:simplePos x="0" y="0"/>
            <wp:positionH relativeFrom="column">
              <wp:posOffset>-2059940</wp:posOffset>
            </wp:positionH>
            <wp:positionV relativeFrom="paragraph">
              <wp:posOffset>-3035935</wp:posOffset>
            </wp:positionV>
            <wp:extent cx="5422265" cy="13271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6">
                      <a:extLst>
                        <a:ext uri="{28A0092B-C50C-407E-A947-70E740481C1C}"/>
                      </a:extLst>
                    </a:blip>
                    <a:srcRect/>
                    <a:stretch>
                      <a:fillRect/>
                    </a:stretch>
                  </pic:blipFill>
                  <pic:spPr bwMode="auto">
                    <a:xfrm>
                      <a:off x="0" y="0"/>
                      <a:ext cx="5422265" cy="132715"/>
                    </a:xfrm>
                    <a:prstGeom prst="rect">
                      <a:avLst/>
                    </a:prstGeom>
                    <a:noFill/>
                  </pic:spPr>
                </pic:pic>
              </a:graphicData>
            </a:graphic>
          </wp:anchor>
        </w:drawing>
        <w:drawing>
          <wp:anchor simplePos="0" relativeHeight="251657728" behindDoc="1" locked="0" layoutInCell="0" allowOverlap="1">
            <wp:simplePos x="0" y="0"/>
            <wp:positionH relativeFrom="column">
              <wp:posOffset>-2059940</wp:posOffset>
            </wp:positionH>
            <wp:positionV relativeFrom="paragraph">
              <wp:posOffset>-2823210</wp:posOffset>
            </wp:positionV>
            <wp:extent cx="5422265" cy="13271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7">
                      <a:extLst>
                        <a:ext uri="{28A0092B-C50C-407E-A947-70E740481C1C}"/>
                      </a:extLst>
                    </a:blip>
                    <a:srcRect/>
                    <a:stretch>
                      <a:fillRect/>
                    </a:stretch>
                  </pic:blipFill>
                  <pic:spPr bwMode="auto">
                    <a:xfrm>
                      <a:off x="0" y="0"/>
                      <a:ext cx="5422265" cy="132715"/>
                    </a:xfrm>
                    <a:prstGeom prst="rect">
                      <a:avLst/>
                    </a:prstGeom>
                    <a:noFill/>
                  </pic:spPr>
                </pic:pic>
              </a:graphicData>
            </a:graphic>
          </wp:anchor>
        </w:drawing>
        <w:drawing>
          <wp:anchor simplePos="0" relativeHeight="251657728" behindDoc="1" locked="0" layoutInCell="0" allowOverlap="1">
            <wp:simplePos x="0" y="0"/>
            <wp:positionH relativeFrom="column">
              <wp:posOffset>-2059940</wp:posOffset>
            </wp:positionH>
            <wp:positionV relativeFrom="paragraph">
              <wp:posOffset>-2557145</wp:posOffset>
            </wp:positionV>
            <wp:extent cx="5422265" cy="1993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8">
                      <a:extLst>
                        <a:ext uri="{28A0092B-C50C-407E-A947-70E740481C1C}"/>
                      </a:extLst>
                    </a:blip>
                    <a:srcRect/>
                    <a:stretch>
                      <a:fillRect/>
                    </a:stretch>
                  </pic:blipFill>
                  <pic:spPr bwMode="auto">
                    <a:xfrm>
                      <a:off x="0" y="0"/>
                      <a:ext cx="5422265" cy="199390"/>
                    </a:xfrm>
                    <a:prstGeom prst="rect">
                      <a:avLst/>
                    </a:prstGeom>
                    <a:noFill/>
                  </pic:spPr>
                </pic:pic>
              </a:graphicData>
            </a:graphic>
          </wp:anchor>
        </w:drawing>
        <w:drawing>
          <wp:anchor simplePos="0" relativeHeight="251657728" behindDoc="1" locked="0" layoutInCell="0" allowOverlap="1">
            <wp:simplePos x="0" y="0"/>
            <wp:positionH relativeFrom="column">
              <wp:posOffset>-2059940</wp:posOffset>
            </wp:positionH>
            <wp:positionV relativeFrom="paragraph">
              <wp:posOffset>-2211705</wp:posOffset>
            </wp:positionV>
            <wp:extent cx="5422265" cy="6667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9">
                      <a:extLst>
                        <a:ext uri="{28A0092B-C50C-407E-A947-70E740481C1C}"/>
                      </a:extLst>
                    </a:blip>
                    <a:srcRect/>
                    <a:stretch>
                      <a:fillRect/>
                    </a:stretch>
                  </pic:blipFill>
                  <pic:spPr bwMode="auto">
                    <a:xfrm>
                      <a:off x="0" y="0"/>
                      <a:ext cx="5422265" cy="66675"/>
                    </a:xfrm>
                    <a:prstGeom prst="rect">
                      <a:avLst/>
                    </a:prstGeom>
                    <a:noFill/>
                  </pic:spPr>
                </pic:pic>
              </a:graphicData>
            </a:graphic>
          </wp:anchor>
        </w:drawing>
        <w:drawing>
          <wp:anchor simplePos="0" relativeHeight="251657728" behindDoc="1" locked="0" layoutInCell="0" allowOverlap="1">
            <wp:simplePos x="0" y="0"/>
            <wp:positionH relativeFrom="column">
              <wp:posOffset>-2059940</wp:posOffset>
            </wp:positionH>
            <wp:positionV relativeFrom="paragraph">
              <wp:posOffset>-2012315</wp:posOffset>
            </wp:positionV>
            <wp:extent cx="5422265" cy="6667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0">
                      <a:extLst>
                        <a:ext uri="{28A0092B-C50C-407E-A947-70E740481C1C}"/>
                      </a:extLst>
                    </a:blip>
                    <a:srcRect/>
                    <a:stretch>
                      <a:fillRect/>
                    </a:stretch>
                  </pic:blipFill>
                  <pic:spPr bwMode="auto">
                    <a:xfrm>
                      <a:off x="0" y="0"/>
                      <a:ext cx="5422265" cy="66675"/>
                    </a:xfrm>
                    <a:prstGeom prst="rect">
                      <a:avLst/>
                    </a:prstGeom>
                    <a:noFill/>
                  </pic:spPr>
                </pic:pic>
              </a:graphicData>
            </a:graphic>
          </wp:anchor>
        </w:drawing>
        <w:drawing>
          <wp:anchor simplePos="0" relativeHeight="251657728" behindDoc="1" locked="0" layoutInCell="0" allowOverlap="1">
            <wp:simplePos x="0" y="0"/>
            <wp:positionH relativeFrom="column">
              <wp:posOffset>-2059940</wp:posOffset>
            </wp:positionH>
            <wp:positionV relativeFrom="paragraph">
              <wp:posOffset>-1799590</wp:posOffset>
            </wp:positionV>
            <wp:extent cx="5422265" cy="6667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1">
                      <a:extLst>
                        <a:ext uri="{28A0092B-C50C-407E-A947-70E740481C1C}"/>
                      </a:extLst>
                    </a:blip>
                    <a:srcRect/>
                    <a:stretch>
                      <a:fillRect/>
                    </a:stretch>
                  </pic:blipFill>
                  <pic:spPr bwMode="auto">
                    <a:xfrm>
                      <a:off x="0" y="0"/>
                      <a:ext cx="5422265" cy="66675"/>
                    </a:xfrm>
                    <a:prstGeom prst="rect">
                      <a:avLst/>
                    </a:prstGeom>
                    <a:noFill/>
                  </pic:spPr>
                </pic:pic>
              </a:graphicData>
            </a:graphic>
          </wp:anchor>
        </w:drawing>
        <w:drawing>
          <wp:anchor simplePos="0" relativeHeight="251657728" behindDoc="1" locked="0" layoutInCell="0" allowOverlap="1">
            <wp:simplePos x="0" y="0"/>
            <wp:positionH relativeFrom="column">
              <wp:posOffset>-2059940</wp:posOffset>
            </wp:positionH>
            <wp:positionV relativeFrom="paragraph">
              <wp:posOffset>-1600200</wp:posOffset>
            </wp:positionV>
            <wp:extent cx="5422265" cy="6667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2">
                      <a:extLst>
                        <a:ext uri="{28A0092B-C50C-407E-A947-70E740481C1C}"/>
                      </a:extLst>
                    </a:blip>
                    <a:srcRect/>
                    <a:stretch>
                      <a:fillRect/>
                    </a:stretch>
                  </pic:blipFill>
                  <pic:spPr bwMode="auto">
                    <a:xfrm>
                      <a:off x="0" y="0"/>
                      <a:ext cx="5422265" cy="66675"/>
                    </a:xfrm>
                    <a:prstGeom prst="rect">
                      <a:avLst/>
                    </a:prstGeom>
                    <a:noFill/>
                  </pic:spPr>
                </pic:pic>
              </a:graphicData>
            </a:graphic>
          </wp:anchor>
        </w:drawing>
        <w:drawing>
          <wp:anchor simplePos="0" relativeHeight="251657728" behindDoc="1" locked="0" layoutInCell="0" allowOverlap="1">
            <wp:simplePos x="0" y="0"/>
            <wp:positionH relativeFrom="column">
              <wp:posOffset>-2059940</wp:posOffset>
            </wp:positionH>
            <wp:positionV relativeFrom="paragraph">
              <wp:posOffset>-1467485</wp:posOffset>
            </wp:positionV>
            <wp:extent cx="5422265" cy="13271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3">
                      <a:extLst>
                        <a:ext uri="{28A0092B-C50C-407E-A947-70E740481C1C}"/>
                      </a:extLst>
                    </a:blip>
                    <a:srcRect/>
                    <a:stretch>
                      <a:fillRect/>
                    </a:stretch>
                  </pic:blipFill>
                  <pic:spPr bwMode="auto">
                    <a:xfrm>
                      <a:off x="0" y="0"/>
                      <a:ext cx="5422265" cy="132715"/>
                    </a:xfrm>
                    <a:prstGeom prst="rect">
                      <a:avLst/>
                    </a:prstGeom>
                    <a:noFill/>
                  </pic:spPr>
                </pic:pic>
              </a:graphicData>
            </a:graphic>
          </wp:anchor>
        </w:drawing>
        <w:drawing>
          <wp:anchor simplePos="0" relativeHeight="251657728" behindDoc="1" locked="0" layoutInCell="0" allowOverlap="1">
            <wp:simplePos x="0" y="0"/>
            <wp:positionH relativeFrom="column">
              <wp:posOffset>-2059940</wp:posOffset>
            </wp:positionH>
            <wp:positionV relativeFrom="paragraph">
              <wp:posOffset>-1201420</wp:posOffset>
            </wp:positionV>
            <wp:extent cx="5422265" cy="13271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4">
                      <a:extLst>
                        <a:ext uri="{28A0092B-C50C-407E-A947-70E740481C1C}"/>
                      </a:extLst>
                    </a:blip>
                    <a:srcRect/>
                    <a:stretch>
                      <a:fillRect/>
                    </a:stretch>
                  </pic:blipFill>
                  <pic:spPr bwMode="auto">
                    <a:xfrm>
                      <a:off x="0" y="0"/>
                      <a:ext cx="5422265" cy="132715"/>
                    </a:xfrm>
                    <a:prstGeom prst="rect">
                      <a:avLst/>
                    </a:prstGeom>
                    <a:noFill/>
                  </pic:spPr>
                </pic:pic>
              </a:graphicData>
            </a:graphic>
          </wp:anchor>
        </w:drawing>
        <w:drawing>
          <wp:anchor simplePos="0" relativeHeight="251657728" behindDoc="1" locked="0" layoutInCell="0" allowOverlap="1">
            <wp:simplePos x="0" y="0"/>
            <wp:positionH relativeFrom="column">
              <wp:posOffset>-2059940</wp:posOffset>
            </wp:positionH>
            <wp:positionV relativeFrom="paragraph">
              <wp:posOffset>-989330</wp:posOffset>
            </wp:positionV>
            <wp:extent cx="5422265" cy="13271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5">
                      <a:extLst>
                        <a:ext uri="{28A0092B-C50C-407E-A947-70E740481C1C}"/>
                      </a:extLst>
                    </a:blip>
                    <a:srcRect/>
                    <a:stretch>
                      <a:fillRect/>
                    </a:stretch>
                  </pic:blipFill>
                  <pic:spPr bwMode="auto">
                    <a:xfrm>
                      <a:off x="0" y="0"/>
                      <a:ext cx="5422265" cy="132715"/>
                    </a:xfrm>
                    <a:prstGeom prst="rect">
                      <a:avLst/>
                    </a:prstGeom>
                    <a:noFill/>
                  </pic:spPr>
                </pic:pic>
              </a:graphicData>
            </a:graphic>
          </wp:anchor>
        </w:drawing>
        <w:drawing>
          <wp:anchor simplePos="0" relativeHeight="251657728" behindDoc="1" locked="0" layoutInCell="0" allowOverlap="1">
            <wp:simplePos x="0" y="0"/>
            <wp:positionH relativeFrom="column">
              <wp:posOffset>-2059940</wp:posOffset>
            </wp:positionH>
            <wp:positionV relativeFrom="paragraph">
              <wp:posOffset>-669925</wp:posOffset>
            </wp:positionV>
            <wp:extent cx="5422265" cy="6667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6">
                      <a:extLst>
                        <a:ext uri="{28A0092B-C50C-407E-A947-70E740481C1C}"/>
                      </a:extLst>
                    </a:blip>
                    <a:srcRect/>
                    <a:stretch>
                      <a:fillRect/>
                    </a:stretch>
                  </pic:blipFill>
                  <pic:spPr bwMode="auto">
                    <a:xfrm>
                      <a:off x="0" y="0"/>
                      <a:ext cx="5422265" cy="66675"/>
                    </a:xfrm>
                    <a:prstGeom prst="rect">
                      <a:avLst/>
                    </a:prstGeom>
                    <a:noFill/>
                  </pic:spPr>
                </pic:pic>
              </a:graphicData>
            </a:graphic>
          </wp:anchor>
        </w:drawing>
        <w:drawing>
          <wp:anchor simplePos="0" relativeHeight="251657728" behindDoc="1" locked="0" layoutInCell="0" allowOverlap="1">
            <wp:simplePos x="0" y="0"/>
            <wp:positionH relativeFrom="column">
              <wp:posOffset>-2059940</wp:posOffset>
            </wp:positionH>
            <wp:positionV relativeFrom="paragraph">
              <wp:posOffset>-417830</wp:posOffset>
            </wp:positionV>
            <wp:extent cx="5422265" cy="6667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7">
                      <a:extLst>
                        <a:ext uri="{28A0092B-C50C-407E-A947-70E740481C1C}"/>
                      </a:extLst>
                    </a:blip>
                    <a:srcRect/>
                    <a:stretch>
                      <a:fillRect/>
                    </a:stretch>
                  </pic:blipFill>
                  <pic:spPr bwMode="auto">
                    <a:xfrm>
                      <a:off x="0" y="0"/>
                      <a:ext cx="5422265" cy="66675"/>
                    </a:xfrm>
                    <a:prstGeom prst="rect">
                      <a:avLst/>
                    </a:prstGeom>
                    <a:noFill/>
                  </pic:spPr>
                </pic:pic>
              </a:graphicData>
            </a:graphic>
          </wp:anchor>
        </w:drawing>
        <w:drawing>
          <wp:anchor simplePos="0" relativeHeight="251657728" behindDoc="1" locked="0" layoutInCell="0" allowOverlap="1">
            <wp:simplePos x="0" y="0"/>
            <wp:positionH relativeFrom="column">
              <wp:posOffset>-2059940</wp:posOffset>
            </wp:positionH>
            <wp:positionV relativeFrom="paragraph">
              <wp:posOffset>-284480</wp:posOffset>
            </wp:positionV>
            <wp:extent cx="5422265" cy="1993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8">
                      <a:extLst>
                        <a:ext uri="{28A0092B-C50C-407E-A947-70E740481C1C}"/>
                      </a:extLst>
                    </a:blip>
                    <a:srcRect/>
                    <a:stretch>
                      <a:fillRect/>
                    </a:stretch>
                  </pic:blipFill>
                  <pic:spPr bwMode="auto">
                    <a:xfrm>
                      <a:off x="0" y="0"/>
                      <a:ext cx="5422265" cy="199390"/>
                    </a:xfrm>
                    <a:prstGeom prst="rect">
                      <a:avLst/>
                    </a:prstGeom>
                    <a:noFill/>
                  </pic:spPr>
                </pic:pic>
              </a:graphicData>
            </a:graphic>
          </wp:anchor>
        </w:drawing>
      </w:r>
    </w:p>
    <w:p>
      <w:pPr>
        <w:spacing w:after="0" w:line="71"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4"/>
          <w:szCs w:val="14"/>
          <w:color w:val="auto"/>
        </w:rPr>
        <w:t>49</w:t>
      </w:r>
    </w:p>
    <w:p>
      <w:pPr>
        <w:sectPr>
          <w:pgSz w:w="11900" w:h="16838" w:orient="portrait"/>
          <w:cols w:equalWidth="0" w:num="2">
            <w:col w:w="4560" w:space="60"/>
            <w:col w:w="5539"/>
          </w:cols>
          <w:pgMar w:left="300" w:top="384" w:right="1440" w:bottom="1440" w:gutter="0" w:footer="0" w:header="0"/>
          <w:type w:val="continuous"/>
        </w:sectPr>
      </w:pPr>
    </w:p>
    <w:bookmarkStart w:id="53" w:name="page54"/>
    <w:bookmarkEnd w:id="53"/>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52" w:lineRule="exact"/>
        <w:rPr>
          <w:sz w:val="20"/>
          <w:szCs w:val="20"/>
          <w:color w:val="auto"/>
        </w:rPr>
      </w:pPr>
    </w:p>
    <w:tbl>
      <w:tblPr>
        <w:tblLayout w:type="fixed"/>
        <w:tblInd w:w="1380" w:type="dxa"/>
        <w:tblCellMar>
          <w:top w:w="0" w:type="dxa"/>
          <w:left w:w="0" w:type="dxa"/>
          <w:bottom w:w="0" w:type="dxa"/>
          <w:right w:w="0" w:type="dxa"/>
        </w:tblCellMar>
      </w:tblPr>
      <w:tr>
        <w:trPr>
          <w:trHeight w:val="94"/>
        </w:trPr>
        <w:tc>
          <w:tcPr>
            <w:tcW w:w="1320" w:type="dxa"/>
            <w:vAlign w:val="bottom"/>
            <w:gridSpan w:val="2"/>
          </w:tcPr>
          <w:p>
            <w:pPr>
              <w:spacing w:after="0"/>
              <w:rPr>
                <w:sz w:val="20"/>
                <w:szCs w:val="20"/>
                <w:color w:val="auto"/>
              </w:rPr>
            </w:pPr>
            <w:r>
              <w:rPr>
                <w:rFonts w:ascii="Times New Roman" w:cs="Times New Roman" w:eastAsia="Times New Roman" w:hAnsi="Times New Roman"/>
                <w:sz w:val="8"/>
                <w:szCs w:val="8"/>
                <w:b w:val="1"/>
                <w:bCs w:val="1"/>
                <w:color w:val="auto"/>
              </w:rPr>
              <w:t>Portfolio Company (a)(b)</w:t>
            </w:r>
          </w:p>
        </w:tc>
        <w:tc>
          <w:tcPr>
            <w:tcW w:w="900" w:type="dxa"/>
            <w:vAlign w:val="bottom"/>
          </w:tcPr>
          <w:p>
            <w:pPr>
              <w:spacing w:after="0"/>
              <w:rPr>
                <w:sz w:val="8"/>
                <w:szCs w:val="8"/>
                <w:color w:val="auto"/>
              </w:rPr>
            </w:pPr>
          </w:p>
        </w:tc>
        <w:tc>
          <w:tcPr>
            <w:tcW w:w="60" w:type="dxa"/>
            <w:vAlign w:val="bottom"/>
          </w:tcPr>
          <w:p>
            <w:pPr>
              <w:spacing w:after="0"/>
              <w:rPr>
                <w:sz w:val="8"/>
                <w:szCs w:val="8"/>
                <w:color w:val="auto"/>
              </w:rPr>
            </w:pPr>
          </w:p>
        </w:tc>
        <w:tc>
          <w:tcPr>
            <w:tcW w:w="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1320" w:type="dxa"/>
            <w:vAlign w:val="bottom"/>
            <w:gridSpan w:val="2"/>
          </w:tcPr>
          <w:p>
            <w:pPr>
              <w:spacing w:after="0"/>
              <w:rPr>
                <w:sz w:val="20"/>
                <w:szCs w:val="20"/>
                <w:color w:val="auto"/>
              </w:rPr>
            </w:pPr>
            <w:r>
              <w:rPr>
                <w:rFonts w:ascii="Times New Roman" w:cs="Times New Roman" w:eastAsia="Times New Roman" w:hAnsi="Times New Roman"/>
                <w:sz w:val="8"/>
                <w:szCs w:val="8"/>
                <w:b w:val="1"/>
                <w:bCs w:val="1"/>
                <w:color w:val="auto"/>
              </w:rPr>
              <w:t>Address of Portfolio Company</w:t>
            </w:r>
          </w:p>
        </w:tc>
        <w:tc>
          <w:tcPr>
            <w:tcW w:w="900" w:type="dxa"/>
            <w:vAlign w:val="bottom"/>
          </w:tcPr>
          <w:p>
            <w:pPr>
              <w:ind w:left="100"/>
              <w:spacing w:after="0"/>
              <w:rPr>
                <w:sz w:val="20"/>
                <w:szCs w:val="20"/>
                <w:color w:val="auto"/>
              </w:rPr>
            </w:pPr>
            <w:r>
              <w:rPr>
                <w:rFonts w:ascii="Times New Roman" w:cs="Times New Roman" w:eastAsia="Times New Roman" w:hAnsi="Times New Roman"/>
                <w:sz w:val="8"/>
                <w:szCs w:val="8"/>
                <w:b w:val="1"/>
                <w:bCs w:val="1"/>
                <w:color w:val="auto"/>
              </w:rPr>
              <w:t>Investment Type (c)</w:t>
            </w:r>
          </w:p>
        </w:tc>
        <w:tc>
          <w:tcPr>
            <w:tcW w:w="60" w:type="dxa"/>
            <w:vAlign w:val="bottom"/>
          </w:tcPr>
          <w:p>
            <w:pPr>
              <w:spacing w:after="0"/>
              <w:rPr>
                <w:sz w:val="10"/>
                <w:szCs w:val="10"/>
                <w:color w:val="auto"/>
              </w:rPr>
            </w:pPr>
          </w:p>
        </w:tc>
        <w:tc>
          <w:tcPr>
            <w:tcW w:w="940" w:type="dxa"/>
            <w:vAlign w:val="bottom"/>
          </w:tcPr>
          <w:p>
            <w:pPr>
              <w:ind w:left="320"/>
              <w:spacing w:after="0"/>
              <w:rPr>
                <w:sz w:val="20"/>
                <w:szCs w:val="20"/>
                <w:color w:val="auto"/>
              </w:rPr>
            </w:pPr>
            <w:r>
              <w:rPr>
                <w:rFonts w:ascii="Times New Roman" w:cs="Times New Roman" w:eastAsia="Times New Roman" w:hAnsi="Times New Roman"/>
                <w:sz w:val="8"/>
                <w:szCs w:val="8"/>
                <w:b w:val="1"/>
                <w:bCs w:val="1"/>
                <w:color w:val="auto"/>
              </w:rPr>
              <w:t>Industry</w:t>
            </w:r>
          </w:p>
        </w:tc>
        <w:tc>
          <w:tcPr>
            <w:tcW w:w="0" w:type="dxa"/>
            <w:vAlign w:val="bottom"/>
          </w:tcPr>
          <w:p>
            <w:pPr>
              <w:spacing w:after="0"/>
              <w:rPr>
                <w:sz w:val="1"/>
                <w:szCs w:val="1"/>
                <w:color w:val="auto"/>
              </w:rPr>
            </w:pPr>
          </w:p>
        </w:tc>
      </w:tr>
      <w:tr>
        <w:trPr>
          <w:trHeight w:val="72"/>
        </w:trPr>
        <w:tc>
          <w:tcPr>
            <w:tcW w:w="1100" w:type="dxa"/>
            <w:vAlign w:val="bottom"/>
            <w:tcBorders>
              <w:top w:val="single" w:sz="8" w:color="auto"/>
            </w:tcBorders>
          </w:tcPr>
          <w:p>
            <w:pPr>
              <w:spacing w:after="0" w:line="73" w:lineRule="exact"/>
              <w:rPr>
                <w:sz w:val="20"/>
                <w:szCs w:val="20"/>
                <w:color w:val="auto"/>
              </w:rPr>
            </w:pPr>
            <w:r>
              <w:rPr>
                <w:rFonts w:ascii="Times New Roman" w:cs="Times New Roman" w:eastAsia="Times New Roman" w:hAnsi="Times New Roman"/>
                <w:sz w:val="7"/>
                <w:szCs w:val="7"/>
                <w:i w:val="1"/>
                <w:iCs w:val="1"/>
                <w:color w:val="auto"/>
              </w:rPr>
              <w:t>Brightmore Brands LLC</w:t>
            </w:r>
          </w:p>
        </w:tc>
        <w:tc>
          <w:tcPr>
            <w:tcW w:w="220" w:type="dxa"/>
            <w:vAlign w:val="bottom"/>
          </w:tcPr>
          <w:p>
            <w:pPr>
              <w:spacing w:after="0"/>
              <w:rPr>
                <w:sz w:val="6"/>
                <w:szCs w:val="6"/>
                <w:color w:val="auto"/>
              </w:rPr>
            </w:pPr>
          </w:p>
        </w:tc>
        <w:tc>
          <w:tcPr>
            <w:tcW w:w="900" w:type="dxa"/>
            <w:vAlign w:val="bottom"/>
            <w:tcBorders>
              <w:top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940" w:type="dxa"/>
            <w:vAlign w:val="bottom"/>
            <w:tcBorders>
              <w:top w:val="single" w:sz="8" w:color="auto"/>
            </w:tcBorders>
          </w:tcPr>
          <w:p>
            <w:pPr>
              <w:spacing w:after="0" w:line="73" w:lineRule="exact"/>
              <w:rPr>
                <w:sz w:val="20"/>
                <w:szCs w:val="20"/>
                <w:color w:val="auto"/>
              </w:rPr>
            </w:pPr>
            <w:r>
              <w:rPr>
                <w:rFonts w:ascii="Times New Roman" w:cs="Times New Roman" w:eastAsia="Times New Roman" w:hAnsi="Times New Roman"/>
                <w:sz w:val="7"/>
                <w:szCs w:val="7"/>
                <w:color w:val="auto"/>
              </w:rPr>
              <w:t>Retail</w:t>
            </w:r>
          </w:p>
        </w:tc>
        <w:tc>
          <w:tcPr>
            <w:tcW w:w="0" w:type="dxa"/>
            <w:vAlign w:val="bottom"/>
          </w:tcPr>
          <w:p>
            <w:pPr>
              <w:spacing w:after="0"/>
              <w:rPr>
                <w:sz w:val="1"/>
                <w:szCs w:val="1"/>
                <w:color w:val="auto"/>
              </w:rPr>
            </w:pPr>
          </w:p>
        </w:tc>
      </w:tr>
      <w:tr>
        <w:trPr>
          <w:trHeight w:val="105"/>
        </w:trPr>
        <w:tc>
          <w:tcPr>
            <w:tcW w:w="1320" w:type="dxa"/>
            <w:vAlign w:val="bottom"/>
            <w:gridSpan w:val="2"/>
          </w:tcPr>
          <w:p>
            <w:pPr>
              <w:ind w:left="100"/>
              <w:spacing w:after="0" w:line="105" w:lineRule="exact"/>
              <w:rPr>
                <w:sz w:val="20"/>
                <w:szCs w:val="20"/>
                <w:color w:val="auto"/>
              </w:rPr>
            </w:pPr>
            <w:r>
              <w:rPr>
                <w:rFonts w:ascii="Times New Roman" w:cs="Times New Roman" w:eastAsia="Times New Roman" w:hAnsi="Times New Roman"/>
                <w:sz w:val="10"/>
                <w:szCs w:val="10"/>
                <w:color w:val="auto"/>
              </w:rPr>
              <w:t>7949 E Acoma Dr, Ste 100</w:t>
            </w:r>
          </w:p>
        </w:tc>
        <w:tc>
          <w:tcPr>
            <w:tcW w:w="900" w:type="dxa"/>
            <w:vAlign w:val="bottom"/>
          </w:tcPr>
          <w:p>
            <w:pPr>
              <w:spacing w:after="0" w:line="105" w:lineRule="exact"/>
              <w:rPr>
                <w:sz w:val="20"/>
                <w:szCs w:val="20"/>
                <w:color w:val="auto"/>
              </w:rPr>
            </w:pPr>
            <w:r>
              <w:rPr>
                <w:rFonts w:ascii="Times New Roman" w:cs="Times New Roman" w:eastAsia="Times New Roman" w:hAnsi="Times New Roman"/>
                <w:sz w:val="10"/>
                <w:szCs w:val="10"/>
                <w:color w:val="auto"/>
              </w:rPr>
              <w:t>First Lien Debt (j)(al)</w:t>
            </w:r>
          </w:p>
        </w:tc>
        <w:tc>
          <w:tcPr>
            <w:tcW w:w="6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320" w:type="dxa"/>
            <w:vAlign w:val="bottom"/>
            <w:gridSpan w:val="2"/>
          </w:tcPr>
          <w:p>
            <w:pPr>
              <w:ind w:left="100"/>
              <w:spacing w:after="0" w:line="105" w:lineRule="exact"/>
              <w:rPr>
                <w:sz w:val="20"/>
                <w:szCs w:val="20"/>
                <w:color w:val="auto"/>
              </w:rPr>
            </w:pPr>
            <w:r>
              <w:rPr>
                <w:rFonts w:ascii="Times New Roman" w:cs="Times New Roman" w:eastAsia="Times New Roman" w:hAnsi="Times New Roman"/>
                <w:sz w:val="10"/>
                <w:szCs w:val="10"/>
                <w:color w:val="auto"/>
              </w:rPr>
              <w:t>Scottsdale, AZ 85260</w:t>
            </w:r>
          </w:p>
        </w:tc>
        <w:tc>
          <w:tcPr>
            <w:tcW w:w="900" w:type="dxa"/>
            <w:vAlign w:val="bottom"/>
          </w:tcPr>
          <w:p>
            <w:pPr>
              <w:spacing w:after="0" w:line="105" w:lineRule="exact"/>
              <w:rPr>
                <w:sz w:val="20"/>
                <w:szCs w:val="20"/>
                <w:color w:val="auto"/>
              </w:rPr>
            </w:pPr>
            <w:r>
              <w:rPr>
                <w:rFonts w:ascii="Times New Roman" w:cs="Times New Roman" w:eastAsia="Times New Roman" w:hAnsi="Times New Roman"/>
                <w:sz w:val="10"/>
                <w:szCs w:val="10"/>
                <w:color w:val="auto"/>
              </w:rPr>
              <w:t>Common Equity</w:t>
            </w:r>
          </w:p>
        </w:tc>
        <w:tc>
          <w:tcPr>
            <w:tcW w:w="6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tcPr>
          <w:p>
            <w:pPr>
              <w:spacing w:after="0" w:line="105" w:lineRule="exact"/>
              <w:rPr>
                <w:sz w:val="20"/>
                <w:szCs w:val="20"/>
                <w:color w:val="auto"/>
              </w:rPr>
            </w:pPr>
            <w:r>
              <w:rPr>
                <w:rFonts w:ascii="Times New Roman" w:cs="Times New Roman" w:eastAsia="Times New Roman" w:hAnsi="Times New Roman"/>
                <w:sz w:val="10"/>
                <w:szCs w:val="10"/>
                <w:color w:val="auto"/>
              </w:rPr>
              <w:t>(1,000 units)</w:t>
            </w:r>
          </w:p>
        </w:tc>
        <w:tc>
          <w:tcPr>
            <w:tcW w:w="6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tcPr>
          <w:p>
            <w:pPr>
              <w:spacing w:after="0" w:line="105" w:lineRule="exact"/>
              <w:rPr>
                <w:sz w:val="20"/>
                <w:szCs w:val="20"/>
                <w:color w:val="auto"/>
              </w:rPr>
            </w:pPr>
            <w:r>
              <w:rPr>
                <w:rFonts w:ascii="Times New Roman" w:cs="Times New Roman" w:eastAsia="Times New Roman" w:hAnsi="Times New Roman"/>
                <w:sz w:val="10"/>
                <w:szCs w:val="10"/>
                <w:color w:val="auto"/>
              </w:rPr>
              <w:t>Common Equity (371</w:t>
            </w:r>
          </w:p>
        </w:tc>
        <w:tc>
          <w:tcPr>
            <w:tcW w:w="6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1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0"/>
                <w:szCs w:val="10"/>
                <w:color w:val="auto"/>
              </w:rPr>
              <w:t>units)</w:t>
            </w:r>
          </w:p>
        </w:tc>
        <w:tc>
          <w:tcPr>
            <w:tcW w:w="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8"/>
        </w:trPr>
        <w:tc>
          <w:tcPr>
            <w:tcW w:w="1320" w:type="dxa"/>
            <w:vAlign w:val="bottom"/>
            <w:gridSpan w:val="2"/>
          </w:tcPr>
          <w:p>
            <w:pPr>
              <w:spacing w:after="0"/>
              <w:rPr>
                <w:sz w:val="20"/>
                <w:szCs w:val="20"/>
                <w:color w:val="auto"/>
              </w:rPr>
            </w:pPr>
            <w:r>
              <w:rPr>
                <w:rFonts w:ascii="Times New Roman" w:cs="Times New Roman" w:eastAsia="Times New Roman" w:hAnsi="Times New Roman"/>
                <w:sz w:val="10"/>
                <w:szCs w:val="10"/>
                <w:i w:val="1"/>
                <w:iCs w:val="1"/>
                <w:color w:val="auto"/>
              </w:rPr>
              <w:t>Cardback Intermediate, LLC</w:t>
            </w:r>
          </w:p>
        </w:tc>
        <w:tc>
          <w:tcPr>
            <w:tcW w:w="900" w:type="dxa"/>
            <w:vAlign w:val="bottom"/>
          </w:tcPr>
          <w:p>
            <w:pPr>
              <w:spacing w:after="0"/>
              <w:rPr>
                <w:sz w:val="18"/>
                <w:szCs w:val="18"/>
                <w:color w:val="auto"/>
              </w:rPr>
            </w:pPr>
          </w:p>
        </w:tc>
        <w:tc>
          <w:tcPr>
            <w:tcW w:w="1000" w:type="dxa"/>
            <w:vAlign w:val="bottom"/>
            <w:gridSpan w:val="2"/>
          </w:tcPr>
          <w:p>
            <w:pPr>
              <w:ind w:left="60"/>
              <w:spacing w:after="0"/>
              <w:rPr>
                <w:sz w:val="20"/>
                <w:szCs w:val="20"/>
                <w:color w:val="auto"/>
              </w:rPr>
            </w:pPr>
            <w:r>
              <w:rPr>
                <w:rFonts w:ascii="Times New Roman" w:cs="Times New Roman" w:eastAsia="Times New Roman" w:hAnsi="Times New Roman"/>
                <w:sz w:val="10"/>
                <w:szCs w:val="10"/>
                <w:color w:val="auto"/>
              </w:rPr>
              <w:t>Information</w:t>
            </w:r>
          </w:p>
        </w:tc>
        <w:tc>
          <w:tcPr>
            <w:tcW w:w="0" w:type="dxa"/>
            <w:vAlign w:val="bottom"/>
          </w:tcPr>
          <w:p>
            <w:pPr>
              <w:spacing w:after="0"/>
              <w:rPr>
                <w:sz w:val="1"/>
                <w:szCs w:val="1"/>
                <w:color w:val="auto"/>
              </w:rPr>
            </w:pPr>
          </w:p>
        </w:tc>
      </w:tr>
      <w:tr>
        <w:trPr>
          <w:trHeight w:val="107"/>
        </w:trPr>
        <w:tc>
          <w:tcPr>
            <w:tcW w:w="1320" w:type="dxa"/>
            <w:vAlign w:val="bottom"/>
            <w:gridSpan w:val="2"/>
          </w:tcPr>
          <w:p>
            <w:pPr>
              <w:spacing w:after="0" w:line="107" w:lineRule="exact"/>
              <w:rPr>
                <w:sz w:val="20"/>
                <w:szCs w:val="20"/>
                <w:color w:val="auto"/>
              </w:rPr>
            </w:pPr>
            <w:r>
              <w:rPr>
                <w:rFonts w:ascii="Times New Roman" w:cs="Times New Roman" w:eastAsia="Times New Roman" w:hAnsi="Times New Roman"/>
                <w:sz w:val="10"/>
                <w:szCs w:val="10"/>
                <w:i w:val="1"/>
                <w:iCs w:val="1"/>
                <w:color w:val="auto"/>
              </w:rPr>
              <w:t>(dba Chargeback Gurus)</w:t>
            </w:r>
          </w:p>
        </w:tc>
        <w:tc>
          <w:tcPr>
            <w:tcW w:w="900" w:type="dxa"/>
            <w:vAlign w:val="bottom"/>
          </w:tcPr>
          <w:p>
            <w:pPr>
              <w:spacing w:after="0"/>
              <w:rPr>
                <w:sz w:val="9"/>
                <w:szCs w:val="9"/>
                <w:color w:val="auto"/>
              </w:rPr>
            </w:pPr>
          </w:p>
        </w:tc>
        <w:tc>
          <w:tcPr>
            <w:tcW w:w="1000" w:type="dxa"/>
            <w:vAlign w:val="bottom"/>
            <w:gridSpan w:val="2"/>
          </w:tcPr>
          <w:p>
            <w:pPr>
              <w:ind w:left="60"/>
              <w:spacing w:after="0" w:line="107" w:lineRule="exact"/>
              <w:rPr>
                <w:sz w:val="20"/>
                <w:szCs w:val="20"/>
                <w:color w:val="auto"/>
              </w:rPr>
            </w:pPr>
            <w:r>
              <w:rPr>
                <w:rFonts w:ascii="Times New Roman" w:cs="Times New Roman" w:eastAsia="Times New Roman" w:hAnsi="Times New Roman"/>
                <w:sz w:val="10"/>
                <w:szCs w:val="10"/>
                <w:color w:val="auto"/>
              </w:rPr>
              <w:t>Technology Services</w:t>
            </w:r>
          </w:p>
        </w:tc>
        <w:tc>
          <w:tcPr>
            <w:tcW w:w="0" w:type="dxa"/>
            <w:vAlign w:val="bottom"/>
          </w:tcPr>
          <w:p>
            <w:pPr>
              <w:spacing w:after="0"/>
              <w:rPr>
                <w:sz w:val="1"/>
                <w:szCs w:val="1"/>
                <w:color w:val="auto"/>
              </w:rPr>
            </w:pPr>
          </w:p>
        </w:tc>
      </w:tr>
      <w:tr>
        <w:trPr>
          <w:trHeight w:val="105"/>
        </w:trPr>
        <w:tc>
          <w:tcPr>
            <w:tcW w:w="1320" w:type="dxa"/>
            <w:vAlign w:val="bottom"/>
            <w:gridSpan w:val="2"/>
          </w:tcPr>
          <w:p>
            <w:pPr>
              <w:ind w:left="100"/>
              <w:spacing w:after="0" w:line="105" w:lineRule="exact"/>
              <w:rPr>
                <w:sz w:val="20"/>
                <w:szCs w:val="20"/>
                <w:color w:val="auto"/>
              </w:rPr>
            </w:pPr>
            <w:r>
              <w:rPr>
                <w:rFonts w:ascii="Times New Roman" w:cs="Times New Roman" w:eastAsia="Times New Roman" w:hAnsi="Times New Roman"/>
                <w:sz w:val="10"/>
                <w:szCs w:val="10"/>
                <w:color w:val="auto"/>
              </w:rPr>
              <w:t>8951 Collin McKinney</w:t>
            </w:r>
          </w:p>
        </w:tc>
        <w:tc>
          <w:tcPr>
            <w:tcW w:w="900" w:type="dxa"/>
            <w:vAlign w:val="bottom"/>
          </w:tcPr>
          <w:p>
            <w:pPr>
              <w:spacing w:after="0"/>
              <w:rPr>
                <w:sz w:val="9"/>
                <w:szCs w:val="9"/>
                <w:color w:val="auto"/>
              </w:rPr>
            </w:pPr>
          </w:p>
        </w:tc>
        <w:tc>
          <w:tcPr>
            <w:tcW w:w="6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320" w:type="dxa"/>
            <w:vAlign w:val="bottom"/>
            <w:gridSpan w:val="2"/>
          </w:tcPr>
          <w:p>
            <w:pPr>
              <w:ind w:left="100"/>
              <w:spacing w:after="0" w:line="105" w:lineRule="exact"/>
              <w:rPr>
                <w:sz w:val="20"/>
                <w:szCs w:val="20"/>
                <w:color w:val="auto"/>
              </w:rPr>
            </w:pPr>
            <w:r>
              <w:rPr>
                <w:rFonts w:ascii="Times New Roman" w:cs="Times New Roman" w:eastAsia="Times New Roman" w:hAnsi="Times New Roman"/>
                <w:sz w:val="10"/>
                <w:szCs w:val="10"/>
                <w:color w:val="auto"/>
              </w:rPr>
              <w:t>Pkwy, Suite 1001-1002</w:t>
            </w:r>
          </w:p>
        </w:tc>
        <w:tc>
          <w:tcPr>
            <w:tcW w:w="900" w:type="dxa"/>
            <w:vAlign w:val="bottom"/>
          </w:tcPr>
          <w:p>
            <w:pPr>
              <w:spacing w:after="0" w:line="105" w:lineRule="exact"/>
              <w:rPr>
                <w:sz w:val="20"/>
                <w:szCs w:val="20"/>
                <w:color w:val="auto"/>
              </w:rPr>
            </w:pPr>
            <w:r>
              <w:rPr>
                <w:rFonts w:ascii="Times New Roman" w:cs="Times New Roman" w:eastAsia="Times New Roman" w:hAnsi="Times New Roman"/>
                <w:sz w:val="10"/>
                <w:szCs w:val="10"/>
                <w:color w:val="auto"/>
              </w:rPr>
              <w:t>First Lien Debt (j)(bl)</w:t>
            </w:r>
          </w:p>
        </w:tc>
        <w:tc>
          <w:tcPr>
            <w:tcW w:w="6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320" w:type="dxa"/>
            <w:vAlign w:val="bottom"/>
            <w:gridSpan w:val="2"/>
          </w:tcPr>
          <w:p>
            <w:pPr>
              <w:ind w:left="100"/>
              <w:spacing w:after="0" w:line="105" w:lineRule="exact"/>
              <w:rPr>
                <w:sz w:val="20"/>
                <w:szCs w:val="20"/>
                <w:color w:val="auto"/>
              </w:rPr>
            </w:pPr>
            <w:r>
              <w:rPr>
                <w:rFonts w:ascii="Times New Roman" w:cs="Times New Roman" w:eastAsia="Times New Roman" w:hAnsi="Times New Roman"/>
                <w:sz w:val="10"/>
                <w:szCs w:val="10"/>
                <w:color w:val="auto"/>
              </w:rPr>
              <w:t>McKinney, TX 75070</w:t>
            </w:r>
          </w:p>
        </w:tc>
        <w:tc>
          <w:tcPr>
            <w:tcW w:w="900" w:type="dxa"/>
            <w:vAlign w:val="bottom"/>
          </w:tcPr>
          <w:p>
            <w:pPr>
              <w:spacing w:after="0" w:line="105" w:lineRule="exact"/>
              <w:rPr>
                <w:sz w:val="20"/>
                <w:szCs w:val="20"/>
                <w:color w:val="auto"/>
              </w:rPr>
            </w:pPr>
            <w:r>
              <w:rPr>
                <w:rFonts w:ascii="Times New Roman" w:cs="Times New Roman" w:eastAsia="Times New Roman" w:hAnsi="Times New Roman"/>
                <w:sz w:val="10"/>
                <w:szCs w:val="10"/>
                <w:color w:val="auto"/>
              </w:rPr>
              <w:t>Common Equity (495</w:t>
            </w:r>
          </w:p>
        </w:tc>
        <w:tc>
          <w:tcPr>
            <w:tcW w:w="6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tcPr>
          <w:p>
            <w:pPr>
              <w:spacing w:after="0" w:line="105" w:lineRule="exact"/>
              <w:rPr>
                <w:sz w:val="20"/>
                <w:szCs w:val="20"/>
                <w:color w:val="auto"/>
              </w:rPr>
            </w:pPr>
            <w:r>
              <w:rPr>
                <w:rFonts w:ascii="Times New Roman" w:cs="Times New Roman" w:eastAsia="Times New Roman" w:hAnsi="Times New Roman"/>
                <w:sz w:val="10"/>
                <w:szCs w:val="10"/>
                <w:color w:val="auto"/>
              </w:rPr>
              <w:t>shares)</w:t>
            </w:r>
          </w:p>
        </w:tc>
        <w:tc>
          <w:tcPr>
            <w:tcW w:w="6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tcPr>
          <w:p>
            <w:pPr>
              <w:spacing w:after="0" w:line="105" w:lineRule="exact"/>
              <w:rPr>
                <w:sz w:val="20"/>
                <w:szCs w:val="20"/>
                <w:color w:val="auto"/>
              </w:rPr>
            </w:pPr>
            <w:r>
              <w:rPr>
                <w:rFonts w:ascii="Times New Roman" w:cs="Times New Roman" w:eastAsia="Times New Roman" w:hAnsi="Times New Roman"/>
                <w:sz w:val="10"/>
                <w:szCs w:val="10"/>
                <w:color w:val="auto"/>
              </w:rPr>
              <w:t>Preferred Equity (495</w:t>
            </w:r>
          </w:p>
        </w:tc>
        <w:tc>
          <w:tcPr>
            <w:tcW w:w="6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1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0"/>
                <w:szCs w:val="10"/>
                <w:color w:val="auto"/>
              </w:rPr>
              <w:t>shares)</w:t>
            </w:r>
          </w:p>
        </w:tc>
        <w:tc>
          <w:tcPr>
            <w:tcW w:w="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8"/>
        </w:trPr>
        <w:tc>
          <w:tcPr>
            <w:tcW w:w="1320" w:type="dxa"/>
            <w:vAlign w:val="bottom"/>
            <w:gridSpan w:val="2"/>
          </w:tcPr>
          <w:p>
            <w:pPr>
              <w:spacing w:after="0"/>
              <w:rPr>
                <w:sz w:val="20"/>
                <w:szCs w:val="20"/>
                <w:color w:val="auto"/>
              </w:rPr>
            </w:pPr>
            <w:r>
              <w:rPr>
                <w:rFonts w:ascii="Times New Roman" w:cs="Times New Roman" w:eastAsia="Times New Roman" w:hAnsi="Times New Roman"/>
                <w:sz w:val="10"/>
                <w:szCs w:val="10"/>
                <w:i w:val="1"/>
                <w:iCs w:val="1"/>
                <w:color w:val="auto"/>
              </w:rPr>
              <w:t>Choice Technology Solutions,</w:t>
            </w: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1320" w:type="dxa"/>
            <w:vAlign w:val="bottom"/>
            <w:gridSpan w:val="2"/>
          </w:tcPr>
          <w:p>
            <w:pPr>
              <w:spacing w:after="0" w:line="105" w:lineRule="exact"/>
              <w:rPr>
                <w:sz w:val="20"/>
                <w:szCs w:val="20"/>
                <w:color w:val="auto"/>
              </w:rPr>
            </w:pPr>
            <w:r>
              <w:rPr>
                <w:rFonts w:ascii="Times New Roman" w:cs="Times New Roman" w:eastAsia="Times New Roman" w:hAnsi="Times New Roman"/>
                <w:sz w:val="10"/>
                <w:szCs w:val="10"/>
                <w:i w:val="1"/>
                <w:iCs w:val="1"/>
                <w:color w:val="auto"/>
              </w:rPr>
              <w:t>LLC (dba Choice Merchant</w:t>
            </w:r>
          </w:p>
        </w:tc>
        <w:tc>
          <w:tcPr>
            <w:tcW w:w="900" w:type="dxa"/>
            <w:vAlign w:val="bottom"/>
          </w:tcPr>
          <w:p>
            <w:pPr>
              <w:spacing w:after="0"/>
              <w:rPr>
                <w:sz w:val="9"/>
                <w:szCs w:val="9"/>
                <w:color w:val="auto"/>
              </w:rPr>
            </w:pPr>
          </w:p>
        </w:tc>
        <w:tc>
          <w:tcPr>
            <w:tcW w:w="1000" w:type="dxa"/>
            <w:vAlign w:val="bottom"/>
            <w:gridSpan w:val="2"/>
          </w:tcPr>
          <w:p>
            <w:pPr>
              <w:ind w:left="60"/>
              <w:spacing w:after="0" w:line="105" w:lineRule="exact"/>
              <w:rPr>
                <w:sz w:val="20"/>
                <w:szCs w:val="20"/>
                <w:color w:val="auto"/>
              </w:rPr>
            </w:pPr>
            <w:r>
              <w:rPr>
                <w:rFonts w:ascii="Times New Roman" w:cs="Times New Roman" w:eastAsia="Times New Roman" w:hAnsi="Times New Roman"/>
                <w:sz w:val="10"/>
                <w:szCs w:val="10"/>
                <w:color w:val="auto"/>
              </w:rPr>
              <w:t>Information</w:t>
            </w:r>
          </w:p>
        </w:tc>
        <w:tc>
          <w:tcPr>
            <w:tcW w:w="0" w:type="dxa"/>
            <w:vAlign w:val="bottom"/>
          </w:tcPr>
          <w:p>
            <w:pPr>
              <w:spacing w:after="0"/>
              <w:rPr>
                <w:sz w:val="1"/>
                <w:szCs w:val="1"/>
                <w:color w:val="auto"/>
              </w:rPr>
            </w:pPr>
          </w:p>
        </w:tc>
      </w:tr>
      <w:tr>
        <w:trPr>
          <w:trHeight w:val="107"/>
        </w:trPr>
        <w:tc>
          <w:tcPr>
            <w:tcW w:w="1320" w:type="dxa"/>
            <w:vAlign w:val="bottom"/>
            <w:gridSpan w:val="2"/>
          </w:tcPr>
          <w:p>
            <w:pPr>
              <w:spacing w:after="0" w:line="107" w:lineRule="exact"/>
              <w:rPr>
                <w:sz w:val="20"/>
                <w:szCs w:val="20"/>
                <w:color w:val="auto"/>
              </w:rPr>
            </w:pPr>
            <w:r>
              <w:rPr>
                <w:rFonts w:ascii="Times New Roman" w:cs="Times New Roman" w:eastAsia="Times New Roman" w:hAnsi="Times New Roman"/>
                <w:sz w:val="10"/>
                <w:szCs w:val="10"/>
                <w:i w:val="1"/>
                <w:iCs w:val="1"/>
                <w:color w:val="auto"/>
              </w:rPr>
              <w:t>Solutions, LLC) (n)</w:t>
            </w:r>
          </w:p>
        </w:tc>
        <w:tc>
          <w:tcPr>
            <w:tcW w:w="900" w:type="dxa"/>
            <w:vAlign w:val="bottom"/>
          </w:tcPr>
          <w:p>
            <w:pPr>
              <w:spacing w:after="0"/>
              <w:rPr>
                <w:sz w:val="9"/>
                <w:szCs w:val="9"/>
                <w:color w:val="auto"/>
              </w:rPr>
            </w:pPr>
          </w:p>
        </w:tc>
        <w:tc>
          <w:tcPr>
            <w:tcW w:w="1000" w:type="dxa"/>
            <w:vAlign w:val="bottom"/>
            <w:gridSpan w:val="2"/>
          </w:tcPr>
          <w:p>
            <w:pPr>
              <w:ind w:left="60"/>
              <w:spacing w:after="0" w:line="107" w:lineRule="exact"/>
              <w:rPr>
                <w:sz w:val="20"/>
                <w:szCs w:val="20"/>
                <w:color w:val="auto"/>
              </w:rPr>
            </w:pPr>
            <w:r>
              <w:rPr>
                <w:rFonts w:ascii="Times New Roman" w:cs="Times New Roman" w:eastAsia="Times New Roman" w:hAnsi="Times New Roman"/>
                <w:sz w:val="10"/>
                <w:szCs w:val="10"/>
                <w:color w:val="auto"/>
              </w:rPr>
              <w:t>Technology Services</w:t>
            </w:r>
          </w:p>
        </w:tc>
        <w:tc>
          <w:tcPr>
            <w:tcW w:w="0" w:type="dxa"/>
            <w:vAlign w:val="bottom"/>
          </w:tcPr>
          <w:p>
            <w:pPr>
              <w:spacing w:after="0"/>
              <w:rPr>
                <w:sz w:val="1"/>
                <w:szCs w:val="1"/>
                <w:color w:val="auto"/>
              </w:rPr>
            </w:pPr>
          </w:p>
        </w:tc>
      </w:tr>
      <w:tr>
        <w:trPr>
          <w:trHeight w:val="105"/>
        </w:trPr>
        <w:tc>
          <w:tcPr>
            <w:tcW w:w="1320" w:type="dxa"/>
            <w:vAlign w:val="bottom"/>
            <w:gridSpan w:val="2"/>
          </w:tcPr>
          <w:p>
            <w:pPr>
              <w:ind w:left="100"/>
              <w:spacing w:after="0" w:line="105" w:lineRule="exact"/>
              <w:rPr>
                <w:sz w:val="20"/>
                <w:szCs w:val="20"/>
                <w:color w:val="auto"/>
              </w:rPr>
            </w:pPr>
            <w:r>
              <w:rPr>
                <w:rFonts w:ascii="Times New Roman" w:cs="Times New Roman" w:eastAsia="Times New Roman" w:hAnsi="Times New Roman"/>
                <w:sz w:val="10"/>
                <w:szCs w:val="10"/>
                <w:color w:val="auto"/>
              </w:rPr>
              <w:t>10 Columbus Blvd, 6th Floor</w:t>
            </w:r>
          </w:p>
        </w:tc>
        <w:tc>
          <w:tcPr>
            <w:tcW w:w="900" w:type="dxa"/>
            <w:vAlign w:val="bottom"/>
          </w:tcPr>
          <w:p>
            <w:pPr>
              <w:spacing w:after="0" w:line="105" w:lineRule="exact"/>
              <w:rPr>
                <w:sz w:val="20"/>
                <w:szCs w:val="20"/>
                <w:color w:val="auto"/>
              </w:rPr>
            </w:pPr>
            <w:r>
              <w:rPr>
                <w:rFonts w:ascii="Times New Roman" w:cs="Times New Roman" w:eastAsia="Times New Roman" w:hAnsi="Times New Roman"/>
                <w:sz w:val="10"/>
                <w:szCs w:val="10"/>
                <w:color w:val="auto"/>
              </w:rPr>
              <w:t>Preferred Equity</w:t>
            </w:r>
          </w:p>
        </w:tc>
        <w:tc>
          <w:tcPr>
            <w:tcW w:w="6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1320" w:type="dxa"/>
            <w:vAlign w:val="bottom"/>
            <w:gridSpan w:val="2"/>
          </w:tcPr>
          <w:p>
            <w:pPr>
              <w:ind w:left="100"/>
              <w:spacing w:after="0"/>
              <w:rPr>
                <w:sz w:val="20"/>
                <w:szCs w:val="20"/>
                <w:color w:val="auto"/>
              </w:rPr>
            </w:pPr>
            <w:r>
              <w:rPr>
                <w:rFonts w:ascii="Times New Roman" w:cs="Times New Roman" w:eastAsia="Times New Roman" w:hAnsi="Times New Roman"/>
                <w:sz w:val="10"/>
                <w:szCs w:val="10"/>
                <w:color w:val="auto"/>
              </w:rPr>
              <w:t>Hartford, CT 06106</w:t>
            </w:r>
          </w:p>
        </w:tc>
        <w:tc>
          <w:tcPr>
            <w:tcW w:w="900" w:type="dxa"/>
            <w:vAlign w:val="bottom"/>
          </w:tcPr>
          <w:p>
            <w:pPr>
              <w:spacing w:after="0"/>
              <w:rPr>
                <w:sz w:val="20"/>
                <w:szCs w:val="20"/>
                <w:color w:val="auto"/>
              </w:rPr>
            </w:pPr>
            <w:r>
              <w:rPr>
                <w:rFonts w:ascii="Times New Roman" w:cs="Times New Roman" w:eastAsia="Times New Roman" w:hAnsi="Times New Roman"/>
                <w:sz w:val="10"/>
                <w:szCs w:val="10"/>
                <w:color w:val="auto"/>
              </w:rPr>
              <w:t>(500,000 units) (h)</w:t>
            </w:r>
          </w:p>
        </w:tc>
        <w:tc>
          <w:tcPr>
            <w:tcW w:w="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1320" w:type="dxa"/>
            <w:vAlign w:val="bottom"/>
            <w:gridSpan w:val="2"/>
          </w:tcPr>
          <w:p>
            <w:pPr>
              <w:spacing w:after="0"/>
              <w:rPr>
                <w:sz w:val="20"/>
                <w:szCs w:val="20"/>
                <w:color w:val="auto"/>
              </w:rPr>
            </w:pPr>
            <w:r>
              <w:rPr>
                <w:rFonts w:ascii="Times New Roman" w:cs="Times New Roman" w:eastAsia="Times New Roman" w:hAnsi="Times New Roman"/>
                <w:sz w:val="10"/>
                <w:szCs w:val="10"/>
                <w:i w:val="1"/>
                <w:iCs w:val="1"/>
                <w:color w:val="auto"/>
              </w:rPr>
              <w:t>CIH Intermediate, LLC (n)</w:t>
            </w:r>
          </w:p>
        </w:tc>
        <w:tc>
          <w:tcPr>
            <w:tcW w:w="900" w:type="dxa"/>
            <w:vAlign w:val="bottom"/>
          </w:tcPr>
          <w:p>
            <w:pPr>
              <w:spacing w:after="0"/>
              <w:rPr>
                <w:sz w:val="14"/>
                <w:szCs w:val="14"/>
                <w:color w:val="auto"/>
              </w:rPr>
            </w:pPr>
          </w:p>
        </w:tc>
        <w:tc>
          <w:tcPr>
            <w:tcW w:w="1000" w:type="dxa"/>
            <w:vAlign w:val="bottom"/>
            <w:gridSpan w:val="2"/>
          </w:tcPr>
          <w:p>
            <w:pPr>
              <w:ind w:left="60"/>
              <w:spacing w:after="0"/>
              <w:rPr>
                <w:sz w:val="20"/>
                <w:szCs w:val="20"/>
                <w:color w:val="auto"/>
              </w:rPr>
            </w:pPr>
            <w:r>
              <w:rPr>
                <w:rFonts w:ascii="Times New Roman" w:cs="Times New Roman" w:eastAsia="Times New Roman" w:hAnsi="Times New Roman"/>
                <w:sz w:val="10"/>
                <w:szCs w:val="10"/>
                <w:color w:val="auto"/>
              </w:rPr>
              <w:t>Business Services</w:t>
            </w:r>
          </w:p>
        </w:tc>
        <w:tc>
          <w:tcPr>
            <w:tcW w:w="0" w:type="dxa"/>
            <w:vAlign w:val="bottom"/>
          </w:tcPr>
          <w:p>
            <w:pPr>
              <w:spacing w:after="0"/>
              <w:rPr>
                <w:sz w:val="1"/>
                <w:szCs w:val="1"/>
                <w:color w:val="auto"/>
              </w:rPr>
            </w:pPr>
          </w:p>
        </w:tc>
      </w:tr>
      <w:tr>
        <w:trPr>
          <w:trHeight w:val="105"/>
        </w:trPr>
        <w:tc>
          <w:tcPr>
            <w:tcW w:w="1320" w:type="dxa"/>
            <w:vAlign w:val="bottom"/>
            <w:gridSpan w:val="2"/>
          </w:tcPr>
          <w:p>
            <w:pPr>
              <w:ind w:left="100"/>
              <w:spacing w:after="0" w:line="105" w:lineRule="exact"/>
              <w:rPr>
                <w:sz w:val="20"/>
                <w:szCs w:val="20"/>
                <w:color w:val="auto"/>
              </w:rPr>
            </w:pPr>
            <w:r>
              <w:rPr>
                <w:rFonts w:ascii="Times New Roman" w:cs="Times New Roman" w:eastAsia="Times New Roman" w:hAnsi="Times New Roman"/>
                <w:sz w:val="10"/>
                <w:szCs w:val="10"/>
                <w:color w:val="auto"/>
              </w:rPr>
              <w:t>120 South LaSalle Street</w:t>
            </w:r>
          </w:p>
        </w:tc>
        <w:tc>
          <w:tcPr>
            <w:tcW w:w="900" w:type="dxa"/>
            <w:vAlign w:val="bottom"/>
          </w:tcPr>
          <w:p>
            <w:pPr>
              <w:spacing w:after="0" w:line="105" w:lineRule="exact"/>
              <w:rPr>
                <w:sz w:val="20"/>
                <w:szCs w:val="20"/>
                <w:color w:val="auto"/>
              </w:rPr>
            </w:pPr>
            <w:r>
              <w:rPr>
                <w:rFonts w:ascii="Times New Roman" w:cs="Times New Roman" w:eastAsia="Times New Roman" w:hAnsi="Times New Roman"/>
                <w:sz w:val="10"/>
                <w:szCs w:val="10"/>
                <w:color w:val="auto"/>
              </w:rPr>
              <w:t>Common Equity (563</w:t>
            </w:r>
          </w:p>
        </w:tc>
        <w:tc>
          <w:tcPr>
            <w:tcW w:w="6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320" w:type="dxa"/>
            <w:vAlign w:val="bottom"/>
            <w:gridSpan w:val="2"/>
          </w:tcPr>
          <w:p>
            <w:pPr>
              <w:ind w:left="100"/>
              <w:spacing w:after="0" w:line="105" w:lineRule="exact"/>
              <w:rPr>
                <w:sz w:val="20"/>
                <w:szCs w:val="20"/>
                <w:color w:val="auto"/>
              </w:rPr>
            </w:pPr>
            <w:r>
              <w:rPr>
                <w:rFonts w:ascii="Times New Roman" w:cs="Times New Roman" w:eastAsia="Times New Roman" w:hAnsi="Times New Roman"/>
                <w:sz w:val="10"/>
                <w:szCs w:val="10"/>
                <w:color w:val="auto"/>
              </w:rPr>
              <w:t>Suite 2200</w:t>
            </w:r>
          </w:p>
        </w:tc>
        <w:tc>
          <w:tcPr>
            <w:tcW w:w="900" w:type="dxa"/>
            <w:vAlign w:val="bottom"/>
          </w:tcPr>
          <w:p>
            <w:pPr>
              <w:spacing w:after="0" w:line="105" w:lineRule="exact"/>
              <w:rPr>
                <w:sz w:val="20"/>
                <w:szCs w:val="20"/>
                <w:color w:val="auto"/>
              </w:rPr>
            </w:pPr>
            <w:r>
              <w:rPr>
                <w:rFonts w:ascii="Times New Roman" w:cs="Times New Roman" w:eastAsia="Times New Roman" w:hAnsi="Times New Roman"/>
                <w:sz w:val="10"/>
                <w:szCs w:val="10"/>
                <w:color w:val="auto"/>
              </w:rPr>
              <w:t>shares)</w:t>
            </w:r>
          </w:p>
        </w:tc>
        <w:tc>
          <w:tcPr>
            <w:tcW w:w="6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320" w:type="dxa"/>
            <w:vAlign w:val="bottom"/>
            <w:gridSpan w:val="2"/>
          </w:tcPr>
          <w:p>
            <w:pPr>
              <w:ind w:left="100"/>
              <w:spacing w:after="0" w:line="105" w:lineRule="exact"/>
              <w:rPr>
                <w:sz w:val="20"/>
                <w:szCs w:val="20"/>
                <w:color w:val="auto"/>
              </w:rPr>
            </w:pPr>
            <w:r>
              <w:rPr>
                <w:rFonts w:ascii="Times New Roman" w:cs="Times New Roman" w:eastAsia="Times New Roman" w:hAnsi="Times New Roman"/>
                <w:sz w:val="10"/>
                <w:szCs w:val="10"/>
                <w:color w:val="auto"/>
              </w:rPr>
              <w:t>Chicago, IL 60603</w:t>
            </w:r>
          </w:p>
        </w:tc>
        <w:tc>
          <w:tcPr>
            <w:tcW w:w="900" w:type="dxa"/>
            <w:vAlign w:val="bottom"/>
          </w:tcPr>
          <w:p>
            <w:pPr>
              <w:spacing w:after="0" w:line="105" w:lineRule="exact"/>
              <w:rPr>
                <w:sz w:val="20"/>
                <w:szCs w:val="20"/>
                <w:color w:val="auto"/>
              </w:rPr>
            </w:pPr>
            <w:r>
              <w:rPr>
                <w:rFonts w:ascii="Times New Roman" w:cs="Times New Roman" w:eastAsia="Times New Roman" w:hAnsi="Times New Roman"/>
                <w:sz w:val="10"/>
                <w:szCs w:val="10"/>
                <w:color w:val="auto"/>
              </w:rPr>
              <w:t>Preferred Equity (563</w:t>
            </w:r>
          </w:p>
        </w:tc>
        <w:tc>
          <w:tcPr>
            <w:tcW w:w="6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1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0"/>
                <w:szCs w:val="10"/>
                <w:color w:val="auto"/>
              </w:rPr>
              <w:t>shares)</w:t>
            </w:r>
          </w:p>
        </w:tc>
        <w:tc>
          <w:tcPr>
            <w:tcW w:w="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0"/>
        </w:trPr>
        <w:tc>
          <w:tcPr>
            <w:tcW w:w="1320" w:type="dxa"/>
            <w:vAlign w:val="bottom"/>
            <w:gridSpan w:val="2"/>
          </w:tcPr>
          <w:p>
            <w:pPr>
              <w:spacing w:after="0"/>
              <w:rPr>
                <w:sz w:val="20"/>
                <w:szCs w:val="20"/>
                <w:color w:val="auto"/>
              </w:rPr>
            </w:pPr>
            <w:r>
              <w:rPr>
                <w:rFonts w:ascii="Times New Roman" w:cs="Times New Roman" w:eastAsia="Times New Roman" w:hAnsi="Times New Roman"/>
                <w:sz w:val="10"/>
                <w:szCs w:val="10"/>
                <w:i w:val="1"/>
                <w:iCs w:val="1"/>
                <w:color w:val="auto"/>
              </w:rPr>
              <w:t>Cleanova Topco Limited</w:t>
            </w:r>
          </w:p>
        </w:tc>
        <w:tc>
          <w:tcPr>
            <w:tcW w:w="900" w:type="dxa"/>
            <w:vAlign w:val="bottom"/>
          </w:tcPr>
          <w:p>
            <w:pPr>
              <w:spacing w:after="0"/>
              <w:rPr>
                <w:sz w:val="18"/>
                <w:szCs w:val="18"/>
                <w:color w:val="auto"/>
              </w:rPr>
            </w:pPr>
          </w:p>
        </w:tc>
        <w:tc>
          <w:tcPr>
            <w:tcW w:w="1000" w:type="dxa"/>
            <w:vAlign w:val="bottom"/>
            <w:gridSpan w:val="2"/>
          </w:tcPr>
          <w:p>
            <w:pPr>
              <w:ind w:left="60"/>
              <w:spacing w:after="0"/>
              <w:rPr>
                <w:sz w:val="20"/>
                <w:szCs w:val="20"/>
                <w:color w:val="auto"/>
              </w:rPr>
            </w:pPr>
            <w:r>
              <w:rPr>
                <w:rFonts w:ascii="Times New Roman" w:cs="Times New Roman" w:eastAsia="Times New Roman" w:hAnsi="Times New Roman"/>
                <w:sz w:val="10"/>
                <w:szCs w:val="10"/>
                <w:color w:val="auto"/>
              </w:rPr>
              <w:t>Component</w:t>
            </w:r>
          </w:p>
        </w:tc>
        <w:tc>
          <w:tcPr>
            <w:tcW w:w="0" w:type="dxa"/>
            <w:vAlign w:val="bottom"/>
          </w:tcPr>
          <w:p>
            <w:pPr>
              <w:spacing w:after="0"/>
              <w:rPr>
                <w:sz w:val="1"/>
                <w:szCs w:val="1"/>
                <w:color w:val="auto"/>
              </w:rPr>
            </w:pPr>
          </w:p>
        </w:tc>
      </w:tr>
      <w:tr>
        <w:trPr>
          <w:trHeight w:val="125"/>
        </w:trPr>
        <w:tc>
          <w:tcPr>
            <w:tcW w:w="13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0"/>
                <w:szCs w:val="10"/>
                <w:color w:val="auto"/>
              </w:rPr>
              <w:t>1201 Riverfront Parkway,</w:t>
            </w:r>
          </w:p>
        </w:tc>
        <w:tc>
          <w:tcPr>
            <w:tcW w:w="900" w:type="dxa"/>
            <w:vAlign w:val="bottom"/>
            <w:vMerge w:val="restart"/>
          </w:tcPr>
          <w:p>
            <w:pPr>
              <w:spacing w:after="0"/>
              <w:rPr>
                <w:sz w:val="20"/>
                <w:szCs w:val="20"/>
                <w:color w:val="auto"/>
              </w:rPr>
            </w:pPr>
            <w:r>
              <w:rPr>
                <w:rFonts w:ascii="Times New Roman" w:cs="Times New Roman" w:eastAsia="Times New Roman" w:hAnsi="Times New Roman"/>
                <w:sz w:val="10"/>
                <w:szCs w:val="10"/>
                <w:color w:val="auto"/>
              </w:rPr>
              <w:t>Preferred Equity</w:t>
            </w:r>
          </w:p>
        </w:tc>
        <w:tc>
          <w:tcPr>
            <w:tcW w:w="1000" w:type="dxa"/>
            <w:vAlign w:val="bottom"/>
            <w:gridSpan w:val="2"/>
          </w:tcPr>
          <w:p>
            <w:pPr>
              <w:ind w:left="60"/>
              <w:spacing w:after="0"/>
              <w:rPr>
                <w:sz w:val="20"/>
                <w:szCs w:val="20"/>
                <w:color w:val="auto"/>
              </w:rPr>
            </w:pPr>
            <w:r>
              <w:rPr>
                <w:rFonts w:ascii="Times New Roman" w:cs="Times New Roman" w:eastAsia="Times New Roman" w:hAnsi="Times New Roman"/>
                <w:sz w:val="10"/>
                <w:szCs w:val="10"/>
                <w:color w:val="auto"/>
              </w:rPr>
              <w:t>Manufacturing</w:t>
            </w:r>
          </w:p>
        </w:tc>
        <w:tc>
          <w:tcPr>
            <w:tcW w:w="0" w:type="dxa"/>
            <w:vAlign w:val="bottom"/>
          </w:tcPr>
          <w:p>
            <w:pPr>
              <w:spacing w:after="0"/>
              <w:rPr>
                <w:sz w:val="1"/>
                <w:szCs w:val="1"/>
                <w:color w:val="auto"/>
              </w:rPr>
            </w:pPr>
          </w:p>
        </w:tc>
      </w:tr>
      <w:tr>
        <w:trPr>
          <w:trHeight w:val="84"/>
        </w:trPr>
        <w:tc>
          <w:tcPr>
            <w:tcW w:w="1320" w:type="dxa"/>
            <w:vAlign w:val="bottom"/>
            <w:gridSpan w:val="2"/>
            <w:vMerge w:val="continue"/>
          </w:tcPr>
          <w:p>
            <w:pPr>
              <w:spacing w:after="0"/>
              <w:rPr>
                <w:sz w:val="7"/>
                <w:szCs w:val="7"/>
                <w:color w:val="auto"/>
              </w:rPr>
            </w:pPr>
          </w:p>
        </w:tc>
        <w:tc>
          <w:tcPr>
            <w:tcW w:w="90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9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5"/>
        </w:trPr>
        <w:tc>
          <w:tcPr>
            <w:tcW w:w="1320" w:type="dxa"/>
            <w:vAlign w:val="bottom"/>
            <w:gridSpan w:val="2"/>
          </w:tcPr>
          <w:p>
            <w:pPr>
              <w:ind w:left="100"/>
              <w:spacing w:after="0" w:line="105" w:lineRule="exact"/>
              <w:rPr>
                <w:sz w:val="20"/>
                <w:szCs w:val="20"/>
                <w:color w:val="auto"/>
              </w:rPr>
            </w:pPr>
            <w:r>
              <w:rPr>
                <w:rFonts w:ascii="Times New Roman" w:cs="Times New Roman" w:eastAsia="Times New Roman" w:hAnsi="Times New Roman"/>
                <w:sz w:val="10"/>
                <w:szCs w:val="10"/>
                <w:color w:val="auto"/>
              </w:rPr>
              <w:t>Unit A</w:t>
            </w:r>
          </w:p>
        </w:tc>
        <w:tc>
          <w:tcPr>
            <w:tcW w:w="900" w:type="dxa"/>
            <w:vAlign w:val="bottom"/>
          </w:tcPr>
          <w:p>
            <w:pPr>
              <w:spacing w:after="0" w:line="105" w:lineRule="exact"/>
              <w:rPr>
                <w:sz w:val="20"/>
                <w:szCs w:val="20"/>
                <w:color w:val="auto"/>
              </w:rPr>
            </w:pPr>
            <w:r>
              <w:rPr>
                <w:rFonts w:ascii="Times New Roman" w:cs="Times New Roman" w:eastAsia="Times New Roman" w:hAnsi="Times New Roman"/>
                <w:sz w:val="10"/>
                <w:szCs w:val="10"/>
                <w:color w:val="auto"/>
              </w:rPr>
              <w:t>(746,893 shares)</w:t>
            </w:r>
          </w:p>
        </w:tc>
        <w:tc>
          <w:tcPr>
            <w:tcW w:w="6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320" w:type="dxa"/>
            <w:vAlign w:val="bottom"/>
            <w:gridSpan w:val="2"/>
          </w:tcPr>
          <w:p>
            <w:pPr>
              <w:ind w:left="100"/>
              <w:spacing w:after="0" w:line="105" w:lineRule="exact"/>
              <w:rPr>
                <w:sz w:val="20"/>
                <w:szCs w:val="20"/>
                <w:color w:val="auto"/>
              </w:rPr>
            </w:pPr>
            <w:r>
              <w:rPr>
                <w:rFonts w:ascii="Times New Roman" w:cs="Times New Roman" w:eastAsia="Times New Roman" w:hAnsi="Times New Roman"/>
                <w:sz w:val="10"/>
                <w:szCs w:val="10"/>
                <w:color w:val="auto"/>
              </w:rPr>
              <w:t>Chattanooga, TN 37402</w:t>
            </w:r>
          </w:p>
        </w:tc>
        <w:tc>
          <w:tcPr>
            <w:tcW w:w="900" w:type="dxa"/>
            <w:vAlign w:val="bottom"/>
          </w:tcPr>
          <w:p>
            <w:pPr>
              <w:spacing w:after="0" w:line="105" w:lineRule="exact"/>
              <w:rPr>
                <w:sz w:val="20"/>
                <w:szCs w:val="20"/>
                <w:color w:val="auto"/>
              </w:rPr>
            </w:pPr>
            <w:r>
              <w:rPr>
                <w:rFonts w:ascii="Times New Roman" w:cs="Times New Roman" w:eastAsia="Times New Roman" w:hAnsi="Times New Roman"/>
                <w:sz w:val="10"/>
                <w:szCs w:val="10"/>
                <w:color w:val="auto"/>
              </w:rPr>
              <w:t>Preferred Equity</w:t>
            </w:r>
          </w:p>
        </w:tc>
        <w:tc>
          <w:tcPr>
            <w:tcW w:w="6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tcPr>
          <w:p>
            <w:pPr>
              <w:spacing w:after="0" w:line="105" w:lineRule="exact"/>
              <w:rPr>
                <w:sz w:val="20"/>
                <w:szCs w:val="20"/>
                <w:color w:val="auto"/>
              </w:rPr>
            </w:pPr>
            <w:r>
              <w:rPr>
                <w:rFonts w:ascii="Times New Roman" w:cs="Times New Roman" w:eastAsia="Times New Roman" w:hAnsi="Times New Roman"/>
                <w:sz w:val="10"/>
                <w:szCs w:val="10"/>
                <w:color w:val="auto"/>
              </w:rPr>
              <w:t>(373,447 shares)</w:t>
            </w:r>
          </w:p>
        </w:tc>
        <w:tc>
          <w:tcPr>
            <w:tcW w:w="6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tcPr>
          <w:p>
            <w:pPr>
              <w:spacing w:after="0" w:line="105" w:lineRule="exact"/>
              <w:rPr>
                <w:sz w:val="20"/>
                <w:szCs w:val="20"/>
                <w:color w:val="auto"/>
              </w:rPr>
            </w:pPr>
            <w:r>
              <w:rPr>
                <w:rFonts w:ascii="Times New Roman" w:cs="Times New Roman" w:eastAsia="Times New Roman" w:hAnsi="Times New Roman"/>
                <w:sz w:val="10"/>
                <w:szCs w:val="10"/>
                <w:color w:val="auto"/>
              </w:rPr>
              <w:t>Common Equity</w:t>
            </w:r>
          </w:p>
        </w:tc>
        <w:tc>
          <w:tcPr>
            <w:tcW w:w="6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1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0"/>
                <w:szCs w:val="10"/>
                <w:color w:val="auto"/>
              </w:rPr>
              <w:t>(113,166 shares)</w:t>
            </w:r>
          </w:p>
        </w:tc>
        <w:tc>
          <w:tcPr>
            <w:tcW w:w="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8"/>
        </w:trPr>
        <w:tc>
          <w:tcPr>
            <w:tcW w:w="1320" w:type="dxa"/>
            <w:vAlign w:val="bottom"/>
            <w:gridSpan w:val="2"/>
          </w:tcPr>
          <w:p>
            <w:pPr>
              <w:spacing w:after="0"/>
              <w:rPr>
                <w:sz w:val="20"/>
                <w:szCs w:val="20"/>
                <w:color w:val="auto"/>
              </w:rPr>
            </w:pPr>
            <w:r>
              <w:rPr>
                <w:rFonts w:ascii="Times New Roman" w:cs="Times New Roman" w:eastAsia="Times New Roman" w:hAnsi="Times New Roman"/>
                <w:sz w:val="10"/>
                <w:szCs w:val="10"/>
                <w:i w:val="1"/>
                <w:iCs w:val="1"/>
                <w:color w:val="auto"/>
              </w:rPr>
              <w:t>CRS Solutions Holdings, LLC</w:t>
            </w: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7"/>
        </w:trPr>
        <w:tc>
          <w:tcPr>
            <w:tcW w:w="1320" w:type="dxa"/>
            <w:vAlign w:val="bottom"/>
            <w:gridSpan w:val="2"/>
          </w:tcPr>
          <w:p>
            <w:pPr>
              <w:spacing w:after="0" w:line="107" w:lineRule="exact"/>
              <w:rPr>
                <w:sz w:val="20"/>
                <w:szCs w:val="20"/>
                <w:color w:val="auto"/>
              </w:rPr>
            </w:pPr>
            <w:r>
              <w:rPr>
                <w:rFonts w:ascii="Times New Roman" w:cs="Times New Roman" w:eastAsia="Times New Roman" w:hAnsi="Times New Roman"/>
                <w:sz w:val="10"/>
                <w:szCs w:val="10"/>
                <w:i w:val="1"/>
                <w:iCs w:val="1"/>
                <w:color w:val="auto"/>
              </w:rPr>
              <w:t>(dba CRS Texas)</w:t>
            </w:r>
          </w:p>
        </w:tc>
        <w:tc>
          <w:tcPr>
            <w:tcW w:w="900" w:type="dxa"/>
            <w:vAlign w:val="bottom"/>
          </w:tcPr>
          <w:p>
            <w:pPr>
              <w:spacing w:after="0"/>
              <w:rPr>
                <w:sz w:val="9"/>
                <w:szCs w:val="9"/>
                <w:color w:val="auto"/>
              </w:rPr>
            </w:pPr>
          </w:p>
        </w:tc>
        <w:tc>
          <w:tcPr>
            <w:tcW w:w="1000" w:type="dxa"/>
            <w:vAlign w:val="bottom"/>
            <w:gridSpan w:val="2"/>
          </w:tcPr>
          <w:p>
            <w:pPr>
              <w:ind w:left="60"/>
              <w:spacing w:after="0" w:line="107" w:lineRule="exact"/>
              <w:rPr>
                <w:sz w:val="20"/>
                <w:szCs w:val="20"/>
                <w:color w:val="auto"/>
              </w:rPr>
            </w:pPr>
            <w:r>
              <w:rPr>
                <w:rFonts w:ascii="Times New Roman" w:cs="Times New Roman" w:eastAsia="Times New Roman" w:hAnsi="Times New Roman"/>
                <w:sz w:val="10"/>
                <w:szCs w:val="10"/>
                <w:color w:val="auto"/>
              </w:rPr>
              <w:t>Business Services</w:t>
            </w:r>
          </w:p>
        </w:tc>
        <w:tc>
          <w:tcPr>
            <w:tcW w:w="0" w:type="dxa"/>
            <w:vAlign w:val="bottom"/>
          </w:tcPr>
          <w:p>
            <w:pPr>
              <w:spacing w:after="0"/>
              <w:rPr>
                <w:sz w:val="1"/>
                <w:szCs w:val="1"/>
                <w:color w:val="auto"/>
              </w:rPr>
            </w:pPr>
          </w:p>
        </w:tc>
      </w:tr>
      <w:tr>
        <w:trPr>
          <w:trHeight w:val="105"/>
        </w:trPr>
        <w:tc>
          <w:tcPr>
            <w:tcW w:w="1320" w:type="dxa"/>
            <w:vAlign w:val="bottom"/>
            <w:gridSpan w:val="2"/>
          </w:tcPr>
          <w:p>
            <w:pPr>
              <w:ind w:left="100"/>
              <w:spacing w:after="0" w:line="105" w:lineRule="exact"/>
              <w:rPr>
                <w:sz w:val="20"/>
                <w:szCs w:val="20"/>
                <w:color w:val="auto"/>
              </w:rPr>
            </w:pPr>
            <w:r>
              <w:rPr>
                <w:rFonts w:ascii="Times New Roman" w:cs="Times New Roman" w:eastAsia="Times New Roman" w:hAnsi="Times New Roman"/>
                <w:sz w:val="10"/>
                <w:szCs w:val="10"/>
                <w:color w:val="auto"/>
              </w:rPr>
              <w:t>4501 S. Pinemont Dr., Suite</w:t>
            </w:r>
          </w:p>
        </w:tc>
        <w:tc>
          <w:tcPr>
            <w:tcW w:w="900" w:type="dxa"/>
            <w:vAlign w:val="bottom"/>
          </w:tcPr>
          <w:p>
            <w:pPr>
              <w:spacing w:after="0" w:line="105" w:lineRule="exact"/>
              <w:rPr>
                <w:sz w:val="20"/>
                <w:szCs w:val="20"/>
                <w:color w:val="auto"/>
              </w:rPr>
            </w:pPr>
            <w:r>
              <w:rPr>
                <w:rFonts w:ascii="Times New Roman" w:cs="Times New Roman" w:eastAsia="Times New Roman" w:hAnsi="Times New Roman"/>
                <w:sz w:val="10"/>
                <w:szCs w:val="10"/>
                <w:color w:val="auto"/>
              </w:rPr>
              <w:t>Common Equity</w:t>
            </w:r>
          </w:p>
        </w:tc>
        <w:tc>
          <w:tcPr>
            <w:tcW w:w="6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1320" w:type="dxa"/>
            <w:vAlign w:val="bottom"/>
            <w:gridSpan w:val="2"/>
          </w:tcPr>
          <w:p>
            <w:pPr>
              <w:ind w:left="100"/>
              <w:spacing w:after="0"/>
              <w:rPr>
                <w:sz w:val="20"/>
                <w:szCs w:val="20"/>
                <w:color w:val="auto"/>
              </w:rPr>
            </w:pPr>
            <w:r>
              <w:rPr>
                <w:rFonts w:ascii="Times New Roman" w:cs="Times New Roman" w:eastAsia="Times New Roman" w:hAnsi="Times New Roman"/>
                <w:sz w:val="10"/>
                <w:szCs w:val="10"/>
                <w:color w:val="auto"/>
              </w:rPr>
              <w:t>108 Houston, TX 77041</w:t>
            </w:r>
          </w:p>
        </w:tc>
        <w:tc>
          <w:tcPr>
            <w:tcW w:w="900" w:type="dxa"/>
            <w:vAlign w:val="bottom"/>
          </w:tcPr>
          <w:p>
            <w:pPr>
              <w:spacing w:after="0"/>
              <w:rPr>
                <w:sz w:val="20"/>
                <w:szCs w:val="20"/>
                <w:color w:val="auto"/>
              </w:rPr>
            </w:pPr>
            <w:r>
              <w:rPr>
                <w:rFonts w:ascii="Times New Roman" w:cs="Times New Roman" w:eastAsia="Times New Roman" w:hAnsi="Times New Roman"/>
                <w:sz w:val="10"/>
                <w:szCs w:val="10"/>
                <w:color w:val="auto"/>
              </w:rPr>
              <w:t>(574,929 units) (h)</w:t>
            </w:r>
          </w:p>
        </w:tc>
        <w:tc>
          <w:tcPr>
            <w:tcW w:w="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6"/>
        </w:trPr>
        <w:tc>
          <w:tcPr>
            <w:tcW w:w="1320" w:type="dxa"/>
            <w:vAlign w:val="bottom"/>
            <w:gridSpan w:val="2"/>
          </w:tcPr>
          <w:p>
            <w:pPr>
              <w:spacing w:after="0"/>
              <w:rPr>
                <w:sz w:val="20"/>
                <w:szCs w:val="20"/>
                <w:color w:val="auto"/>
              </w:rPr>
            </w:pPr>
            <w:r>
              <w:rPr>
                <w:rFonts w:ascii="Times New Roman" w:cs="Times New Roman" w:eastAsia="Times New Roman" w:hAnsi="Times New Roman"/>
                <w:sz w:val="10"/>
                <w:szCs w:val="10"/>
                <w:i w:val="1"/>
                <w:iCs w:val="1"/>
                <w:color w:val="auto"/>
              </w:rPr>
              <w:t>CTM Group, Inc. (dba</w:t>
            </w: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1320" w:type="dxa"/>
            <w:vAlign w:val="bottom"/>
            <w:gridSpan w:val="2"/>
          </w:tcPr>
          <w:p>
            <w:pPr>
              <w:spacing w:after="0" w:line="107" w:lineRule="exact"/>
              <w:rPr>
                <w:sz w:val="20"/>
                <w:szCs w:val="20"/>
                <w:color w:val="auto"/>
              </w:rPr>
            </w:pPr>
            <w:r>
              <w:rPr>
                <w:rFonts w:ascii="Times New Roman" w:cs="Times New Roman" w:eastAsia="Times New Roman" w:hAnsi="Times New Roman"/>
                <w:sz w:val="10"/>
                <w:szCs w:val="10"/>
                <w:i w:val="1"/>
                <w:iCs w:val="1"/>
                <w:color w:val="auto"/>
              </w:rPr>
              <w:t>Venuplus, Inc.)</w:t>
            </w:r>
          </w:p>
        </w:tc>
        <w:tc>
          <w:tcPr>
            <w:tcW w:w="900" w:type="dxa"/>
            <w:vAlign w:val="bottom"/>
          </w:tcPr>
          <w:p>
            <w:pPr>
              <w:spacing w:after="0"/>
              <w:rPr>
                <w:sz w:val="9"/>
                <w:szCs w:val="9"/>
                <w:color w:val="auto"/>
              </w:rPr>
            </w:pPr>
          </w:p>
        </w:tc>
        <w:tc>
          <w:tcPr>
            <w:tcW w:w="1000" w:type="dxa"/>
            <w:vAlign w:val="bottom"/>
            <w:gridSpan w:val="2"/>
          </w:tcPr>
          <w:p>
            <w:pPr>
              <w:ind w:left="60"/>
              <w:spacing w:after="0" w:line="107" w:lineRule="exact"/>
              <w:rPr>
                <w:sz w:val="20"/>
                <w:szCs w:val="20"/>
                <w:color w:val="auto"/>
              </w:rPr>
            </w:pPr>
            <w:r>
              <w:rPr>
                <w:rFonts w:ascii="Times New Roman" w:cs="Times New Roman" w:eastAsia="Times New Roman" w:hAnsi="Times New Roman"/>
                <w:sz w:val="10"/>
                <w:szCs w:val="10"/>
                <w:color w:val="auto"/>
              </w:rPr>
              <w:t>Business Services</w:t>
            </w:r>
          </w:p>
        </w:tc>
        <w:tc>
          <w:tcPr>
            <w:tcW w:w="0" w:type="dxa"/>
            <w:vAlign w:val="bottom"/>
          </w:tcPr>
          <w:p>
            <w:pPr>
              <w:spacing w:after="0"/>
              <w:rPr>
                <w:sz w:val="1"/>
                <w:szCs w:val="1"/>
                <w:color w:val="auto"/>
              </w:rPr>
            </w:pPr>
          </w:p>
        </w:tc>
      </w:tr>
      <w:tr>
        <w:trPr>
          <w:trHeight w:val="105"/>
        </w:trPr>
        <w:tc>
          <w:tcPr>
            <w:tcW w:w="1320" w:type="dxa"/>
            <w:vAlign w:val="bottom"/>
            <w:gridSpan w:val="2"/>
          </w:tcPr>
          <w:p>
            <w:pPr>
              <w:ind w:left="100"/>
              <w:spacing w:after="0" w:line="105" w:lineRule="exact"/>
              <w:rPr>
                <w:sz w:val="20"/>
                <w:szCs w:val="20"/>
                <w:color w:val="auto"/>
              </w:rPr>
            </w:pPr>
            <w:r>
              <w:rPr>
                <w:rFonts w:ascii="Times New Roman" w:cs="Times New Roman" w:eastAsia="Times New Roman" w:hAnsi="Times New Roman"/>
                <w:sz w:val="10"/>
                <w:szCs w:val="10"/>
                <w:color w:val="auto"/>
              </w:rPr>
              <w:t>200 W Sand Lake Rd #800</w:t>
            </w:r>
          </w:p>
        </w:tc>
        <w:tc>
          <w:tcPr>
            <w:tcW w:w="900" w:type="dxa"/>
            <w:vAlign w:val="bottom"/>
          </w:tcPr>
          <w:p>
            <w:pPr>
              <w:spacing w:after="0" w:line="105" w:lineRule="exact"/>
              <w:rPr>
                <w:sz w:val="20"/>
                <w:szCs w:val="20"/>
                <w:color w:val="auto"/>
              </w:rPr>
            </w:pPr>
            <w:r>
              <w:rPr>
                <w:rFonts w:ascii="Times New Roman" w:cs="Times New Roman" w:eastAsia="Times New Roman" w:hAnsi="Times New Roman"/>
                <w:sz w:val="10"/>
                <w:szCs w:val="10"/>
                <w:color w:val="auto"/>
              </w:rPr>
              <w:t>First Lien Debt</w:t>
            </w:r>
          </w:p>
        </w:tc>
        <w:tc>
          <w:tcPr>
            <w:tcW w:w="6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320" w:type="dxa"/>
            <w:vAlign w:val="bottom"/>
            <w:gridSpan w:val="2"/>
          </w:tcPr>
          <w:p>
            <w:pPr>
              <w:ind w:left="100"/>
              <w:spacing w:after="0" w:line="105" w:lineRule="exact"/>
              <w:rPr>
                <w:sz w:val="20"/>
                <w:szCs w:val="20"/>
                <w:color w:val="auto"/>
              </w:rPr>
            </w:pPr>
            <w:r>
              <w:rPr>
                <w:rFonts w:ascii="Times New Roman" w:cs="Times New Roman" w:eastAsia="Times New Roman" w:hAnsi="Times New Roman"/>
                <w:sz w:val="10"/>
                <w:szCs w:val="10"/>
                <w:color w:val="auto"/>
              </w:rPr>
              <w:t>Orlando, FL 32809</w:t>
            </w:r>
          </w:p>
        </w:tc>
        <w:tc>
          <w:tcPr>
            <w:tcW w:w="900" w:type="dxa"/>
            <w:vAlign w:val="bottom"/>
          </w:tcPr>
          <w:p>
            <w:pPr>
              <w:spacing w:after="0" w:line="105" w:lineRule="exact"/>
              <w:rPr>
                <w:sz w:val="20"/>
                <w:szCs w:val="20"/>
                <w:color w:val="auto"/>
              </w:rPr>
            </w:pPr>
            <w:r>
              <w:rPr>
                <w:rFonts w:ascii="Times New Roman" w:cs="Times New Roman" w:eastAsia="Times New Roman" w:hAnsi="Times New Roman"/>
                <w:sz w:val="10"/>
                <w:szCs w:val="10"/>
                <w:color w:val="auto"/>
              </w:rPr>
              <w:t>First Lien Debt (w)</w:t>
            </w:r>
          </w:p>
        </w:tc>
        <w:tc>
          <w:tcPr>
            <w:tcW w:w="6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tcPr>
          <w:p>
            <w:pPr>
              <w:spacing w:after="0" w:line="105" w:lineRule="exact"/>
              <w:rPr>
                <w:sz w:val="20"/>
                <w:szCs w:val="20"/>
                <w:color w:val="auto"/>
              </w:rPr>
            </w:pPr>
            <w:r>
              <w:rPr>
                <w:rFonts w:ascii="Times New Roman" w:cs="Times New Roman" w:eastAsia="Times New Roman" w:hAnsi="Times New Roman"/>
                <w:sz w:val="10"/>
                <w:szCs w:val="10"/>
                <w:color w:val="auto"/>
              </w:rPr>
              <w:t>Subordinated Debt</w:t>
            </w:r>
          </w:p>
        </w:tc>
        <w:tc>
          <w:tcPr>
            <w:tcW w:w="6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tcPr>
          <w:p>
            <w:pPr>
              <w:spacing w:after="0" w:line="105" w:lineRule="exact"/>
              <w:rPr>
                <w:sz w:val="20"/>
                <w:szCs w:val="20"/>
                <w:color w:val="auto"/>
              </w:rPr>
            </w:pPr>
            <w:r>
              <w:rPr>
                <w:rFonts w:ascii="Times New Roman" w:cs="Times New Roman" w:eastAsia="Times New Roman" w:hAnsi="Times New Roman"/>
                <w:sz w:val="10"/>
                <w:szCs w:val="10"/>
                <w:color w:val="auto"/>
              </w:rPr>
              <w:t>Common Equity</w:t>
            </w:r>
          </w:p>
        </w:tc>
        <w:tc>
          <w:tcPr>
            <w:tcW w:w="6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1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0"/>
                <w:szCs w:val="10"/>
                <w:color w:val="auto"/>
              </w:rPr>
              <w:t>(400,000 units)</w:t>
            </w:r>
          </w:p>
        </w:tc>
        <w:tc>
          <w:tcPr>
            <w:tcW w:w="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8"/>
        </w:trPr>
        <w:tc>
          <w:tcPr>
            <w:tcW w:w="1320" w:type="dxa"/>
            <w:vAlign w:val="bottom"/>
            <w:gridSpan w:val="2"/>
          </w:tcPr>
          <w:p>
            <w:pPr>
              <w:spacing w:after="0"/>
              <w:rPr>
                <w:sz w:val="20"/>
                <w:szCs w:val="20"/>
                <w:color w:val="auto"/>
              </w:rPr>
            </w:pPr>
            <w:r>
              <w:rPr>
                <w:rFonts w:ascii="Times New Roman" w:cs="Times New Roman" w:eastAsia="Times New Roman" w:hAnsi="Times New Roman"/>
                <w:sz w:val="10"/>
                <w:szCs w:val="10"/>
                <w:i w:val="1"/>
                <w:iCs w:val="1"/>
                <w:color w:val="auto"/>
              </w:rPr>
              <w:t>Customer Expressions Corp</w:t>
            </w:r>
          </w:p>
        </w:tc>
        <w:tc>
          <w:tcPr>
            <w:tcW w:w="900" w:type="dxa"/>
            <w:vAlign w:val="bottom"/>
          </w:tcPr>
          <w:p>
            <w:pPr>
              <w:spacing w:after="0"/>
              <w:rPr>
                <w:sz w:val="18"/>
                <w:szCs w:val="18"/>
                <w:color w:val="auto"/>
              </w:rPr>
            </w:pPr>
          </w:p>
        </w:tc>
        <w:tc>
          <w:tcPr>
            <w:tcW w:w="1000" w:type="dxa"/>
            <w:vAlign w:val="bottom"/>
            <w:gridSpan w:val="2"/>
          </w:tcPr>
          <w:p>
            <w:pPr>
              <w:ind w:left="60"/>
              <w:spacing w:after="0"/>
              <w:rPr>
                <w:sz w:val="20"/>
                <w:szCs w:val="20"/>
                <w:color w:val="auto"/>
              </w:rPr>
            </w:pPr>
            <w:r>
              <w:rPr>
                <w:rFonts w:ascii="Times New Roman" w:cs="Times New Roman" w:eastAsia="Times New Roman" w:hAnsi="Times New Roman"/>
                <w:sz w:val="10"/>
                <w:szCs w:val="10"/>
                <w:color w:val="auto"/>
              </w:rPr>
              <w:t>Information</w:t>
            </w:r>
          </w:p>
        </w:tc>
        <w:tc>
          <w:tcPr>
            <w:tcW w:w="0" w:type="dxa"/>
            <w:vAlign w:val="bottom"/>
          </w:tcPr>
          <w:p>
            <w:pPr>
              <w:spacing w:after="0"/>
              <w:rPr>
                <w:sz w:val="1"/>
                <w:szCs w:val="1"/>
                <w:color w:val="auto"/>
              </w:rPr>
            </w:pPr>
          </w:p>
        </w:tc>
      </w:tr>
      <w:tr>
        <w:trPr>
          <w:trHeight w:val="107"/>
        </w:trPr>
        <w:tc>
          <w:tcPr>
            <w:tcW w:w="1320" w:type="dxa"/>
            <w:vAlign w:val="bottom"/>
            <w:gridSpan w:val="2"/>
          </w:tcPr>
          <w:p>
            <w:pPr>
              <w:spacing w:after="0" w:line="107" w:lineRule="exact"/>
              <w:rPr>
                <w:sz w:val="20"/>
                <w:szCs w:val="20"/>
                <w:color w:val="auto"/>
              </w:rPr>
            </w:pPr>
            <w:r>
              <w:rPr>
                <w:rFonts w:ascii="Times New Roman" w:cs="Times New Roman" w:eastAsia="Times New Roman" w:hAnsi="Times New Roman"/>
                <w:sz w:val="10"/>
                <w:szCs w:val="10"/>
                <w:i w:val="1"/>
                <w:iCs w:val="1"/>
                <w:color w:val="auto"/>
              </w:rPr>
              <w:t>(dba Case IQ) (aq)</w:t>
            </w:r>
          </w:p>
        </w:tc>
        <w:tc>
          <w:tcPr>
            <w:tcW w:w="900" w:type="dxa"/>
            <w:vAlign w:val="bottom"/>
          </w:tcPr>
          <w:p>
            <w:pPr>
              <w:spacing w:after="0"/>
              <w:rPr>
                <w:sz w:val="9"/>
                <w:szCs w:val="9"/>
                <w:color w:val="auto"/>
              </w:rPr>
            </w:pPr>
          </w:p>
        </w:tc>
        <w:tc>
          <w:tcPr>
            <w:tcW w:w="1000" w:type="dxa"/>
            <w:vAlign w:val="bottom"/>
            <w:gridSpan w:val="2"/>
          </w:tcPr>
          <w:p>
            <w:pPr>
              <w:ind w:left="60"/>
              <w:spacing w:after="0" w:line="107" w:lineRule="exact"/>
              <w:rPr>
                <w:sz w:val="20"/>
                <w:szCs w:val="20"/>
                <w:color w:val="auto"/>
              </w:rPr>
            </w:pPr>
            <w:r>
              <w:rPr>
                <w:rFonts w:ascii="Times New Roman" w:cs="Times New Roman" w:eastAsia="Times New Roman" w:hAnsi="Times New Roman"/>
                <w:sz w:val="10"/>
                <w:szCs w:val="10"/>
                <w:color w:val="auto"/>
              </w:rPr>
              <w:t>Technology Services</w:t>
            </w:r>
          </w:p>
        </w:tc>
        <w:tc>
          <w:tcPr>
            <w:tcW w:w="0" w:type="dxa"/>
            <w:vAlign w:val="bottom"/>
          </w:tcPr>
          <w:p>
            <w:pPr>
              <w:spacing w:after="0"/>
              <w:rPr>
                <w:sz w:val="1"/>
                <w:szCs w:val="1"/>
                <w:color w:val="auto"/>
              </w:rPr>
            </w:pPr>
          </w:p>
        </w:tc>
      </w:tr>
      <w:tr>
        <w:trPr>
          <w:trHeight w:val="105"/>
        </w:trPr>
        <w:tc>
          <w:tcPr>
            <w:tcW w:w="1320" w:type="dxa"/>
            <w:vAlign w:val="bottom"/>
            <w:gridSpan w:val="2"/>
          </w:tcPr>
          <w:p>
            <w:pPr>
              <w:ind w:left="100"/>
              <w:spacing w:after="0" w:line="105" w:lineRule="exact"/>
              <w:rPr>
                <w:sz w:val="20"/>
                <w:szCs w:val="20"/>
                <w:color w:val="auto"/>
              </w:rPr>
            </w:pPr>
            <w:r>
              <w:rPr>
                <w:rFonts w:ascii="Times New Roman" w:cs="Times New Roman" w:eastAsia="Times New Roman" w:hAnsi="Times New Roman"/>
                <w:sz w:val="10"/>
                <w:szCs w:val="10"/>
                <w:color w:val="auto"/>
              </w:rPr>
              <w:t>300 March Rd, Suite 501</w:t>
            </w:r>
          </w:p>
        </w:tc>
        <w:tc>
          <w:tcPr>
            <w:tcW w:w="900" w:type="dxa"/>
            <w:vAlign w:val="bottom"/>
          </w:tcPr>
          <w:p>
            <w:pPr>
              <w:spacing w:after="0" w:line="105" w:lineRule="exact"/>
              <w:rPr>
                <w:sz w:val="20"/>
                <w:szCs w:val="20"/>
                <w:color w:val="auto"/>
              </w:rPr>
            </w:pPr>
            <w:r>
              <w:rPr>
                <w:rFonts w:ascii="Times New Roman" w:cs="Times New Roman" w:eastAsia="Times New Roman" w:hAnsi="Times New Roman"/>
                <w:sz w:val="10"/>
                <w:szCs w:val="10"/>
                <w:color w:val="auto"/>
              </w:rPr>
              <w:t>First Lien Debt (bc)</w:t>
            </w:r>
          </w:p>
        </w:tc>
        <w:tc>
          <w:tcPr>
            <w:tcW w:w="6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tcPr>
          <w:p>
            <w:pPr>
              <w:spacing w:after="0" w:line="105" w:lineRule="exact"/>
              <w:rPr>
                <w:sz w:val="20"/>
                <w:szCs w:val="20"/>
                <w:color w:val="auto"/>
              </w:rPr>
            </w:pPr>
            <w:r>
              <w:rPr>
                <w:rFonts w:ascii="Times New Roman" w:cs="Times New Roman" w:eastAsia="Times New Roman" w:hAnsi="Times New Roman"/>
                <w:sz w:val="10"/>
                <w:szCs w:val="10"/>
                <w:color w:val="auto"/>
              </w:rPr>
              <w:t>(ao)</w:t>
            </w:r>
          </w:p>
        </w:tc>
        <w:tc>
          <w:tcPr>
            <w:tcW w:w="6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320" w:type="dxa"/>
            <w:vAlign w:val="bottom"/>
            <w:gridSpan w:val="2"/>
          </w:tcPr>
          <w:p>
            <w:pPr>
              <w:ind w:left="100"/>
              <w:spacing w:after="0" w:line="105" w:lineRule="exact"/>
              <w:rPr>
                <w:sz w:val="20"/>
                <w:szCs w:val="20"/>
                <w:color w:val="auto"/>
              </w:rPr>
            </w:pPr>
            <w:r>
              <w:rPr>
                <w:rFonts w:ascii="Times New Roman" w:cs="Times New Roman" w:eastAsia="Times New Roman" w:hAnsi="Times New Roman"/>
                <w:sz w:val="10"/>
                <w:szCs w:val="10"/>
                <w:color w:val="auto"/>
              </w:rPr>
              <w:t>Ottawa, ON K2K 2E2</w:t>
            </w:r>
          </w:p>
        </w:tc>
        <w:tc>
          <w:tcPr>
            <w:tcW w:w="900" w:type="dxa"/>
            <w:vAlign w:val="bottom"/>
          </w:tcPr>
          <w:p>
            <w:pPr>
              <w:spacing w:after="0" w:line="105" w:lineRule="exact"/>
              <w:rPr>
                <w:sz w:val="20"/>
                <w:szCs w:val="20"/>
                <w:color w:val="auto"/>
              </w:rPr>
            </w:pPr>
            <w:r>
              <w:rPr>
                <w:rFonts w:ascii="Times New Roman" w:cs="Times New Roman" w:eastAsia="Times New Roman" w:hAnsi="Times New Roman"/>
                <w:sz w:val="10"/>
                <w:szCs w:val="10"/>
                <w:color w:val="auto"/>
              </w:rPr>
              <w:t>Common Equity</w:t>
            </w:r>
          </w:p>
        </w:tc>
        <w:tc>
          <w:tcPr>
            <w:tcW w:w="6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1320" w:type="dxa"/>
            <w:vAlign w:val="bottom"/>
            <w:gridSpan w:val="2"/>
          </w:tcPr>
          <w:p>
            <w:pPr>
              <w:ind w:left="100"/>
              <w:spacing w:after="0"/>
              <w:rPr>
                <w:sz w:val="20"/>
                <w:szCs w:val="20"/>
                <w:color w:val="auto"/>
              </w:rPr>
            </w:pPr>
            <w:r>
              <w:rPr>
                <w:rFonts w:ascii="Times New Roman" w:cs="Times New Roman" w:eastAsia="Times New Roman" w:hAnsi="Times New Roman"/>
                <w:sz w:val="10"/>
                <w:szCs w:val="10"/>
                <w:color w:val="auto"/>
              </w:rPr>
              <w:t>Canada</w:t>
            </w:r>
          </w:p>
        </w:tc>
        <w:tc>
          <w:tcPr>
            <w:tcW w:w="900" w:type="dxa"/>
            <w:vAlign w:val="bottom"/>
          </w:tcPr>
          <w:p>
            <w:pPr>
              <w:spacing w:after="0"/>
              <w:rPr>
                <w:sz w:val="20"/>
                <w:szCs w:val="20"/>
                <w:color w:val="auto"/>
              </w:rPr>
            </w:pPr>
            <w:r>
              <w:rPr>
                <w:rFonts w:ascii="Times New Roman" w:cs="Times New Roman" w:eastAsia="Times New Roman" w:hAnsi="Times New Roman"/>
                <w:sz w:val="10"/>
                <w:szCs w:val="10"/>
                <w:color w:val="auto"/>
              </w:rPr>
              <w:t>(502,894 units) (ao)</w:t>
            </w:r>
          </w:p>
        </w:tc>
        <w:tc>
          <w:tcPr>
            <w:tcW w:w="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9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95"/>
        </w:trPr>
        <w:tc>
          <w:tcPr>
            <w:tcW w:w="740" w:type="dxa"/>
            <w:vAlign w:val="bottom"/>
            <w:gridSpan w:val="2"/>
          </w:tcPr>
          <w:p>
            <w:pPr>
              <w:jc w:val="center"/>
              <w:ind w:right="180"/>
              <w:spacing w:after="0"/>
              <w:rPr>
                <w:sz w:val="20"/>
                <w:szCs w:val="20"/>
                <w:color w:val="auto"/>
              </w:rPr>
            </w:pPr>
            <w:r>
              <w:rPr>
                <w:rFonts w:ascii="Times New Roman" w:cs="Times New Roman" w:eastAsia="Times New Roman" w:hAnsi="Times New Roman"/>
                <w:sz w:val="8"/>
                <w:szCs w:val="8"/>
                <w:b w:val="1"/>
                <w:bCs w:val="1"/>
                <w:color w:val="auto"/>
              </w:rPr>
              <w:t>Percentage of</w:t>
            </w:r>
          </w:p>
        </w:tc>
        <w:tc>
          <w:tcPr>
            <w:tcW w:w="920" w:type="dxa"/>
            <w:vAlign w:val="bottom"/>
            <w:gridSpan w:val="2"/>
          </w:tcPr>
          <w:p>
            <w:pPr>
              <w:jc w:val="center"/>
              <w:ind w:right="60"/>
              <w:spacing w:after="0"/>
              <w:rPr>
                <w:sz w:val="20"/>
                <w:szCs w:val="20"/>
                <w:color w:val="auto"/>
              </w:rPr>
            </w:pPr>
            <w:r>
              <w:rPr>
                <w:rFonts w:ascii="Times New Roman" w:cs="Times New Roman" w:eastAsia="Times New Roman" w:hAnsi="Times New Roman"/>
                <w:sz w:val="8"/>
                <w:szCs w:val="8"/>
                <w:b w:val="1"/>
                <w:bCs w:val="1"/>
                <w:color w:val="auto"/>
              </w:rPr>
              <w:t>Variable Index</w:t>
            </w:r>
          </w:p>
        </w:tc>
        <w:tc>
          <w:tcPr>
            <w:tcW w:w="720" w:type="dxa"/>
            <w:vAlign w:val="bottom"/>
            <w:gridSpan w:val="2"/>
          </w:tcPr>
          <w:p>
            <w:pPr>
              <w:jc w:val="center"/>
              <w:ind w:right="80"/>
              <w:spacing w:after="0"/>
              <w:rPr>
                <w:sz w:val="20"/>
                <w:szCs w:val="20"/>
                <w:color w:val="auto"/>
              </w:rPr>
            </w:pPr>
            <w:r>
              <w:rPr>
                <w:rFonts w:ascii="Times New Roman" w:cs="Times New Roman" w:eastAsia="Times New Roman" w:hAnsi="Times New Roman"/>
                <w:sz w:val="8"/>
                <w:szCs w:val="8"/>
                <w:b w:val="1"/>
                <w:bCs w:val="1"/>
                <w:color w:val="auto"/>
              </w:rPr>
              <w:t>Rate (e)</w:t>
            </w:r>
          </w:p>
        </w:tc>
        <w:tc>
          <w:tcPr>
            <w:tcW w:w="580" w:type="dxa"/>
            <w:vAlign w:val="bottom"/>
            <w:gridSpan w:val="2"/>
          </w:tcPr>
          <w:p>
            <w:pPr>
              <w:ind w:left="40"/>
              <w:spacing w:after="0"/>
              <w:rPr>
                <w:sz w:val="20"/>
                <w:szCs w:val="20"/>
                <w:color w:val="auto"/>
              </w:rPr>
            </w:pPr>
            <w:r>
              <w:rPr>
                <w:rFonts w:ascii="Times New Roman" w:cs="Times New Roman" w:eastAsia="Times New Roman" w:hAnsi="Times New Roman"/>
                <w:sz w:val="8"/>
                <w:szCs w:val="8"/>
                <w:b w:val="1"/>
                <w:bCs w:val="1"/>
                <w:color w:val="auto"/>
              </w:rPr>
              <w:t>Investment</w:t>
            </w: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gridSpan w:val="2"/>
          </w:tcPr>
          <w:p>
            <w:pPr>
              <w:jc w:val="center"/>
              <w:ind w:right="100"/>
              <w:spacing w:after="0"/>
              <w:rPr>
                <w:sz w:val="20"/>
                <w:szCs w:val="20"/>
                <w:color w:val="auto"/>
              </w:rPr>
            </w:pPr>
            <w:r>
              <w:rPr>
                <w:rFonts w:ascii="Times New Roman" w:cs="Times New Roman" w:eastAsia="Times New Roman" w:hAnsi="Times New Roman"/>
                <w:sz w:val="8"/>
                <w:szCs w:val="8"/>
                <w:b w:val="1"/>
                <w:bCs w:val="1"/>
                <w:color w:val="auto"/>
              </w:rPr>
              <w:t>Principal</w:t>
            </w: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gridSpan w:val="2"/>
          </w:tcPr>
          <w:p>
            <w:pPr>
              <w:ind w:left="80"/>
              <w:spacing w:after="0"/>
              <w:rPr>
                <w:sz w:val="20"/>
                <w:szCs w:val="20"/>
                <w:color w:val="auto"/>
              </w:rPr>
            </w:pPr>
            <w:r>
              <w:rPr>
                <w:rFonts w:ascii="Times New Roman" w:cs="Times New Roman" w:eastAsia="Times New Roman" w:hAnsi="Times New Roman"/>
                <w:sz w:val="8"/>
                <w:szCs w:val="8"/>
                <w:b w:val="1"/>
                <w:bCs w:val="1"/>
                <w:color w:val="auto"/>
              </w:rPr>
              <w:t>Fair</w:t>
            </w:r>
          </w:p>
        </w:tc>
        <w:tc>
          <w:tcPr>
            <w:tcW w:w="440" w:type="dxa"/>
            <w:vAlign w:val="bottom"/>
            <w:gridSpan w:val="2"/>
          </w:tcPr>
          <w:p>
            <w:pPr>
              <w:jc w:val="right"/>
              <w:ind w:right="80"/>
              <w:spacing w:after="0"/>
              <w:rPr>
                <w:sz w:val="20"/>
                <w:szCs w:val="20"/>
                <w:color w:val="auto"/>
              </w:rPr>
            </w:pPr>
            <w:r>
              <w:rPr>
                <w:rFonts w:ascii="Times New Roman" w:cs="Times New Roman" w:eastAsia="Times New Roman" w:hAnsi="Times New Roman"/>
                <w:sz w:val="8"/>
                <w:szCs w:val="8"/>
                <w:b w:val="1"/>
                <w:bCs w:val="1"/>
                <w:color w:val="auto"/>
                <w:w w:val="97"/>
              </w:rPr>
              <w:t>Percent of</w:t>
            </w:r>
          </w:p>
        </w:tc>
      </w:tr>
      <w:tr>
        <w:trPr>
          <w:trHeight w:val="115"/>
        </w:trPr>
        <w:tc>
          <w:tcPr>
            <w:tcW w:w="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8"/>
                <w:szCs w:val="8"/>
                <w:b w:val="1"/>
                <w:bCs w:val="1"/>
                <w:color w:val="auto"/>
              </w:rPr>
              <w:t>Class Held (bn)</w:t>
            </w:r>
          </w:p>
        </w:tc>
        <w:tc>
          <w:tcPr>
            <w:tcW w:w="180" w:type="dxa"/>
            <w:vAlign w:val="bottom"/>
          </w:tcPr>
          <w:p>
            <w:pPr>
              <w:spacing w:after="0"/>
              <w:rPr>
                <w:sz w:val="10"/>
                <w:szCs w:val="10"/>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8"/>
                <w:szCs w:val="8"/>
                <w:b w:val="1"/>
                <w:bCs w:val="1"/>
                <w:color w:val="auto"/>
              </w:rPr>
              <w:t>Spread / Floor (d)</w:t>
            </w:r>
          </w:p>
        </w:tc>
        <w:tc>
          <w:tcPr>
            <w:tcW w:w="60" w:type="dxa"/>
            <w:vAlign w:val="bottom"/>
          </w:tcPr>
          <w:p>
            <w:pPr>
              <w:spacing w:after="0"/>
              <w:rPr>
                <w:sz w:val="10"/>
                <w:szCs w:val="10"/>
                <w:color w:val="auto"/>
              </w:rPr>
            </w:pP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8"/>
                <w:szCs w:val="8"/>
                <w:b w:val="1"/>
                <w:bCs w:val="1"/>
                <w:color w:val="auto"/>
              </w:rPr>
              <w:t>Cash/PIK</w:t>
            </w:r>
          </w:p>
        </w:tc>
        <w:tc>
          <w:tcPr>
            <w:tcW w:w="100" w:type="dxa"/>
            <w:vAlign w:val="bottom"/>
          </w:tcPr>
          <w:p>
            <w:pPr>
              <w:spacing w:after="0"/>
              <w:rPr>
                <w:sz w:val="10"/>
                <w:szCs w:val="10"/>
                <w:color w:val="auto"/>
              </w:rPr>
            </w:pPr>
          </w:p>
        </w:tc>
        <w:tc>
          <w:tcPr>
            <w:tcW w:w="48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8"/>
                <w:szCs w:val="8"/>
                <w:b w:val="1"/>
                <w:bCs w:val="1"/>
                <w:color w:val="auto"/>
              </w:rPr>
              <w:t>Date (f)</w:t>
            </w:r>
          </w:p>
        </w:tc>
        <w:tc>
          <w:tcPr>
            <w:tcW w:w="100" w:type="dxa"/>
            <w:vAlign w:val="bottom"/>
          </w:tcPr>
          <w:p>
            <w:pPr>
              <w:spacing w:after="0"/>
              <w:rPr>
                <w:sz w:val="10"/>
                <w:szCs w:val="10"/>
                <w:color w:val="auto"/>
              </w:rPr>
            </w:pPr>
          </w:p>
        </w:tc>
        <w:tc>
          <w:tcPr>
            <w:tcW w:w="4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8"/>
                <w:szCs w:val="8"/>
                <w:b w:val="1"/>
                <w:bCs w:val="1"/>
                <w:color w:val="auto"/>
              </w:rPr>
              <w:t>Maturity</w:t>
            </w:r>
          </w:p>
        </w:tc>
        <w:tc>
          <w:tcPr>
            <w:tcW w:w="80" w:type="dxa"/>
            <w:vAlign w:val="bottom"/>
          </w:tcPr>
          <w:p>
            <w:pPr>
              <w:spacing w:after="0"/>
              <w:rPr>
                <w:sz w:val="10"/>
                <w:szCs w:val="10"/>
                <w:color w:val="auto"/>
              </w:rPr>
            </w:pPr>
          </w:p>
        </w:tc>
        <w:tc>
          <w:tcPr>
            <w:tcW w:w="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8"/>
                <w:szCs w:val="8"/>
                <w:b w:val="1"/>
                <w:bCs w:val="1"/>
                <w:color w:val="auto"/>
              </w:rPr>
              <w:t>Amount</w:t>
            </w:r>
          </w:p>
        </w:tc>
        <w:tc>
          <w:tcPr>
            <w:tcW w:w="100" w:type="dxa"/>
            <w:vAlign w:val="bottom"/>
          </w:tcPr>
          <w:p>
            <w:pPr>
              <w:spacing w:after="0"/>
              <w:rPr>
                <w:sz w:val="10"/>
                <w:szCs w:val="10"/>
                <w:color w:val="auto"/>
              </w:rPr>
            </w:pPr>
          </w:p>
        </w:tc>
        <w:tc>
          <w:tcPr>
            <w:tcW w:w="3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8"/>
                <w:szCs w:val="8"/>
                <w:b w:val="1"/>
                <w:bCs w:val="1"/>
                <w:color w:val="auto"/>
              </w:rPr>
              <w:t>Cost</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8"/>
                <w:szCs w:val="8"/>
                <w:b w:val="1"/>
                <w:bCs w:val="1"/>
                <w:color w:val="auto"/>
                <w:w w:val="95"/>
              </w:rPr>
              <w:t>Value (g)</w:t>
            </w:r>
          </w:p>
        </w:tc>
        <w:tc>
          <w:tcPr>
            <w:tcW w:w="100" w:type="dxa"/>
            <w:vAlign w:val="bottom"/>
          </w:tcPr>
          <w:p>
            <w:pPr>
              <w:spacing w:after="0"/>
              <w:rPr>
                <w:sz w:val="10"/>
                <w:szCs w:val="10"/>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8"/>
                <w:szCs w:val="8"/>
                <w:b w:val="1"/>
                <w:bCs w:val="1"/>
                <w:color w:val="auto"/>
                <w:w w:val="96"/>
              </w:rPr>
              <w:t>Net Assets</w:t>
            </w:r>
          </w:p>
        </w:tc>
        <w:tc>
          <w:tcPr>
            <w:tcW w:w="80" w:type="dxa"/>
            <w:vAlign w:val="bottom"/>
          </w:tcPr>
          <w:p>
            <w:pPr>
              <w:spacing w:after="0"/>
              <w:rPr>
                <w:sz w:val="10"/>
                <w:szCs w:val="10"/>
                <w:color w:val="auto"/>
              </w:rPr>
            </w:pPr>
          </w:p>
        </w:tc>
      </w:tr>
      <w:tr>
        <w:trPr>
          <w:trHeight w:val="207"/>
        </w:trPr>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gridSpan w:val="2"/>
          </w:tcPr>
          <w:p>
            <w:pPr>
              <w:jc w:val="center"/>
              <w:ind w:right="60"/>
              <w:spacing w:after="0"/>
              <w:rPr>
                <w:sz w:val="20"/>
                <w:szCs w:val="20"/>
                <w:color w:val="auto"/>
              </w:rPr>
            </w:pPr>
            <w:r>
              <w:rPr>
                <w:rFonts w:ascii="Times New Roman" w:cs="Times New Roman" w:eastAsia="Times New Roman" w:hAnsi="Times New Roman"/>
                <w:sz w:val="10"/>
                <w:szCs w:val="10"/>
                <w:color w:val="auto"/>
                <w:w w:val="96"/>
              </w:rPr>
              <w:t>(S + 5.38%) / (1.50%)</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9.04%/0.00%</w:t>
            </w: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9/13/2022</w:t>
            </w: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9/9/2029</w:t>
            </w: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24,000</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0"/>
                <w:szCs w:val="10"/>
                <w:color w:val="auto"/>
              </w:rPr>
              <w:t>23,761</w:t>
            </w:r>
          </w:p>
        </w:tc>
        <w:tc>
          <w:tcPr>
            <w:tcW w:w="500" w:type="dxa"/>
            <w:vAlign w:val="bottom"/>
            <w:gridSpan w:val="3"/>
          </w:tcPr>
          <w:p>
            <w:pPr>
              <w:jc w:val="right"/>
              <w:ind w:right="100"/>
              <w:spacing w:after="0"/>
              <w:rPr>
                <w:sz w:val="20"/>
                <w:szCs w:val="20"/>
                <w:color w:val="auto"/>
              </w:rPr>
            </w:pPr>
            <w:r>
              <w:rPr>
                <w:rFonts w:ascii="Times New Roman" w:cs="Times New Roman" w:eastAsia="Times New Roman" w:hAnsi="Times New Roman"/>
                <w:sz w:val="10"/>
                <w:szCs w:val="10"/>
                <w:color w:val="auto"/>
              </w:rPr>
              <w:t>24,000</w:t>
            </w: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9"/>
        </w:trPr>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0.7%</w:t>
            </w: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9/13/2022</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0"/>
                <w:szCs w:val="10"/>
                <w:color w:val="auto"/>
              </w:rPr>
              <w:t>1,000</w:t>
            </w:r>
          </w:p>
        </w:tc>
        <w:tc>
          <w:tcPr>
            <w:tcW w:w="500" w:type="dxa"/>
            <w:vAlign w:val="bottom"/>
            <w:gridSpan w:val="3"/>
          </w:tcPr>
          <w:p>
            <w:pPr>
              <w:jc w:val="right"/>
              <w:ind w:right="100"/>
              <w:spacing w:after="0"/>
              <w:rPr>
                <w:sz w:val="20"/>
                <w:szCs w:val="20"/>
                <w:color w:val="auto"/>
              </w:rPr>
            </w:pPr>
            <w:r>
              <w:rPr>
                <w:rFonts w:ascii="Times New Roman" w:cs="Times New Roman" w:eastAsia="Times New Roman" w:hAnsi="Times New Roman"/>
                <w:sz w:val="10"/>
                <w:szCs w:val="10"/>
                <w:color w:val="auto"/>
              </w:rPr>
              <w:t>1,834</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2"/>
        </w:trPr>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0.3%</w:t>
            </w: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9/9/2024</w:t>
            </w: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0"/>
                <w:szCs w:val="10"/>
                <w:color w:val="auto"/>
              </w:rPr>
              <w:t>713</w:t>
            </w:r>
          </w:p>
        </w:tc>
        <w:tc>
          <w:tcPr>
            <w:tcW w:w="500" w:type="dxa"/>
            <w:vAlign w:val="bottom"/>
            <w:gridSpan w:val="3"/>
          </w:tcPr>
          <w:p>
            <w:pPr>
              <w:jc w:val="right"/>
              <w:ind w:right="100"/>
              <w:spacing w:after="0"/>
              <w:rPr>
                <w:sz w:val="20"/>
                <w:szCs w:val="20"/>
                <w:color w:val="auto"/>
              </w:rPr>
            </w:pPr>
            <w:r>
              <w:rPr>
                <w:rFonts w:ascii="Times New Roman" w:cs="Times New Roman" w:eastAsia="Times New Roman" w:hAnsi="Times New Roman"/>
                <w:sz w:val="10"/>
                <w:szCs w:val="10"/>
                <w:color w:val="auto"/>
              </w:rPr>
              <w:t>734</w:t>
            </w: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15"/>
        </w:trPr>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0"/>
                <w:szCs w:val="10"/>
                <w:color w:val="auto"/>
              </w:rPr>
              <w:t>25,474</w:t>
            </w:r>
          </w:p>
        </w:tc>
        <w:tc>
          <w:tcPr>
            <w:tcW w:w="80" w:type="dxa"/>
            <w:vAlign w:val="bottom"/>
          </w:tcPr>
          <w:p>
            <w:pPr>
              <w:spacing w:after="0"/>
              <w:rPr>
                <w:sz w:val="10"/>
                <w:szCs w:val="10"/>
                <w:color w:val="auto"/>
              </w:rPr>
            </w:pPr>
          </w:p>
        </w:tc>
        <w:tc>
          <w:tcPr>
            <w:tcW w:w="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26,568</w:t>
            </w:r>
          </w:p>
        </w:tc>
        <w:tc>
          <w:tcPr>
            <w:tcW w:w="100" w:type="dxa"/>
            <w:vAlign w:val="bottom"/>
          </w:tcPr>
          <w:p>
            <w:pPr>
              <w:spacing w:after="0"/>
              <w:rPr>
                <w:sz w:val="10"/>
                <w:szCs w:val="10"/>
                <w:color w:val="auto"/>
              </w:rPr>
            </w:pPr>
          </w:p>
        </w:tc>
        <w:tc>
          <w:tcPr>
            <w:tcW w:w="440" w:type="dxa"/>
            <w:vAlign w:val="bottom"/>
            <w:gridSpan w:val="2"/>
          </w:tcPr>
          <w:p>
            <w:pPr>
              <w:jc w:val="right"/>
              <w:spacing w:after="0" w:line="113" w:lineRule="exact"/>
              <w:rPr>
                <w:sz w:val="20"/>
                <w:szCs w:val="20"/>
                <w:color w:val="auto"/>
              </w:rPr>
            </w:pPr>
            <w:r>
              <w:rPr>
                <w:rFonts w:ascii="Times New Roman" w:cs="Times New Roman" w:eastAsia="Times New Roman" w:hAnsi="Times New Roman"/>
                <w:sz w:val="10"/>
                <w:szCs w:val="10"/>
                <w:color w:val="auto"/>
              </w:rPr>
              <w:t>4%</w:t>
            </w:r>
          </w:p>
        </w:tc>
      </w:tr>
      <w:tr>
        <w:trPr>
          <w:trHeight w:val="416"/>
        </w:trPr>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gridSpan w:val="2"/>
          </w:tcPr>
          <w:p>
            <w:pPr>
              <w:jc w:val="center"/>
              <w:ind w:right="60"/>
              <w:spacing w:after="0"/>
              <w:rPr>
                <w:sz w:val="20"/>
                <w:szCs w:val="20"/>
                <w:color w:val="auto"/>
              </w:rPr>
            </w:pPr>
            <w:r>
              <w:rPr>
                <w:rFonts w:ascii="Times New Roman" w:cs="Times New Roman" w:eastAsia="Times New Roman" w:hAnsi="Times New Roman"/>
                <w:sz w:val="10"/>
                <w:szCs w:val="10"/>
                <w:color w:val="auto"/>
                <w:w w:val="96"/>
              </w:rPr>
              <w:t>(S + 5.50%) / (0.75%)</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9.15%/0.00%</w:t>
            </w: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12/16/2025</w:t>
            </w: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12/16/2030</w:t>
            </w: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14,663</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0"/>
                <w:szCs w:val="10"/>
                <w:color w:val="auto"/>
              </w:rPr>
              <w:t>14,574</w:t>
            </w:r>
          </w:p>
        </w:tc>
        <w:tc>
          <w:tcPr>
            <w:tcW w:w="500" w:type="dxa"/>
            <w:vAlign w:val="bottom"/>
            <w:gridSpan w:val="3"/>
          </w:tcPr>
          <w:p>
            <w:pPr>
              <w:jc w:val="right"/>
              <w:ind w:right="100"/>
              <w:spacing w:after="0"/>
              <w:rPr>
                <w:sz w:val="20"/>
                <w:szCs w:val="20"/>
                <w:color w:val="auto"/>
              </w:rPr>
            </w:pPr>
            <w:r>
              <w:rPr>
                <w:rFonts w:ascii="Times New Roman" w:cs="Times New Roman" w:eastAsia="Times New Roman" w:hAnsi="Times New Roman"/>
                <w:sz w:val="10"/>
                <w:szCs w:val="10"/>
                <w:color w:val="auto"/>
              </w:rPr>
              <w:t>14,574</w:t>
            </w: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09"/>
        </w:trPr>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0.4%</w:t>
            </w: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8/10/2021</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0"/>
                <w:szCs w:val="10"/>
                <w:color w:val="auto"/>
              </w:rPr>
              <w:t>45</w:t>
            </w:r>
          </w:p>
        </w:tc>
        <w:tc>
          <w:tcPr>
            <w:tcW w:w="500" w:type="dxa"/>
            <w:vAlign w:val="bottom"/>
            <w:gridSpan w:val="3"/>
          </w:tcPr>
          <w:p>
            <w:pPr>
              <w:jc w:val="right"/>
              <w:ind w:right="100"/>
              <w:spacing w:after="0"/>
              <w:rPr>
                <w:sz w:val="20"/>
                <w:szCs w:val="20"/>
                <w:color w:val="auto"/>
              </w:rPr>
            </w:pPr>
            <w:r>
              <w:rPr>
                <w:rFonts w:ascii="Times New Roman" w:cs="Times New Roman" w:eastAsia="Times New Roman" w:hAnsi="Times New Roman"/>
                <w:sz w:val="10"/>
                <w:szCs w:val="10"/>
                <w:color w:val="auto"/>
              </w:rPr>
              <w:t>341</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2"/>
        </w:trPr>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0.0%</w:t>
            </w: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8/10/2021</w:t>
            </w: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0"/>
                <w:szCs w:val="10"/>
                <w:color w:val="auto"/>
              </w:rPr>
              <w:t>45</w:t>
            </w:r>
          </w:p>
        </w:tc>
        <w:tc>
          <w:tcPr>
            <w:tcW w:w="500" w:type="dxa"/>
            <w:vAlign w:val="bottom"/>
            <w:gridSpan w:val="3"/>
          </w:tcPr>
          <w:p>
            <w:pPr>
              <w:jc w:val="right"/>
              <w:ind w:right="100"/>
              <w:spacing w:after="0"/>
              <w:rPr>
                <w:sz w:val="20"/>
                <w:szCs w:val="20"/>
                <w:color w:val="auto"/>
              </w:rPr>
            </w:pPr>
            <w:r>
              <w:rPr>
                <w:rFonts w:ascii="Times New Roman" w:cs="Times New Roman" w:eastAsia="Times New Roman" w:hAnsi="Times New Roman"/>
                <w:sz w:val="10"/>
                <w:szCs w:val="10"/>
                <w:color w:val="auto"/>
              </w:rPr>
              <w:t>196</w:t>
            </w: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15"/>
        </w:trPr>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0"/>
                <w:szCs w:val="10"/>
                <w:color w:val="auto"/>
              </w:rPr>
              <w:t>14,664</w:t>
            </w:r>
          </w:p>
        </w:tc>
        <w:tc>
          <w:tcPr>
            <w:tcW w:w="80" w:type="dxa"/>
            <w:vAlign w:val="bottom"/>
          </w:tcPr>
          <w:p>
            <w:pPr>
              <w:spacing w:after="0"/>
              <w:rPr>
                <w:sz w:val="10"/>
                <w:szCs w:val="10"/>
                <w:color w:val="auto"/>
              </w:rPr>
            </w:pPr>
          </w:p>
        </w:tc>
        <w:tc>
          <w:tcPr>
            <w:tcW w:w="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15,111</w:t>
            </w:r>
          </w:p>
        </w:tc>
        <w:tc>
          <w:tcPr>
            <w:tcW w:w="100" w:type="dxa"/>
            <w:vAlign w:val="bottom"/>
          </w:tcPr>
          <w:p>
            <w:pPr>
              <w:spacing w:after="0"/>
              <w:rPr>
                <w:sz w:val="10"/>
                <w:szCs w:val="10"/>
                <w:color w:val="auto"/>
              </w:rPr>
            </w:pPr>
          </w:p>
        </w:tc>
        <w:tc>
          <w:tcPr>
            <w:tcW w:w="440" w:type="dxa"/>
            <w:vAlign w:val="bottom"/>
            <w:gridSpan w:val="2"/>
          </w:tcPr>
          <w:p>
            <w:pPr>
              <w:jc w:val="right"/>
              <w:spacing w:after="0" w:line="113" w:lineRule="exact"/>
              <w:rPr>
                <w:sz w:val="20"/>
                <w:szCs w:val="20"/>
                <w:color w:val="auto"/>
              </w:rPr>
            </w:pPr>
            <w:r>
              <w:rPr>
                <w:rFonts w:ascii="Times New Roman" w:cs="Times New Roman" w:eastAsia="Times New Roman" w:hAnsi="Times New Roman"/>
                <w:sz w:val="10"/>
                <w:szCs w:val="10"/>
                <w:color w:val="auto"/>
              </w:rPr>
              <w:t>2%</w:t>
            </w:r>
          </w:p>
        </w:tc>
      </w:tr>
      <w:tr>
        <w:trPr>
          <w:trHeight w:val="520"/>
        </w:trPr>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0.0%</w:t>
            </w: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8/21/2023</w:t>
            </w: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gridSpan w:val="2"/>
          </w:tcPr>
          <w:p>
            <w:pPr>
              <w:ind w:left="160"/>
              <w:spacing w:after="0"/>
              <w:rPr>
                <w:sz w:val="20"/>
                <w:szCs w:val="20"/>
                <w:color w:val="auto"/>
              </w:rPr>
            </w:pPr>
            <w:r>
              <w:rPr>
                <w:rFonts w:ascii="Times New Roman" w:cs="Times New Roman" w:eastAsia="Times New Roman" w:hAnsi="Times New Roman"/>
                <w:sz w:val="10"/>
                <w:szCs w:val="10"/>
                <w:color w:val="auto"/>
                <w:w w:val="93"/>
              </w:rPr>
              <w:t>— </w:t>
            </w:r>
          </w:p>
        </w:tc>
        <w:tc>
          <w:tcPr>
            <w:tcW w:w="80" w:type="dxa"/>
            <w:vAlign w:val="bottom"/>
          </w:tcPr>
          <w:p>
            <w:pPr>
              <w:spacing w:after="0"/>
              <w:rPr>
                <w:sz w:val="24"/>
                <w:szCs w:val="24"/>
                <w:color w:val="auto"/>
              </w:rPr>
            </w:pPr>
          </w:p>
        </w:tc>
        <w:tc>
          <w:tcPr>
            <w:tcW w:w="420" w:type="dxa"/>
            <w:vAlign w:val="bottom"/>
            <w:gridSpan w:val="2"/>
          </w:tcPr>
          <w:p>
            <w:pPr>
              <w:ind w:left="180"/>
              <w:spacing w:after="0"/>
              <w:rPr>
                <w:sz w:val="20"/>
                <w:szCs w:val="20"/>
                <w:color w:val="auto"/>
              </w:rPr>
            </w:pPr>
            <w:r>
              <w:rPr>
                <w:rFonts w:ascii="Times New Roman" w:cs="Times New Roman" w:eastAsia="Times New Roman" w:hAnsi="Times New Roman"/>
                <w:sz w:val="10"/>
                <w:szCs w:val="10"/>
                <w:color w:val="auto"/>
              </w:rPr>
              <w:t>— </w:t>
            </w: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98"/>
        </w:trPr>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0.5%</w:t>
            </w: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3/3/2022</w:t>
            </w: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gridSpan w:val="2"/>
          </w:tcPr>
          <w:p>
            <w:pPr>
              <w:ind w:left="160"/>
              <w:spacing w:after="0"/>
              <w:rPr>
                <w:sz w:val="20"/>
                <w:szCs w:val="20"/>
                <w:color w:val="auto"/>
              </w:rPr>
            </w:pPr>
            <w:r>
              <w:rPr>
                <w:rFonts w:ascii="Times New Roman" w:cs="Times New Roman" w:eastAsia="Times New Roman" w:hAnsi="Times New Roman"/>
                <w:sz w:val="10"/>
                <w:szCs w:val="10"/>
                <w:color w:val="auto"/>
                <w:w w:val="93"/>
              </w:rPr>
              <w:t>— </w:t>
            </w:r>
          </w:p>
        </w:tc>
        <w:tc>
          <w:tcPr>
            <w:tcW w:w="80" w:type="dxa"/>
            <w:vAlign w:val="bottom"/>
          </w:tcPr>
          <w:p>
            <w:pPr>
              <w:spacing w:after="0"/>
              <w:rPr>
                <w:sz w:val="24"/>
                <w:szCs w:val="24"/>
                <w:color w:val="auto"/>
              </w:rPr>
            </w:pPr>
          </w:p>
        </w:tc>
        <w:tc>
          <w:tcPr>
            <w:tcW w:w="420" w:type="dxa"/>
            <w:vAlign w:val="bottom"/>
            <w:gridSpan w:val="2"/>
          </w:tcPr>
          <w:p>
            <w:pPr>
              <w:ind w:left="180"/>
              <w:spacing w:after="0"/>
              <w:rPr>
                <w:sz w:val="20"/>
                <w:szCs w:val="20"/>
                <w:color w:val="auto"/>
              </w:rPr>
            </w:pPr>
            <w:r>
              <w:rPr>
                <w:rFonts w:ascii="Times New Roman" w:cs="Times New Roman" w:eastAsia="Times New Roman" w:hAnsi="Times New Roman"/>
                <w:sz w:val="10"/>
                <w:szCs w:val="10"/>
                <w:color w:val="auto"/>
              </w:rPr>
              <w:t>— </w:t>
            </w: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02"/>
        </w:trPr>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0.0%</w:t>
            </w: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3/3/2022</w:t>
            </w: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gridSpan w:val="2"/>
          </w:tcPr>
          <w:p>
            <w:pPr>
              <w:ind w:left="160"/>
              <w:spacing w:after="0"/>
              <w:rPr>
                <w:sz w:val="20"/>
                <w:szCs w:val="20"/>
                <w:color w:val="auto"/>
              </w:rPr>
            </w:pPr>
            <w:r>
              <w:rPr>
                <w:rFonts w:ascii="Times New Roman" w:cs="Times New Roman" w:eastAsia="Times New Roman" w:hAnsi="Times New Roman"/>
                <w:sz w:val="10"/>
                <w:szCs w:val="10"/>
                <w:color w:val="auto"/>
                <w:w w:val="93"/>
              </w:rPr>
              <w:t>— </w:t>
            </w:r>
          </w:p>
        </w:tc>
        <w:tc>
          <w:tcPr>
            <w:tcW w:w="80" w:type="dxa"/>
            <w:vAlign w:val="bottom"/>
          </w:tcPr>
          <w:p>
            <w:pPr>
              <w:spacing w:after="0"/>
              <w:rPr>
                <w:sz w:val="17"/>
                <w:szCs w:val="17"/>
                <w:color w:val="auto"/>
              </w:rPr>
            </w:pPr>
          </w:p>
        </w:tc>
        <w:tc>
          <w:tcPr>
            <w:tcW w:w="420" w:type="dxa"/>
            <w:vAlign w:val="bottom"/>
            <w:gridSpan w:val="2"/>
          </w:tcPr>
          <w:p>
            <w:pPr>
              <w:ind w:left="180"/>
              <w:spacing w:after="0"/>
              <w:rPr>
                <w:sz w:val="20"/>
                <w:szCs w:val="20"/>
                <w:color w:val="auto"/>
              </w:rPr>
            </w:pPr>
            <w:r>
              <w:rPr>
                <w:rFonts w:ascii="Times New Roman" w:cs="Times New Roman" w:eastAsia="Times New Roman" w:hAnsi="Times New Roman"/>
                <w:sz w:val="10"/>
                <w:szCs w:val="10"/>
                <w:color w:val="auto"/>
              </w:rPr>
              <w:t>— </w:t>
            </w: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15"/>
        </w:trPr>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Borders>
              <w:top w:val="single" w:sz="8" w:color="auto"/>
            </w:tcBorders>
          </w:tcPr>
          <w:p>
            <w:pPr>
              <w:ind w:left="160"/>
              <w:spacing w:after="0"/>
              <w:rPr>
                <w:sz w:val="20"/>
                <w:szCs w:val="20"/>
                <w:color w:val="auto"/>
              </w:rPr>
            </w:pPr>
            <w:r>
              <w:rPr>
                <w:rFonts w:ascii="Times New Roman" w:cs="Times New Roman" w:eastAsia="Times New Roman" w:hAnsi="Times New Roman"/>
                <w:sz w:val="10"/>
                <w:szCs w:val="10"/>
                <w:color w:val="auto"/>
                <w:w w:val="79"/>
              </w:rPr>
              <w:t>— </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10"/>
                <w:szCs w:val="10"/>
                <w:color w:val="auto"/>
                <w:w w:val="79"/>
              </w:rPr>
              <w:t>— </w:t>
            </w:r>
          </w:p>
        </w:tc>
        <w:tc>
          <w:tcPr>
            <w:tcW w:w="100" w:type="dxa"/>
            <w:vAlign w:val="bottom"/>
          </w:tcPr>
          <w:p>
            <w:pPr>
              <w:spacing w:after="0"/>
              <w:rPr>
                <w:sz w:val="10"/>
                <w:szCs w:val="10"/>
                <w:color w:val="auto"/>
              </w:rPr>
            </w:pPr>
          </w:p>
        </w:tc>
        <w:tc>
          <w:tcPr>
            <w:tcW w:w="440" w:type="dxa"/>
            <w:vAlign w:val="bottom"/>
            <w:gridSpan w:val="2"/>
          </w:tcPr>
          <w:p>
            <w:pPr>
              <w:jc w:val="right"/>
              <w:spacing w:after="0" w:line="113" w:lineRule="exact"/>
              <w:rPr>
                <w:sz w:val="20"/>
                <w:szCs w:val="20"/>
                <w:color w:val="auto"/>
              </w:rPr>
            </w:pPr>
            <w:r>
              <w:rPr>
                <w:rFonts w:ascii="Times New Roman" w:cs="Times New Roman" w:eastAsia="Times New Roman" w:hAnsi="Times New Roman"/>
                <w:sz w:val="10"/>
                <w:szCs w:val="10"/>
                <w:color w:val="auto"/>
              </w:rPr>
              <w:t>0%</w:t>
            </w:r>
          </w:p>
        </w:tc>
      </w:tr>
      <w:tr>
        <w:trPr>
          <w:trHeight w:val="416"/>
        </w:trPr>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0.1%</w:t>
            </w: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6/12/2025</w:t>
            </w: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0"/>
                <w:szCs w:val="10"/>
                <w:color w:val="auto"/>
              </w:rPr>
              <w:t>841</w:t>
            </w:r>
          </w:p>
        </w:tc>
        <w:tc>
          <w:tcPr>
            <w:tcW w:w="500" w:type="dxa"/>
            <w:vAlign w:val="bottom"/>
            <w:gridSpan w:val="3"/>
          </w:tcPr>
          <w:p>
            <w:pPr>
              <w:jc w:val="right"/>
              <w:ind w:right="100"/>
              <w:spacing w:after="0"/>
              <w:rPr>
                <w:sz w:val="20"/>
                <w:szCs w:val="20"/>
                <w:color w:val="auto"/>
              </w:rPr>
            </w:pPr>
            <w:r>
              <w:rPr>
                <w:rFonts w:ascii="Times New Roman" w:cs="Times New Roman" w:eastAsia="Times New Roman" w:hAnsi="Times New Roman"/>
                <w:sz w:val="10"/>
                <w:szCs w:val="10"/>
                <w:color w:val="auto"/>
              </w:rPr>
              <w:t>891</w:t>
            </w: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09"/>
        </w:trPr>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0.1%</w:t>
            </w: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6/12/2025</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0"/>
                <w:szCs w:val="10"/>
                <w:color w:val="auto"/>
              </w:rPr>
              <w:t>436</w:t>
            </w:r>
          </w:p>
        </w:tc>
        <w:tc>
          <w:tcPr>
            <w:tcW w:w="500" w:type="dxa"/>
            <w:vAlign w:val="bottom"/>
            <w:gridSpan w:val="3"/>
          </w:tcPr>
          <w:p>
            <w:pPr>
              <w:jc w:val="right"/>
              <w:ind w:right="100"/>
              <w:spacing w:after="0"/>
              <w:rPr>
                <w:sz w:val="20"/>
                <w:szCs w:val="20"/>
                <w:color w:val="auto"/>
              </w:rPr>
            </w:pPr>
            <w:r>
              <w:rPr>
                <w:rFonts w:ascii="Times New Roman" w:cs="Times New Roman" w:eastAsia="Times New Roman" w:hAnsi="Times New Roman"/>
                <w:sz w:val="10"/>
                <w:szCs w:val="10"/>
                <w:color w:val="auto"/>
              </w:rPr>
              <w:t>463</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2"/>
        </w:trPr>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0.0%</w:t>
            </w: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6/12/2025</w:t>
            </w: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0"/>
                <w:szCs w:val="10"/>
                <w:color w:val="auto"/>
              </w:rPr>
              <w:t>454</w:t>
            </w:r>
          </w:p>
        </w:tc>
        <w:tc>
          <w:tcPr>
            <w:tcW w:w="500" w:type="dxa"/>
            <w:vAlign w:val="bottom"/>
            <w:gridSpan w:val="3"/>
          </w:tcPr>
          <w:p>
            <w:pPr>
              <w:jc w:val="right"/>
              <w:ind w:right="100"/>
              <w:spacing w:after="0"/>
              <w:rPr>
                <w:sz w:val="20"/>
                <w:szCs w:val="20"/>
                <w:color w:val="auto"/>
              </w:rPr>
            </w:pPr>
            <w:r>
              <w:rPr>
                <w:rFonts w:ascii="Times New Roman" w:cs="Times New Roman" w:eastAsia="Times New Roman" w:hAnsi="Times New Roman"/>
                <w:sz w:val="10"/>
                <w:szCs w:val="10"/>
                <w:color w:val="auto"/>
              </w:rPr>
              <w:t>560</w:t>
            </w: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15"/>
        </w:trPr>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0"/>
                <w:szCs w:val="10"/>
                <w:color w:val="auto"/>
              </w:rPr>
              <w:t>1,731</w:t>
            </w:r>
          </w:p>
        </w:tc>
        <w:tc>
          <w:tcPr>
            <w:tcW w:w="80" w:type="dxa"/>
            <w:vAlign w:val="bottom"/>
          </w:tcPr>
          <w:p>
            <w:pPr>
              <w:spacing w:after="0"/>
              <w:rPr>
                <w:sz w:val="10"/>
                <w:szCs w:val="10"/>
                <w:color w:val="auto"/>
              </w:rPr>
            </w:pPr>
          </w:p>
        </w:tc>
        <w:tc>
          <w:tcPr>
            <w:tcW w:w="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1,914</w:t>
            </w:r>
          </w:p>
        </w:tc>
        <w:tc>
          <w:tcPr>
            <w:tcW w:w="100" w:type="dxa"/>
            <w:vAlign w:val="bottom"/>
          </w:tcPr>
          <w:p>
            <w:pPr>
              <w:spacing w:after="0"/>
              <w:rPr>
                <w:sz w:val="10"/>
                <w:szCs w:val="10"/>
                <w:color w:val="auto"/>
              </w:rPr>
            </w:pPr>
          </w:p>
        </w:tc>
        <w:tc>
          <w:tcPr>
            <w:tcW w:w="440" w:type="dxa"/>
            <w:vAlign w:val="bottom"/>
            <w:gridSpan w:val="2"/>
          </w:tcPr>
          <w:p>
            <w:pPr>
              <w:jc w:val="right"/>
              <w:spacing w:after="0" w:line="113" w:lineRule="exact"/>
              <w:rPr>
                <w:sz w:val="20"/>
                <w:szCs w:val="20"/>
                <w:color w:val="auto"/>
              </w:rPr>
            </w:pPr>
            <w:r>
              <w:rPr>
                <w:rFonts w:ascii="Times New Roman" w:cs="Times New Roman" w:eastAsia="Times New Roman" w:hAnsi="Times New Roman"/>
                <w:sz w:val="10"/>
                <w:szCs w:val="10"/>
                <w:color w:val="auto"/>
              </w:rPr>
              <w:t>0%</w:t>
            </w:r>
          </w:p>
        </w:tc>
      </w:tr>
      <w:tr>
        <w:trPr>
          <w:trHeight w:val="416"/>
        </w:trPr>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0.2%</w:t>
            </w: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6/28/2022</w:t>
            </w: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0"/>
                <w:szCs w:val="10"/>
                <w:color w:val="auto"/>
              </w:rPr>
              <w:t>272</w:t>
            </w:r>
          </w:p>
        </w:tc>
        <w:tc>
          <w:tcPr>
            <w:tcW w:w="80" w:type="dxa"/>
            <w:vAlign w:val="bottom"/>
          </w:tcPr>
          <w:p>
            <w:pPr>
              <w:spacing w:after="0"/>
              <w:rPr>
                <w:sz w:val="24"/>
                <w:szCs w:val="24"/>
                <w:color w:val="auto"/>
              </w:rPr>
            </w:pPr>
          </w:p>
        </w:tc>
        <w:tc>
          <w:tcPr>
            <w:tcW w:w="420" w:type="dxa"/>
            <w:vAlign w:val="bottom"/>
            <w:gridSpan w:val="2"/>
          </w:tcPr>
          <w:p>
            <w:pPr>
              <w:ind w:left="180"/>
              <w:spacing w:after="0"/>
              <w:rPr>
                <w:sz w:val="20"/>
                <w:szCs w:val="20"/>
                <w:color w:val="auto"/>
              </w:rPr>
            </w:pPr>
            <w:r>
              <w:rPr>
                <w:rFonts w:ascii="Times New Roman" w:cs="Times New Roman" w:eastAsia="Times New Roman" w:hAnsi="Times New Roman"/>
                <w:sz w:val="10"/>
                <w:szCs w:val="10"/>
                <w:color w:val="auto"/>
              </w:rPr>
              <w:t>— </w:t>
            </w: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77"/>
        </w:trPr>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gridSpan w:val="2"/>
          </w:tcPr>
          <w:p>
            <w:pPr>
              <w:jc w:val="center"/>
              <w:ind w:right="60"/>
              <w:spacing w:after="0"/>
              <w:rPr>
                <w:sz w:val="20"/>
                <w:szCs w:val="20"/>
                <w:color w:val="auto"/>
              </w:rPr>
            </w:pPr>
            <w:r>
              <w:rPr>
                <w:rFonts w:ascii="Times New Roman" w:cs="Times New Roman" w:eastAsia="Times New Roman" w:hAnsi="Times New Roman"/>
                <w:sz w:val="10"/>
                <w:szCs w:val="10"/>
                <w:color w:val="auto"/>
                <w:w w:val="96"/>
              </w:rPr>
              <w:t>(S + 6.75%) / (1.00%)</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10.52%/0.75%</w:t>
            </w: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2/28/2023</w:t>
            </w: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11/30/2026</w:t>
            </w: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8,703</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0"/>
                <w:szCs w:val="10"/>
                <w:color w:val="auto"/>
              </w:rPr>
              <w:t>8,663</w:t>
            </w:r>
          </w:p>
        </w:tc>
        <w:tc>
          <w:tcPr>
            <w:tcW w:w="500" w:type="dxa"/>
            <w:vAlign w:val="bottom"/>
            <w:gridSpan w:val="3"/>
          </w:tcPr>
          <w:p>
            <w:pPr>
              <w:jc w:val="right"/>
              <w:ind w:right="100"/>
              <w:spacing w:after="0"/>
              <w:rPr>
                <w:sz w:val="20"/>
                <w:szCs w:val="20"/>
                <w:color w:val="auto"/>
              </w:rPr>
            </w:pPr>
            <w:r>
              <w:rPr>
                <w:rFonts w:ascii="Times New Roman" w:cs="Times New Roman" w:eastAsia="Times New Roman" w:hAnsi="Times New Roman"/>
                <w:sz w:val="10"/>
                <w:szCs w:val="10"/>
                <w:color w:val="auto"/>
              </w:rPr>
              <w:t>8,826</w:t>
            </w: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05"/>
        </w:trPr>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920" w:type="dxa"/>
            <w:vAlign w:val="bottom"/>
            <w:gridSpan w:val="2"/>
          </w:tcPr>
          <w:p>
            <w:pPr>
              <w:jc w:val="center"/>
              <w:ind w:right="60"/>
              <w:spacing w:after="0" w:line="105" w:lineRule="exact"/>
              <w:rPr>
                <w:sz w:val="20"/>
                <w:szCs w:val="20"/>
                <w:color w:val="auto"/>
              </w:rPr>
            </w:pPr>
            <w:r>
              <w:rPr>
                <w:rFonts w:ascii="Times New Roman" w:cs="Times New Roman" w:eastAsia="Times New Roman" w:hAnsi="Times New Roman"/>
                <w:sz w:val="10"/>
                <w:szCs w:val="10"/>
                <w:color w:val="auto"/>
                <w:w w:val="96"/>
              </w:rPr>
              <w:t>(S + 6.75%) / (1.00%)</w:t>
            </w:r>
          </w:p>
        </w:tc>
        <w:tc>
          <w:tcPr>
            <w:tcW w:w="720" w:type="dxa"/>
            <w:vAlign w:val="bottom"/>
            <w:gridSpan w:val="2"/>
          </w:tcPr>
          <w:p>
            <w:pPr>
              <w:jc w:val="right"/>
              <w:ind w:right="100"/>
              <w:spacing w:after="0" w:line="105" w:lineRule="exact"/>
              <w:rPr>
                <w:sz w:val="20"/>
                <w:szCs w:val="20"/>
                <w:color w:val="auto"/>
              </w:rPr>
            </w:pPr>
            <w:r>
              <w:rPr>
                <w:rFonts w:ascii="Times New Roman" w:cs="Times New Roman" w:eastAsia="Times New Roman" w:hAnsi="Times New Roman"/>
                <w:sz w:val="10"/>
                <w:szCs w:val="10"/>
                <w:color w:val="auto"/>
              </w:rPr>
              <w:t>10.55%/0.75%</w:t>
            </w:r>
          </w:p>
        </w:tc>
        <w:tc>
          <w:tcPr>
            <w:tcW w:w="580" w:type="dxa"/>
            <w:vAlign w:val="bottom"/>
            <w:gridSpan w:val="2"/>
          </w:tcPr>
          <w:p>
            <w:pPr>
              <w:jc w:val="right"/>
              <w:ind w:right="100"/>
              <w:spacing w:after="0" w:line="105" w:lineRule="exact"/>
              <w:rPr>
                <w:sz w:val="20"/>
                <w:szCs w:val="20"/>
                <w:color w:val="auto"/>
              </w:rPr>
            </w:pPr>
            <w:r>
              <w:rPr>
                <w:rFonts w:ascii="Times New Roman" w:cs="Times New Roman" w:eastAsia="Times New Roman" w:hAnsi="Times New Roman"/>
                <w:sz w:val="10"/>
                <w:szCs w:val="10"/>
                <w:color w:val="auto"/>
              </w:rPr>
              <w:t>1/28/2026</w:t>
            </w:r>
          </w:p>
        </w:tc>
        <w:tc>
          <w:tcPr>
            <w:tcW w:w="560" w:type="dxa"/>
            <w:vAlign w:val="bottom"/>
            <w:gridSpan w:val="2"/>
          </w:tcPr>
          <w:p>
            <w:pPr>
              <w:jc w:val="right"/>
              <w:ind w:right="80"/>
              <w:spacing w:after="0" w:line="105" w:lineRule="exact"/>
              <w:rPr>
                <w:sz w:val="20"/>
                <w:szCs w:val="20"/>
                <w:color w:val="auto"/>
              </w:rPr>
            </w:pPr>
            <w:r>
              <w:rPr>
                <w:rFonts w:ascii="Times New Roman" w:cs="Times New Roman" w:eastAsia="Times New Roman" w:hAnsi="Times New Roman"/>
                <w:sz w:val="10"/>
                <w:szCs w:val="10"/>
                <w:color w:val="auto"/>
              </w:rPr>
              <w:t>11/30/2026</w:t>
            </w:r>
          </w:p>
        </w:tc>
        <w:tc>
          <w:tcPr>
            <w:tcW w:w="440" w:type="dxa"/>
            <w:vAlign w:val="bottom"/>
            <w:gridSpan w:val="2"/>
          </w:tcPr>
          <w:p>
            <w:pPr>
              <w:jc w:val="right"/>
              <w:ind w:right="100"/>
              <w:spacing w:after="0" w:line="105" w:lineRule="exact"/>
              <w:rPr>
                <w:sz w:val="20"/>
                <w:szCs w:val="20"/>
                <w:color w:val="auto"/>
              </w:rPr>
            </w:pPr>
            <w:r>
              <w:rPr>
                <w:rFonts w:ascii="Times New Roman" w:cs="Times New Roman" w:eastAsia="Times New Roman" w:hAnsi="Times New Roman"/>
                <w:sz w:val="10"/>
                <w:szCs w:val="10"/>
                <w:color w:val="auto"/>
              </w:rPr>
              <w:t>124</w:t>
            </w:r>
          </w:p>
        </w:tc>
        <w:tc>
          <w:tcPr>
            <w:tcW w:w="320" w:type="dxa"/>
            <w:vAlign w:val="bottom"/>
            <w:gridSpan w:val="2"/>
          </w:tcPr>
          <w:p>
            <w:pPr>
              <w:jc w:val="right"/>
              <w:ind w:right="20"/>
              <w:spacing w:after="0" w:line="105" w:lineRule="exact"/>
              <w:rPr>
                <w:sz w:val="20"/>
                <w:szCs w:val="20"/>
                <w:color w:val="auto"/>
              </w:rPr>
            </w:pPr>
            <w:r>
              <w:rPr>
                <w:rFonts w:ascii="Times New Roman" w:cs="Times New Roman" w:eastAsia="Times New Roman" w:hAnsi="Times New Roman"/>
                <w:sz w:val="10"/>
                <w:szCs w:val="10"/>
                <w:color w:val="auto"/>
              </w:rPr>
              <w:t>122</w:t>
            </w:r>
          </w:p>
        </w:tc>
        <w:tc>
          <w:tcPr>
            <w:tcW w:w="80" w:type="dxa"/>
            <w:vAlign w:val="bottom"/>
          </w:tcPr>
          <w:p>
            <w:pPr>
              <w:spacing w:after="0"/>
              <w:rPr>
                <w:sz w:val="9"/>
                <w:szCs w:val="9"/>
                <w:color w:val="auto"/>
              </w:rPr>
            </w:pPr>
          </w:p>
        </w:tc>
        <w:tc>
          <w:tcPr>
            <w:tcW w:w="420" w:type="dxa"/>
            <w:vAlign w:val="bottom"/>
            <w:gridSpan w:val="2"/>
          </w:tcPr>
          <w:p>
            <w:pPr>
              <w:ind w:left="180"/>
              <w:spacing w:after="0" w:line="105" w:lineRule="exact"/>
              <w:rPr>
                <w:sz w:val="20"/>
                <w:szCs w:val="20"/>
                <w:color w:val="auto"/>
              </w:rPr>
            </w:pPr>
            <w:r>
              <w:rPr>
                <w:rFonts w:ascii="Times New Roman" w:cs="Times New Roman" w:eastAsia="Times New Roman" w:hAnsi="Times New Roman"/>
                <w:sz w:val="10"/>
                <w:szCs w:val="10"/>
                <w:color w:val="auto"/>
              </w:rPr>
              <w:t>— </w:t>
            </w: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r>
      <w:tr>
        <w:trPr>
          <w:trHeight w:val="125"/>
        </w:trPr>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7.75%/6.50%</w:t>
            </w: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2/28/2023</w:t>
            </w: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11/30/2027</w:t>
            </w: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2,611</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0"/>
                <w:szCs w:val="10"/>
                <w:color w:val="auto"/>
              </w:rPr>
              <w:t>2,599</w:t>
            </w:r>
          </w:p>
        </w:tc>
        <w:tc>
          <w:tcPr>
            <w:tcW w:w="500" w:type="dxa"/>
            <w:vAlign w:val="bottom"/>
            <w:gridSpan w:val="3"/>
          </w:tcPr>
          <w:p>
            <w:pPr>
              <w:jc w:val="right"/>
              <w:ind w:right="100"/>
              <w:spacing w:after="0"/>
              <w:rPr>
                <w:sz w:val="20"/>
                <w:szCs w:val="20"/>
                <w:color w:val="auto"/>
              </w:rPr>
            </w:pPr>
            <w:r>
              <w:rPr>
                <w:rFonts w:ascii="Times New Roman" w:cs="Times New Roman" w:eastAsia="Times New Roman" w:hAnsi="Times New Roman"/>
                <w:sz w:val="10"/>
                <w:szCs w:val="10"/>
                <w:color w:val="auto"/>
              </w:rPr>
              <w:t>2,443</w:t>
            </w: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202"/>
        </w:trPr>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0.2%</w:t>
            </w: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2/28/2023</w:t>
            </w: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0"/>
                <w:szCs w:val="10"/>
                <w:color w:val="auto"/>
              </w:rPr>
              <w:t>400</w:t>
            </w:r>
          </w:p>
        </w:tc>
        <w:tc>
          <w:tcPr>
            <w:tcW w:w="80" w:type="dxa"/>
            <w:vAlign w:val="bottom"/>
          </w:tcPr>
          <w:p>
            <w:pPr>
              <w:spacing w:after="0"/>
              <w:rPr>
                <w:sz w:val="17"/>
                <w:szCs w:val="17"/>
                <w:color w:val="auto"/>
              </w:rPr>
            </w:pPr>
          </w:p>
        </w:tc>
        <w:tc>
          <w:tcPr>
            <w:tcW w:w="420" w:type="dxa"/>
            <w:vAlign w:val="bottom"/>
            <w:gridSpan w:val="2"/>
          </w:tcPr>
          <w:p>
            <w:pPr>
              <w:ind w:left="180"/>
              <w:spacing w:after="0"/>
              <w:rPr>
                <w:sz w:val="20"/>
                <w:szCs w:val="20"/>
                <w:color w:val="auto"/>
              </w:rPr>
            </w:pPr>
            <w:r>
              <w:rPr>
                <w:rFonts w:ascii="Times New Roman" w:cs="Times New Roman" w:eastAsia="Times New Roman" w:hAnsi="Times New Roman"/>
                <w:sz w:val="10"/>
                <w:szCs w:val="10"/>
                <w:color w:val="auto"/>
              </w:rPr>
              <w:t>— </w:t>
            </w: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15"/>
        </w:trPr>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0"/>
                <w:szCs w:val="10"/>
                <w:color w:val="auto"/>
              </w:rPr>
              <w:t>11,784</w:t>
            </w:r>
          </w:p>
        </w:tc>
        <w:tc>
          <w:tcPr>
            <w:tcW w:w="80" w:type="dxa"/>
            <w:vAlign w:val="bottom"/>
          </w:tcPr>
          <w:p>
            <w:pPr>
              <w:spacing w:after="0"/>
              <w:rPr>
                <w:sz w:val="10"/>
                <w:szCs w:val="10"/>
                <w:color w:val="auto"/>
              </w:rPr>
            </w:pPr>
          </w:p>
        </w:tc>
        <w:tc>
          <w:tcPr>
            <w:tcW w:w="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11,269</w:t>
            </w:r>
          </w:p>
        </w:tc>
        <w:tc>
          <w:tcPr>
            <w:tcW w:w="100" w:type="dxa"/>
            <w:vAlign w:val="bottom"/>
          </w:tcPr>
          <w:p>
            <w:pPr>
              <w:spacing w:after="0"/>
              <w:rPr>
                <w:sz w:val="10"/>
                <w:szCs w:val="10"/>
                <w:color w:val="auto"/>
              </w:rPr>
            </w:pPr>
          </w:p>
        </w:tc>
        <w:tc>
          <w:tcPr>
            <w:tcW w:w="440" w:type="dxa"/>
            <w:vAlign w:val="bottom"/>
            <w:gridSpan w:val="2"/>
          </w:tcPr>
          <w:p>
            <w:pPr>
              <w:jc w:val="right"/>
              <w:spacing w:after="0" w:line="113" w:lineRule="exact"/>
              <w:rPr>
                <w:sz w:val="20"/>
                <w:szCs w:val="20"/>
                <w:color w:val="auto"/>
              </w:rPr>
            </w:pPr>
            <w:r>
              <w:rPr>
                <w:rFonts w:ascii="Times New Roman" w:cs="Times New Roman" w:eastAsia="Times New Roman" w:hAnsi="Times New Roman"/>
                <w:sz w:val="10"/>
                <w:szCs w:val="10"/>
                <w:color w:val="auto"/>
              </w:rPr>
              <w:t>2%</w:t>
            </w:r>
          </w:p>
        </w:tc>
      </w:tr>
      <w:tr>
        <w:trPr>
          <w:trHeight w:val="416"/>
        </w:trPr>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gridSpan w:val="2"/>
          </w:tcPr>
          <w:p>
            <w:pPr>
              <w:jc w:val="center"/>
              <w:ind w:right="60"/>
              <w:spacing w:after="0"/>
              <w:rPr>
                <w:sz w:val="20"/>
                <w:szCs w:val="20"/>
                <w:color w:val="auto"/>
              </w:rPr>
            </w:pPr>
            <w:r>
              <w:rPr>
                <w:rFonts w:ascii="Times New Roman" w:cs="Times New Roman" w:eastAsia="Times New Roman" w:hAnsi="Times New Roman"/>
                <w:sz w:val="10"/>
                <w:szCs w:val="10"/>
                <w:color w:val="auto"/>
                <w:w w:val="96"/>
              </w:rPr>
              <w:t>(S + 5.00%) / (1.00%)</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8.85%/0.50%</w:t>
            </w: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1/6/2025</w:t>
            </w: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4/15/2029</w:t>
            </w: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15,235</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0"/>
                <w:szCs w:val="10"/>
                <w:color w:val="auto"/>
              </w:rPr>
              <w:t>15,155</w:t>
            </w:r>
          </w:p>
        </w:tc>
        <w:tc>
          <w:tcPr>
            <w:tcW w:w="500" w:type="dxa"/>
            <w:vAlign w:val="bottom"/>
            <w:gridSpan w:val="3"/>
          </w:tcPr>
          <w:p>
            <w:pPr>
              <w:jc w:val="right"/>
              <w:ind w:right="100"/>
              <w:spacing w:after="0"/>
              <w:rPr>
                <w:sz w:val="20"/>
                <w:szCs w:val="20"/>
                <w:color w:val="auto"/>
              </w:rPr>
            </w:pPr>
            <w:r>
              <w:rPr>
                <w:rFonts w:ascii="Times New Roman" w:cs="Times New Roman" w:eastAsia="Times New Roman" w:hAnsi="Times New Roman"/>
                <w:sz w:val="10"/>
                <w:szCs w:val="10"/>
                <w:color w:val="auto"/>
              </w:rPr>
              <w:t>15,235</w:t>
            </w: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02"/>
        </w:trPr>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0.5%</w:t>
            </w: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1/6/2025</w:t>
            </w: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0"/>
                <w:szCs w:val="10"/>
                <w:color w:val="auto"/>
              </w:rPr>
              <w:t>770</w:t>
            </w:r>
          </w:p>
        </w:tc>
        <w:tc>
          <w:tcPr>
            <w:tcW w:w="500" w:type="dxa"/>
            <w:vAlign w:val="bottom"/>
            <w:gridSpan w:val="3"/>
          </w:tcPr>
          <w:p>
            <w:pPr>
              <w:jc w:val="right"/>
              <w:ind w:right="100"/>
              <w:spacing w:after="0"/>
              <w:rPr>
                <w:sz w:val="20"/>
                <w:szCs w:val="20"/>
                <w:color w:val="auto"/>
              </w:rPr>
            </w:pPr>
            <w:r>
              <w:rPr>
                <w:rFonts w:ascii="Times New Roman" w:cs="Times New Roman" w:eastAsia="Times New Roman" w:hAnsi="Times New Roman"/>
                <w:sz w:val="10"/>
                <w:szCs w:val="10"/>
                <w:color w:val="auto"/>
              </w:rPr>
              <w:t>755</w:t>
            </w: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15"/>
        </w:trPr>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0"/>
                <w:szCs w:val="10"/>
                <w:color w:val="auto"/>
              </w:rPr>
              <w:t>15,925</w:t>
            </w:r>
          </w:p>
        </w:tc>
        <w:tc>
          <w:tcPr>
            <w:tcW w:w="80" w:type="dxa"/>
            <w:vAlign w:val="bottom"/>
          </w:tcPr>
          <w:p>
            <w:pPr>
              <w:spacing w:after="0"/>
              <w:rPr>
                <w:sz w:val="10"/>
                <w:szCs w:val="10"/>
                <w:color w:val="auto"/>
              </w:rPr>
            </w:pPr>
          </w:p>
        </w:tc>
        <w:tc>
          <w:tcPr>
            <w:tcW w:w="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15,990</w:t>
            </w:r>
          </w:p>
        </w:tc>
        <w:tc>
          <w:tcPr>
            <w:tcW w:w="100" w:type="dxa"/>
            <w:vAlign w:val="bottom"/>
          </w:tcPr>
          <w:p>
            <w:pPr>
              <w:spacing w:after="0"/>
              <w:rPr>
                <w:sz w:val="10"/>
                <w:szCs w:val="10"/>
                <w:color w:val="auto"/>
              </w:rPr>
            </w:pPr>
          </w:p>
        </w:tc>
        <w:tc>
          <w:tcPr>
            <w:tcW w:w="440" w:type="dxa"/>
            <w:vAlign w:val="bottom"/>
            <w:gridSpan w:val="2"/>
          </w:tcPr>
          <w:p>
            <w:pPr>
              <w:jc w:val="right"/>
              <w:spacing w:after="0" w:line="113" w:lineRule="exact"/>
              <w:rPr>
                <w:sz w:val="20"/>
                <w:szCs w:val="20"/>
                <w:color w:val="auto"/>
              </w:rPr>
            </w:pPr>
            <w:r>
              <w:rPr>
                <w:rFonts w:ascii="Times New Roman" w:cs="Times New Roman" w:eastAsia="Times New Roman" w:hAnsi="Times New Roman"/>
                <w:sz w:val="10"/>
                <w:szCs w:val="10"/>
                <w:color w:val="auto"/>
              </w:rPr>
              <w:t>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-2968625</wp:posOffset>
            </wp:positionH>
            <wp:positionV relativeFrom="paragraph">
              <wp:posOffset>-4404360</wp:posOffset>
            </wp:positionV>
            <wp:extent cx="7201535" cy="3238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9">
                      <a:extLst>
                        <a:ext uri="{28A0092B-C50C-407E-A947-70E740481C1C}"/>
                      </a:extLst>
                    </a:blip>
                    <a:srcRect/>
                    <a:stretch>
                      <a:fillRect/>
                    </a:stretch>
                  </pic:blipFill>
                  <pic:spPr bwMode="auto">
                    <a:xfrm>
                      <a:off x="0" y="0"/>
                      <a:ext cx="7201535" cy="32385"/>
                    </a:xfrm>
                    <a:prstGeom prst="rect">
                      <a:avLst/>
                    </a:prstGeom>
                    <a:noFill/>
                  </pic:spPr>
                </pic:pic>
              </a:graphicData>
            </a:graphic>
          </wp:anchor>
        </w:drawing>
        <w:drawing>
          <wp:anchor simplePos="0" relativeHeight="251657728" behindDoc="1" locked="0" layoutInCell="0" allowOverlap="1">
            <wp:simplePos x="0" y="0"/>
            <wp:positionH relativeFrom="column">
              <wp:posOffset>-2085340</wp:posOffset>
            </wp:positionH>
            <wp:positionV relativeFrom="paragraph">
              <wp:posOffset>-3853180</wp:posOffset>
            </wp:positionV>
            <wp:extent cx="5422265" cy="7302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0">
                      <a:extLst>
                        <a:ext uri="{28A0092B-C50C-407E-A947-70E740481C1C}"/>
                      </a:extLst>
                    </a:blip>
                    <a:srcRect/>
                    <a:stretch>
                      <a:fillRect/>
                    </a:stretch>
                  </pic:blipFill>
                  <pic:spPr bwMode="auto">
                    <a:xfrm>
                      <a:off x="0" y="0"/>
                      <a:ext cx="5422265" cy="73025"/>
                    </a:xfrm>
                    <a:prstGeom prst="rect">
                      <a:avLst/>
                    </a:prstGeom>
                    <a:noFill/>
                  </pic:spPr>
                </pic:pic>
              </a:graphicData>
            </a:graphic>
          </wp:anchor>
        </w:drawing>
        <w:drawing>
          <wp:anchor simplePos="0" relativeHeight="251657728" behindDoc="1" locked="0" layoutInCell="0" allowOverlap="1">
            <wp:simplePos x="0" y="0"/>
            <wp:positionH relativeFrom="column">
              <wp:posOffset>-2085340</wp:posOffset>
            </wp:positionH>
            <wp:positionV relativeFrom="paragraph">
              <wp:posOffset>-3713480</wp:posOffset>
            </wp:positionV>
            <wp:extent cx="5422265" cy="13271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1">
                      <a:extLst>
                        <a:ext uri="{28A0092B-C50C-407E-A947-70E740481C1C}"/>
                      </a:extLst>
                    </a:blip>
                    <a:srcRect/>
                    <a:stretch>
                      <a:fillRect/>
                    </a:stretch>
                  </pic:blipFill>
                  <pic:spPr bwMode="auto">
                    <a:xfrm>
                      <a:off x="0" y="0"/>
                      <a:ext cx="5422265" cy="132715"/>
                    </a:xfrm>
                    <a:prstGeom prst="rect">
                      <a:avLst/>
                    </a:prstGeom>
                    <a:noFill/>
                  </pic:spPr>
                </pic:pic>
              </a:graphicData>
            </a:graphic>
          </wp:anchor>
        </w:drawing>
        <w:drawing>
          <wp:anchor simplePos="0" relativeHeight="251657728" behindDoc="1" locked="0" layoutInCell="0" allowOverlap="1">
            <wp:simplePos x="0" y="0"/>
            <wp:positionH relativeFrom="column">
              <wp:posOffset>-2085340</wp:posOffset>
            </wp:positionH>
            <wp:positionV relativeFrom="paragraph">
              <wp:posOffset>-3434080</wp:posOffset>
            </wp:positionV>
            <wp:extent cx="5422265" cy="6667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2">
                      <a:extLst>
                        <a:ext uri="{28A0092B-C50C-407E-A947-70E740481C1C}"/>
                      </a:extLst>
                    </a:blip>
                    <a:srcRect/>
                    <a:stretch>
                      <a:fillRect/>
                    </a:stretch>
                  </pic:blipFill>
                  <pic:spPr bwMode="auto">
                    <a:xfrm>
                      <a:off x="0" y="0"/>
                      <a:ext cx="5422265" cy="66675"/>
                    </a:xfrm>
                    <a:prstGeom prst="rect">
                      <a:avLst/>
                    </a:prstGeom>
                    <a:noFill/>
                  </pic:spPr>
                </pic:pic>
              </a:graphicData>
            </a:graphic>
          </wp:anchor>
        </w:drawing>
        <w:drawing>
          <wp:anchor simplePos="0" relativeHeight="251657728" behindDoc="1" locked="0" layoutInCell="0" allowOverlap="1">
            <wp:simplePos x="0" y="0"/>
            <wp:positionH relativeFrom="column">
              <wp:posOffset>-2085340</wp:posOffset>
            </wp:positionH>
            <wp:positionV relativeFrom="paragraph">
              <wp:posOffset>-3235325</wp:posOffset>
            </wp:positionV>
            <wp:extent cx="5422265" cy="13271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3">
                      <a:extLst>
                        <a:ext uri="{28A0092B-C50C-407E-A947-70E740481C1C}"/>
                      </a:extLst>
                    </a:blip>
                    <a:srcRect/>
                    <a:stretch>
                      <a:fillRect/>
                    </a:stretch>
                  </pic:blipFill>
                  <pic:spPr bwMode="auto">
                    <a:xfrm>
                      <a:off x="0" y="0"/>
                      <a:ext cx="5422265" cy="132715"/>
                    </a:xfrm>
                    <a:prstGeom prst="rect">
                      <a:avLst/>
                    </a:prstGeom>
                    <a:noFill/>
                  </pic:spPr>
                </pic:pic>
              </a:graphicData>
            </a:graphic>
          </wp:anchor>
        </w:drawing>
        <w:drawing>
          <wp:anchor simplePos="0" relativeHeight="251657728" behindDoc="1" locked="0" layoutInCell="0" allowOverlap="1">
            <wp:simplePos x="0" y="0"/>
            <wp:positionH relativeFrom="column">
              <wp:posOffset>-2085340</wp:posOffset>
            </wp:positionH>
            <wp:positionV relativeFrom="paragraph">
              <wp:posOffset>-2969260</wp:posOffset>
            </wp:positionV>
            <wp:extent cx="5422265" cy="13271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4">
                      <a:extLst>
                        <a:ext uri="{28A0092B-C50C-407E-A947-70E740481C1C}"/>
                      </a:extLst>
                    </a:blip>
                    <a:srcRect/>
                    <a:stretch>
                      <a:fillRect/>
                    </a:stretch>
                  </pic:blipFill>
                  <pic:spPr bwMode="auto">
                    <a:xfrm>
                      <a:off x="0" y="0"/>
                      <a:ext cx="5422265" cy="132715"/>
                    </a:xfrm>
                    <a:prstGeom prst="rect">
                      <a:avLst/>
                    </a:prstGeom>
                    <a:noFill/>
                  </pic:spPr>
                </pic:pic>
              </a:graphicData>
            </a:graphic>
          </wp:anchor>
        </w:drawing>
        <w:drawing>
          <wp:anchor simplePos="0" relativeHeight="251657728" behindDoc="1" locked="0" layoutInCell="0" allowOverlap="1">
            <wp:simplePos x="0" y="0"/>
            <wp:positionH relativeFrom="column">
              <wp:posOffset>-2085340</wp:posOffset>
            </wp:positionH>
            <wp:positionV relativeFrom="paragraph">
              <wp:posOffset>-2756535</wp:posOffset>
            </wp:positionV>
            <wp:extent cx="5422265" cy="1993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5">
                      <a:extLst>
                        <a:ext uri="{28A0092B-C50C-407E-A947-70E740481C1C}"/>
                      </a:extLst>
                    </a:blip>
                    <a:srcRect/>
                    <a:stretch>
                      <a:fillRect/>
                    </a:stretch>
                  </pic:blipFill>
                  <pic:spPr bwMode="auto">
                    <a:xfrm>
                      <a:off x="0" y="0"/>
                      <a:ext cx="5422265" cy="199390"/>
                    </a:xfrm>
                    <a:prstGeom prst="rect">
                      <a:avLst/>
                    </a:prstGeom>
                    <a:noFill/>
                  </pic:spPr>
                </pic:pic>
              </a:graphicData>
            </a:graphic>
          </wp:anchor>
        </w:drawing>
        <w:drawing>
          <wp:anchor simplePos="0" relativeHeight="251657728" behindDoc="1" locked="0" layoutInCell="0" allowOverlap="1">
            <wp:simplePos x="0" y="0"/>
            <wp:positionH relativeFrom="column">
              <wp:posOffset>-2085340</wp:posOffset>
            </wp:positionH>
            <wp:positionV relativeFrom="paragraph">
              <wp:posOffset>-2371090</wp:posOffset>
            </wp:positionV>
            <wp:extent cx="5422265" cy="6667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6">
                      <a:extLst>
                        <a:ext uri="{28A0092B-C50C-407E-A947-70E740481C1C}"/>
                      </a:extLst>
                    </a:blip>
                    <a:srcRect/>
                    <a:stretch>
                      <a:fillRect/>
                    </a:stretch>
                  </pic:blipFill>
                  <pic:spPr bwMode="auto">
                    <a:xfrm>
                      <a:off x="0" y="0"/>
                      <a:ext cx="5422265" cy="66675"/>
                    </a:xfrm>
                    <a:prstGeom prst="rect">
                      <a:avLst/>
                    </a:prstGeom>
                    <a:noFill/>
                  </pic:spPr>
                </pic:pic>
              </a:graphicData>
            </a:graphic>
          </wp:anchor>
        </w:drawing>
        <w:drawing>
          <wp:anchor simplePos="0" relativeHeight="251657728" behindDoc="1" locked="0" layoutInCell="0" allowOverlap="1">
            <wp:simplePos x="0" y="0"/>
            <wp:positionH relativeFrom="column">
              <wp:posOffset>-2085340</wp:posOffset>
            </wp:positionH>
            <wp:positionV relativeFrom="paragraph">
              <wp:posOffset>-2171700</wp:posOffset>
            </wp:positionV>
            <wp:extent cx="5422265" cy="13271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7">
                      <a:extLst>
                        <a:ext uri="{28A0092B-C50C-407E-A947-70E740481C1C}"/>
                      </a:extLst>
                    </a:blip>
                    <a:srcRect/>
                    <a:stretch>
                      <a:fillRect/>
                    </a:stretch>
                  </pic:blipFill>
                  <pic:spPr bwMode="auto">
                    <a:xfrm>
                      <a:off x="0" y="0"/>
                      <a:ext cx="5422265" cy="132715"/>
                    </a:xfrm>
                    <a:prstGeom prst="rect">
                      <a:avLst/>
                    </a:prstGeom>
                    <a:noFill/>
                  </pic:spPr>
                </pic:pic>
              </a:graphicData>
            </a:graphic>
          </wp:anchor>
        </w:drawing>
        <w:drawing>
          <wp:anchor simplePos="0" relativeHeight="251657728" behindDoc="1" locked="0" layoutInCell="0" allowOverlap="1">
            <wp:simplePos x="0" y="0"/>
            <wp:positionH relativeFrom="column">
              <wp:posOffset>-2085340</wp:posOffset>
            </wp:positionH>
            <wp:positionV relativeFrom="paragraph">
              <wp:posOffset>-1958975</wp:posOffset>
            </wp:positionV>
            <wp:extent cx="5422265" cy="13271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8">
                      <a:extLst>
                        <a:ext uri="{28A0092B-C50C-407E-A947-70E740481C1C}"/>
                      </a:extLst>
                    </a:blip>
                    <a:srcRect/>
                    <a:stretch>
                      <a:fillRect/>
                    </a:stretch>
                  </pic:blipFill>
                  <pic:spPr bwMode="auto">
                    <a:xfrm>
                      <a:off x="0" y="0"/>
                      <a:ext cx="5422265" cy="132715"/>
                    </a:xfrm>
                    <a:prstGeom prst="rect">
                      <a:avLst/>
                    </a:prstGeom>
                    <a:noFill/>
                  </pic:spPr>
                </pic:pic>
              </a:graphicData>
            </a:graphic>
          </wp:anchor>
        </w:drawing>
        <w:drawing>
          <wp:anchor simplePos="0" relativeHeight="251657728" behindDoc="1" locked="0" layoutInCell="0" allowOverlap="1">
            <wp:simplePos x="0" y="0"/>
            <wp:positionH relativeFrom="column">
              <wp:posOffset>-2085340</wp:posOffset>
            </wp:positionH>
            <wp:positionV relativeFrom="paragraph">
              <wp:posOffset>-1693545</wp:posOffset>
            </wp:positionV>
            <wp:extent cx="5422265" cy="13271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9">
                      <a:extLst>
                        <a:ext uri="{28A0092B-C50C-407E-A947-70E740481C1C}"/>
                      </a:extLst>
                    </a:blip>
                    <a:srcRect/>
                    <a:stretch>
                      <a:fillRect/>
                    </a:stretch>
                  </pic:blipFill>
                  <pic:spPr bwMode="auto">
                    <a:xfrm>
                      <a:off x="0" y="0"/>
                      <a:ext cx="5422265" cy="132715"/>
                    </a:xfrm>
                    <a:prstGeom prst="rect">
                      <a:avLst/>
                    </a:prstGeom>
                    <a:noFill/>
                  </pic:spPr>
                </pic:pic>
              </a:graphicData>
            </a:graphic>
          </wp:anchor>
        </w:drawing>
        <w:drawing>
          <wp:anchor simplePos="0" relativeHeight="251657728" behindDoc="1" locked="0" layoutInCell="0" allowOverlap="1">
            <wp:simplePos x="0" y="0"/>
            <wp:positionH relativeFrom="column">
              <wp:posOffset>-2085340</wp:posOffset>
            </wp:positionH>
            <wp:positionV relativeFrom="paragraph">
              <wp:posOffset>-1414145</wp:posOffset>
            </wp:positionV>
            <wp:extent cx="5422265" cy="6667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40">
                      <a:extLst>
                        <a:ext uri="{28A0092B-C50C-407E-A947-70E740481C1C}"/>
                      </a:extLst>
                    </a:blip>
                    <a:srcRect/>
                    <a:stretch>
                      <a:fillRect/>
                    </a:stretch>
                  </pic:blipFill>
                  <pic:spPr bwMode="auto">
                    <a:xfrm>
                      <a:off x="0" y="0"/>
                      <a:ext cx="5422265" cy="66675"/>
                    </a:xfrm>
                    <a:prstGeom prst="rect">
                      <a:avLst/>
                    </a:prstGeom>
                    <a:noFill/>
                  </pic:spPr>
                </pic:pic>
              </a:graphicData>
            </a:graphic>
          </wp:anchor>
        </w:drawing>
        <w:drawing>
          <wp:anchor simplePos="0" relativeHeight="251657728" behindDoc="1" locked="0" layoutInCell="0" allowOverlap="1">
            <wp:simplePos x="0" y="0"/>
            <wp:positionH relativeFrom="column">
              <wp:posOffset>-2085340</wp:posOffset>
            </wp:positionH>
            <wp:positionV relativeFrom="paragraph">
              <wp:posOffset>-1214755</wp:posOffset>
            </wp:positionV>
            <wp:extent cx="5422265" cy="13271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41">
                      <a:extLst>
                        <a:ext uri="{28A0092B-C50C-407E-A947-70E740481C1C}"/>
                      </a:extLst>
                    </a:blip>
                    <a:srcRect/>
                    <a:stretch>
                      <a:fillRect/>
                    </a:stretch>
                  </pic:blipFill>
                  <pic:spPr bwMode="auto">
                    <a:xfrm>
                      <a:off x="0" y="0"/>
                      <a:ext cx="5422265" cy="132715"/>
                    </a:xfrm>
                    <a:prstGeom prst="rect">
                      <a:avLst/>
                    </a:prstGeom>
                    <a:noFill/>
                  </pic:spPr>
                </pic:pic>
              </a:graphicData>
            </a:graphic>
          </wp:anchor>
        </w:drawing>
        <w:drawing>
          <wp:anchor simplePos="0" relativeHeight="251657728" behindDoc="1" locked="0" layoutInCell="0" allowOverlap="1">
            <wp:simplePos x="0" y="0"/>
            <wp:positionH relativeFrom="column">
              <wp:posOffset>-2085340</wp:posOffset>
            </wp:positionH>
            <wp:positionV relativeFrom="paragraph">
              <wp:posOffset>-895985</wp:posOffset>
            </wp:positionV>
            <wp:extent cx="5422265" cy="6667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42">
                      <a:extLst>
                        <a:ext uri="{28A0092B-C50C-407E-A947-70E740481C1C}"/>
                      </a:extLst>
                    </a:blip>
                    <a:srcRect/>
                    <a:stretch>
                      <a:fillRect/>
                    </a:stretch>
                  </pic:blipFill>
                  <pic:spPr bwMode="auto">
                    <a:xfrm>
                      <a:off x="0" y="0"/>
                      <a:ext cx="5422265" cy="66675"/>
                    </a:xfrm>
                    <a:prstGeom prst="rect">
                      <a:avLst/>
                    </a:prstGeom>
                    <a:noFill/>
                  </pic:spPr>
                </pic:pic>
              </a:graphicData>
            </a:graphic>
          </wp:anchor>
        </w:drawing>
        <w:drawing>
          <wp:anchor simplePos="0" relativeHeight="251657728" behindDoc="1" locked="0" layoutInCell="0" allowOverlap="1">
            <wp:simplePos x="0" y="0"/>
            <wp:positionH relativeFrom="column">
              <wp:posOffset>-2085340</wp:posOffset>
            </wp:positionH>
            <wp:positionV relativeFrom="paragraph">
              <wp:posOffset>-763270</wp:posOffset>
            </wp:positionV>
            <wp:extent cx="5422265" cy="6667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3">
                      <a:extLst>
                        <a:ext uri="{28A0092B-C50C-407E-A947-70E740481C1C}"/>
                      </a:extLst>
                    </a:blip>
                    <a:srcRect/>
                    <a:stretch>
                      <a:fillRect/>
                    </a:stretch>
                  </pic:blipFill>
                  <pic:spPr bwMode="auto">
                    <a:xfrm>
                      <a:off x="0" y="0"/>
                      <a:ext cx="5422265" cy="66675"/>
                    </a:xfrm>
                    <a:prstGeom prst="rect">
                      <a:avLst/>
                    </a:prstGeom>
                    <a:noFill/>
                  </pic:spPr>
                </pic:pic>
              </a:graphicData>
            </a:graphic>
          </wp:anchor>
        </w:drawing>
        <w:drawing>
          <wp:anchor simplePos="0" relativeHeight="251657728" behindDoc="1" locked="0" layoutInCell="0" allowOverlap="1">
            <wp:simplePos x="0" y="0"/>
            <wp:positionH relativeFrom="column">
              <wp:posOffset>-2085340</wp:posOffset>
            </wp:positionH>
            <wp:positionV relativeFrom="paragraph">
              <wp:posOffset>-550545</wp:posOffset>
            </wp:positionV>
            <wp:extent cx="5422265" cy="6667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4">
                      <a:extLst>
                        <a:ext uri="{28A0092B-C50C-407E-A947-70E740481C1C}"/>
                      </a:extLst>
                    </a:blip>
                    <a:srcRect/>
                    <a:stretch>
                      <a:fillRect/>
                    </a:stretch>
                  </pic:blipFill>
                  <pic:spPr bwMode="auto">
                    <a:xfrm>
                      <a:off x="0" y="0"/>
                      <a:ext cx="5422265" cy="66675"/>
                    </a:xfrm>
                    <a:prstGeom prst="rect">
                      <a:avLst/>
                    </a:prstGeom>
                    <a:noFill/>
                  </pic:spPr>
                </pic:pic>
              </a:graphicData>
            </a:graphic>
          </wp:anchor>
        </w:drawing>
        <w:drawing>
          <wp:anchor simplePos="0" relativeHeight="251657728" behindDoc="1" locked="0" layoutInCell="0" allowOverlap="1">
            <wp:simplePos x="0" y="0"/>
            <wp:positionH relativeFrom="column">
              <wp:posOffset>-2085340</wp:posOffset>
            </wp:positionH>
            <wp:positionV relativeFrom="paragraph">
              <wp:posOffset>-351155</wp:posOffset>
            </wp:positionV>
            <wp:extent cx="5422265" cy="13271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5">
                      <a:extLst>
                        <a:ext uri="{28A0092B-C50C-407E-A947-70E740481C1C}"/>
                      </a:extLst>
                    </a:blip>
                    <a:srcRect/>
                    <a:stretch>
                      <a:fillRect/>
                    </a:stretch>
                  </pic:blipFill>
                  <pic:spPr bwMode="auto">
                    <a:xfrm>
                      <a:off x="0" y="0"/>
                      <a:ext cx="5422265" cy="132715"/>
                    </a:xfrm>
                    <a:prstGeom prst="rect">
                      <a:avLst/>
                    </a:prstGeom>
                    <a:noFill/>
                  </pic:spPr>
                </pic:pic>
              </a:graphicData>
            </a:graphic>
          </wp:anchor>
        </w:drawing>
        <w:drawing>
          <wp:anchor simplePos="0" relativeHeight="251657728" behindDoc="1" locked="0" layoutInCell="0" allowOverlap="1">
            <wp:simplePos x="0" y="0"/>
            <wp:positionH relativeFrom="column">
              <wp:posOffset>-2085340</wp:posOffset>
            </wp:positionH>
            <wp:positionV relativeFrom="paragraph">
              <wp:posOffset>-72390</wp:posOffset>
            </wp:positionV>
            <wp:extent cx="5422265" cy="6667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6">
                      <a:extLst>
                        <a:ext uri="{28A0092B-C50C-407E-A947-70E740481C1C}"/>
                      </a:extLst>
                    </a:blip>
                    <a:srcRect/>
                    <a:stretch>
                      <a:fillRect/>
                    </a:stretch>
                  </pic:blipFill>
                  <pic:spPr bwMode="auto">
                    <a:xfrm>
                      <a:off x="0" y="0"/>
                      <a:ext cx="5422265" cy="66675"/>
                    </a:xfrm>
                    <a:prstGeom prst="rect">
                      <a:avLst/>
                    </a:prstGeom>
                    <a:noFill/>
                  </pic:spPr>
                </pic:pic>
              </a:graphicData>
            </a:graphic>
          </wp:anchor>
        </w:drawing>
      </w:r>
    </w:p>
    <w:p>
      <w:pPr>
        <w:spacing w:after="0" w:line="7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50</w:t>
      </w:r>
    </w:p>
    <w:p>
      <w:pPr>
        <w:sectPr>
          <w:pgSz w:w="11900" w:h="16838" w:orient="portrait"/>
          <w:cols w:equalWidth="0" w:num="2">
            <w:col w:w="4600" w:space="60"/>
            <w:col w:w="5499"/>
          </w:cols>
          <w:pgMar w:left="300" w:top="384" w:right="1440"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7">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ectPr>
          <w:pgSz w:w="11900" w:h="16838" w:orient="portrait"/>
          <w:cols w:equalWidth="0" w:num="1">
            <w:col w:w="10159"/>
          </w:cols>
          <w:pgMar w:left="300" w:top="384" w:right="1440" w:bottom="1440" w:gutter="0" w:footer="0" w:header="0"/>
        </w:sectPr>
      </w:pPr>
    </w:p>
    <w:p>
      <w:pPr>
        <w:spacing w:after="0" w:line="264" w:lineRule="exact"/>
        <w:rPr>
          <w:sz w:val="20"/>
          <w:szCs w:val="20"/>
          <w:color w:val="auto"/>
        </w:rPr>
      </w:pPr>
    </w:p>
    <w:tbl>
      <w:tblPr>
        <w:tblLayout w:type="fixed"/>
        <w:tblInd w:w="1380" w:type="dxa"/>
        <w:tblCellMar>
          <w:top w:w="0" w:type="dxa"/>
          <w:left w:w="0" w:type="dxa"/>
          <w:bottom w:w="0" w:type="dxa"/>
          <w:right w:w="0" w:type="dxa"/>
        </w:tblCellMar>
      </w:tblPr>
      <w:tr>
        <w:trPr>
          <w:trHeight w:val="94"/>
        </w:trPr>
        <w:tc>
          <w:tcPr>
            <w:tcW w:w="1280" w:type="dxa"/>
            <w:vAlign w:val="bottom"/>
            <w:gridSpan w:val="2"/>
          </w:tcPr>
          <w:p>
            <w:pPr>
              <w:spacing w:after="0"/>
              <w:rPr>
                <w:sz w:val="20"/>
                <w:szCs w:val="20"/>
                <w:color w:val="auto"/>
              </w:rPr>
            </w:pPr>
            <w:r>
              <w:rPr>
                <w:rFonts w:ascii="Times New Roman" w:cs="Times New Roman" w:eastAsia="Times New Roman" w:hAnsi="Times New Roman"/>
                <w:sz w:val="8"/>
                <w:szCs w:val="8"/>
                <w:b w:val="1"/>
                <w:bCs w:val="1"/>
                <w:color w:val="auto"/>
              </w:rPr>
              <w:t>Portfolio Company (a)(b)</w:t>
            </w:r>
          </w:p>
        </w:tc>
        <w:tc>
          <w:tcPr>
            <w:tcW w:w="40" w:type="dxa"/>
            <w:vAlign w:val="bottom"/>
          </w:tcPr>
          <w:p>
            <w:pPr>
              <w:spacing w:after="0"/>
              <w:rPr>
                <w:sz w:val="8"/>
                <w:szCs w:val="8"/>
                <w:color w:val="auto"/>
              </w:rPr>
            </w:pPr>
          </w:p>
        </w:tc>
        <w:tc>
          <w:tcPr>
            <w:tcW w:w="840" w:type="dxa"/>
            <w:vAlign w:val="bottom"/>
          </w:tcPr>
          <w:p>
            <w:pPr>
              <w:spacing w:after="0"/>
              <w:rPr>
                <w:sz w:val="8"/>
                <w:szCs w:val="8"/>
                <w:color w:val="auto"/>
              </w:rPr>
            </w:pPr>
          </w:p>
        </w:tc>
        <w:tc>
          <w:tcPr>
            <w:tcW w:w="60" w:type="dxa"/>
            <w:vAlign w:val="bottom"/>
          </w:tcPr>
          <w:p>
            <w:pPr>
              <w:spacing w:after="0"/>
              <w:rPr>
                <w:sz w:val="8"/>
                <w:szCs w:val="8"/>
                <w:color w:val="auto"/>
              </w:rPr>
            </w:pPr>
          </w:p>
        </w:tc>
        <w:tc>
          <w:tcPr>
            <w:tcW w:w="9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1280" w:type="dxa"/>
            <w:vAlign w:val="bottom"/>
            <w:gridSpan w:val="2"/>
          </w:tcPr>
          <w:p>
            <w:pPr>
              <w:spacing w:after="0"/>
              <w:rPr>
                <w:sz w:val="20"/>
                <w:szCs w:val="20"/>
                <w:color w:val="auto"/>
              </w:rPr>
            </w:pPr>
            <w:r>
              <w:rPr>
                <w:rFonts w:ascii="Times New Roman" w:cs="Times New Roman" w:eastAsia="Times New Roman" w:hAnsi="Times New Roman"/>
                <w:sz w:val="8"/>
                <w:szCs w:val="8"/>
                <w:b w:val="1"/>
                <w:bCs w:val="1"/>
                <w:color w:val="auto"/>
              </w:rPr>
              <w:t>Address of Portfolio Company</w:t>
            </w:r>
          </w:p>
        </w:tc>
        <w:tc>
          <w:tcPr>
            <w:tcW w:w="40" w:type="dxa"/>
            <w:vAlign w:val="bottom"/>
          </w:tcPr>
          <w:p>
            <w:pPr>
              <w:spacing w:after="0"/>
              <w:rPr>
                <w:sz w:val="10"/>
                <w:szCs w:val="10"/>
                <w:color w:val="auto"/>
              </w:rPr>
            </w:pPr>
          </w:p>
        </w:tc>
        <w:tc>
          <w:tcPr>
            <w:tcW w:w="840" w:type="dxa"/>
            <w:vAlign w:val="bottom"/>
          </w:tcPr>
          <w:p>
            <w:pPr>
              <w:ind w:left="60"/>
              <w:spacing w:after="0"/>
              <w:rPr>
                <w:sz w:val="20"/>
                <w:szCs w:val="20"/>
                <w:color w:val="auto"/>
              </w:rPr>
            </w:pPr>
            <w:r>
              <w:rPr>
                <w:rFonts w:ascii="Times New Roman" w:cs="Times New Roman" w:eastAsia="Times New Roman" w:hAnsi="Times New Roman"/>
                <w:sz w:val="8"/>
                <w:szCs w:val="8"/>
                <w:b w:val="1"/>
                <w:bCs w:val="1"/>
                <w:color w:val="auto"/>
              </w:rPr>
              <w:t>Investment Type (c)</w:t>
            </w:r>
          </w:p>
        </w:tc>
        <w:tc>
          <w:tcPr>
            <w:tcW w:w="60" w:type="dxa"/>
            <w:vAlign w:val="bottom"/>
          </w:tcPr>
          <w:p>
            <w:pPr>
              <w:spacing w:after="0"/>
              <w:rPr>
                <w:sz w:val="10"/>
                <w:szCs w:val="10"/>
                <w:color w:val="auto"/>
              </w:rPr>
            </w:pPr>
          </w:p>
        </w:tc>
        <w:tc>
          <w:tcPr>
            <w:tcW w:w="960" w:type="dxa"/>
            <w:vAlign w:val="bottom"/>
          </w:tcPr>
          <w:p>
            <w:pPr>
              <w:ind w:left="320"/>
              <w:spacing w:after="0"/>
              <w:rPr>
                <w:sz w:val="20"/>
                <w:szCs w:val="20"/>
                <w:color w:val="auto"/>
              </w:rPr>
            </w:pPr>
            <w:r>
              <w:rPr>
                <w:rFonts w:ascii="Times New Roman" w:cs="Times New Roman" w:eastAsia="Times New Roman" w:hAnsi="Times New Roman"/>
                <w:sz w:val="8"/>
                <w:szCs w:val="8"/>
                <w:b w:val="1"/>
                <w:bCs w:val="1"/>
                <w:color w:val="auto"/>
              </w:rPr>
              <w:t>Industry</w:t>
            </w:r>
          </w:p>
        </w:tc>
        <w:tc>
          <w:tcPr>
            <w:tcW w:w="0" w:type="dxa"/>
            <w:vAlign w:val="bottom"/>
          </w:tcPr>
          <w:p>
            <w:pPr>
              <w:spacing w:after="0"/>
              <w:rPr>
                <w:sz w:val="1"/>
                <w:szCs w:val="1"/>
                <w:color w:val="auto"/>
              </w:rPr>
            </w:pPr>
          </w:p>
        </w:tc>
      </w:tr>
      <w:tr>
        <w:trPr>
          <w:trHeight w:val="72"/>
        </w:trPr>
        <w:tc>
          <w:tcPr>
            <w:tcW w:w="1100" w:type="dxa"/>
            <w:vAlign w:val="bottom"/>
            <w:tcBorders>
              <w:top w:val="single" w:sz="8" w:color="auto"/>
            </w:tcBorders>
          </w:tcPr>
          <w:p>
            <w:pPr>
              <w:spacing w:after="0" w:line="73" w:lineRule="exact"/>
              <w:rPr>
                <w:sz w:val="20"/>
                <w:szCs w:val="20"/>
                <w:color w:val="auto"/>
              </w:rPr>
            </w:pPr>
            <w:r>
              <w:rPr>
                <w:rFonts w:ascii="Times New Roman" w:cs="Times New Roman" w:eastAsia="Times New Roman" w:hAnsi="Times New Roman"/>
                <w:sz w:val="7"/>
                <w:szCs w:val="7"/>
                <w:i w:val="1"/>
                <w:iCs w:val="1"/>
                <w:color w:val="auto"/>
              </w:rPr>
              <w:t>Dataguise, Inc.</w:t>
            </w:r>
          </w:p>
        </w:tc>
        <w:tc>
          <w:tcPr>
            <w:tcW w:w="180" w:type="dxa"/>
            <w:vAlign w:val="bottom"/>
          </w:tcPr>
          <w:p>
            <w:pPr>
              <w:spacing w:after="0"/>
              <w:rPr>
                <w:sz w:val="6"/>
                <w:szCs w:val="6"/>
                <w:color w:val="auto"/>
              </w:rPr>
            </w:pPr>
          </w:p>
        </w:tc>
        <w:tc>
          <w:tcPr>
            <w:tcW w:w="40" w:type="dxa"/>
            <w:vAlign w:val="bottom"/>
          </w:tcPr>
          <w:p>
            <w:pPr>
              <w:spacing w:after="0"/>
              <w:rPr>
                <w:sz w:val="6"/>
                <w:szCs w:val="6"/>
                <w:color w:val="auto"/>
              </w:rPr>
            </w:pPr>
          </w:p>
        </w:tc>
        <w:tc>
          <w:tcPr>
            <w:tcW w:w="840" w:type="dxa"/>
            <w:vAlign w:val="bottom"/>
            <w:tcBorders>
              <w:top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960" w:type="dxa"/>
            <w:vAlign w:val="bottom"/>
            <w:tcBorders>
              <w:top w:val="single" w:sz="8" w:color="auto"/>
            </w:tcBorders>
          </w:tcPr>
          <w:p>
            <w:pPr>
              <w:spacing w:after="0" w:line="73" w:lineRule="exact"/>
              <w:rPr>
                <w:sz w:val="20"/>
                <w:szCs w:val="20"/>
                <w:color w:val="auto"/>
              </w:rPr>
            </w:pPr>
            <w:r>
              <w:rPr>
                <w:rFonts w:ascii="Times New Roman" w:cs="Times New Roman" w:eastAsia="Times New Roman" w:hAnsi="Times New Roman"/>
                <w:sz w:val="7"/>
                <w:szCs w:val="7"/>
                <w:color w:val="auto"/>
              </w:rPr>
              <w:t>Information Technology</w:t>
            </w:r>
          </w:p>
        </w:tc>
        <w:tc>
          <w:tcPr>
            <w:tcW w:w="0" w:type="dxa"/>
            <w:vAlign w:val="bottom"/>
          </w:tcPr>
          <w:p>
            <w:pPr>
              <w:spacing w:after="0"/>
              <w:rPr>
                <w:sz w:val="1"/>
                <w:szCs w:val="1"/>
                <w:color w:val="auto"/>
              </w:rPr>
            </w:pPr>
          </w:p>
        </w:tc>
      </w:tr>
      <w:tr>
        <w:trPr>
          <w:trHeight w:val="125"/>
        </w:trPr>
        <w:tc>
          <w:tcPr>
            <w:tcW w:w="12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0"/>
                <w:szCs w:val="10"/>
                <w:color w:val="auto"/>
              </w:rPr>
              <w:t>39650 Liberty St Suite 400</w:t>
            </w:r>
          </w:p>
        </w:tc>
        <w:tc>
          <w:tcPr>
            <w:tcW w:w="880" w:type="dxa"/>
            <w:vAlign w:val="bottom"/>
            <w:gridSpan w:val="2"/>
            <w:vMerge w:val="restart"/>
          </w:tcPr>
          <w:p>
            <w:pPr>
              <w:ind w:left="40"/>
              <w:spacing w:after="0"/>
              <w:rPr>
                <w:sz w:val="20"/>
                <w:szCs w:val="20"/>
                <w:color w:val="auto"/>
              </w:rPr>
            </w:pPr>
            <w:r>
              <w:rPr>
                <w:rFonts w:ascii="Times New Roman" w:cs="Times New Roman" w:eastAsia="Times New Roman" w:hAnsi="Times New Roman"/>
                <w:sz w:val="10"/>
                <w:szCs w:val="10"/>
                <w:color w:val="auto"/>
              </w:rPr>
              <w:t>Common Equity</w:t>
            </w:r>
          </w:p>
        </w:tc>
        <w:tc>
          <w:tcPr>
            <w:tcW w:w="1020" w:type="dxa"/>
            <w:vAlign w:val="bottom"/>
            <w:gridSpan w:val="2"/>
          </w:tcPr>
          <w:p>
            <w:pPr>
              <w:ind w:left="60"/>
              <w:spacing w:after="0"/>
              <w:rPr>
                <w:sz w:val="20"/>
                <w:szCs w:val="20"/>
                <w:color w:val="auto"/>
              </w:rPr>
            </w:pPr>
            <w:r>
              <w:rPr>
                <w:rFonts w:ascii="Times New Roman" w:cs="Times New Roman" w:eastAsia="Times New Roman" w:hAnsi="Times New Roman"/>
                <w:sz w:val="10"/>
                <w:szCs w:val="10"/>
                <w:color w:val="auto"/>
              </w:rPr>
              <w:t>Services</w:t>
            </w:r>
          </w:p>
        </w:tc>
        <w:tc>
          <w:tcPr>
            <w:tcW w:w="0" w:type="dxa"/>
            <w:vAlign w:val="bottom"/>
          </w:tcPr>
          <w:p>
            <w:pPr>
              <w:spacing w:after="0"/>
              <w:rPr>
                <w:sz w:val="1"/>
                <w:szCs w:val="1"/>
                <w:color w:val="auto"/>
              </w:rPr>
            </w:pPr>
          </w:p>
        </w:tc>
      </w:tr>
      <w:tr>
        <w:trPr>
          <w:trHeight w:val="84"/>
        </w:trPr>
        <w:tc>
          <w:tcPr>
            <w:tcW w:w="1280" w:type="dxa"/>
            <w:vAlign w:val="bottom"/>
            <w:gridSpan w:val="2"/>
            <w:vMerge w:val="continue"/>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9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1280" w:type="dxa"/>
            <w:vAlign w:val="bottom"/>
            <w:gridSpan w:val="2"/>
          </w:tcPr>
          <w:p>
            <w:pPr>
              <w:ind w:left="100"/>
              <w:spacing w:after="0"/>
              <w:rPr>
                <w:sz w:val="20"/>
                <w:szCs w:val="20"/>
                <w:color w:val="auto"/>
              </w:rPr>
            </w:pPr>
            <w:r>
              <w:rPr>
                <w:rFonts w:ascii="Times New Roman" w:cs="Times New Roman" w:eastAsia="Times New Roman" w:hAnsi="Times New Roman"/>
                <w:sz w:val="10"/>
                <w:szCs w:val="10"/>
                <w:color w:val="auto"/>
              </w:rPr>
              <w:t>Fremont, CA 94538</w:t>
            </w:r>
          </w:p>
        </w:tc>
        <w:tc>
          <w:tcPr>
            <w:tcW w:w="880" w:type="dxa"/>
            <w:vAlign w:val="bottom"/>
            <w:gridSpan w:val="2"/>
          </w:tcPr>
          <w:p>
            <w:pPr>
              <w:ind w:left="40"/>
              <w:spacing w:after="0"/>
              <w:rPr>
                <w:sz w:val="20"/>
                <w:szCs w:val="20"/>
                <w:color w:val="auto"/>
              </w:rPr>
            </w:pPr>
            <w:r>
              <w:rPr>
                <w:rFonts w:ascii="Times New Roman" w:cs="Times New Roman" w:eastAsia="Times New Roman" w:hAnsi="Times New Roman"/>
                <w:sz w:val="10"/>
                <w:szCs w:val="10"/>
                <w:color w:val="auto"/>
              </w:rPr>
              <w:t>(909 shares)</w:t>
            </w:r>
          </w:p>
        </w:tc>
        <w:tc>
          <w:tcPr>
            <w:tcW w:w="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1280" w:type="dxa"/>
            <w:vAlign w:val="bottom"/>
            <w:gridSpan w:val="2"/>
          </w:tcPr>
          <w:p>
            <w:pPr>
              <w:spacing w:after="0"/>
              <w:rPr>
                <w:sz w:val="20"/>
                <w:szCs w:val="20"/>
                <w:color w:val="auto"/>
              </w:rPr>
            </w:pPr>
            <w:r>
              <w:rPr>
                <w:rFonts w:ascii="Times New Roman" w:cs="Times New Roman" w:eastAsia="Times New Roman" w:hAnsi="Times New Roman"/>
                <w:sz w:val="10"/>
                <w:szCs w:val="10"/>
                <w:i w:val="1"/>
                <w:iCs w:val="1"/>
                <w:color w:val="auto"/>
              </w:rPr>
              <w:t>Dealerbuilt Acquisition, LLC</w:t>
            </w:r>
          </w:p>
        </w:tc>
        <w:tc>
          <w:tcPr>
            <w:tcW w:w="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20" w:type="dxa"/>
            <w:vAlign w:val="bottom"/>
            <w:gridSpan w:val="2"/>
          </w:tcPr>
          <w:p>
            <w:pPr>
              <w:ind w:left="60"/>
              <w:spacing w:after="0"/>
              <w:rPr>
                <w:sz w:val="20"/>
                <w:szCs w:val="20"/>
                <w:color w:val="auto"/>
              </w:rPr>
            </w:pPr>
            <w:r>
              <w:rPr>
                <w:rFonts w:ascii="Times New Roman" w:cs="Times New Roman" w:eastAsia="Times New Roman" w:hAnsi="Times New Roman"/>
                <w:sz w:val="10"/>
                <w:szCs w:val="10"/>
                <w:color w:val="auto"/>
                <w:w w:val="95"/>
              </w:rPr>
              <w:t>Information Technology</w:t>
            </w:r>
          </w:p>
        </w:tc>
        <w:tc>
          <w:tcPr>
            <w:tcW w:w="0" w:type="dxa"/>
            <w:vAlign w:val="bottom"/>
          </w:tcPr>
          <w:p>
            <w:pPr>
              <w:spacing w:after="0"/>
              <w:rPr>
                <w:sz w:val="1"/>
                <w:szCs w:val="1"/>
                <w:color w:val="auto"/>
              </w:rPr>
            </w:pPr>
          </w:p>
        </w:tc>
      </w:tr>
      <w:tr>
        <w:trPr>
          <w:trHeight w:val="125"/>
        </w:trPr>
        <w:tc>
          <w:tcPr>
            <w:tcW w:w="12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0"/>
                <w:szCs w:val="10"/>
                <w:color w:val="auto"/>
              </w:rPr>
              <w:t>1321 Upland Dr., PMB</w:t>
            </w:r>
          </w:p>
        </w:tc>
        <w:tc>
          <w:tcPr>
            <w:tcW w:w="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20" w:type="dxa"/>
            <w:vAlign w:val="bottom"/>
            <w:gridSpan w:val="2"/>
          </w:tcPr>
          <w:p>
            <w:pPr>
              <w:ind w:left="60"/>
              <w:spacing w:after="0"/>
              <w:rPr>
                <w:sz w:val="20"/>
                <w:szCs w:val="20"/>
                <w:color w:val="auto"/>
              </w:rPr>
            </w:pPr>
            <w:r>
              <w:rPr>
                <w:rFonts w:ascii="Times New Roman" w:cs="Times New Roman" w:eastAsia="Times New Roman" w:hAnsi="Times New Roman"/>
                <w:sz w:val="10"/>
                <w:szCs w:val="10"/>
                <w:color w:val="auto"/>
              </w:rPr>
              <w:t>Services</w:t>
            </w:r>
          </w:p>
        </w:tc>
        <w:tc>
          <w:tcPr>
            <w:tcW w:w="0" w:type="dxa"/>
            <w:vAlign w:val="bottom"/>
          </w:tcPr>
          <w:p>
            <w:pPr>
              <w:spacing w:after="0"/>
              <w:rPr>
                <w:sz w:val="1"/>
                <w:szCs w:val="1"/>
                <w:color w:val="auto"/>
              </w:rPr>
            </w:pPr>
          </w:p>
        </w:tc>
      </w:tr>
      <w:tr>
        <w:trPr>
          <w:trHeight w:val="84"/>
        </w:trPr>
        <w:tc>
          <w:tcPr>
            <w:tcW w:w="1280" w:type="dxa"/>
            <w:vAlign w:val="bottom"/>
            <w:gridSpan w:val="2"/>
            <w:vMerge w:val="continue"/>
          </w:tcPr>
          <w:p>
            <w:pPr>
              <w:spacing w:after="0"/>
              <w:rPr>
                <w:sz w:val="7"/>
                <w:szCs w:val="7"/>
                <w:color w:val="auto"/>
              </w:rPr>
            </w:pPr>
          </w:p>
        </w:tc>
        <w:tc>
          <w:tcPr>
            <w:tcW w:w="40" w:type="dxa"/>
            <w:vAlign w:val="bottom"/>
          </w:tcPr>
          <w:p>
            <w:pPr>
              <w:spacing w:after="0"/>
              <w:rPr>
                <w:sz w:val="7"/>
                <w:szCs w:val="7"/>
                <w:color w:val="auto"/>
              </w:rPr>
            </w:pPr>
          </w:p>
        </w:tc>
        <w:tc>
          <w:tcPr>
            <w:tcW w:w="840" w:type="dxa"/>
            <w:vAlign w:val="bottom"/>
          </w:tcPr>
          <w:p>
            <w:pPr>
              <w:spacing w:after="0"/>
              <w:rPr>
                <w:sz w:val="7"/>
                <w:szCs w:val="7"/>
                <w:color w:val="auto"/>
              </w:rPr>
            </w:pPr>
          </w:p>
        </w:tc>
        <w:tc>
          <w:tcPr>
            <w:tcW w:w="60" w:type="dxa"/>
            <w:vAlign w:val="bottom"/>
          </w:tcPr>
          <w:p>
            <w:pPr>
              <w:spacing w:after="0"/>
              <w:rPr>
                <w:sz w:val="7"/>
                <w:szCs w:val="7"/>
                <w:color w:val="auto"/>
              </w:rPr>
            </w:pPr>
          </w:p>
        </w:tc>
        <w:tc>
          <w:tcPr>
            <w:tcW w:w="9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5"/>
        </w:trPr>
        <w:tc>
          <w:tcPr>
            <w:tcW w:w="1100" w:type="dxa"/>
            <w:vAlign w:val="bottom"/>
          </w:tcPr>
          <w:p>
            <w:pPr>
              <w:ind w:left="100"/>
              <w:spacing w:after="0" w:line="105" w:lineRule="exact"/>
              <w:rPr>
                <w:sz w:val="20"/>
                <w:szCs w:val="20"/>
                <w:color w:val="auto"/>
              </w:rPr>
            </w:pPr>
            <w:r>
              <w:rPr>
                <w:rFonts w:ascii="Times New Roman" w:cs="Times New Roman" w:eastAsia="Times New Roman" w:hAnsi="Times New Roman"/>
                <w:sz w:val="10"/>
                <w:szCs w:val="10"/>
                <w:color w:val="auto"/>
              </w:rPr>
              <w:t>22449</w:t>
            </w:r>
          </w:p>
        </w:tc>
        <w:tc>
          <w:tcPr>
            <w:tcW w:w="180" w:type="dxa"/>
            <w:vAlign w:val="bottom"/>
          </w:tcPr>
          <w:p>
            <w:pPr>
              <w:spacing w:after="0"/>
              <w:rPr>
                <w:sz w:val="9"/>
                <w:szCs w:val="9"/>
                <w:color w:val="auto"/>
              </w:rPr>
            </w:pPr>
          </w:p>
        </w:tc>
        <w:tc>
          <w:tcPr>
            <w:tcW w:w="880" w:type="dxa"/>
            <w:vAlign w:val="bottom"/>
            <w:gridSpan w:val="2"/>
          </w:tcPr>
          <w:p>
            <w:pPr>
              <w:ind w:left="40"/>
              <w:spacing w:after="0" w:line="105" w:lineRule="exact"/>
              <w:rPr>
                <w:sz w:val="20"/>
                <w:szCs w:val="20"/>
                <w:color w:val="auto"/>
              </w:rPr>
            </w:pPr>
            <w:r>
              <w:rPr>
                <w:rFonts w:ascii="Times New Roman" w:cs="Times New Roman" w:eastAsia="Times New Roman" w:hAnsi="Times New Roman"/>
                <w:sz w:val="10"/>
                <w:szCs w:val="10"/>
                <w:color w:val="auto"/>
              </w:rPr>
              <w:t>First Lien Debt (ac)</w:t>
            </w:r>
          </w:p>
        </w:tc>
        <w:tc>
          <w:tcPr>
            <w:tcW w:w="60" w:type="dxa"/>
            <w:vAlign w:val="bottom"/>
          </w:tcPr>
          <w:p>
            <w:pPr>
              <w:spacing w:after="0"/>
              <w:rPr>
                <w:sz w:val="9"/>
                <w:szCs w:val="9"/>
                <w:color w:val="auto"/>
              </w:rPr>
            </w:pP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280" w:type="dxa"/>
            <w:vAlign w:val="bottom"/>
            <w:gridSpan w:val="2"/>
          </w:tcPr>
          <w:p>
            <w:pPr>
              <w:ind w:left="100"/>
              <w:spacing w:after="0" w:line="105" w:lineRule="exact"/>
              <w:rPr>
                <w:sz w:val="20"/>
                <w:szCs w:val="20"/>
                <w:color w:val="auto"/>
              </w:rPr>
            </w:pPr>
            <w:r>
              <w:rPr>
                <w:rFonts w:ascii="Times New Roman" w:cs="Times New Roman" w:eastAsia="Times New Roman" w:hAnsi="Times New Roman"/>
                <w:sz w:val="10"/>
                <w:szCs w:val="10"/>
                <w:color w:val="auto"/>
              </w:rPr>
              <w:t>Houston, TX 77043</w:t>
            </w:r>
          </w:p>
        </w:tc>
        <w:tc>
          <w:tcPr>
            <w:tcW w:w="880" w:type="dxa"/>
            <w:vAlign w:val="bottom"/>
            <w:gridSpan w:val="2"/>
          </w:tcPr>
          <w:p>
            <w:pPr>
              <w:ind w:left="40"/>
              <w:spacing w:after="0" w:line="105" w:lineRule="exact"/>
              <w:rPr>
                <w:sz w:val="20"/>
                <w:szCs w:val="20"/>
                <w:color w:val="auto"/>
              </w:rPr>
            </w:pPr>
            <w:r>
              <w:rPr>
                <w:rFonts w:ascii="Times New Roman" w:cs="Times New Roman" w:eastAsia="Times New Roman" w:hAnsi="Times New Roman"/>
                <w:sz w:val="10"/>
                <w:szCs w:val="10"/>
                <w:color w:val="auto"/>
              </w:rPr>
              <w:t>Subordinated Debt</w:t>
            </w:r>
          </w:p>
        </w:tc>
        <w:tc>
          <w:tcPr>
            <w:tcW w:w="60" w:type="dxa"/>
            <w:vAlign w:val="bottom"/>
          </w:tcPr>
          <w:p>
            <w:pPr>
              <w:spacing w:after="0"/>
              <w:rPr>
                <w:sz w:val="9"/>
                <w:szCs w:val="9"/>
                <w:color w:val="auto"/>
              </w:rPr>
            </w:pP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gridSpan w:val="2"/>
          </w:tcPr>
          <w:p>
            <w:pPr>
              <w:ind w:left="40"/>
              <w:spacing w:after="0" w:line="105" w:lineRule="exact"/>
              <w:rPr>
                <w:sz w:val="20"/>
                <w:szCs w:val="20"/>
                <w:color w:val="auto"/>
              </w:rPr>
            </w:pPr>
            <w:r>
              <w:rPr>
                <w:rFonts w:ascii="Times New Roman" w:cs="Times New Roman" w:eastAsia="Times New Roman" w:hAnsi="Times New Roman"/>
                <w:sz w:val="10"/>
                <w:szCs w:val="10"/>
                <w:color w:val="auto"/>
              </w:rPr>
              <w:t>Common Equity</w:t>
            </w:r>
          </w:p>
        </w:tc>
        <w:tc>
          <w:tcPr>
            <w:tcW w:w="60" w:type="dxa"/>
            <w:vAlign w:val="bottom"/>
          </w:tcPr>
          <w:p>
            <w:pPr>
              <w:spacing w:after="0"/>
              <w:rPr>
                <w:sz w:val="9"/>
                <w:szCs w:val="9"/>
                <w:color w:val="auto"/>
              </w:rPr>
            </w:pP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gridSpan w:val="2"/>
          </w:tcPr>
          <w:p>
            <w:pPr>
              <w:ind w:left="40"/>
              <w:spacing w:after="0" w:line="105" w:lineRule="exact"/>
              <w:rPr>
                <w:sz w:val="20"/>
                <w:szCs w:val="20"/>
                <w:color w:val="auto"/>
              </w:rPr>
            </w:pPr>
            <w:r>
              <w:rPr>
                <w:rFonts w:ascii="Times New Roman" w:cs="Times New Roman" w:eastAsia="Times New Roman" w:hAnsi="Times New Roman"/>
                <w:sz w:val="10"/>
                <w:szCs w:val="10"/>
                <w:color w:val="auto"/>
              </w:rPr>
              <w:t>(1,000 Units) (h)</w:t>
            </w:r>
          </w:p>
        </w:tc>
        <w:tc>
          <w:tcPr>
            <w:tcW w:w="60" w:type="dxa"/>
            <w:vAlign w:val="bottom"/>
          </w:tcPr>
          <w:p>
            <w:pPr>
              <w:spacing w:after="0"/>
              <w:rPr>
                <w:sz w:val="9"/>
                <w:szCs w:val="9"/>
                <w:color w:val="auto"/>
              </w:rPr>
            </w:pP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gridSpan w:val="2"/>
          </w:tcPr>
          <w:p>
            <w:pPr>
              <w:ind w:left="40"/>
              <w:spacing w:after="0" w:line="105" w:lineRule="exact"/>
              <w:rPr>
                <w:sz w:val="20"/>
                <w:szCs w:val="20"/>
                <w:color w:val="auto"/>
              </w:rPr>
            </w:pPr>
            <w:r>
              <w:rPr>
                <w:rFonts w:ascii="Times New Roman" w:cs="Times New Roman" w:eastAsia="Times New Roman" w:hAnsi="Times New Roman"/>
                <w:sz w:val="10"/>
                <w:szCs w:val="10"/>
                <w:color w:val="auto"/>
              </w:rPr>
              <w:t>Preferred Equity</w:t>
            </w:r>
          </w:p>
        </w:tc>
        <w:tc>
          <w:tcPr>
            <w:tcW w:w="60" w:type="dxa"/>
            <w:vAlign w:val="bottom"/>
          </w:tcPr>
          <w:p>
            <w:pPr>
              <w:spacing w:after="0"/>
              <w:rPr>
                <w:sz w:val="9"/>
                <w:szCs w:val="9"/>
                <w:color w:val="auto"/>
              </w:rPr>
            </w:pP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1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80" w:type="dxa"/>
            <w:vAlign w:val="bottom"/>
            <w:gridSpan w:val="2"/>
          </w:tcPr>
          <w:p>
            <w:pPr>
              <w:ind w:left="40"/>
              <w:spacing w:after="0"/>
              <w:rPr>
                <w:sz w:val="20"/>
                <w:szCs w:val="20"/>
                <w:color w:val="auto"/>
              </w:rPr>
            </w:pPr>
            <w:r>
              <w:rPr>
                <w:rFonts w:ascii="Times New Roman" w:cs="Times New Roman" w:eastAsia="Times New Roman" w:hAnsi="Times New Roman"/>
                <w:sz w:val="10"/>
                <w:szCs w:val="10"/>
                <w:color w:val="auto"/>
              </w:rPr>
              <w:t>(1,000 Units) (h)</w:t>
            </w:r>
          </w:p>
        </w:tc>
        <w:tc>
          <w:tcPr>
            <w:tcW w:w="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0"/>
        </w:trPr>
        <w:tc>
          <w:tcPr>
            <w:tcW w:w="1280" w:type="dxa"/>
            <w:vAlign w:val="bottom"/>
            <w:gridSpan w:val="2"/>
          </w:tcPr>
          <w:p>
            <w:pPr>
              <w:spacing w:after="0"/>
              <w:rPr>
                <w:sz w:val="20"/>
                <w:szCs w:val="20"/>
                <w:color w:val="auto"/>
              </w:rPr>
            </w:pPr>
            <w:r>
              <w:rPr>
                <w:rFonts w:ascii="Times New Roman" w:cs="Times New Roman" w:eastAsia="Times New Roman" w:hAnsi="Times New Roman"/>
                <w:sz w:val="10"/>
                <w:szCs w:val="10"/>
                <w:i w:val="1"/>
                <w:iCs w:val="1"/>
                <w:color w:val="auto"/>
              </w:rPr>
              <w:t>Detechtion Holdings, LLC</w:t>
            </w:r>
          </w:p>
        </w:tc>
        <w:tc>
          <w:tcPr>
            <w:tcW w:w="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20" w:type="dxa"/>
            <w:vAlign w:val="bottom"/>
            <w:gridSpan w:val="2"/>
          </w:tcPr>
          <w:p>
            <w:pPr>
              <w:ind w:left="60"/>
              <w:spacing w:after="0"/>
              <w:rPr>
                <w:sz w:val="20"/>
                <w:szCs w:val="20"/>
                <w:color w:val="auto"/>
              </w:rPr>
            </w:pPr>
            <w:r>
              <w:rPr>
                <w:rFonts w:ascii="Times New Roman" w:cs="Times New Roman" w:eastAsia="Times New Roman" w:hAnsi="Times New Roman"/>
                <w:sz w:val="10"/>
                <w:szCs w:val="10"/>
                <w:color w:val="auto"/>
                <w:w w:val="95"/>
              </w:rPr>
              <w:t>Information Technology</w:t>
            </w:r>
          </w:p>
        </w:tc>
        <w:tc>
          <w:tcPr>
            <w:tcW w:w="0" w:type="dxa"/>
            <w:vAlign w:val="bottom"/>
          </w:tcPr>
          <w:p>
            <w:pPr>
              <w:spacing w:after="0"/>
              <w:rPr>
                <w:sz w:val="1"/>
                <w:szCs w:val="1"/>
                <w:color w:val="auto"/>
              </w:rPr>
            </w:pPr>
          </w:p>
        </w:tc>
      </w:tr>
      <w:tr>
        <w:trPr>
          <w:trHeight w:val="125"/>
        </w:trPr>
        <w:tc>
          <w:tcPr>
            <w:tcW w:w="12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0"/>
                <w:szCs w:val="10"/>
                <w:color w:val="auto"/>
              </w:rPr>
              <w:t>2700 Post Oak Blvd, Suite</w:t>
            </w:r>
          </w:p>
        </w:tc>
        <w:tc>
          <w:tcPr>
            <w:tcW w:w="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20" w:type="dxa"/>
            <w:vAlign w:val="bottom"/>
            <w:gridSpan w:val="2"/>
          </w:tcPr>
          <w:p>
            <w:pPr>
              <w:ind w:left="60"/>
              <w:spacing w:after="0"/>
              <w:rPr>
                <w:sz w:val="20"/>
                <w:szCs w:val="20"/>
                <w:color w:val="auto"/>
              </w:rPr>
            </w:pPr>
            <w:r>
              <w:rPr>
                <w:rFonts w:ascii="Times New Roman" w:cs="Times New Roman" w:eastAsia="Times New Roman" w:hAnsi="Times New Roman"/>
                <w:sz w:val="10"/>
                <w:szCs w:val="10"/>
                <w:color w:val="auto"/>
              </w:rPr>
              <w:t>Services</w:t>
            </w:r>
          </w:p>
        </w:tc>
        <w:tc>
          <w:tcPr>
            <w:tcW w:w="0" w:type="dxa"/>
            <w:vAlign w:val="bottom"/>
          </w:tcPr>
          <w:p>
            <w:pPr>
              <w:spacing w:after="0"/>
              <w:rPr>
                <w:sz w:val="1"/>
                <w:szCs w:val="1"/>
                <w:color w:val="auto"/>
              </w:rPr>
            </w:pPr>
          </w:p>
        </w:tc>
      </w:tr>
      <w:tr>
        <w:trPr>
          <w:trHeight w:val="84"/>
        </w:trPr>
        <w:tc>
          <w:tcPr>
            <w:tcW w:w="1280" w:type="dxa"/>
            <w:vAlign w:val="bottom"/>
            <w:gridSpan w:val="2"/>
            <w:vMerge w:val="continue"/>
          </w:tcPr>
          <w:p>
            <w:pPr>
              <w:spacing w:after="0"/>
              <w:rPr>
                <w:sz w:val="7"/>
                <w:szCs w:val="7"/>
                <w:color w:val="auto"/>
              </w:rPr>
            </w:pPr>
          </w:p>
        </w:tc>
        <w:tc>
          <w:tcPr>
            <w:tcW w:w="40" w:type="dxa"/>
            <w:vAlign w:val="bottom"/>
          </w:tcPr>
          <w:p>
            <w:pPr>
              <w:spacing w:after="0"/>
              <w:rPr>
                <w:sz w:val="7"/>
                <w:szCs w:val="7"/>
                <w:color w:val="auto"/>
              </w:rPr>
            </w:pPr>
          </w:p>
        </w:tc>
        <w:tc>
          <w:tcPr>
            <w:tcW w:w="840" w:type="dxa"/>
            <w:vAlign w:val="bottom"/>
          </w:tcPr>
          <w:p>
            <w:pPr>
              <w:spacing w:after="0"/>
              <w:rPr>
                <w:sz w:val="7"/>
                <w:szCs w:val="7"/>
                <w:color w:val="auto"/>
              </w:rPr>
            </w:pPr>
          </w:p>
        </w:tc>
        <w:tc>
          <w:tcPr>
            <w:tcW w:w="60" w:type="dxa"/>
            <w:vAlign w:val="bottom"/>
          </w:tcPr>
          <w:p>
            <w:pPr>
              <w:spacing w:after="0"/>
              <w:rPr>
                <w:sz w:val="7"/>
                <w:szCs w:val="7"/>
                <w:color w:val="auto"/>
              </w:rPr>
            </w:pPr>
          </w:p>
        </w:tc>
        <w:tc>
          <w:tcPr>
            <w:tcW w:w="9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5"/>
        </w:trPr>
        <w:tc>
          <w:tcPr>
            <w:tcW w:w="1100" w:type="dxa"/>
            <w:vAlign w:val="bottom"/>
          </w:tcPr>
          <w:p>
            <w:pPr>
              <w:ind w:left="100"/>
              <w:spacing w:after="0" w:line="105" w:lineRule="exact"/>
              <w:rPr>
                <w:sz w:val="20"/>
                <w:szCs w:val="20"/>
                <w:color w:val="auto"/>
              </w:rPr>
            </w:pPr>
            <w:r>
              <w:rPr>
                <w:rFonts w:ascii="Times New Roman" w:cs="Times New Roman" w:eastAsia="Times New Roman" w:hAnsi="Times New Roman"/>
                <w:sz w:val="10"/>
                <w:szCs w:val="10"/>
                <w:color w:val="auto"/>
              </w:rPr>
              <w:t>700</w:t>
            </w:r>
          </w:p>
        </w:tc>
        <w:tc>
          <w:tcPr>
            <w:tcW w:w="180" w:type="dxa"/>
            <w:vAlign w:val="bottom"/>
          </w:tcPr>
          <w:p>
            <w:pPr>
              <w:spacing w:after="0"/>
              <w:rPr>
                <w:sz w:val="9"/>
                <w:szCs w:val="9"/>
                <w:color w:val="auto"/>
              </w:rPr>
            </w:pPr>
          </w:p>
        </w:tc>
        <w:tc>
          <w:tcPr>
            <w:tcW w:w="880" w:type="dxa"/>
            <w:vAlign w:val="bottom"/>
            <w:gridSpan w:val="2"/>
          </w:tcPr>
          <w:p>
            <w:pPr>
              <w:ind w:left="40"/>
              <w:spacing w:after="0" w:line="105" w:lineRule="exact"/>
              <w:rPr>
                <w:sz w:val="20"/>
                <w:szCs w:val="20"/>
                <w:color w:val="auto"/>
              </w:rPr>
            </w:pPr>
            <w:r>
              <w:rPr>
                <w:rFonts w:ascii="Times New Roman" w:cs="Times New Roman" w:eastAsia="Times New Roman" w:hAnsi="Times New Roman"/>
                <w:sz w:val="10"/>
                <w:szCs w:val="10"/>
                <w:color w:val="auto"/>
              </w:rPr>
              <w:t>First Lien Debt</w:t>
            </w:r>
          </w:p>
        </w:tc>
        <w:tc>
          <w:tcPr>
            <w:tcW w:w="60" w:type="dxa"/>
            <w:vAlign w:val="bottom"/>
          </w:tcPr>
          <w:p>
            <w:pPr>
              <w:spacing w:after="0"/>
              <w:rPr>
                <w:sz w:val="9"/>
                <w:szCs w:val="9"/>
                <w:color w:val="auto"/>
              </w:rPr>
            </w:pP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280" w:type="dxa"/>
            <w:vAlign w:val="bottom"/>
            <w:gridSpan w:val="2"/>
          </w:tcPr>
          <w:p>
            <w:pPr>
              <w:ind w:left="100"/>
              <w:spacing w:after="0" w:line="105" w:lineRule="exact"/>
              <w:rPr>
                <w:sz w:val="20"/>
                <w:szCs w:val="20"/>
                <w:color w:val="auto"/>
              </w:rPr>
            </w:pPr>
            <w:r>
              <w:rPr>
                <w:rFonts w:ascii="Times New Roman" w:cs="Times New Roman" w:eastAsia="Times New Roman" w:hAnsi="Times New Roman"/>
                <w:sz w:val="10"/>
                <w:szCs w:val="10"/>
                <w:color w:val="auto"/>
              </w:rPr>
              <w:t>Houston, TX 77056</w:t>
            </w:r>
          </w:p>
        </w:tc>
        <w:tc>
          <w:tcPr>
            <w:tcW w:w="880" w:type="dxa"/>
            <w:vAlign w:val="bottom"/>
            <w:gridSpan w:val="2"/>
          </w:tcPr>
          <w:p>
            <w:pPr>
              <w:ind w:left="40"/>
              <w:spacing w:after="0" w:line="105" w:lineRule="exact"/>
              <w:rPr>
                <w:sz w:val="20"/>
                <w:szCs w:val="20"/>
                <w:color w:val="auto"/>
              </w:rPr>
            </w:pPr>
            <w:r>
              <w:rPr>
                <w:rFonts w:ascii="Times New Roman" w:cs="Times New Roman" w:eastAsia="Times New Roman" w:hAnsi="Times New Roman"/>
                <w:sz w:val="10"/>
                <w:szCs w:val="10"/>
                <w:color w:val="auto"/>
              </w:rPr>
              <w:t>Revolving Loan</w:t>
            </w:r>
          </w:p>
        </w:tc>
        <w:tc>
          <w:tcPr>
            <w:tcW w:w="60" w:type="dxa"/>
            <w:vAlign w:val="bottom"/>
          </w:tcPr>
          <w:p>
            <w:pPr>
              <w:spacing w:after="0"/>
              <w:rPr>
                <w:sz w:val="9"/>
                <w:szCs w:val="9"/>
                <w:color w:val="auto"/>
              </w:rPr>
            </w:pP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gridSpan w:val="2"/>
          </w:tcPr>
          <w:p>
            <w:pPr>
              <w:ind w:left="40"/>
              <w:spacing w:after="0" w:line="105" w:lineRule="exact"/>
              <w:rPr>
                <w:sz w:val="20"/>
                <w:szCs w:val="20"/>
                <w:color w:val="auto"/>
              </w:rPr>
            </w:pPr>
            <w:r>
              <w:rPr>
                <w:rFonts w:ascii="Times New Roman" w:cs="Times New Roman" w:eastAsia="Times New Roman" w:hAnsi="Times New Roman"/>
                <w:sz w:val="10"/>
                <w:szCs w:val="10"/>
                <w:color w:val="auto"/>
              </w:rPr>
              <w:t>($1,000 unfunded</w:t>
            </w:r>
          </w:p>
        </w:tc>
        <w:tc>
          <w:tcPr>
            <w:tcW w:w="60" w:type="dxa"/>
            <w:vAlign w:val="bottom"/>
          </w:tcPr>
          <w:p>
            <w:pPr>
              <w:spacing w:after="0"/>
              <w:rPr>
                <w:sz w:val="9"/>
                <w:szCs w:val="9"/>
                <w:color w:val="auto"/>
              </w:rPr>
            </w:pP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gridSpan w:val="2"/>
          </w:tcPr>
          <w:p>
            <w:pPr>
              <w:ind w:left="40"/>
              <w:spacing w:after="0" w:line="105" w:lineRule="exact"/>
              <w:rPr>
                <w:sz w:val="20"/>
                <w:szCs w:val="20"/>
                <w:color w:val="auto"/>
              </w:rPr>
            </w:pPr>
            <w:r>
              <w:rPr>
                <w:rFonts w:ascii="Times New Roman" w:cs="Times New Roman" w:eastAsia="Times New Roman" w:hAnsi="Times New Roman"/>
                <w:sz w:val="10"/>
                <w:szCs w:val="10"/>
                <w:color w:val="auto"/>
              </w:rPr>
              <w:t>commitment) (w)</w:t>
            </w:r>
          </w:p>
        </w:tc>
        <w:tc>
          <w:tcPr>
            <w:tcW w:w="60" w:type="dxa"/>
            <w:vAlign w:val="bottom"/>
          </w:tcPr>
          <w:p>
            <w:pPr>
              <w:spacing w:after="0"/>
              <w:rPr>
                <w:sz w:val="9"/>
                <w:szCs w:val="9"/>
                <w:color w:val="auto"/>
              </w:rPr>
            </w:pP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gridSpan w:val="2"/>
          </w:tcPr>
          <w:p>
            <w:pPr>
              <w:ind w:left="40"/>
              <w:spacing w:after="0" w:line="105" w:lineRule="exact"/>
              <w:rPr>
                <w:sz w:val="20"/>
                <w:szCs w:val="20"/>
                <w:color w:val="auto"/>
              </w:rPr>
            </w:pPr>
            <w:r>
              <w:rPr>
                <w:rFonts w:ascii="Times New Roman" w:cs="Times New Roman" w:eastAsia="Times New Roman" w:hAnsi="Times New Roman"/>
                <w:sz w:val="10"/>
                <w:szCs w:val="10"/>
                <w:color w:val="auto"/>
              </w:rPr>
              <w:t>Subordinated Debt</w:t>
            </w:r>
          </w:p>
        </w:tc>
        <w:tc>
          <w:tcPr>
            <w:tcW w:w="60" w:type="dxa"/>
            <w:vAlign w:val="bottom"/>
          </w:tcPr>
          <w:p>
            <w:pPr>
              <w:spacing w:after="0"/>
              <w:rPr>
                <w:sz w:val="9"/>
                <w:szCs w:val="9"/>
                <w:color w:val="auto"/>
              </w:rPr>
            </w:pP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gridSpan w:val="2"/>
          </w:tcPr>
          <w:p>
            <w:pPr>
              <w:ind w:left="40"/>
              <w:spacing w:after="0" w:line="105" w:lineRule="exact"/>
              <w:rPr>
                <w:sz w:val="20"/>
                <w:szCs w:val="20"/>
                <w:color w:val="auto"/>
              </w:rPr>
            </w:pPr>
            <w:r>
              <w:rPr>
                <w:rFonts w:ascii="Times New Roman" w:cs="Times New Roman" w:eastAsia="Times New Roman" w:hAnsi="Times New Roman"/>
                <w:sz w:val="10"/>
                <w:szCs w:val="10"/>
                <w:color w:val="auto"/>
              </w:rPr>
              <w:t>Common Equity</w:t>
            </w:r>
          </w:p>
        </w:tc>
        <w:tc>
          <w:tcPr>
            <w:tcW w:w="60" w:type="dxa"/>
            <w:vAlign w:val="bottom"/>
          </w:tcPr>
          <w:p>
            <w:pPr>
              <w:spacing w:after="0"/>
              <w:rPr>
                <w:sz w:val="9"/>
                <w:szCs w:val="9"/>
                <w:color w:val="auto"/>
              </w:rPr>
            </w:pP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1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80" w:type="dxa"/>
            <w:vAlign w:val="bottom"/>
            <w:gridSpan w:val="2"/>
          </w:tcPr>
          <w:p>
            <w:pPr>
              <w:ind w:left="40"/>
              <w:spacing w:after="0"/>
              <w:rPr>
                <w:sz w:val="20"/>
                <w:szCs w:val="20"/>
                <w:color w:val="auto"/>
              </w:rPr>
            </w:pPr>
            <w:r>
              <w:rPr>
                <w:rFonts w:ascii="Times New Roman" w:cs="Times New Roman" w:eastAsia="Times New Roman" w:hAnsi="Times New Roman"/>
                <w:sz w:val="10"/>
                <w:szCs w:val="10"/>
                <w:color w:val="auto"/>
              </w:rPr>
              <w:t>(601,532 units) (h)</w:t>
            </w:r>
          </w:p>
        </w:tc>
        <w:tc>
          <w:tcPr>
            <w:tcW w:w="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0"/>
        </w:trPr>
        <w:tc>
          <w:tcPr>
            <w:tcW w:w="1280" w:type="dxa"/>
            <w:vAlign w:val="bottom"/>
            <w:gridSpan w:val="2"/>
          </w:tcPr>
          <w:p>
            <w:pPr>
              <w:spacing w:after="0"/>
              <w:rPr>
                <w:sz w:val="20"/>
                <w:szCs w:val="20"/>
                <w:color w:val="auto"/>
              </w:rPr>
            </w:pPr>
            <w:r>
              <w:rPr>
                <w:rFonts w:ascii="Times New Roman" w:cs="Times New Roman" w:eastAsia="Times New Roman" w:hAnsi="Times New Roman"/>
                <w:sz w:val="10"/>
                <w:szCs w:val="10"/>
                <w:i w:val="1"/>
                <w:iCs w:val="1"/>
                <w:color w:val="auto"/>
              </w:rPr>
              <w:t>Diversified Search LLC</w:t>
            </w:r>
          </w:p>
        </w:tc>
        <w:tc>
          <w:tcPr>
            <w:tcW w:w="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20" w:type="dxa"/>
            <w:vAlign w:val="bottom"/>
            <w:gridSpan w:val="2"/>
          </w:tcPr>
          <w:p>
            <w:pPr>
              <w:ind w:left="60"/>
              <w:spacing w:after="0"/>
              <w:rPr>
                <w:sz w:val="20"/>
                <w:szCs w:val="20"/>
                <w:color w:val="auto"/>
              </w:rPr>
            </w:pPr>
            <w:r>
              <w:rPr>
                <w:rFonts w:ascii="Times New Roman" w:cs="Times New Roman" w:eastAsia="Times New Roman" w:hAnsi="Times New Roman"/>
                <w:sz w:val="10"/>
                <w:szCs w:val="10"/>
                <w:color w:val="auto"/>
              </w:rPr>
              <w:t>Business Services</w:t>
            </w:r>
          </w:p>
        </w:tc>
        <w:tc>
          <w:tcPr>
            <w:tcW w:w="0" w:type="dxa"/>
            <w:vAlign w:val="bottom"/>
          </w:tcPr>
          <w:p>
            <w:pPr>
              <w:spacing w:after="0"/>
              <w:rPr>
                <w:sz w:val="1"/>
                <w:szCs w:val="1"/>
                <w:color w:val="auto"/>
              </w:rPr>
            </w:pPr>
          </w:p>
        </w:tc>
      </w:tr>
      <w:tr>
        <w:trPr>
          <w:trHeight w:val="105"/>
        </w:trPr>
        <w:tc>
          <w:tcPr>
            <w:tcW w:w="1280" w:type="dxa"/>
            <w:vAlign w:val="bottom"/>
            <w:gridSpan w:val="2"/>
          </w:tcPr>
          <w:p>
            <w:pPr>
              <w:ind w:left="100"/>
              <w:spacing w:after="0" w:line="105" w:lineRule="exact"/>
              <w:rPr>
                <w:sz w:val="20"/>
                <w:szCs w:val="20"/>
                <w:color w:val="auto"/>
              </w:rPr>
            </w:pPr>
            <w:r>
              <w:rPr>
                <w:rFonts w:ascii="Times New Roman" w:cs="Times New Roman" w:eastAsia="Times New Roman" w:hAnsi="Times New Roman"/>
                <w:sz w:val="10"/>
                <w:szCs w:val="10"/>
                <w:color w:val="auto"/>
              </w:rPr>
              <w:t>2005 Market St.</w:t>
            </w:r>
          </w:p>
        </w:tc>
        <w:tc>
          <w:tcPr>
            <w:tcW w:w="880" w:type="dxa"/>
            <w:vAlign w:val="bottom"/>
            <w:gridSpan w:val="2"/>
          </w:tcPr>
          <w:p>
            <w:pPr>
              <w:ind w:left="40"/>
              <w:spacing w:after="0" w:line="105" w:lineRule="exact"/>
              <w:rPr>
                <w:sz w:val="20"/>
                <w:szCs w:val="20"/>
                <w:color w:val="auto"/>
              </w:rPr>
            </w:pPr>
            <w:r>
              <w:rPr>
                <w:rFonts w:ascii="Times New Roman" w:cs="Times New Roman" w:eastAsia="Times New Roman" w:hAnsi="Times New Roman"/>
                <w:sz w:val="10"/>
                <w:szCs w:val="10"/>
                <w:color w:val="auto"/>
                <w:w w:val="98"/>
              </w:rPr>
              <w:t>First Lien Debt (j)(r)</w:t>
            </w:r>
          </w:p>
        </w:tc>
        <w:tc>
          <w:tcPr>
            <w:tcW w:w="60" w:type="dxa"/>
            <w:vAlign w:val="bottom"/>
          </w:tcPr>
          <w:p>
            <w:pPr>
              <w:spacing w:after="0"/>
              <w:rPr>
                <w:sz w:val="9"/>
                <w:szCs w:val="9"/>
                <w:color w:val="auto"/>
              </w:rPr>
            </w:pP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280" w:type="dxa"/>
            <w:vAlign w:val="bottom"/>
            <w:gridSpan w:val="2"/>
          </w:tcPr>
          <w:p>
            <w:pPr>
              <w:ind w:left="100"/>
              <w:spacing w:after="0" w:line="105" w:lineRule="exact"/>
              <w:rPr>
                <w:sz w:val="20"/>
                <w:szCs w:val="20"/>
                <w:color w:val="auto"/>
              </w:rPr>
            </w:pPr>
            <w:r>
              <w:rPr>
                <w:rFonts w:ascii="Times New Roman" w:cs="Times New Roman" w:eastAsia="Times New Roman" w:hAnsi="Times New Roman"/>
                <w:sz w:val="10"/>
                <w:szCs w:val="10"/>
                <w:color w:val="auto"/>
              </w:rPr>
              <w:t>Philadelphia, PA 19103</w:t>
            </w:r>
          </w:p>
        </w:tc>
        <w:tc>
          <w:tcPr>
            <w:tcW w:w="880" w:type="dxa"/>
            <w:vAlign w:val="bottom"/>
            <w:gridSpan w:val="2"/>
          </w:tcPr>
          <w:p>
            <w:pPr>
              <w:ind w:left="40"/>
              <w:spacing w:after="0" w:line="105" w:lineRule="exact"/>
              <w:rPr>
                <w:sz w:val="20"/>
                <w:szCs w:val="20"/>
                <w:color w:val="auto"/>
              </w:rPr>
            </w:pPr>
            <w:r>
              <w:rPr>
                <w:rFonts w:ascii="Times New Roman" w:cs="Times New Roman" w:eastAsia="Times New Roman" w:hAnsi="Times New Roman"/>
                <w:sz w:val="10"/>
                <w:szCs w:val="10"/>
                <w:color w:val="auto"/>
              </w:rPr>
              <w:t>Common Equity</w:t>
            </w:r>
          </w:p>
        </w:tc>
        <w:tc>
          <w:tcPr>
            <w:tcW w:w="60" w:type="dxa"/>
            <w:vAlign w:val="bottom"/>
          </w:tcPr>
          <w:p>
            <w:pPr>
              <w:spacing w:after="0"/>
              <w:rPr>
                <w:sz w:val="9"/>
                <w:szCs w:val="9"/>
                <w:color w:val="auto"/>
              </w:rPr>
            </w:pP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1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80" w:type="dxa"/>
            <w:vAlign w:val="bottom"/>
            <w:gridSpan w:val="2"/>
          </w:tcPr>
          <w:p>
            <w:pPr>
              <w:ind w:left="40"/>
              <w:spacing w:after="0"/>
              <w:rPr>
                <w:sz w:val="20"/>
                <w:szCs w:val="20"/>
                <w:color w:val="auto"/>
              </w:rPr>
            </w:pPr>
            <w:r>
              <w:rPr>
                <w:rFonts w:ascii="Times New Roman" w:cs="Times New Roman" w:eastAsia="Times New Roman" w:hAnsi="Times New Roman"/>
                <w:sz w:val="10"/>
                <w:szCs w:val="10"/>
                <w:color w:val="auto"/>
              </w:rPr>
              <w:t>(573 units) (h)</w:t>
            </w:r>
          </w:p>
        </w:tc>
        <w:tc>
          <w:tcPr>
            <w:tcW w:w="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0"/>
        </w:trPr>
        <w:tc>
          <w:tcPr>
            <w:tcW w:w="1280" w:type="dxa"/>
            <w:vAlign w:val="bottom"/>
            <w:gridSpan w:val="2"/>
          </w:tcPr>
          <w:p>
            <w:pPr>
              <w:spacing w:after="0"/>
              <w:rPr>
                <w:sz w:val="20"/>
                <w:szCs w:val="20"/>
                <w:color w:val="auto"/>
              </w:rPr>
            </w:pPr>
            <w:r>
              <w:rPr>
                <w:rFonts w:ascii="Times New Roman" w:cs="Times New Roman" w:eastAsia="Times New Roman" w:hAnsi="Times New Roman"/>
                <w:sz w:val="10"/>
                <w:szCs w:val="10"/>
                <w:i w:val="1"/>
                <w:iCs w:val="1"/>
                <w:color w:val="auto"/>
                <w:w w:val="98"/>
              </w:rPr>
              <w:t>Donovan Food Brokerage, LLC</w:t>
            </w:r>
          </w:p>
        </w:tc>
        <w:tc>
          <w:tcPr>
            <w:tcW w:w="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20" w:type="dxa"/>
            <w:vAlign w:val="bottom"/>
            <w:gridSpan w:val="2"/>
          </w:tcPr>
          <w:p>
            <w:pPr>
              <w:ind w:left="60"/>
              <w:spacing w:after="0"/>
              <w:rPr>
                <w:sz w:val="20"/>
                <w:szCs w:val="20"/>
                <w:color w:val="auto"/>
              </w:rPr>
            </w:pPr>
            <w:r>
              <w:rPr>
                <w:rFonts w:ascii="Times New Roman" w:cs="Times New Roman" w:eastAsia="Times New Roman" w:hAnsi="Times New Roman"/>
                <w:sz w:val="10"/>
                <w:szCs w:val="10"/>
                <w:color w:val="auto"/>
              </w:rPr>
              <w:t>Business Services</w:t>
            </w:r>
          </w:p>
        </w:tc>
        <w:tc>
          <w:tcPr>
            <w:tcW w:w="0" w:type="dxa"/>
            <w:vAlign w:val="bottom"/>
          </w:tcPr>
          <w:p>
            <w:pPr>
              <w:spacing w:after="0"/>
              <w:rPr>
                <w:sz w:val="1"/>
                <w:szCs w:val="1"/>
                <w:color w:val="auto"/>
              </w:rPr>
            </w:pPr>
          </w:p>
        </w:tc>
      </w:tr>
      <w:tr>
        <w:trPr>
          <w:trHeight w:val="105"/>
        </w:trPr>
        <w:tc>
          <w:tcPr>
            <w:tcW w:w="1280" w:type="dxa"/>
            <w:vAlign w:val="bottom"/>
            <w:gridSpan w:val="2"/>
          </w:tcPr>
          <w:p>
            <w:pPr>
              <w:ind w:left="100"/>
              <w:spacing w:after="0" w:line="105" w:lineRule="exact"/>
              <w:rPr>
                <w:sz w:val="20"/>
                <w:szCs w:val="20"/>
                <w:color w:val="auto"/>
              </w:rPr>
            </w:pPr>
            <w:r>
              <w:rPr>
                <w:rFonts w:ascii="Times New Roman" w:cs="Times New Roman" w:eastAsia="Times New Roman" w:hAnsi="Times New Roman"/>
                <w:sz w:val="10"/>
                <w:szCs w:val="10"/>
                <w:color w:val="auto"/>
              </w:rPr>
              <w:t>231 Woodland Lake Dr</w:t>
            </w:r>
          </w:p>
        </w:tc>
        <w:tc>
          <w:tcPr>
            <w:tcW w:w="880" w:type="dxa"/>
            <w:vAlign w:val="bottom"/>
            <w:gridSpan w:val="2"/>
          </w:tcPr>
          <w:p>
            <w:pPr>
              <w:ind w:left="40"/>
              <w:spacing w:after="0" w:line="105" w:lineRule="exact"/>
              <w:rPr>
                <w:sz w:val="20"/>
                <w:szCs w:val="20"/>
                <w:color w:val="auto"/>
              </w:rPr>
            </w:pPr>
            <w:r>
              <w:rPr>
                <w:rFonts w:ascii="Times New Roman" w:cs="Times New Roman" w:eastAsia="Times New Roman" w:hAnsi="Times New Roman"/>
                <w:sz w:val="10"/>
                <w:szCs w:val="10"/>
                <w:color w:val="auto"/>
              </w:rPr>
              <w:t>First Lien Debt (ae)</w:t>
            </w:r>
          </w:p>
        </w:tc>
        <w:tc>
          <w:tcPr>
            <w:tcW w:w="60" w:type="dxa"/>
            <w:vAlign w:val="bottom"/>
          </w:tcPr>
          <w:p>
            <w:pPr>
              <w:spacing w:after="0"/>
              <w:rPr>
                <w:sz w:val="9"/>
                <w:szCs w:val="9"/>
                <w:color w:val="auto"/>
              </w:rPr>
            </w:pP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280" w:type="dxa"/>
            <w:vAlign w:val="bottom"/>
            <w:gridSpan w:val="2"/>
          </w:tcPr>
          <w:p>
            <w:pPr>
              <w:ind w:left="100"/>
              <w:spacing w:after="0" w:line="105" w:lineRule="exact"/>
              <w:rPr>
                <w:sz w:val="20"/>
                <w:szCs w:val="20"/>
                <w:color w:val="auto"/>
              </w:rPr>
            </w:pPr>
            <w:r>
              <w:rPr>
                <w:rFonts w:ascii="Times New Roman" w:cs="Times New Roman" w:eastAsia="Times New Roman" w:hAnsi="Times New Roman"/>
                <w:sz w:val="10"/>
                <w:szCs w:val="10"/>
                <w:color w:val="auto"/>
              </w:rPr>
              <w:t>Cordova, TN 38018</w:t>
            </w:r>
          </w:p>
        </w:tc>
        <w:tc>
          <w:tcPr>
            <w:tcW w:w="880" w:type="dxa"/>
            <w:vAlign w:val="bottom"/>
            <w:gridSpan w:val="2"/>
          </w:tcPr>
          <w:p>
            <w:pPr>
              <w:ind w:left="40"/>
              <w:spacing w:after="0" w:line="105" w:lineRule="exact"/>
              <w:rPr>
                <w:sz w:val="20"/>
                <w:szCs w:val="20"/>
                <w:color w:val="auto"/>
              </w:rPr>
            </w:pPr>
            <w:r>
              <w:rPr>
                <w:rFonts w:ascii="Times New Roman" w:cs="Times New Roman" w:eastAsia="Times New Roman" w:hAnsi="Times New Roman"/>
                <w:sz w:val="10"/>
                <w:szCs w:val="10"/>
                <w:color w:val="auto"/>
              </w:rPr>
              <w:t>Common Equity</w:t>
            </w:r>
          </w:p>
        </w:tc>
        <w:tc>
          <w:tcPr>
            <w:tcW w:w="60" w:type="dxa"/>
            <w:vAlign w:val="bottom"/>
          </w:tcPr>
          <w:p>
            <w:pPr>
              <w:spacing w:after="0"/>
              <w:rPr>
                <w:sz w:val="9"/>
                <w:szCs w:val="9"/>
                <w:color w:val="auto"/>
              </w:rPr>
            </w:pP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1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80" w:type="dxa"/>
            <w:vAlign w:val="bottom"/>
            <w:gridSpan w:val="2"/>
          </w:tcPr>
          <w:p>
            <w:pPr>
              <w:ind w:left="40"/>
              <w:spacing w:after="0"/>
              <w:rPr>
                <w:sz w:val="20"/>
                <w:szCs w:val="20"/>
                <w:color w:val="auto"/>
              </w:rPr>
            </w:pPr>
            <w:r>
              <w:rPr>
                <w:rFonts w:ascii="Times New Roman" w:cs="Times New Roman" w:eastAsia="Times New Roman" w:hAnsi="Times New Roman"/>
                <w:sz w:val="10"/>
                <w:szCs w:val="10"/>
                <w:color w:val="auto"/>
              </w:rPr>
              <w:t>(679,301 units)</w:t>
            </w:r>
          </w:p>
        </w:tc>
        <w:tc>
          <w:tcPr>
            <w:tcW w:w="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8"/>
        </w:trPr>
        <w:tc>
          <w:tcPr>
            <w:tcW w:w="1280" w:type="dxa"/>
            <w:vAlign w:val="bottom"/>
            <w:gridSpan w:val="2"/>
          </w:tcPr>
          <w:p>
            <w:pPr>
              <w:spacing w:after="0"/>
              <w:rPr>
                <w:sz w:val="20"/>
                <w:szCs w:val="20"/>
                <w:color w:val="auto"/>
              </w:rPr>
            </w:pPr>
            <w:r>
              <w:rPr>
                <w:rFonts w:ascii="Times New Roman" w:cs="Times New Roman" w:eastAsia="Times New Roman" w:hAnsi="Times New Roman"/>
                <w:sz w:val="10"/>
                <w:szCs w:val="10"/>
                <w:i w:val="1"/>
                <w:iCs w:val="1"/>
                <w:color w:val="auto"/>
              </w:rPr>
              <w:t>E-PlanSoft Buyer, LLC (dba</w:t>
            </w:r>
          </w:p>
        </w:tc>
        <w:tc>
          <w:tcPr>
            <w:tcW w:w="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20" w:type="dxa"/>
            <w:vAlign w:val="bottom"/>
            <w:gridSpan w:val="2"/>
          </w:tcPr>
          <w:p>
            <w:pPr>
              <w:ind w:left="60"/>
              <w:spacing w:after="0"/>
              <w:rPr>
                <w:sz w:val="20"/>
                <w:szCs w:val="20"/>
                <w:color w:val="auto"/>
              </w:rPr>
            </w:pPr>
            <w:r>
              <w:rPr>
                <w:rFonts w:ascii="Times New Roman" w:cs="Times New Roman" w:eastAsia="Times New Roman" w:hAnsi="Times New Roman"/>
                <w:sz w:val="10"/>
                <w:szCs w:val="10"/>
                <w:color w:val="auto"/>
                <w:w w:val="95"/>
              </w:rPr>
              <w:t>Information Technology</w:t>
            </w:r>
          </w:p>
        </w:tc>
        <w:tc>
          <w:tcPr>
            <w:tcW w:w="0" w:type="dxa"/>
            <w:vAlign w:val="bottom"/>
          </w:tcPr>
          <w:p>
            <w:pPr>
              <w:spacing w:after="0"/>
              <w:rPr>
                <w:sz w:val="1"/>
                <w:szCs w:val="1"/>
                <w:color w:val="auto"/>
              </w:rPr>
            </w:pPr>
          </w:p>
        </w:tc>
      </w:tr>
      <w:tr>
        <w:trPr>
          <w:trHeight w:val="107"/>
        </w:trPr>
        <w:tc>
          <w:tcPr>
            <w:tcW w:w="1280" w:type="dxa"/>
            <w:vAlign w:val="bottom"/>
            <w:gridSpan w:val="2"/>
          </w:tcPr>
          <w:p>
            <w:pPr>
              <w:spacing w:after="0" w:line="107" w:lineRule="exact"/>
              <w:rPr>
                <w:sz w:val="20"/>
                <w:szCs w:val="20"/>
                <w:color w:val="auto"/>
              </w:rPr>
            </w:pPr>
            <w:r>
              <w:rPr>
                <w:rFonts w:ascii="Times New Roman" w:cs="Times New Roman" w:eastAsia="Times New Roman" w:hAnsi="Times New Roman"/>
                <w:sz w:val="10"/>
                <w:szCs w:val="10"/>
                <w:i w:val="1"/>
                <w:iCs w:val="1"/>
                <w:color w:val="auto"/>
              </w:rPr>
              <w:t>e-PlanSoft)</w:t>
            </w:r>
          </w:p>
        </w:tc>
        <w:tc>
          <w:tcPr>
            <w:tcW w:w="4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20" w:type="dxa"/>
            <w:vAlign w:val="bottom"/>
            <w:gridSpan w:val="2"/>
          </w:tcPr>
          <w:p>
            <w:pPr>
              <w:ind w:left="60"/>
              <w:spacing w:after="0" w:line="107" w:lineRule="exact"/>
              <w:rPr>
                <w:sz w:val="20"/>
                <w:szCs w:val="20"/>
                <w:color w:val="auto"/>
              </w:rPr>
            </w:pPr>
            <w:r>
              <w:rPr>
                <w:rFonts w:ascii="Times New Roman" w:cs="Times New Roman" w:eastAsia="Times New Roman" w:hAnsi="Times New Roman"/>
                <w:sz w:val="10"/>
                <w:szCs w:val="10"/>
                <w:color w:val="auto"/>
              </w:rPr>
              <w:t>Services</w:t>
            </w:r>
          </w:p>
        </w:tc>
        <w:tc>
          <w:tcPr>
            <w:tcW w:w="0" w:type="dxa"/>
            <w:vAlign w:val="bottom"/>
          </w:tcPr>
          <w:p>
            <w:pPr>
              <w:spacing w:after="0"/>
              <w:rPr>
                <w:sz w:val="1"/>
                <w:szCs w:val="1"/>
                <w:color w:val="auto"/>
              </w:rPr>
            </w:pPr>
          </w:p>
        </w:tc>
      </w:tr>
      <w:tr>
        <w:trPr>
          <w:trHeight w:val="105"/>
        </w:trPr>
        <w:tc>
          <w:tcPr>
            <w:tcW w:w="1280" w:type="dxa"/>
            <w:vAlign w:val="bottom"/>
            <w:gridSpan w:val="2"/>
          </w:tcPr>
          <w:p>
            <w:pPr>
              <w:ind w:left="100"/>
              <w:spacing w:after="0" w:line="105" w:lineRule="exact"/>
              <w:rPr>
                <w:sz w:val="20"/>
                <w:szCs w:val="20"/>
                <w:color w:val="auto"/>
              </w:rPr>
            </w:pPr>
            <w:r>
              <w:rPr>
                <w:rFonts w:ascii="Times New Roman" w:cs="Times New Roman" w:eastAsia="Times New Roman" w:hAnsi="Times New Roman"/>
                <w:sz w:val="10"/>
                <w:szCs w:val="10"/>
                <w:color w:val="auto"/>
              </w:rPr>
              <w:t>111 Pacifica Suite 100</w:t>
            </w:r>
          </w:p>
        </w:tc>
        <w:tc>
          <w:tcPr>
            <w:tcW w:w="880" w:type="dxa"/>
            <w:vAlign w:val="bottom"/>
            <w:gridSpan w:val="2"/>
          </w:tcPr>
          <w:p>
            <w:pPr>
              <w:ind w:left="40"/>
              <w:spacing w:after="0" w:line="105" w:lineRule="exact"/>
              <w:rPr>
                <w:sz w:val="20"/>
                <w:szCs w:val="20"/>
                <w:color w:val="auto"/>
              </w:rPr>
            </w:pPr>
            <w:r>
              <w:rPr>
                <w:rFonts w:ascii="Times New Roman" w:cs="Times New Roman" w:eastAsia="Times New Roman" w:hAnsi="Times New Roman"/>
                <w:sz w:val="10"/>
                <w:szCs w:val="10"/>
                <w:color w:val="auto"/>
              </w:rPr>
              <w:t>First Lien Debt</w:t>
            </w:r>
          </w:p>
        </w:tc>
        <w:tc>
          <w:tcPr>
            <w:tcW w:w="60" w:type="dxa"/>
            <w:vAlign w:val="bottom"/>
          </w:tcPr>
          <w:p>
            <w:pPr>
              <w:spacing w:after="0"/>
              <w:rPr>
                <w:sz w:val="9"/>
                <w:szCs w:val="9"/>
                <w:color w:val="auto"/>
              </w:rPr>
            </w:pP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280" w:type="dxa"/>
            <w:vAlign w:val="bottom"/>
            <w:gridSpan w:val="2"/>
          </w:tcPr>
          <w:p>
            <w:pPr>
              <w:ind w:left="100"/>
              <w:spacing w:after="0" w:line="105" w:lineRule="exact"/>
              <w:rPr>
                <w:sz w:val="20"/>
                <w:szCs w:val="20"/>
                <w:color w:val="auto"/>
              </w:rPr>
            </w:pPr>
            <w:r>
              <w:rPr>
                <w:rFonts w:ascii="Times New Roman" w:cs="Times New Roman" w:eastAsia="Times New Roman" w:hAnsi="Times New Roman"/>
                <w:sz w:val="10"/>
                <w:szCs w:val="10"/>
                <w:color w:val="auto"/>
              </w:rPr>
              <w:t>Irvine, CA 92618</w:t>
            </w:r>
          </w:p>
        </w:tc>
        <w:tc>
          <w:tcPr>
            <w:tcW w:w="880" w:type="dxa"/>
            <w:vAlign w:val="bottom"/>
            <w:gridSpan w:val="2"/>
          </w:tcPr>
          <w:p>
            <w:pPr>
              <w:ind w:left="40"/>
              <w:spacing w:after="0" w:line="105" w:lineRule="exact"/>
              <w:rPr>
                <w:sz w:val="20"/>
                <w:szCs w:val="20"/>
                <w:color w:val="auto"/>
              </w:rPr>
            </w:pPr>
            <w:r>
              <w:rPr>
                <w:rFonts w:ascii="Times New Roman" w:cs="Times New Roman" w:eastAsia="Times New Roman" w:hAnsi="Times New Roman"/>
                <w:sz w:val="10"/>
                <w:szCs w:val="10"/>
                <w:color w:val="auto"/>
              </w:rPr>
              <w:t>Preferred Equity</w:t>
            </w:r>
          </w:p>
        </w:tc>
        <w:tc>
          <w:tcPr>
            <w:tcW w:w="60" w:type="dxa"/>
            <w:vAlign w:val="bottom"/>
          </w:tcPr>
          <w:p>
            <w:pPr>
              <w:spacing w:after="0"/>
              <w:rPr>
                <w:sz w:val="9"/>
                <w:szCs w:val="9"/>
                <w:color w:val="auto"/>
              </w:rPr>
            </w:pP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1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80" w:type="dxa"/>
            <w:vAlign w:val="bottom"/>
            <w:gridSpan w:val="2"/>
          </w:tcPr>
          <w:p>
            <w:pPr>
              <w:ind w:left="40"/>
              <w:spacing w:after="0"/>
              <w:rPr>
                <w:sz w:val="20"/>
                <w:szCs w:val="20"/>
                <w:color w:val="auto"/>
              </w:rPr>
            </w:pPr>
            <w:r>
              <w:rPr>
                <w:rFonts w:ascii="Times New Roman" w:cs="Times New Roman" w:eastAsia="Times New Roman" w:hAnsi="Times New Roman"/>
                <w:sz w:val="10"/>
                <w:szCs w:val="10"/>
                <w:color w:val="auto"/>
              </w:rPr>
              <w:t>(1,500 units)</w:t>
            </w:r>
          </w:p>
        </w:tc>
        <w:tc>
          <w:tcPr>
            <w:tcW w:w="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8"/>
        </w:trPr>
        <w:tc>
          <w:tcPr>
            <w:tcW w:w="1280" w:type="dxa"/>
            <w:vAlign w:val="bottom"/>
            <w:gridSpan w:val="2"/>
          </w:tcPr>
          <w:p>
            <w:pPr>
              <w:spacing w:after="0"/>
              <w:rPr>
                <w:sz w:val="20"/>
                <w:szCs w:val="20"/>
                <w:color w:val="auto"/>
              </w:rPr>
            </w:pPr>
            <w:r>
              <w:rPr>
                <w:rFonts w:ascii="Times New Roman" w:cs="Times New Roman" w:eastAsia="Times New Roman" w:hAnsi="Times New Roman"/>
                <w:sz w:val="10"/>
                <w:szCs w:val="10"/>
                <w:i w:val="1"/>
                <w:iCs w:val="1"/>
                <w:color w:val="auto"/>
              </w:rPr>
              <w:t>Enterprise Asset Management</w:t>
            </w:r>
          </w:p>
        </w:tc>
        <w:tc>
          <w:tcPr>
            <w:tcW w:w="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1280" w:type="dxa"/>
            <w:vAlign w:val="bottom"/>
            <w:gridSpan w:val="2"/>
          </w:tcPr>
          <w:p>
            <w:pPr>
              <w:spacing w:after="0" w:line="105" w:lineRule="exact"/>
              <w:rPr>
                <w:sz w:val="20"/>
                <w:szCs w:val="20"/>
                <w:color w:val="auto"/>
              </w:rPr>
            </w:pPr>
            <w:r>
              <w:rPr>
                <w:rFonts w:ascii="Times New Roman" w:cs="Times New Roman" w:eastAsia="Times New Roman" w:hAnsi="Times New Roman"/>
                <w:sz w:val="10"/>
                <w:szCs w:val="10"/>
                <w:i w:val="1"/>
                <w:iCs w:val="1"/>
                <w:color w:val="auto"/>
              </w:rPr>
              <w:t>FM Purchaser, Inc. (dba</w:t>
            </w:r>
          </w:p>
        </w:tc>
        <w:tc>
          <w:tcPr>
            <w:tcW w:w="4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20" w:type="dxa"/>
            <w:vAlign w:val="bottom"/>
            <w:gridSpan w:val="2"/>
          </w:tcPr>
          <w:p>
            <w:pPr>
              <w:ind w:left="60"/>
              <w:spacing w:after="0" w:line="105" w:lineRule="exact"/>
              <w:rPr>
                <w:sz w:val="20"/>
                <w:szCs w:val="20"/>
                <w:color w:val="auto"/>
              </w:rPr>
            </w:pPr>
            <w:r>
              <w:rPr>
                <w:rFonts w:ascii="Times New Roman" w:cs="Times New Roman" w:eastAsia="Times New Roman" w:hAnsi="Times New Roman"/>
                <w:sz w:val="10"/>
                <w:szCs w:val="10"/>
                <w:color w:val="auto"/>
                <w:w w:val="95"/>
              </w:rPr>
              <w:t>Information Technology</w:t>
            </w:r>
          </w:p>
        </w:tc>
        <w:tc>
          <w:tcPr>
            <w:tcW w:w="0" w:type="dxa"/>
            <w:vAlign w:val="bottom"/>
          </w:tcPr>
          <w:p>
            <w:pPr>
              <w:spacing w:after="0"/>
              <w:rPr>
                <w:sz w:val="1"/>
                <w:szCs w:val="1"/>
                <w:color w:val="auto"/>
              </w:rPr>
            </w:pPr>
          </w:p>
        </w:tc>
      </w:tr>
      <w:tr>
        <w:trPr>
          <w:trHeight w:val="107"/>
        </w:trPr>
        <w:tc>
          <w:tcPr>
            <w:tcW w:w="1280" w:type="dxa"/>
            <w:vAlign w:val="bottom"/>
            <w:gridSpan w:val="2"/>
          </w:tcPr>
          <w:p>
            <w:pPr>
              <w:spacing w:after="0" w:line="107" w:lineRule="exact"/>
              <w:rPr>
                <w:sz w:val="20"/>
                <w:szCs w:val="20"/>
                <w:color w:val="auto"/>
              </w:rPr>
            </w:pPr>
            <w:r>
              <w:rPr>
                <w:rFonts w:ascii="Times New Roman" w:cs="Times New Roman" w:eastAsia="Times New Roman" w:hAnsi="Times New Roman"/>
                <w:sz w:val="10"/>
                <w:szCs w:val="10"/>
                <w:i w:val="1"/>
                <w:iCs w:val="1"/>
                <w:color w:val="auto"/>
              </w:rPr>
              <w:t>MCIM)</w:t>
            </w:r>
          </w:p>
        </w:tc>
        <w:tc>
          <w:tcPr>
            <w:tcW w:w="4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20" w:type="dxa"/>
            <w:vAlign w:val="bottom"/>
            <w:gridSpan w:val="2"/>
          </w:tcPr>
          <w:p>
            <w:pPr>
              <w:ind w:left="60"/>
              <w:spacing w:after="0" w:line="107" w:lineRule="exact"/>
              <w:rPr>
                <w:sz w:val="20"/>
                <w:szCs w:val="20"/>
                <w:color w:val="auto"/>
              </w:rPr>
            </w:pPr>
            <w:r>
              <w:rPr>
                <w:rFonts w:ascii="Times New Roman" w:cs="Times New Roman" w:eastAsia="Times New Roman" w:hAnsi="Times New Roman"/>
                <w:sz w:val="10"/>
                <w:szCs w:val="10"/>
                <w:color w:val="auto"/>
              </w:rPr>
              <w:t>Services</w:t>
            </w:r>
          </w:p>
        </w:tc>
        <w:tc>
          <w:tcPr>
            <w:tcW w:w="0" w:type="dxa"/>
            <w:vAlign w:val="bottom"/>
          </w:tcPr>
          <w:p>
            <w:pPr>
              <w:spacing w:after="0"/>
              <w:rPr>
                <w:sz w:val="1"/>
                <w:szCs w:val="1"/>
                <w:color w:val="auto"/>
              </w:rPr>
            </w:pPr>
          </w:p>
        </w:tc>
      </w:tr>
      <w:tr>
        <w:trPr>
          <w:trHeight w:val="105"/>
        </w:trPr>
        <w:tc>
          <w:tcPr>
            <w:tcW w:w="1280" w:type="dxa"/>
            <w:vAlign w:val="bottom"/>
            <w:gridSpan w:val="2"/>
          </w:tcPr>
          <w:p>
            <w:pPr>
              <w:ind w:left="100"/>
              <w:spacing w:after="0" w:line="105" w:lineRule="exact"/>
              <w:rPr>
                <w:sz w:val="20"/>
                <w:szCs w:val="20"/>
                <w:color w:val="auto"/>
              </w:rPr>
            </w:pPr>
            <w:r>
              <w:rPr>
                <w:rFonts w:ascii="Times New Roman" w:cs="Times New Roman" w:eastAsia="Times New Roman" w:hAnsi="Times New Roman"/>
                <w:sz w:val="10"/>
                <w:szCs w:val="10"/>
                <w:color w:val="auto"/>
              </w:rPr>
              <w:t>120 Eastshore Dr. Suite 100</w:t>
            </w:r>
          </w:p>
        </w:tc>
        <w:tc>
          <w:tcPr>
            <w:tcW w:w="880" w:type="dxa"/>
            <w:vAlign w:val="bottom"/>
            <w:gridSpan w:val="2"/>
          </w:tcPr>
          <w:p>
            <w:pPr>
              <w:ind w:left="40"/>
              <w:spacing w:after="0" w:line="105" w:lineRule="exact"/>
              <w:rPr>
                <w:sz w:val="20"/>
                <w:szCs w:val="20"/>
                <w:color w:val="auto"/>
              </w:rPr>
            </w:pPr>
            <w:r>
              <w:rPr>
                <w:rFonts w:ascii="Times New Roman" w:cs="Times New Roman" w:eastAsia="Times New Roman" w:hAnsi="Times New Roman"/>
                <w:sz w:val="10"/>
                <w:szCs w:val="10"/>
                <w:color w:val="auto"/>
              </w:rPr>
              <w:t>First Lien Debt</w:t>
            </w:r>
          </w:p>
        </w:tc>
        <w:tc>
          <w:tcPr>
            <w:tcW w:w="60" w:type="dxa"/>
            <w:vAlign w:val="bottom"/>
          </w:tcPr>
          <w:p>
            <w:pPr>
              <w:spacing w:after="0"/>
              <w:rPr>
                <w:sz w:val="9"/>
                <w:szCs w:val="9"/>
                <w:color w:val="auto"/>
              </w:rPr>
            </w:pP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gridSpan w:val="2"/>
          </w:tcPr>
          <w:p>
            <w:pPr>
              <w:ind w:left="40"/>
              <w:spacing w:after="0" w:line="105" w:lineRule="exact"/>
              <w:rPr>
                <w:sz w:val="20"/>
                <w:szCs w:val="20"/>
                <w:color w:val="auto"/>
              </w:rPr>
            </w:pPr>
            <w:r>
              <w:rPr>
                <w:rFonts w:ascii="Times New Roman" w:cs="Times New Roman" w:eastAsia="Times New Roman" w:hAnsi="Times New Roman"/>
                <w:sz w:val="10"/>
                <w:szCs w:val="10"/>
                <w:color w:val="auto"/>
              </w:rPr>
              <w:t>($1,500 unfunded</w:t>
            </w:r>
          </w:p>
        </w:tc>
        <w:tc>
          <w:tcPr>
            <w:tcW w:w="60" w:type="dxa"/>
            <w:vAlign w:val="bottom"/>
          </w:tcPr>
          <w:p>
            <w:pPr>
              <w:spacing w:after="0"/>
              <w:rPr>
                <w:sz w:val="9"/>
                <w:szCs w:val="9"/>
                <w:color w:val="auto"/>
              </w:rPr>
            </w:pP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gridSpan w:val="2"/>
          </w:tcPr>
          <w:p>
            <w:pPr>
              <w:ind w:left="40"/>
              <w:spacing w:after="0" w:line="105" w:lineRule="exact"/>
              <w:rPr>
                <w:sz w:val="20"/>
                <w:szCs w:val="20"/>
                <w:color w:val="auto"/>
              </w:rPr>
            </w:pPr>
            <w:r>
              <w:rPr>
                <w:rFonts w:ascii="Times New Roman" w:cs="Times New Roman" w:eastAsia="Times New Roman" w:hAnsi="Times New Roman"/>
                <w:sz w:val="10"/>
                <w:szCs w:val="10"/>
                <w:color w:val="auto"/>
              </w:rPr>
              <w:t>commitment)</w:t>
            </w:r>
          </w:p>
        </w:tc>
        <w:tc>
          <w:tcPr>
            <w:tcW w:w="60" w:type="dxa"/>
            <w:vAlign w:val="bottom"/>
          </w:tcPr>
          <w:p>
            <w:pPr>
              <w:spacing w:after="0"/>
              <w:rPr>
                <w:sz w:val="9"/>
                <w:szCs w:val="9"/>
                <w:color w:val="auto"/>
              </w:rPr>
            </w:pP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280" w:type="dxa"/>
            <w:vAlign w:val="bottom"/>
            <w:gridSpan w:val="2"/>
          </w:tcPr>
          <w:p>
            <w:pPr>
              <w:ind w:left="100"/>
              <w:spacing w:after="0" w:line="105" w:lineRule="exact"/>
              <w:rPr>
                <w:sz w:val="20"/>
                <w:szCs w:val="20"/>
                <w:color w:val="auto"/>
              </w:rPr>
            </w:pPr>
            <w:r>
              <w:rPr>
                <w:rFonts w:ascii="Times New Roman" w:cs="Times New Roman" w:eastAsia="Times New Roman" w:hAnsi="Times New Roman"/>
                <w:sz w:val="10"/>
                <w:szCs w:val="10"/>
                <w:color w:val="auto"/>
              </w:rPr>
              <w:t>Glen Allen, VA 23059</w:t>
            </w:r>
          </w:p>
        </w:tc>
        <w:tc>
          <w:tcPr>
            <w:tcW w:w="880" w:type="dxa"/>
            <w:vAlign w:val="bottom"/>
            <w:gridSpan w:val="2"/>
          </w:tcPr>
          <w:p>
            <w:pPr>
              <w:ind w:left="40"/>
              <w:spacing w:after="0" w:line="105" w:lineRule="exact"/>
              <w:rPr>
                <w:sz w:val="20"/>
                <w:szCs w:val="20"/>
                <w:color w:val="auto"/>
              </w:rPr>
            </w:pPr>
            <w:r>
              <w:rPr>
                <w:rFonts w:ascii="Times New Roman" w:cs="Times New Roman" w:eastAsia="Times New Roman" w:hAnsi="Times New Roman"/>
                <w:sz w:val="10"/>
                <w:szCs w:val="10"/>
                <w:color w:val="auto"/>
              </w:rPr>
              <w:t>Common Equity</w:t>
            </w:r>
          </w:p>
        </w:tc>
        <w:tc>
          <w:tcPr>
            <w:tcW w:w="60" w:type="dxa"/>
            <w:vAlign w:val="bottom"/>
          </w:tcPr>
          <w:p>
            <w:pPr>
              <w:spacing w:after="0"/>
              <w:rPr>
                <w:sz w:val="9"/>
                <w:szCs w:val="9"/>
                <w:color w:val="auto"/>
              </w:rPr>
            </w:pP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1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80" w:type="dxa"/>
            <w:vAlign w:val="bottom"/>
            <w:gridSpan w:val="2"/>
          </w:tcPr>
          <w:p>
            <w:pPr>
              <w:ind w:left="40"/>
              <w:spacing w:after="0"/>
              <w:rPr>
                <w:sz w:val="20"/>
                <w:szCs w:val="20"/>
                <w:color w:val="auto"/>
              </w:rPr>
            </w:pPr>
            <w:r>
              <w:rPr>
                <w:rFonts w:ascii="Times New Roman" w:cs="Times New Roman" w:eastAsia="Times New Roman" w:hAnsi="Times New Roman"/>
                <w:sz w:val="10"/>
                <w:szCs w:val="10"/>
                <w:color w:val="auto"/>
              </w:rPr>
              <w:t>(551,470 units)</w:t>
            </w:r>
          </w:p>
        </w:tc>
        <w:tc>
          <w:tcPr>
            <w:tcW w:w="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8"/>
        </w:trPr>
        <w:tc>
          <w:tcPr>
            <w:tcW w:w="1280" w:type="dxa"/>
            <w:vAlign w:val="bottom"/>
            <w:gridSpan w:val="2"/>
          </w:tcPr>
          <w:p>
            <w:pPr>
              <w:spacing w:after="0"/>
              <w:rPr>
                <w:sz w:val="20"/>
                <w:szCs w:val="20"/>
                <w:color w:val="auto"/>
              </w:rPr>
            </w:pPr>
            <w:r>
              <w:rPr>
                <w:rFonts w:ascii="Times New Roman" w:cs="Times New Roman" w:eastAsia="Times New Roman" w:hAnsi="Times New Roman"/>
                <w:sz w:val="10"/>
                <w:szCs w:val="10"/>
                <w:i w:val="1"/>
                <w:iCs w:val="1"/>
                <w:color w:val="auto"/>
                <w:w w:val="98"/>
              </w:rPr>
              <w:t>Estex Manufacturing Company,</w:t>
            </w:r>
          </w:p>
        </w:tc>
        <w:tc>
          <w:tcPr>
            <w:tcW w:w="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20" w:type="dxa"/>
            <w:vAlign w:val="bottom"/>
            <w:gridSpan w:val="2"/>
          </w:tcPr>
          <w:p>
            <w:pPr>
              <w:ind w:left="60"/>
              <w:spacing w:after="0"/>
              <w:rPr>
                <w:sz w:val="20"/>
                <w:szCs w:val="20"/>
                <w:color w:val="auto"/>
              </w:rPr>
            </w:pPr>
            <w:r>
              <w:rPr>
                <w:rFonts w:ascii="Times New Roman" w:cs="Times New Roman" w:eastAsia="Times New Roman" w:hAnsi="Times New Roman"/>
                <w:sz w:val="10"/>
                <w:szCs w:val="10"/>
                <w:color w:val="auto"/>
              </w:rPr>
              <w:t>Component</w:t>
            </w:r>
          </w:p>
        </w:tc>
        <w:tc>
          <w:tcPr>
            <w:tcW w:w="0" w:type="dxa"/>
            <w:vAlign w:val="bottom"/>
          </w:tcPr>
          <w:p>
            <w:pPr>
              <w:spacing w:after="0"/>
              <w:rPr>
                <w:sz w:val="1"/>
                <w:szCs w:val="1"/>
                <w:color w:val="auto"/>
              </w:rPr>
            </w:pPr>
          </w:p>
        </w:tc>
      </w:tr>
      <w:tr>
        <w:trPr>
          <w:trHeight w:val="127"/>
        </w:trPr>
        <w:tc>
          <w:tcPr>
            <w:tcW w:w="1280" w:type="dxa"/>
            <w:vAlign w:val="bottom"/>
            <w:gridSpan w:val="2"/>
          </w:tcPr>
          <w:p>
            <w:pPr>
              <w:spacing w:after="0"/>
              <w:rPr>
                <w:sz w:val="20"/>
                <w:szCs w:val="20"/>
                <w:color w:val="auto"/>
              </w:rPr>
            </w:pPr>
            <w:r>
              <w:rPr>
                <w:rFonts w:ascii="Times New Roman" w:cs="Times New Roman" w:eastAsia="Times New Roman" w:hAnsi="Times New Roman"/>
                <w:sz w:val="10"/>
                <w:szCs w:val="10"/>
                <w:i w:val="1"/>
                <w:iCs w:val="1"/>
                <w:color w:val="auto"/>
              </w:rPr>
              <w:t>LLC</w:t>
            </w:r>
          </w:p>
        </w:tc>
        <w:tc>
          <w:tcPr>
            <w:tcW w:w="880" w:type="dxa"/>
            <w:vAlign w:val="bottom"/>
            <w:gridSpan w:val="2"/>
            <w:vMerge w:val="restart"/>
          </w:tcPr>
          <w:p>
            <w:pPr>
              <w:ind w:left="40"/>
              <w:spacing w:after="0"/>
              <w:rPr>
                <w:sz w:val="20"/>
                <w:szCs w:val="20"/>
                <w:color w:val="auto"/>
              </w:rPr>
            </w:pPr>
            <w:r>
              <w:rPr>
                <w:rFonts w:ascii="Times New Roman" w:cs="Times New Roman" w:eastAsia="Times New Roman" w:hAnsi="Times New Roman"/>
                <w:sz w:val="10"/>
                <w:szCs w:val="10"/>
                <w:color w:val="auto"/>
              </w:rPr>
              <w:t>First Lien Debt (j)</w:t>
            </w:r>
          </w:p>
        </w:tc>
        <w:tc>
          <w:tcPr>
            <w:tcW w:w="1020" w:type="dxa"/>
            <w:vAlign w:val="bottom"/>
            <w:gridSpan w:val="2"/>
          </w:tcPr>
          <w:p>
            <w:pPr>
              <w:ind w:left="60"/>
              <w:spacing w:after="0"/>
              <w:rPr>
                <w:sz w:val="20"/>
                <w:szCs w:val="20"/>
                <w:color w:val="auto"/>
              </w:rPr>
            </w:pPr>
            <w:r>
              <w:rPr>
                <w:rFonts w:ascii="Times New Roman" w:cs="Times New Roman" w:eastAsia="Times New Roman" w:hAnsi="Times New Roman"/>
                <w:sz w:val="10"/>
                <w:szCs w:val="10"/>
                <w:color w:val="auto"/>
              </w:rPr>
              <w:t>Manufacturing</w:t>
            </w:r>
          </w:p>
        </w:tc>
        <w:tc>
          <w:tcPr>
            <w:tcW w:w="0" w:type="dxa"/>
            <w:vAlign w:val="bottom"/>
          </w:tcPr>
          <w:p>
            <w:pPr>
              <w:spacing w:after="0"/>
              <w:rPr>
                <w:sz w:val="1"/>
                <w:szCs w:val="1"/>
                <w:color w:val="auto"/>
              </w:rPr>
            </w:pPr>
          </w:p>
        </w:tc>
      </w:tr>
      <w:tr>
        <w:trPr>
          <w:trHeight w:val="84"/>
        </w:trPr>
        <w:tc>
          <w:tcPr>
            <w:tcW w:w="1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9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5"/>
        </w:trPr>
        <w:tc>
          <w:tcPr>
            <w:tcW w:w="1280" w:type="dxa"/>
            <w:vAlign w:val="bottom"/>
            <w:gridSpan w:val="2"/>
          </w:tcPr>
          <w:p>
            <w:pPr>
              <w:ind w:left="100"/>
              <w:spacing w:after="0" w:line="105" w:lineRule="exact"/>
              <w:rPr>
                <w:sz w:val="20"/>
                <w:szCs w:val="20"/>
                <w:color w:val="auto"/>
              </w:rPr>
            </w:pPr>
            <w:r>
              <w:rPr>
                <w:rFonts w:ascii="Times New Roman" w:cs="Times New Roman" w:eastAsia="Times New Roman" w:hAnsi="Times New Roman"/>
                <w:sz w:val="10"/>
                <w:szCs w:val="10"/>
                <w:color w:val="auto"/>
              </w:rPr>
              <w:t>402 East Broad Street</w:t>
            </w:r>
          </w:p>
        </w:tc>
        <w:tc>
          <w:tcPr>
            <w:tcW w:w="880" w:type="dxa"/>
            <w:vAlign w:val="bottom"/>
            <w:gridSpan w:val="2"/>
          </w:tcPr>
          <w:p>
            <w:pPr>
              <w:ind w:left="40"/>
              <w:spacing w:after="0" w:line="105" w:lineRule="exact"/>
              <w:rPr>
                <w:sz w:val="20"/>
                <w:szCs w:val="20"/>
                <w:color w:val="auto"/>
              </w:rPr>
            </w:pPr>
            <w:r>
              <w:rPr>
                <w:rFonts w:ascii="Times New Roman" w:cs="Times New Roman" w:eastAsia="Times New Roman" w:hAnsi="Times New Roman"/>
                <w:sz w:val="10"/>
                <w:szCs w:val="10"/>
                <w:color w:val="auto"/>
              </w:rPr>
              <w:t>(az)</w:t>
            </w:r>
          </w:p>
        </w:tc>
        <w:tc>
          <w:tcPr>
            <w:tcW w:w="60" w:type="dxa"/>
            <w:vAlign w:val="bottom"/>
          </w:tcPr>
          <w:p>
            <w:pPr>
              <w:spacing w:after="0"/>
              <w:rPr>
                <w:sz w:val="9"/>
                <w:szCs w:val="9"/>
                <w:color w:val="auto"/>
              </w:rPr>
            </w:pP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280" w:type="dxa"/>
            <w:vAlign w:val="bottom"/>
            <w:gridSpan w:val="2"/>
          </w:tcPr>
          <w:p>
            <w:pPr>
              <w:ind w:left="100"/>
              <w:spacing w:after="0" w:line="105" w:lineRule="exact"/>
              <w:rPr>
                <w:sz w:val="20"/>
                <w:szCs w:val="20"/>
                <w:color w:val="auto"/>
              </w:rPr>
            </w:pPr>
            <w:r>
              <w:rPr>
                <w:rFonts w:ascii="Times New Roman" w:cs="Times New Roman" w:eastAsia="Times New Roman" w:hAnsi="Times New Roman"/>
                <w:sz w:val="10"/>
                <w:szCs w:val="10"/>
                <w:color w:val="auto"/>
              </w:rPr>
              <w:t>Fairburn, GA 30213</w:t>
            </w:r>
          </w:p>
        </w:tc>
        <w:tc>
          <w:tcPr>
            <w:tcW w:w="880" w:type="dxa"/>
            <w:vAlign w:val="bottom"/>
            <w:gridSpan w:val="2"/>
          </w:tcPr>
          <w:p>
            <w:pPr>
              <w:ind w:left="40"/>
              <w:spacing w:after="0" w:line="105" w:lineRule="exact"/>
              <w:rPr>
                <w:sz w:val="20"/>
                <w:szCs w:val="20"/>
                <w:color w:val="auto"/>
              </w:rPr>
            </w:pPr>
            <w:r>
              <w:rPr>
                <w:rFonts w:ascii="Times New Roman" w:cs="Times New Roman" w:eastAsia="Times New Roman" w:hAnsi="Times New Roman"/>
                <w:sz w:val="10"/>
                <w:szCs w:val="10"/>
                <w:color w:val="auto"/>
              </w:rPr>
              <w:t>Common Equity</w:t>
            </w:r>
          </w:p>
        </w:tc>
        <w:tc>
          <w:tcPr>
            <w:tcW w:w="60" w:type="dxa"/>
            <w:vAlign w:val="bottom"/>
          </w:tcPr>
          <w:p>
            <w:pPr>
              <w:spacing w:after="0"/>
              <w:rPr>
                <w:sz w:val="9"/>
                <w:szCs w:val="9"/>
                <w:color w:val="auto"/>
              </w:rPr>
            </w:pP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1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80" w:type="dxa"/>
            <w:vAlign w:val="bottom"/>
            <w:gridSpan w:val="2"/>
          </w:tcPr>
          <w:p>
            <w:pPr>
              <w:ind w:left="40"/>
              <w:spacing w:after="0"/>
              <w:rPr>
                <w:sz w:val="20"/>
                <w:szCs w:val="20"/>
                <w:color w:val="auto"/>
              </w:rPr>
            </w:pPr>
            <w:r>
              <w:rPr>
                <w:rFonts w:ascii="Times New Roman" w:cs="Times New Roman" w:eastAsia="Times New Roman" w:hAnsi="Times New Roman"/>
                <w:sz w:val="10"/>
                <w:szCs w:val="10"/>
                <w:color w:val="auto"/>
              </w:rPr>
              <w:t>(75,000 units)</w:t>
            </w:r>
          </w:p>
        </w:tc>
        <w:tc>
          <w:tcPr>
            <w:tcW w:w="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0"/>
        </w:trPr>
        <w:tc>
          <w:tcPr>
            <w:tcW w:w="1280" w:type="dxa"/>
            <w:vAlign w:val="bottom"/>
            <w:gridSpan w:val="2"/>
          </w:tcPr>
          <w:p>
            <w:pPr>
              <w:spacing w:after="0"/>
              <w:rPr>
                <w:sz w:val="20"/>
                <w:szCs w:val="20"/>
                <w:color w:val="auto"/>
              </w:rPr>
            </w:pPr>
            <w:r>
              <w:rPr>
                <w:rFonts w:ascii="Times New Roman" w:cs="Times New Roman" w:eastAsia="Times New Roman" w:hAnsi="Times New Roman"/>
                <w:sz w:val="10"/>
                <w:szCs w:val="10"/>
                <w:i w:val="1"/>
                <w:iCs w:val="1"/>
                <w:color w:val="auto"/>
              </w:rPr>
              <w:t>Fishbowl Solutions, LLC</w:t>
            </w:r>
          </w:p>
        </w:tc>
        <w:tc>
          <w:tcPr>
            <w:tcW w:w="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20" w:type="dxa"/>
            <w:vAlign w:val="bottom"/>
            <w:gridSpan w:val="2"/>
          </w:tcPr>
          <w:p>
            <w:pPr>
              <w:ind w:left="60"/>
              <w:spacing w:after="0"/>
              <w:rPr>
                <w:sz w:val="20"/>
                <w:szCs w:val="20"/>
                <w:color w:val="auto"/>
              </w:rPr>
            </w:pPr>
            <w:r>
              <w:rPr>
                <w:rFonts w:ascii="Times New Roman" w:cs="Times New Roman" w:eastAsia="Times New Roman" w:hAnsi="Times New Roman"/>
                <w:sz w:val="10"/>
                <w:szCs w:val="10"/>
                <w:color w:val="auto"/>
                <w:w w:val="95"/>
              </w:rPr>
              <w:t>Information Technology</w:t>
            </w:r>
          </w:p>
        </w:tc>
        <w:tc>
          <w:tcPr>
            <w:tcW w:w="0" w:type="dxa"/>
            <w:vAlign w:val="bottom"/>
          </w:tcPr>
          <w:p>
            <w:pPr>
              <w:spacing w:after="0"/>
              <w:rPr>
                <w:sz w:val="1"/>
                <w:szCs w:val="1"/>
                <w:color w:val="auto"/>
              </w:rPr>
            </w:pPr>
          </w:p>
        </w:tc>
      </w:tr>
      <w:tr>
        <w:trPr>
          <w:trHeight w:val="125"/>
        </w:trPr>
        <w:tc>
          <w:tcPr>
            <w:tcW w:w="12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0"/>
                <w:szCs w:val="10"/>
                <w:color w:val="auto"/>
              </w:rPr>
              <w:t>4500 Park Glen Road, Suite</w:t>
            </w:r>
          </w:p>
        </w:tc>
        <w:tc>
          <w:tcPr>
            <w:tcW w:w="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20" w:type="dxa"/>
            <w:vAlign w:val="bottom"/>
            <w:gridSpan w:val="2"/>
          </w:tcPr>
          <w:p>
            <w:pPr>
              <w:ind w:left="60"/>
              <w:spacing w:after="0"/>
              <w:rPr>
                <w:sz w:val="20"/>
                <w:szCs w:val="20"/>
                <w:color w:val="auto"/>
              </w:rPr>
            </w:pPr>
            <w:r>
              <w:rPr>
                <w:rFonts w:ascii="Times New Roman" w:cs="Times New Roman" w:eastAsia="Times New Roman" w:hAnsi="Times New Roman"/>
                <w:sz w:val="10"/>
                <w:szCs w:val="10"/>
                <w:color w:val="auto"/>
              </w:rPr>
              <w:t>Services</w:t>
            </w:r>
          </w:p>
        </w:tc>
        <w:tc>
          <w:tcPr>
            <w:tcW w:w="0" w:type="dxa"/>
            <w:vAlign w:val="bottom"/>
          </w:tcPr>
          <w:p>
            <w:pPr>
              <w:spacing w:after="0"/>
              <w:rPr>
                <w:sz w:val="1"/>
                <w:szCs w:val="1"/>
                <w:color w:val="auto"/>
              </w:rPr>
            </w:pPr>
          </w:p>
        </w:tc>
      </w:tr>
      <w:tr>
        <w:trPr>
          <w:trHeight w:val="84"/>
        </w:trPr>
        <w:tc>
          <w:tcPr>
            <w:tcW w:w="1280" w:type="dxa"/>
            <w:vAlign w:val="bottom"/>
            <w:gridSpan w:val="2"/>
            <w:vMerge w:val="continue"/>
          </w:tcPr>
          <w:p>
            <w:pPr>
              <w:spacing w:after="0"/>
              <w:rPr>
                <w:sz w:val="7"/>
                <w:szCs w:val="7"/>
                <w:color w:val="auto"/>
              </w:rPr>
            </w:pPr>
          </w:p>
        </w:tc>
        <w:tc>
          <w:tcPr>
            <w:tcW w:w="40" w:type="dxa"/>
            <w:vAlign w:val="bottom"/>
          </w:tcPr>
          <w:p>
            <w:pPr>
              <w:spacing w:after="0"/>
              <w:rPr>
                <w:sz w:val="7"/>
                <w:szCs w:val="7"/>
                <w:color w:val="auto"/>
              </w:rPr>
            </w:pPr>
          </w:p>
        </w:tc>
        <w:tc>
          <w:tcPr>
            <w:tcW w:w="840" w:type="dxa"/>
            <w:vAlign w:val="bottom"/>
          </w:tcPr>
          <w:p>
            <w:pPr>
              <w:spacing w:after="0"/>
              <w:rPr>
                <w:sz w:val="7"/>
                <w:szCs w:val="7"/>
                <w:color w:val="auto"/>
              </w:rPr>
            </w:pPr>
          </w:p>
        </w:tc>
        <w:tc>
          <w:tcPr>
            <w:tcW w:w="60" w:type="dxa"/>
            <w:vAlign w:val="bottom"/>
          </w:tcPr>
          <w:p>
            <w:pPr>
              <w:spacing w:after="0"/>
              <w:rPr>
                <w:sz w:val="7"/>
                <w:szCs w:val="7"/>
                <w:color w:val="auto"/>
              </w:rPr>
            </w:pPr>
          </w:p>
        </w:tc>
        <w:tc>
          <w:tcPr>
            <w:tcW w:w="9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5"/>
        </w:trPr>
        <w:tc>
          <w:tcPr>
            <w:tcW w:w="1100" w:type="dxa"/>
            <w:vAlign w:val="bottom"/>
          </w:tcPr>
          <w:p>
            <w:pPr>
              <w:ind w:left="100"/>
              <w:spacing w:after="0" w:line="105" w:lineRule="exact"/>
              <w:rPr>
                <w:sz w:val="20"/>
                <w:szCs w:val="20"/>
                <w:color w:val="auto"/>
              </w:rPr>
            </w:pPr>
            <w:r>
              <w:rPr>
                <w:rFonts w:ascii="Times New Roman" w:cs="Times New Roman" w:eastAsia="Times New Roman" w:hAnsi="Times New Roman"/>
                <w:sz w:val="10"/>
                <w:szCs w:val="10"/>
                <w:color w:val="auto"/>
              </w:rPr>
              <w:t>200</w:t>
            </w:r>
          </w:p>
        </w:tc>
        <w:tc>
          <w:tcPr>
            <w:tcW w:w="180" w:type="dxa"/>
            <w:vAlign w:val="bottom"/>
          </w:tcPr>
          <w:p>
            <w:pPr>
              <w:spacing w:after="0"/>
              <w:rPr>
                <w:sz w:val="9"/>
                <w:szCs w:val="9"/>
                <w:color w:val="auto"/>
              </w:rPr>
            </w:pPr>
          </w:p>
        </w:tc>
        <w:tc>
          <w:tcPr>
            <w:tcW w:w="880" w:type="dxa"/>
            <w:vAlign w:val="bottom"/>
            <w:gridSpan w:val="2"/>
          </w:tcPr>
          <w:p>
            <w:pPr>
              <w:ind w:left="40"/>
              <w:spacing w:after="0" w:line="105" w:lineRule="exact"/>
              <w:rPr>
                <w:sz w:val="20"/>
                <w:szCs w:val="20"/>
                <w:color w:val="auto"/>
              </w:rPr>
            </w:pPr>
            <w:r>
              <w:rPr>
                <w:rFonts w:ascii="Times New Roman" w:cs="Times New Roman" w:eastAsia="Times New Roman" w:hAnsi="Times New Roman"/>
                <w:sz w:val="10"/>
                <w:szCs w:val="10"/>
                <w:color w:val="auto"/>
              </w:rPr>
              <w:t>First Lien Debt</w:t>
            </w:r>
          </w:p>
        </w:tc>
        <w:tc>
          <w:tcPr>
            <w:tcW w:w="60" w:type="dxa"/>
            <w:vAlign w:val="bottom"/>
          </w:tcPr>
          <w:p>
            <w:pPr>
              <w:spacing w:after="0"/>
              <w:rPr>
                <w:sz w:val="9"/>
                <w:szCs w:val="9"/>
                <w:color w:val="auto"/>
              </w:rPr>
            </w:pP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280" w:type="dxa"/>
            <w:vAlign w:val="bottom"/>
            <w:gridSpan w:val="2"/>
          </w:tcPr>
          <w:p>
            <w:pPr>
              <w:ind w:left="100"/>
              <w:spacing w:after="0" w:line="105" w:lineRule="exact"/>
              <w:rPr>
                <w:sz w:val="20"/>
                <w:szCs w:val="20"/>
                <w:color w:val="auto"/>
              </w:rPr>
            </w:pPr>
            <w:r>
              <w:rPr>
                <w:rFonts w:ascii="Times New Roman" w:cs="Times New Roman" w:eastAsia="Times New Roman" w:hAnsi="Times New Roman"/>
                <w:sz w:val="10"/>
                <w:szCs w:val="10"/>
                <w:color w:val="auto"/>
              </w:rPr>
              <w:t>Minneapolis, MN 55416</w:t>
            </w:r>
          </w:p>
        </w:tc>
        <w:tc>
          <w:tcPr>
            <w:tcW w:w="880" w:type="dxa"/>
            <w:vAlign w:val="bottom"/>
            <w:gridSpan w:val="2"/>
          </w:tcPr>
          <w:p>
            <w:pPr>
              <w:ind w:left="40"/>
              <w:spacing w:after="0" w:line="105" w:lineRule="exact"/>
              <w:rPr>
                <w:sz w:val="20"/>
                <w:szCs w:val="20"/>
                <w:color w:val="auto"/>
              </w:rPr>
            </w:pPr>
            <w:r>
              <w:rPr>
                <w:rFonts w:ascii="Times New Roman" w:cs="Times New Roman" w:eastAsia="Times New Roman" w:hAnsi="Times New Roman"/>
                <w:sz w:val="10"/>
                <w:szCs w:val="10"/>
                <w:color w:val="auto"/>
              </w:rPr>
              <w:t>First Lien Debt</w:t>
            </w:r>
          </w:p>
        </w:tc>
        <w:tc>
          <w:tcPr>
            <w:tcW w:w="60" w:type="dxa"/>
            <w:vAlign w:val="bottom"/>
          </w:tcPr>
          <w:p>
            <w:pPr>
              <w:spacing w:after="0"/>
              <w:rPr>
                <w:sz w:val="9"/>
                <w:szCs w:val="9"/>
                <w:color w:val="auto"/>
              </w:rPr>
            </w:pP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gridSpan w:val="2"/>
          </w:tcPr>
          <w:p>
            <w:pPr>
              <w:ind w:left="40"/>
              <w:spacing w:after="0" w:line="105" w:lineRule="exact"/>
              <w:rPr>
                <w:sz w:val="20"/>
                <w:szCs w:val="20"/>
                <w:color w:val="auto"/>
              </w:rPr>
            </w:pPr>
            <w:r>
              <w:rPr>
                <w:rFonts w:ascii="Times New Roman" w:cs="Times New Roman" w:eastAsia="Times New Roman" w:hAnsi="Times New Roman"/>
                <w:sz w:val="10"/>
                <w:szCs w:val="10"/>
                <w:color w:val="auto"/>
              </w:rPr>
              <w:t>Revolving Loan</w:t>
            </w:r>
          </w:p>
        </w:tc>
        <w:tc>
          <w:tcPr>
            <w:tcW w:w="60" w:type="dxa"/>
            <w:vAlign w:val="bottom"/>
          </w:tcPr>
          <w:p>
            <w:pPr>
              <w:spacing w:after="0"/>
              <w:rPr>
                <w:sz w:val="9"/>
                <w:szCs w:val="9"/>
                <w:color w:val="auto"/>
              </w:rPr>
            </w:pP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gridSpan w:val="2"/>
          </w:tcPr>
          <w:p>
            <w:pPr>
              <w:ind w:left="40"/>
              <w:spacing w:after="0" w:line="105" w:lineRule="exact"/>
              <w:rPr>
                <w:sz w:val="20"/>
                <w:szCs w:val="20"/>
                <w:color w:val="auto"/>
              </w:rPr>
            </w:pPr>
            <w:r>
              <w:rPr>
                <w:rFonts w:ascii="Times New Roman" w:cs="Times New Roman" w:eastAsia="Times New Roman" w:hAnsi="Times New Roman"/>
                <w:sz w:val="10"/>
                <w:szCs w:val="10"/>
                <w:color w:val="auto"/>
              </w:rPr>
              <w:t>($3,000 unfunded</w:t>
            </w:r>
          </w:p>
        </w:tc>
        <w:tc>
          <w:tcPr>
            <w:tcW w:w="60" w:type="dxa"/>
            <w:vAlign w:val="bottom"/>
          </w:tcPr>
          <w:p>
            <w:pPr>
              <w:spacing w:after="0"/>
              <w:rPr>
                <w:sz w:val="9"/>
                <w:szCs w:val="9"/>
                <w:color w:val="auto"/>
              </w:rPr>
            </w:pP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1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80" w:type="dxa"/>
            <w:vAlign w:val="bottom"/>
            <w:gridSpan w:val="2"/>
          </w:tcPr>
          <w:p>
            <w:pPr>
              <w:ind w:left="40"/>
              <w:spacing w:after="0"/>
              <w:rPr>
                <w:sz w:val="20"/>
                <w:szCs w:val="20"/>
                <w:color w:val="auto"/>
              </w:rPr>
            </w:pPr>
            <w:r>
              <w:rPr>
                <w:rFonts w:ascii="Times New Roman" w:cs="Times New Roman" w:eastAsia="Times New Roman" w:hAnsi="Times New Roman"/>
                <w:sz w:val="10"/>
                <w:szCs w:val="10"/>
                <w:color w:val="auto"/>
              </w:rPr>
              <w:t>commitment) (i)</w:t>
            </w:r>
          </w:p>
        </w:tc>
        <w:tc>
          <w:tcPr>
            <w:tcW w:w="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4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95"/>
        </w:trPr>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8"/>
                <w:szCs w:val="8"/>
                <w:b w:val="1"/>
                <w:bCs w:val="1"/>
                <w:color w:val="auto"/>
              </w:rPr>
              <w:t>Percentage of</w:t>
            </w:r>
          </w:p>
        </w:tc>
        <w:tc>
          <w:tcPr>
            <w:tcW w:w="940" w:type="dxa"/>
            <w:vAlign w:val="bottom"/>
            <w:gridSpan w:val="2"/>
          </w:tcPr>
          <w:p>
            <w:pPr>
              <w:jc w:val="center"/>
              <w:ind w:right="60"/>
              <w:spacing w:after="0"/>
              <w:rPr>
                <w:sz w:val="20"/>
                <w:szCs w:val="20"/>
                <w:color w:val="auto"/>
              </w:rPr>
            </w:pPr>
            <w:r>
              <w:rPr>
                <w:rFonts w:ascii="Times New Roman" w:cs="Times New Roman" w:eastAsia="Times New Roman" w:hAnsi="Times New Roman"/>
                <w:sz w:val="8"/>
                <w:szCs w:val="8"/>
                <w:b w:val="1"/>
                <w:bCs w:val="1"/>
                <w:color w:val="auto"/>
              </w:rPr>
              <w:t>Variable Index</w:t>
            </w:r>
          </w:p>
        </w:tc>
        <w:tc>
          <w:tcPr>
            <w:tcW w:w="700" w:type="dxa"/>
            <w:vAlign w:val="bottom"/>
            <w:gridSpan w:val="2"/>
          </w:tcPr>
          <w:p>
            <w:pPr>
              <w:jc w:val="center"/>
              <w:ind w:right="100"/>
              <w:spacing w:after="0"/>
              <w:rPr>
                <w:sz w:val="20"/>
                <w:szCs w:val="20"/>
                <w:color w:val="auto"/>
              </w:rPr>
            </w:pPr>
            <w:r>
              <w:rPr>
                <w:rFonts w:ascii="Times New Roman" w:cs="Times New Roman" w:eastAsia="Times New Roman" w:hAnsi="Times New Roman"/>
                <w:sz w:val="8"/>
                <w:szCs w:val="8"/>
                <w:b w:val="1"/>
                <w:bCs w:val="1"/>
                <w:color w:val="auto"/>
              </w:rPr>
              <w:t>Rate (e)</w:t>
            </w: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8"/>
                <w:szCs w:val="8"/>
                <w:b w:val="1"/>
                <w:bCs w:val="1"/>
                <w:color w:val="auto"/>
              </w:rPr>
              <w:t>Investment</w:t>
            </w: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gridSpan w:val="2"/>
          </w:tcPr>
          <w:p>
            <w:pPr>
              <w:spacing w:after="0"/>
              <w:rPr>
                <w:sz w:val="20"/>
                <w:szCs w:val="20"/>
                <w:color w:val="auto"/>
              </w:rPr>
            </w:pPr>
            <w:r>
              <w:rPr>
                <w:rFonts w:ascii="Times New Roman" w:cs="Times New Roman" w:eastAsia="Times New Roman" w:hAnsi="Times New Roman"/>
                <w:sz w:val="8"/>
                <w:szCs w:val="8"/>
                <w:b w:val="1"/>
                <w:bCs w:val="1"/>
                <w:color w:val="auto"/>
              </w:rPr>
              <w:t>Principal</w:t>
            </w: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gridSpan w:val="2"/>
          </w:tcPr>
          <w:p>
            <w:pPr>
              <w:jc w:val="center"/>
              <w:ind w:right="100"/>
              <w:spacing w:after="0"/>
              <w:rPr>
                <w:sz w:val="20"/>
                <w:szCs w:val="20"/>
                <w:color w:val="auto"/>
              </w:rPr>
            </w:pPr>
            <w:r>
              <w:rPr>
                <w:rFonts w:ascii="Times New Roman" w:cs="Times New Roman" w:eastAsia="Times New Roman" w:hAnsi="Times New Roman"/>
                <w:sz w:val="8"/>
                <w:szCs w:val="8"/>
                <w:b w:val="1"/>
                <w:bCs w:val="1"/>
                <w:color w:val="auto"/>
              </w:rPr>
              <w:t>Fair</w:t>
            </w:r>
          </w:p>
        </w:tc>
        <w:tc>
          <w:tcPr>
            <w:tcW w:w="440" w:type="dxa"/>
            <w:vAlign w:val="bottom"/>
            <w:gridSpan w:val="2"/>
          </w:tcPr>
          <w:p>
            <w:pPr>
              <w:jc w:val="right"/>
              <w:ind w:right="80"/>
              <w:spacing w:after="0"/>
              <w:rPr>
                <w:sz w:val="20"/>
                <w:szCs w:val="20"/>
                <w:color w:val="auto"/>
              </w:rPr>
            </w:pPr>
            <w:r>
              <w:rPr>
                <w:rFonts w:ascii="Times New Roman" w:cs="Times New Roman" w:eastAsia="Times New Roman" w:hAnsi="Times New Roman"/>
                <w:sz w:val="8"/>
                <w:szCs w:val="8"/>
                <w:b w:val="1"/>
                <w:bCs w:val="1"/>
                <w:color w:val="auto"/>
                <w:w w:val="97"/>
              </w:rPr>
              <w:t>Percent of</w:t>
            </w:r>
          </w:p>
        </w:tc>
      </w:tr>
      <w:tr>
        <w:trPr>
          <w:trHeight w:val="115"/>
        </w:trPr>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8"/>
                <w:szCs w:val="8"/>
                <w:b w:val="1"/>
                <w:bCs w:val="1"/>
                <w:color w:val="auto"/>
              </w:rPr>
              <w:t>Class Held (bn)</w:t>
            </w:r>
          </w:p>
        </w:tc>
        <w:tc>
          <w:tcPr>
            <w:tcW w:w="940" w:type="dxa"/>
            <w:vAlign w:val="bottom"/>
            <w:gridSpan w:val="2"/>
          </w:tcPr>
          <w:p>
            <w:pPr>
              <w:jc w:val="center"/>
              <w:ind w:right="60"/>
              <w:spacing w:after="0"/>
              <w:rPr>
                <w:sz w:val="20"/>
                <w:szCs w:val="20"/>
                <w:color w:val="auto"/>
              </w:rPr>
            </w:pPr>
            <w:r>
              <w:rPr>
                <w:rFonts w:ascii="Times New Roman" w:cs="Times New Roman" w:eastAsia="Times New Roman" w:hAnsi="Times New Roman"/>
                <w:sz w:val="8"/>
                <w:szCs w:val="8"/>
                <w:b w:val="1"/>
                <w:bCs w:val="1"/>
                <w:color w:val="auto"/>
              </w:rPr>
              <w:t>Spread / Floor (d)</w:t>
            </w:r>
          </w:p>
        </w:tc>
        <w:tc>
          <w:tcPr>
            <w:tcW w:w="700" w:type="dxa"/>
            <w:vAlign w:val="bottom"/>
            <w:gridSpan w:val="2"/>
          </w:tcPr>
          <w:p>
            <w:pPr>
              <w:jc w:val="center"/>
              <w:ind w:right="100"/>
              <w:spacing w:after="0"/>
              <w:rPr>
                <w:sz w:val="20"/>
                <w:szCs w:val="20"/>
                <w:color w:val="auto"/>
              </w:rPr>
            </w:pPr>
            <w:r>
              <w:rPr>
                <w:rFonts w:ascii="Times New Roman" w:cs="Times New Roman" w:eastAsia="Times New Roman" w:hAnsi="Times New Roman"/>
                <w:sz w:val="8"/>
                <w:szCs w:val="8"/>
                <w:b w:val="1"/>
                <w:bCs w:val="1"/>
                <w:color w:val="auto"/>
              </w:rPr>
              <w:t>Cash/PIK</w:t>
            </w:r>
          </w:p>
        </w:tc>
        <w:tc>
          <w:tcPr>
            <w:tcW w:w="580" w:type="dxa"/>
            <w:vAlign w:val="bottom"/>
            <w:gridSpan w:val="2"/>
          </w:tcPr>
          <w:p>
            <w:pPr>
              <w:jc w:val="right"/>
              <w:ind w:right="200"/>
              <w:spacing w:after="0"/>
              <w:rPr>
                <w:sz w:val="20"/>
                <w:szCs w:val="20"/>
                <w:color w:val="auto"/>
              </w:rPr>
            </w:pPr>
            <w:r>
              <w:rPr>
                <w:rFonts w:ascii="Times New Roman" w:cs="Times New Roman" w:eastAsia="Times New Roman" w:hAnsi="Times New Roman"/>
                <w:sz w:val="8"/>
                <w:szCs w:val="8"/>
                <w:b w:val="1"/>
                <w:bCs w:val="1"/>
                <w:color w:val="auto"/>
              </w:rPr>
              <w:t>Date (f)</w:t>
            </w: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8"/>
                <w:szCs w:val="8"/>
                <w:b w:val="1"/>
                <w:bCs w:val="1"/>
                <w:color w:val="auto"/>
              </w:rPr>
              <w:t>Maturity</w:t>
            </w:r>
          </w:p>
        </w:tc>
        <w:tc>
          <w:tcPr>
            <w:tcW w:w="420" w:type="dxa"/>
            <w:vAlign w:val="bottom"/>
            <w:gridSpan w:val="2"/>
          </w:tcPr>
          <w:p>
            <w:pPr>
              <w:jc w:val="right"/>
              <w:ind w:right="120"/>
              <w:spacing w:after="0"/>
              <w:rPr>
                <w:sz w:val="20"/>
                <w:szCs w:val="20"/>
                <w:color w:val="auto"/>
              </w:rPr>
            </w:pPr>
            <w:r>
              <w:rPr>
                <w:rFonts w:ascii="Times New Roman" w:cs="Times New Roman" w:eastAsia="Times New Roman" w:hAnsi="Times New Roman"/>
                <w:sz w:val="8"/>
                <w:szCs w:val="8"/>
                <w:b w:val="1"/>
                <w:bCs w:val="1"/>
                <w:color w:val="auto"/>
                <w:w w:val="99"/>
              </w:rPr>
              <w:t>Amount</w:t>
            </w:r>
          </w:p>
        </w:tc>
        <w:tc>
          <w:tcPr>
            <w:tcW w:w="440" w:type="dxa"/>
            <w:vAlign w:val="bottom"/>
            <w:gridSpan w:val="3"/>
          </w:tcPr>
          <w:p>
            <w:pPr>
              <w:ind w:left="80"/>
              <w:spacing w:after="0"/>
              <w:rPr>
                <w:sz w:val="20"/>
                <w:szCs w:val="20"/>
                <w:color w:val="auto"/>
              </w:rPr>
            </w:pPr>
            <w:r>
              <w:rPr>
                <w:rFonts w:ascii="Times New Roman" w:cs="Times New Roman" w:eastAsia="Times New Roman" w:hAnsi="Times New Roman"/>
                <w:sz w:val="8"/>
                <w:szCs w:val="8"/>
                <w:b w:val="1"/>
                <w:bCs w:val="1"/>
                <w:color w:val="auto"/>
              </w:rPr>
              <w:t>Cost</w:t>
            </w:r>
          </w:p>
        </w:tc>
        <w:tc>
          <w:tcPr>
            <w:tcW w:w="420" w:type="dxa"/>
            <w:vAlign w:val="bottom"/>
            <w:gridSpan w:val="2"/>
          </w:tcPr>
          <w:p>
            <w:pPr>
              <w:jc w:val="center"/>
              <w:ind w:right="100"/>
              <w:spacing w:after="0"/>
              <w:rPr>
                <w:sz w:val="20"/>
                <w:szCs w:val="20"/>
                <w:color w:val="auto"/>
              </w:rPr>
            </w:pPr>
            <w:r>
              <w:rPr>
                <w:rFonts w:ascii="Times New Roman" w:cs="Times New Roman" w:eastAsia="Times New Roman" w:hAnsi="Times New Roman"/>
                <w:sz w:val="8"/>
                <w:szCs w:val="8"/>
                <w:b w:val="1"/>
                <w:bCs w:val="1"/>
                <w:color w:val="auto"/>
              </w:rPr>
              <w:t>Value (g)</w:t>
            </w:r>
          </w:p>
        </w:tc>
        <w:tc>
          <w:tcPr>
            <w:tcW w:w="440" w:type="dxa"/>
            <w:vAlign w:val="bottom"/>
            <w:gridSpan w:val="2"/>
          </w:tcPr>
          <w:p>
            <w:pPr>
              <w:jc w:val="right"/>
              <w:ind w:right="80"/>
              <w:spacing w:after="0"/>
              <w:rPr>
                <w:sz w:val="20"/>
                <w:szCs w:val="20"/>
                <w:color w:val="auto"/>
              </w:rPr>
            </w:pPr>
            <w:r>
              <w:rPr>
                <w:rFonts w:ascii="Times New Roman" w:cs="Times New Roman" w:eastAsia="Times New Roman" w:hAnsi="Times New Roman"/>
                <w:sz w:val="8"/>
                <w:szCs w:val="8"/>
                <w:b w:val="1"/>
                <w:bCs w:val="1"/>
                <w:color w:val="auto"/>
                <w:w w:val="96"/>
              </w:rPr>
              <w:t>Net Assets</w:t>
            </w:r>
          </w:p>
        </w:tc>
      </w:tr>
      <w:tr>
        <w:trPr>
          <w:trHeight w:val="20"/>
        </w:trPr>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16"/>
        </w:trPr>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0.9%</w:t>
            </w: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12/31/2020</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0"/>
                <w:szCs w:val="10"/>
                <w:color w:val="auto"/>
              </w:rPr>
              <w:t>1,500</w:t>
            </w:r>
          </w:p>
        </w:tc>
        <w:tc>
          <w:tcPr>
            <w:tcW w:w="120" w:type="dxa"/>
            <w:vAlign w:val="bottom"/>
          </w:tcPr>
          <w:p>
            <w:pPr>
              <w:spacing w:after="0"/>
              <w:rPr>
                <w:sz w:val="24"/>
                <w:szCs w:val="24"/>
                <w:color w:val="auto"/>
              </w:rPr>
            </w:pP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1,529</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0%</w:t>
            </w:r>
          </w:p>
        </w:tc>
      </w:tr>
      <w:tr>
        <w:trPr>
          <w:trHeight w:val="482"/>
        </w:trPr>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gridSpan w:val="2"/>
          </w:tcPr>
          <w:p>
            <w:pPr>
              <w:jc w:val="center"/>
              <w:ind w:right="60"/>
              <w:spacing w:after="0"/>
              <w:rPr>
                <w:sz w:val="20"/>
                <w:szCs w:val="20"/>
                <w:color w:val="auto"/>
              </w:rPr>
            </w:pPr>
            <w:r>
              <w:rPr>
                <w:rFonts w:ascii="Times New Roman" w:cs="Times New Roman" w:eastAsia="Times New Roman" w:hAnsi="Times New Roman"/>
                <w:sz w:val="10"/>
                <w:szCs w:val="10"/>
                <w:color w:val="auto"/>
                <w:w w:val="98"/>
              </w:rPr>
              <w:t>(S + 5.75%) / (4.00%)</w:t>
            </w: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9.40%/1.00%</w:t>
            </w: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7/21/2023</w:t>
            </w: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7/21/2026</w:t>
            </w:r>
          </w:p>
        </w:tc>
        <w:tc>
          <w:tcPr>
            <w:tcW w:w="42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13,844</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0"/>
                <w:szCs w:val="10"/>
                <w:color w:val="auto"/>
              </w:rPr>
              <w:t>13,834</w:t>
            </w:r>
          </w:p>
        </w:tc>
        <w:tc>
          <w:tcPr>
            <w:tcW w:w="120" w:type="dxa"/>
            <w:vAlign w:val="bottom"/>
          </w:tcPr>
          <w:p>
            <w:pPr>
              <w:spacing w:after="0"/>
              <w:rPr>
                <w:sz w:val="24"/>
                <w:szCs w:val="24"/>
                <w:color w:val="auto"/>
              </w:rPr>
            </w:pP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13,844</w:t>
            </w: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25"/>
        </w:trPr>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7.50%/7.50%</w:t>
            </w: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7/21/2023</w:t>
            </w: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1/21/2027</w:t>
            </w:r>
          </w:p>
        </w:tc>
        <w:tc>
          <w:tcPr>
            <w:tcW w:w="42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12,745</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0"/>
                <w:szCs w:val="10"/>
                <w:color w:val="auto"/>
              </w:rPr>
              <w:t>12,726</w:t>
            </w:r>
          </w:p>
        </w:tc>
        <w:tc>
          <w:tcPr>
            <w:tcW w:w="120" w:type="dxa"/>
            <w:vAlign w:val="bottom"/>
          </w:tcPr>
          <w:p>
            <w:pPr>
              <w:spacing w:after="0"/>
              <w:rPr>
                <w:sz w:val="10"/>
                <w:szCs w:val="10"/>
                <w:color w:val="auto"/>
              </w:rPr>
            </w:pP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12,745</w:t>
            </w: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209"/>
        </w:trPr>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0.9%</w:t>
            </w: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7/21/2023</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3"/>
          </w:tcPr>
          <w:p>
            <w:pPr>
              <w:ind w:left="160"/>
              <w:spacing w:after="0"/>
              <w:rPr>
                <w:sz w:val="20"/>
                <w:szCs w:val="20"/>
                <w:color w:val="auto"/>
              </w:rPr>
            </w:pPr>
            <w:r>
              <w:rPr>
                <w:rFonts w:ascii="Times New Roman" w:cs="Times New Roman" w:eastAsia="Times New Roman" w:hAnsi="Times New Roman"/>
                <w:sz w:val="10"/>
                <w:szCs w:val="10"/>
                <w:color w:val="auto"/>
              </w:rPr>
              <w:t>— </w:t>
            </w:r>
          </w:p>
        </w:tc>
        <w:tc>
          <w:tcPr>
            <w:tcW w:w="420" w:type="dxa"/>
            <w:vAlign w:val="bottom"/>
            <w:gridSpan w:val="2"/>
          </w:tcPr>
          <w:p>
            <w:pPr>
              <w:ind w:left="180"/>
              <w:spacing w:after="0"/>
              <w:rPr>
                <w:sz w:val="20"/>
                <w:szCs w:val="20"/>
                <w:color w:val="auto"/>
              </w:rPr>
            </w:pPr>
            <w:r>
              <w:rPr>
                <w:rFonts w:ascii="Times New Roman" w:cs="Times New Roman" w:eastAsia="Times New Roman" w:hAnsi="Times New Roman"/>
                <w:sz w:val="10"/>
                <w:szCs w:val="10"/>
                <w:color w:val="auto"/>
              </w:rPr>
              <w:t>— </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2"/>
        </w:trPr>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0.0%</w:t>
            </w: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7/21/2023</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0"/>
                <w:szCs w:val="10"/>
                <w:color w:val="auto"/>
              </w:rPr>
              <w:t>1,000</w:t>
            </w:r>
          </w:p>
        </w:tc>
        <w:tc>
          <w:tcPr>
            <w:tcW w:w="120" w:type="dxa"/>
            <w:vAlign w:val="bottom"/>
          </w:tcPr>
          <w:p>
            <w:pPr>
              <w:spacing w:after="0"/>
              <w:rPr>
                <w:sz w:val="17"/>
                <w:szCs w:val="17"/>
                <w:color w:val="auto"/>
              </w:rPr>
            </w:pP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898</w:t>
            </w: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15"/>
        </w:trPr>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0"/>
                <w:szCs w:val="10"/>
                <w:color w:val="auto"/>
              </w:rPr>
              <w:t>27,560</w:t>
            </w:r>
          </w:p>
        </w:tc>
        <w:tc>
          <w:tcPr>
            <w:tcW w:w="120" w:type="dxa"/>
            <w:vAlign w:val="bottom"/>
          </w:tcPr>
          <w:p>
            <w:pPr>
              <w:spacing w:after="0"/>
              <w:rPr>
                <w:sz w:val="10"/>
                <w:szCs w:val="10"/>
                <w:color w:val="auto"/>
              </w:rPr>
            </w:pPr>
          </w:p>
        </w:tc>
        <w:tc>
          <w:tcPr>
            <w:tcW w:w="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27,487</w:t>
            </w:r>
          </w:p>
        </w:tc>
        <w:tc>
          <w:tcPr>
            <w:tcW w:w="100" w:type="dxa"/>
            <w:vAlign w:val="bottom"/>
          </w:tcPr>
          <w:p>
            <w:pPr>
              <w:spacing w:after="0"/>
              <w:rPr>
                <w:sz w:val="10"/>
                <w:szCs w:val="10"/>
                <w:color w:val="auto"/>
              </w:rPr>
            </w:pPr>
          </w:p>
        </w:tc>
        <w:tc>
          <w:tcPr>
            <w:tcW w:w="440" w:type="dxa"/>
            <w:vAlign w:val="bottom"/>
            <w:gridSpan w:val="2"/>
          </w:tcPr>
          <w:p>
            <w:pPr>
              <w:jc w:val="right"/>
              <w:spacing w:after="0" w:line="113" w:lineRule="exact"/>
              <w:rPr>
                <w:sz w:val="20"/>
                <w:szCs w:val="20"/>
                <w:color w:val="auto"/>
              </w:rPr>
            </w:pPr>
            <w:r>
              <w:rPr>
                <w:rFonts w:ascii="Times New Roman" w:cs="Times New Roman" w:eastAsia="Times New Roman" w:hAnsi="Times New Roman"/>
                <w:sz w:val="10"/>
                <w:szCs w:val="10"/>
                <w:color w:val="auto"/>
              </w:rPr>
              <w:t>4%</w:t>
            </w:r>
          </w:p>
        </w:tc>
      </w:tr>
      <w:tr>
        <w:trPr>
          <w:trHeight w:val="416"/>
        </w:trPr>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gridSpan w:val="2"/>
          </w:tcPr>
          <w:p>
            <w:pPr>
              <w:jc w:val="center"/>
              <w:ind w:right="60"/>
              <w:spacing w:after="0"/>
              <w:rPr>
                <w:sz w:val="20"/>
                <w:szCs w:val="20"/>
                <w:color w:val="auto"/>
              </w:rPr>
            </w:pPr>
            <w:r>
              <w:rPr>
                <w:rFonts w:ascii="Times New Roman" w:cs="Times New Roman" w:eastAsia="Times New Roman" w:hAnsi="Times New Roman"/>
                <w:sz w:val="10"/>
                <w:szCs w:val="10"/>
                <w:color w:val="auto"/>
                <w:w w:val="98"/>
              </w:rPr>
              <w:t>(S + 5.75%) / (2.25%)</w:t>
            </w: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9.41%/2.50%</w:t>
            </w: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6/21/2023</w:t>
            </w: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6/21/2028</w:t>
            </w:r>
          </w:p>
        </w:tc>
        <w:tc>
          <w:tcPr>
            <w:tcW w:w="42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27,884</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0"/>
                <w:szCs w:val="10"/>
                <w:color w:val="auto"/>
              </w:rPr>
              <w:t>27,810</w:t>
            </w:r>
          </w:p>
        </w:tc>
        <w:tc>
          <w:tcPr>
            <w:tcW w:w="120" w:type="dxa"/>
            <w:vAlign w:val="bottom"/>
          </w:tcPr>
          <w:p>
            <w:pPr>
              <w:spacing w:after="0"/>
              <w:rPr>
                <w:sz w:val="24"/>
                <w:szCs w:val="24"/>
                <w:color w:val="auto"/>
              </w:rPr>
            </w:pP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27,884</w:t>
            </w: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94"/>
        </w:trPr>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gridSpan w:val="2"/>
          </w:tcPr>
          <w:p>
            <w:pPr>
              <w:jc w:val="center"/>
              <w:ind w:right="60"/>
              <w:spacing w:after="0"/>
              <w:rPr>
                <w:sz w:val="20"/>
                <w:szCs w:val="20"/>
                <w:color w:val="auto"/>
              </w:rPr>
            </w:pPr>
            <w:r>
              <w:rPr>
                <w:rFonts w:ascii="Times New Roman" w:cs="Times New Roman" w:eastAsia="Times New Roman" w:hAnsi="Times New Roman"/>
                <w:sz w:val="10"/>
                <w:szCs w:val="10"/>
                <w:color w:val="auto"/>
                <w:w w:val="98"/>
              </w:rPr>
              <w:t>(S + 8.25%) / (2.25%)</w:t>
            </w: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11.91%/0.00%</w:t>
            </w: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7/12/2024</w:t>
            </w: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6/21/2028</w:t>
            </w:r>
          </w:p>
        </w:tc>
        <w:tc>
          <w:tcPr>
            <w:tcW w:w="42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— </w:t>
            </w:r>
          </w:p>
        </w:tc>
        <w:tc>
          <w:tcPr>
            <w:tcW w:w="440" w:type="dxa"/>
            <w:vAlign w:val="bottom"/>
            <w:gridSpan w:val="3"/>
          </w:tcPr>
          <w:p>
            <w:pPr>
              <w:jc w:val="right"/>
              <w:ind w:right="100"/>
              <w:spacing w:after="0"/>
              <w:rPr>
                <w:sz w:val="20"/>
                <w:szCs w:val="20"/>
                <w:color w:val="auto"/>
              </w:rPr>
            </w:pPr>
            <w:r>
              <w:rPr>
                <w:rFonts w:ascii="Times New Roman" w:cs="Times New Roman" w:eastAsia="Times New Roman" w:hAnsi="Times New Roman"/>
                <w:sz w:val="10"/>
                <w:szCs w:val="10"/>
                <w:color w:val="auto"/>
              </w:rPr>
              <w:t>(3)</w:t>
            </w:r>
          </w:p>
        </w:tc>
        <w:tc>
          <w:tcPr>
            <w:tcW w:w="420" w:type="dxa"/>
            <w:vAlign w:val="bottom"/>
            <w:gridSpan w:val="2"/>
          </w:tcPr>
          <w:p>
            <w:pPr>
              <w:ind w:left="180"/>
              <w:spacing w:after="0"/>
              <w:rPr>
                <w:sz w:val="20"/>
                <w:szCs w:val="20"/>
                <w:color w:val="auto"/>
              </w:rPr>
            </w:pPr>
            <w:r>
              <w:rPr>
                <w:rFonts w:ascii="Times New Roman" w:cs="Times New Roman" w:eastAsia="Times New Roman" w:hAnsi="Times New Roman"/>
                <w:sz w:val="10"/>
                <w:szCs w:val="10"/>
                <w:color w:val="auto"/>
              </w:rPr>
              <w:t>— </w:t>
            </w: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25"/>
        </w:trPr>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0.00%/14.00%</w:t>
            </w: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6/21/2023</w:t>
            </w: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6/21/2028</w:t>
            </w:r>
          </w:p>
        </w:tc>
        <w:tc>
          <w:tcPr>
            <w:tcW w:w="42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2,948</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0"/>
                <w:szCs w:val="10"/>
                <w:color w:val="auto"/>
              </w:rPr>
              <w:t>2,943</w:t>
            </w:r>
          </w:p>
        </w:tc>
        <w:tc>
          <w:tcPr>
            <w:tcW w:w="120" w:type="dxa"/>
            <w:vAlign w:val="bottom"/>
          </w:tcPr>
          <w:p>
            <w:pPr>
              <w:spacing w:after="0"/>
              <w:rPr>
                <w:sz w:val="10"/>
                <w:szCs w:val="10"/>
                <w:color w:val="auto"/>
              </w:rPr>
            </w:pP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2,947</w:t>
            </w: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202"/>
        </w:trPr>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1.7%</w:t>
            </w: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6/21/2023</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0"/>
                <w:szCs w:val="10"/>
                <w:color w:val="auto"/>
              </w:rPr>
              <w:t>602</w:t>
            </w:r>
          </w:p>
        </w:tc>
        <w:tc>
          <w:tcPr>
            <w:tcW w:w="120" w:type="dxa"/>
            <w:vAlign w:val="bottom"/>
          </w:tcPr>
          <w:p>
            <w:pPr>
              <w:spacing w:after="0"/>
              <w:rPr>
                <w:sz w:val="17"/>
                <w:szCs w:val="17"/>
                <w:color w:val="auto"/>
              </w:rPr>
            </w:pP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361</w:t>
            </w: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15"/>
        </w:trPr>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0"/>
                <w:szCs w:val="10"/>
                <w:color w:val="auto"/>
              </w:rPr>
              <w:t>31,352</w:t>
            </w:r>
          </w:p>
        </w:tc>
        <w:tc>
          <w:tcPr>
            <w:tcW w:w="120" w:type="dxa"/>
            <w:vAlign w:val="bottom"/>
          </w:tcPr>
          <w:p>
            <w:pPr>
              <w:spacing w:after="0"/>
              <w:rPr>
                <w:sz w:val="10"/>
                <w:szCs w:val="10"/>
                <w:color w:val="auto"/>
              </w:rPr>
            </w:pPr>
          </w:p>
        </w:tc>
        <w:tc>
          <w:tcPr>
            <w:tcW w:w="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31,192</w:t>
            </w:r>
          </w:p>
        </w:tc>
        <w:tc>
          <w:tcPr>
            <w:tcW w:w="100" w:type="dxa"/>
            <w:vAlign w:val="bottom"/>
          </w:tcPr>
          <w:p>
            <w:pPr>
              <w:spacing w:after="0"/>
              <w:rPr>
                <w:sz w:val="10"/>
                <w:szCs w:val="10"/>
                <w:color w:val="auto"/>
              </w:rPr>
            </w:pPr>
          </w:p>
        </w:tc>
        <w:tc>
          <w:tcPr>
            <w:tcW w:w="440" w:type="dxa"/>
            <w:vAlign w:val="bottom"/>
            <w:gridSpan w:val="2"/>
          </w:tcPr>
          <w:p>
            <w:pPr>
              <w:jc w:val="right"/>
              <w:spacing w:after="0" w:line="113" w:lineRule="exact"/>
              <w:rPr>
                <w:sz w:val="20"/>
                <w:szCs w:val="20"/>
                <w:color w:val="auto"/>
              </w:rPr>
            </w:pPr>
            <w:r>
              <w:rPr>
                <w:rFonts w:ascii="Times New Roman" w:cs="Times New Roman" w:eastAsia="Times New Roman" w:hAnsi="Times New Roman"/>
                <w:sz w:val="10"/>
                <w:szCs w:val="10"/>
                <w:color w:val="auto"/>
              </w:rPr>
              <w:t>4%</w:t>
            </w:r>
          </w:p>
        </w:tc>
      </w:tr>
      <w:tr>
        <w:trPr>
          <w:trHeight w:val="206"/>
        </w:trPr>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gridSpan w:val="2"/>
          </w:tcPr>
          <w:p>
            <w:pPr>
              <w:jc w:val="center"/>
              <w:ind w:right="60"/>
              <w:spacing w:after="0"/>
              <w:rPr>
                <w:sz w:val="20"/>
                <w:szCs w:val="20"/>
                <w:color w:val="auto"/>
              </w:rPr>
            </w:pPr>
            <w:r>
              <w:rPr>
                <w:rFonts w:ascii="Times New Roman" w:cs="Times New Roman" w:eastAsia="Times New Roman" w:hAnsi="Times New Roman"/>
                <w:sz w:val="10"/>
                <w:szCs w:val="10"/>
                <w:color w:val="auto"/>
                <w:w w:val="98"/>
              </w:rPr>
              <w:t>(S + 7.50%) / (1.00%)</w:t>
            </w: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11.46%/0.00%</w:t>
            </w: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6/10/2019</w:t>
            </w: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12/23/2026</w:t>
            </w:r>
          </w:p>
        </w:tc>
        <w:tc>
          <w:tcPr>
            <w:tcW w:w="42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24,155</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0"/>
                <w:szCs w:val="10"/>
                <w:color w:val="auto"/>
              </w:rPr>
              <w:t>24,147</w:t>
            </w:r>
          </w:p>
        </w:tc>
        <w:tc>
          <w:tcPr>
            <w:tcW w:w="120" w:type="dxa"/>
            <w:vAlign w:val="bottom"/>
          </w:tcPr>
          <w:p>
            <w:pPr>
              <w:spacing w:after="0"/>
              <w:rPr>
                <w:sz w:val="17"/>
                <w:szCs w:val="17"/>
                <w:color w:val="auto"/>
              </w:rPr>
            </w:pP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23,870</w:t>
            </w: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2"/>
        </w:trPr>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1.3%</w:t>
            </w: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2/7/2019</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0"/>
                <w:szCs w:val="10"/>
                <w:color w:val="auto"/>
              </w:rPr>
              <w:t>552</w:t>
            </w:r>
          </w:p>
        </w:tc>
        <w:tc>
          <w:tcPr>
            <w:tcW w:w="120" w:type="dxa"/>
            <w:vAlign w:val="bottom"/>
          </w:tcPr>
          <w:p>
            <w:pPr>
              <w:spacing w:after="0"/>
              <w:rPr>
                <w:sz w:val="17"/>
                <w:szCs w:val="17"/>
                <w:color w:val="auto"/>
              </w:rPr>
            </w:pP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115</w:t>
            </w: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15"/>
        </w:trPr>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0"/>
                <w:szCs w:val="10"/>
                <w:color w:val="auto"/>
              </w:rPr>
              <w:t>24,699</w:t>
            </w:r>
          </w:p>
        </w:tc>
        <w:tc>
          <w:tcPr>
            <w:tcW w:w="120" w:type="dxa"/>
            <w:vAlign w:val="bottom"/>
          </w:tcPr>
          <w:p>
            <w:pPr>
              <w:spacing w:after="0"/>
              <w:rPr>
                <w:sz w:val="10"/>
                <w:szCs w:val="10"/>
                <w:color w:val="auto"/>
              </w:rPr>
            </w:pPr>
          </w:p>
        </w:tc>
        <w:tc>
          <w:tcPr>
            <w:tcW w:w="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23,985</w:t>
            </w:r>
          </w:p>
        </w:tc>
        <w:tc>
          <w:tcPr>
            <w:tcW w:w="100" w:type="dxa"/>
            <w:vAlign w:val="bottom"/>
          </w:tcPr>
          <w:p>
            <w:pPr>
              <w:spacing w:after="0"/>
              <w:rPr>
                <w:sz w:val="10"/>
                <w:szCs w:val="10"/>
                <w:color w:val="auto"/>
              </w:rPr>
            </w:pPr>
          </w:p>
        </w:tc>
        <w:tc>
          <w:tcPr>
            <w:tcW w:w="440" w:type="dxa"/>
            <w:vAlign w:val="bottom"/>
            <w:gridSpan w:val="2"/>
          </w:tcPr>
          <w:p>
            <w:pPr>
              <w:jc w:val="right"/>
              <w:spacing w:after="0" w:line="113" w:lineRule="exact"/>
              <w:rPr>
                <w:sz w:val="20"/>
                <w:szCs w:val="20"/>
                <w:color w:val="auto"/>
              </w:rPr>
            </w:pPr>
            <w:r>
              <w:rPr>
                <w:rFonts w:ascii="Times New Roman" w:cs="Times New Roman" w:eastAsia="Times New Roman" w:hAnsi="Times New Roman"/>
                <w:sz w:val="10"/>
                <w:szCs w:val="10"/>
                <w:color w:val="auto"/>
              </w:rPr>
              <w:t>3%</w:t>
            </w:r>
          </w:p>
        </w:tc>
      </w:tr>
      <w:tr>
        <w:trPr>
          <w:trHeight w:val="206"/>
        </w:trPr>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gridSpan w:val="2"/>
          </w:tcPr>
          <w:p>
            <w:pPr>
              <w:jc w:val="center"/>
              <w:ind w:right="60"/>
              <w:spacing w:after="0"/>
              <w:rPr>
                <w:sz w:val="20"/>
                <w:szCs w:val="20"/>
                <w:color w:val="auto"/>
              </w:rPr>
            </w:pPr>
            <w:r>
              <w:rPr>
                <w:rFonts w:ascii="Times New Roman" w:cs="Times New Roman" w:eastAsia="Times New Roman" w:hAnsi="Times New Roman"/>
                <w:sz w:val="10"/>
                <w:szCs w:val="10"/>
                <w:color w:val="auto"/>
                <w:w w:val="98"/>
              </w:rPr>
              <w:t>(S + 6.00%) / (2.00%)</w:t>
            </w: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9.70%/0.00%</w:t>
            </w: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2/23/2024</w:t>
            </w: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2/23/2029</w:t>
            </w:r>
          </w:p>
        </w:tc>
        <w:tc>
          <w:tcPr>
            <w:tcW w:w="42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24,209</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0"/>
                <w:szCs w:val="10"/>
                <w:color w:val="auto"/>
              </w:rPr>
              <w:t>24,121</w:t>
            </w:r>
          </w:p>
        </w:tc>
        <w:tc>
          <w:tcPr>
            <w:tcW w:w="120" w:type="dxa"/>
            <w:vAlign w:val="bottom"/>
          </w:tcPr>
          <w:p>
            <w:pPr>
              <w:spacing w:after="0"/>
              <w:rPr>
                <w:sz w:val="17"/>
                <w:szCs w:val="17"/>
                <w:color w:val="auto"/>
              </w:rPr>
            </w:pP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24,208</w:t>
            </w: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2"/>
        </w:trPr>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1.6%</w:t>
            </w: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2/23/2024</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0"/>
                <w:szCs w:val="10"/>
                <w:color w:val="auto"/>
              </w:rPr>
              <w:t>728</w:t>
            </w:r>
          </w:p>
        </w:tc>
        <w:tc>
          <w:tcPr>
            <w:tcW w:w="120" w:type="dxa"/>
            <w:vAlign w:val="bottom"/>
          </w:tcPr>
          <w:p>
            <w:pPr>
              <w:spacing w:after="0"/>
              <w:rPr>
                <w:sz w:val="17"/>
                <w:szCs w:val="17"/>
                <w:color w:val="auto"/>
              </w:rPr>
            </w:pP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1,667</w:t>
            </w: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15"/>
        </w:trPr>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0"/>
                <w:szCs w:val="10"/>
                <w:color w:val="auto"/>
              </w:rPr>
              <w:t>24,849</w:t>
            </w:r>
          </w:p>
        </w:tc>
        <w:tc>
          <w:tcPr>
            <w:tcW w:w="120" w:type="dxa"/>
            <w:vAlign w:val="bottom"/>
          </w:tcPr>
          <w:p>
            <w:pPr>
              <w:spacing w:after="0"/>
              <w:rPr>
                <w:sz w:val="10"/>
                <w:szCs w:val="10"/>
                <w:color w:val="auto"/>
              </w:rPr>
            </w:pPr>
          </w:p>
        </w:tc>
        <w:tc>
          <w:tcPr>
            <w:tcW w:w="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25,875</w:t>
            </w:r>
          </w:p>
        </w:tc>
        <w:tc>
          <w:tcPr>
            <w:tcW w:w="100" w:type="dxa"/>
            <w:vAlign w:val="bottom"/>
          </w:tcPr>
          <w:p>
            <w:pPr>
              <w:spacing w:after="0"/>
              <w:rPr>
                <w:sz w:val="10"/>
                <w:szCs w:val="10"/>
                <w:color w:val="auto"/>
              </w:rPr>
            </w:pPr>
          </w:p>
        </w:tc>
        <w:tc>
          <w:tcPr>
            <w:tcW w:w="440" w:type="dxa"/>
            <w:vAlign w:val="bottom"/>
            <w:gridSpan w:val="2"/>
          </w:tcPr>
          <w:p>
            <w:pPr>
              <w:jc w:val="right"/>
              <w:spacing w:after="0" w:line="113" w:lineRule="exact"/>
              <w:rPr>
                <w:sz w:val="20"/>
                <w:szCs w:val="20"/>
                <w:color w:val="auto"/>
              </w:rPr>
            </w:pPr>
            <w:r>
              <w:rPr>
                <w:rFonts w:ascii="Times New Roman" w:cs="Times New Roman" w:eastAsia="Times New Roman" w:hAnsi="Times New Roman"/>
                <w:sz w:val="10"/>
                <w:szCs w:val="10"/>
                <w:color w:val="auto"/>
              </w:rPr>
              <w:t>4%</w:t>
            </w:r>
          </w:p>
        </w:tc>
      </w:tr>
      <w:tr>
        <w:trPr>
          <w:trHeight w:val="311"/>
        </w:trPr>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11.00%/2.00%</w:t>
            </w: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6/30/2025</w:t>
            </w: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6/30/2030</w:t>
            </w:r>
          </w:p>
        </w:tc>
        <w:tc>
          <w:tcPr>
            <w:tcW w:w="42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8,123</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0"/>
                <w:szCs w:val="10"/>
                <w:color w:val="auto"/>
              </w:rPr>
              <w:t>8,087</w:t>
            </w:r>
          </w:p>
        </w:tc>
        <w:tc>
          <w:tcPr>
            <w:tcW w:w="120" w:type="dxa"/>
            <w:vAlign w:val="bottom"/>
          </w:tcPr>
          <w:p>
            <w:pPr>
              <w:spacing w:after="0"/>
              <w:rPr>
                <w:sz w:val="24"/>
                <w:szCs w:val="24"/>
                <w:color w:val="auto"/>
              </w:rPr>
            </w:pP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8,123</w:t>
            </w: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02"/>
        </w:trPr>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4.1%</w:t>
            </w: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6/27/2025</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0"/>
                <w:szCs w:val="10"/>
                <w:color w:val="auto"/>
              </w:rPr>
              <w:t>1,500</w:t>
            </w:r>
          </w:p>
        </w:tc>
        <w:tc>
          <w:tcPr>
            <w:tcW w:w="120" w:type="dxa"/>
            <w:vAlign w:val="bottom"/>
          </w:tcPr>
          <w:p>
            <w:pPr>
              <w:spacing w:after="0"/>
              <w:rPr>
                <w:sz w:val="17"/>
                <w:szCs w:val="17"/>
                <w:color w:val="auto"/>
              </w:rPr>
            </w:pP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1,056</w:t>
            </w: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15"/>
        </w:trPr>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0"/>
                <w:szCs w:val="10"/>
                <w:color w:val="auto"/>
              </w:rPr>
              <w:t>9,587</w:t>
            </w:r>
          </w:p>
        </w:tc>
        <w:tc>
          <w:tcPr>
            <w:tcW w:w="120" w:type="dxa"/>
            <w:vAlign w:val="bottom"/>
          </w:tcPr>
          <w:p>
            <w:pPr>
              <w:spacing w:after="0"/>
              <w:rPr>
                <w:sz w:val="10"/>
                <w:szCs w:val="10"/>
                <w:color w:val="auto"/>
              </w:rPr>
            </w:pPr>
          </w:p>
        </w:tc>
        <w:tc>
          <w:tcPr>
            <w:tcW w:w="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9,179</w:t>
            </w:r>
          </w:p>
        </w:tc>
        <w:tc>
          <w:tcPr>
            <w:tcW w:w="100" w:type="dxa"/>
            <w:vAlign w:val="bottom"/>
          </w:tcPr>
          <w:p>
            <w:pPr>
              <w:spacing w:after="0"/>
              <w:rPr>
                <w:sz w:val="10"/>
                <w:szCs w:val="10"/>
                <w:color w:val="auto"/>
              </w:rPr>
            </w:pPr>
          </w:p>
        </w:tc>
        <w:tc>
          <w:tcPr>
            <w:tcW w:w="440" w:type="dxa"/>
            <w:vAlign w:val="bottom"/>
            <w:gridSpan w:val="2"/>
          </w:tcPr>
          <w:p>
            <w:pPr>
              <w:jc w:val="right"/>
              <w:spacing w:after="0" w:line="113" w:lineRule="exact"/>
              <w:rPr>
                <w:sz w:val="20"/>
                <w:szCs w:val="20"/>
                <w:color w:val="auto"/>
              </w:rPr>
            </w:pPr>
            <w:r>
              <w:rPr>
                <w:rFonts w:ascii="Times New Roman" w:cs="Times New Roman" w:eastAsia="Times New Roman" w:hAnsi="Times New Roman"/>
                <w:sz w:val="10"/>
                <w:szCs w:val="10"/>
                <w:color w:val="auto"/>
              </w:rPr>
              <w:t>1%</w:t>
            </w:r>
          </w:p>
        </w:tc>
      </w:tr>
      <w:tr>
        <w:trPr>
          <w:trHeight w:val="625"/>
        </w:trPr>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gridSpan w:val="2"/>
          </w:tcPr>
          <w:p>
            <w:pPr>
              <w:jc w:val="center"/>
              <w:ind w:right="60"/>
              <w:spacing w:after="0"/>
              <w:rPr>
                <w:sz w:val="20"/>
                <w:szCs w:val="20"/>
                <w:color w:val="auto"/>
              </w:rPr>
            </w:pPr>
            <w:r>
              <w:rPr>
                <w:rFonts w:ascii="Times New Roman" w:cs="Times New Roman" w:eastAsia="Times New Roman" w:hAnsi="Times New Roman"/>
                <w:sz w:val="10"/>
                <w:szCs w:val="10"/>
                <w:color w:val="auto"/>
                <w:w w:val="98"/>
              </w:rPr>
              <w:t>(S + 5.75%) / (2.00%)</w:t>
            </w: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9.41%/2.00%</w:t>
            </w: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5/20/2024</w:t>
            </w: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5/20/2029</w:t>
            </w:r>
          </w:p>
        </w:tc>
        <w:tc>
          <w:tcPr>
            <w:tcW w:w="42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20,165</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0"/>
                <w:szCs w:val="10"/>
                <w:color w:val="auto"/>
              </w:rPr>
              <w:t>20,097</w:t>
            </w:r>
          </w:p>
        </w:tc>
        <w:tc>
          <w:tcPr>
            <w:tcW w:w="120" w:type="dxa"/>
            <w:vAlign w:val="bottom"/>
          </w:tcPr>
          <w:p>
            <w:pPr>
              <w:spacing w:after="0"/>
              <w:rPr>
                <w:sz w:val="24"/>
                <w:szCs w:val="24"/>
                <w:color w:val="auto"/>
              </w:rPr>
            </w:pP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20,165</w:t>
            </w: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02"/>
        </w:trPr>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0.9%</w:t>
            </w: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5/20/2024</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0"/>
                <w:szCs w:val="10"/>
                <w:color w:val="auto"/>
              </w:rPr>
              <w:t>750</w:t>
            </w:r>
          </w:p>
        </w:tc>
        <w:tc>
          <w:tcPr>
            <w:tcW w:w="120" w:type="dxa"/>
            <w:vAlign w:val="bottom"/>
          </w:tcPr>
          <w:p>
            <w:pPr>
              <w:spacing w:after="0"/>
              <w:rPr>
                <w:sz w:val="17"/>
                <w:szCs w:val="17"/>
                <w:color w:val="auto"/>
              </w:rPr>
            </w:pP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952</w:t>
            </w: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15"/>
        </w:trPr>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0"/>
                <w:szCs w:val="10"/>
                <w:color w:val="auto"/>
              </w:rPr>
              <w:t>20,847</w:t>
            </w:r>
          </w:p>
        </w:tc>
        <w:tc>
          <w:tcPr>
            <w:tcW w:w="120" w:type="dxa"/>
            <w:vAlign w:val="bottom"/>
          </w:tcPr>
          <w:p>
            <w:pPr>
              <w:spacing w:after="0"/>
              <w:rPr>
                <w:sz w:val="10"/>
                <w:szCs w:val="10"/>
                <w:color w:val="auto"/>
              </w:rPr>
            </w:pPr>
          </w:p>
        </w:tc>
        <w:tc>
          <w:tcPr>
            <w:tcW w:w="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21,117</w:t>
            </w:r>
          </w:p>
        </w:tc>
        <w:tc>
          <w:tcPr>
            <w:tcW w:w="100" w:type="dxa"/>
            <w:vAlign w:val="bottom"/>
          </w:tcPr>
          <w:p>
            <w:pPr>
              <w:spacing w:after="0"/>
              <w:rPr>
                <w:sz w:val="10"/>
                <w:szCs w:val="10"/>
                <w:color w:val="auto"/>
              </w:rPr>
            </w:pPr>
          </w:p>
        </w:tc>
        <w:tc>
          <w:tcPr>
            <w:tcW w:w="440" w:type="dxa"/>
            <w:vAlign w:val="bottom"/>
            <w:gridSpan w:val="2"/>
          </w:tcPr>
          <w:p>
            <w:pPr>
              <w:jc w:val="right"/>
              <w:spacing w:after="0" w:line="113" w:lineRule="exact"/>
              <w:rPr>
                <w:sz w:val="20"/>
                <w:szCs w:val="20"/>
                <w:color w:val="auto"/>
              </w:rPr>
            </w:pPr>
            <w:r>
              <w:rPr>
                <w:rFonts w:ascii="Times New Roman" w:cs="Times New Roman" w:eastAsia="Times New Roman" w:hAnsi="Times New Roman"/>
                <w:sz w:val="10"/>
                <w:szCs w:val="10"/>
                <w:color w:val="auto"/>
              </w:rPr>
              <w:t>3%</w:t>
            </w:r>
          </w:p>
        </w:tc>
      </w:tr>
      <w:tr>
        <w:trPr>
          <w:trHeight w:val="416"/>
        </w:trPr>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gridSpan w:val="2"/>
          </w:tcPr>
          <w:p>
            <w:pPr>
              <w:jc w:val="center"/>
              <w:ind w:right="60"/>
              <w:spacing w:after="0"/>
              <w:rPr>
                <w:sz w:val="20"/>
                <w:szCs w:val="20"/>
                <w:color w:val="auto"/>
              </w:rPr>
            </w:pPr>
            <w:r>
              <w:rPr>
                <w:rFonts w:ascii="Times New Roman" w:cs="Times New Roman" w:eastAsia="Times New Roman" w:hAnsi="Times New Roman"/>
                <w:sz w:val="10"/>
                <w:szCs w:val="10"/>
                <w:color w:val="auto"/>
                <w:w w:val="98"/>
              </w:rPr>
              <w:t>(S + 5.00%) / (2.00%)</w:t>
            </w: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8.67%/0.00%</w:t>
            </w: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10/1/2024</w:t>
            </w: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10/1/2029</w:t>
            </w:r>
          </w:p>
        </w:tc>
        <w:tc>
          <w:tcPr>
            <w:tcW w:w="42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5,531</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0"/>
                <w:szCs w:val="10"/>
                <w:color w:val="auto"/>
              </w:rPr>
              <w:t>5,489</w:t>
            </w:r>
          </w:p>
        </w:tc>
        <w:tc>
          <w:tcPr>
            <w:tcW w:w="120" w:type="dxa"/>
            <w:vAlign w:val="bottom"/>
          </w:tcPr>
          <w:p>
            <w:pPr>
              <w:spacing w:after="0"/>
              <w:rPr>
                <w:sz w:val="24"/>
                <w:szCs w:val="24"/>
                <w:color w:val="auto"/>
              </w:rPr>
            </w:pP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5,531</w:t>
            </w: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02"/>
        </w:trPr>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3.2%</w:t>
            </w: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10/1/2024</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0"/>
                <w:szCs w:val="10"/>
                <w:color w:val="auto"/>
              </w:rPr>
              <w:t>750</w:t>
            </w:r>
          </w:p>
        </w:tc>
        <w:tc>
          <w:tcPr>
            <w:tcW w:w="120" w:type="dxa"/>
            <w:vAlign w:val="bottom"/>
          </w:tcPr>
          <w:p>
            <w:pPr>
              <w:spacing w:after="0"/>
              <w:rPr>
                <w:sz w:val="17"/>
                <w:szCs w:val="17"/>
                <w:color w:val="auto"/>
              </w:rPr>
            </w:pP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536</w:t>
            </w: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15"/>
        </w:trPr>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0"/>
                <w:szCs w:val="10"/>
                <w:color w:val="auto"/>
              </w:rPr>
              <w:t>6,239</w:t>
            </w:r>
          </w:p>
        </w:tc>
        <w:tc>
          <w:tcPr>
            <w:tcW w:w="120" w:type="dxa"/>
            <w:vAlign w:val="bottom"/>
          </w:tcPr>
          <w:p>
            <w:pPr>
              <w:spacing w:after="0"/>
              <w:rPr>
                <w:sz w:val="10"/>
                <w:szCs w:val="10"/>
                <w:color w:val="auto"/>
              </w:rPr>
            </w:pPr>
          </w:p>
        </w:tc>
        <w:tc>
          <w:tcPr>
            <w:tcW w:w="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6,067</w:t>
            </w:r>
          </w:p>
        </w:tc>
        <w:tc>
          <w:tcPr>
            <w:tcW w:w="100" w:type="dxa"/>
            <w:vAlign w:val="bottom"/>
          </w:tcPr>
          <w:p>
            <w:pPr>
              <w:spacing w:after="0"/>
              <w:rPr>
                <w:sz w:val="10"/>
                <w:szCs w:val="10"/>
                <w:color w:val="auto"/>
              </w:rPr>
            </w:pPr>
          </w:p>
        </w:tc>
        <w:tc>
          <w:tcPr>
            <w:tcW w:w="440" w:type="dxa"/>
            <w:vAlign w:val="bottom"/>
            <w:gridSpan w:val="2"/>
          </w:tcPr>
          <w:p>
            <w:pPr>
              <w:jc w:val="right"/>
              <w:spacing w:after="0" w:line="113" w:lineRule="exact"/>
              <w:rPr>
                <w:sz w:val="20"/>
                <w:szCs w:val="20"/>
                <w:color w:val="auto"/>
              </w:rPr>
            </w:pPr>
            <w:r>
              <w:rPr>
                <w:rFonts w:ascii="Times New Roman" w:cs="Times New Roman" w:eastAsia="Times New Roman" w:hAnsi="Times New Roman"/>
                <w:sz w:val="10"/>
                <w:szCs w:val="10"/>
                <w:color w:val="auto"/>
              </w:rPr>
              <w:t>1%</w:t>
            </w:r>
          </w:p>
        </w:tc>
      </w:tr>
      <w:tr>
        <w:trPr>
          <w:trHeight w:val="395"/>
        </w:trPr>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gridSpan w:val="2"/>
          </w:tcPr>
          <w:p>
            <w:pPr>
              <w:jc w:val="center"/>
              <w:ind w:right="60"/>
              <w:spacing w:after="0"/>
              <w:rPr>
                <w:sz w:val="20"/>
                <w:szCs w:val="20"/>
                <w:color w:val="auto"/>
              </w:rPr>
            </w:pPr>
            <w:r>
              <w:rPr>
                <w:rFonts w:ascii="Times New Roman" w:cs="Times New Roman" w:eastAsia="Times New Roman" w:hAnsi="Times New Roman"/>
                <w:sz w:val="10"/>
                <w:szCs w:val="10"/>
                <w:color w:val="auto"/>
                <w:w w:val="98"/>
              </w:rPr>
              <w:t>(S + 7.75%) / (1.00%)</w:t>
            </w: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11.66%/0.00%</w:t>
            </w: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3/25/2022</w:t>
            </w: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3/25/2027</w:t>
            </w:r>
          </w:p>
        </w:tc>
        <w:tc>
          <w:tcPr>
            <w:tcW w:w="42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22,894</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0"/>
                <w:szCs w:val="10"/>
                <w:color w:val="auto"/>
              </w:rPr>
              <w:t>22,848</w:t>
            </w:r>
          </w:p>
        </w:tc>
        <w:tc>
          <w:tcPr>
            <w:tcW w:w="120" w:type="dxa"/>
            <w:vAlign w:val="bottom"/>
          </w:tcPr>
          <w:p>
            <w:pPr>
              <w:spacing w:after="0"/>
              <w:rPr>
                <w:sz w:val="24"/>
                <w:szCs w:val="24"/>
                <w:color w:val="auto"/>
              </w:rPr>
            </w:pP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22,894</w:t>
            </w: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25"/>
        </w:trPr>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40" w:type="dxa"/>
            <w:vAlign w:val="bottom"/>
            <w:gridSpan w:val="2"/>
          </w:tcPr>
          <w:p>
            <w:pPr>
              <w:jc w:val="center"/>
              <w:ind w:right="60"/>
              <w:spacing w:after="0"/>
              <w:rPr>
                <w:sz w:val="20"/>
                <w:szCs w:val="20"/>
                <w:color w:val="auto"/>
              </w:rPr>
            </w:pPr>
            <w:r>
              <w:rPr>
                <w:rFonts w:ascii="Times New Roman" w:cs="Times New Roman" w:eastAsia="Times New Roman" w:hAnsi="Times New Roman"/>
                <w:sz w:val="10"/>
                <w:szCs w:val="10"/>
                <w:color w:val="auto"/>
                <w:w w:val="98"/>
              </w:rPr>
              <w:t>(S + 7.75%) / (1.00%)</w:t>
            </w: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11.66%/0.00%</w:t>
            </w: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12/27/2024</w:t>
            </w: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3/25/2027</w:t>
            </w:r>
          </w:p>
        </w:tc>
        <w:tc>
          <w:tcPr>
            <w:tcW w:w="42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12,168</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0"/>
                <w:szCs w:val="10"/>
                <w:color w:val="auto"/>
              </w:rPr>
              <w:t>12,161</w:t>
            </w:r>
          </w:p>
        </w:tc>
        <w:tc>
          <w:tcPr>
            <w:tcW w:w="120" w:type="dxa"/>
            <w:vAlign w:val="bottom"/>
          </w:tcPr>
          <w:p>
            <w:pPr>
              <w:spacing w:after="0"/>
              <w:rPr>
                <w:sz w:val="10"/>
                <w:szCs w:val="10"/>
                <w:color w:val="auto"/>
              </w:rPr>
            </w:pP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12,168</w:t>
            </w: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307"/>
        </w:trPr>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gridSpan w:val="2"/>
          </w:tcPr>
          <w:p>
            <w:pPr>
              <w:jc w:val="center"/>
              <w:ind w:right="60"/>
              <w:spacing w:after="0"/>
              <w:rPr>
                <w:sz w:val="20"/>
                <w:szCs w:val="20"/>
                <w:color w:val="auto"/>
              </w:rPr>
            </w:pPr>
            <w:r>
              <w:rPr>
                <w:rFonts w:ascii="Times New Roman" w:cs="Times New Roman" w:eastAsia="Times New Roman" w:hAnsi="Times New Roman"/>
                <w:sz w:val="10"/>
                <w:szCs w:val="10"/>
                <w:color w:val="auto"/>
                <w:w w:val="98"/>
              </w:rPr>
              <w:t>(S + 7.75%) / (1.00%)</w:t>
            </w: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11.66%/0.00%</w:t>
            </w: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12/27/2024</w:t>
            </w: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3/25/2027</w:t>
            </w:r>
          </w:p>
        </w:tc>
        <w:tc>
          <w:tcPr>
            <w:tcW w:w="42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— </w:t>
            </w:r>
          </w:p>
        </w:tc>
        <w:tc>
          <w:tcPr>
            <w:tcW w:w="440" w:type="dxa"/>
            <w:vAlign w:val="bottom"/>
            <w:gridSpan w:val="3"/>
          </w:tcPr>
          <w:p>
            <w:pPr>
              <w:ind w:left="160"/>
              <w:spacing w:after="0"/>
              <w:rPr>
                <w:sz w:val="20"/>
                <w:szCs w:val="20"/>
                <w:color w:val="auto"/>
              </w:rPr>
            </w:pPr>
            <w:r>
              <w:rPr>
                <w:rFonts w:ascii="Times New Roman" w:cs="Times New Roman" w:eastAsia="Times New Roman" w:hAnsi="Times New Roman"/>
                <w:sz w:val="10"/>
                <w:szCs w:val="10"/>
                <w:color w:val="auto"/>
              </w:rPr>
              <w:t>— </w:t>
            </w:r>
          </w:p>
        </w:tc>
        <w:tc>
          <w:tcPr>
            <w:tcW w:w="420" w:type="dxa"/>
            <w:vAlign w:val="bottom"/>
            <w:gridSpan w:val="2"/>
          </w:tcPr>
          <w:p>
            <w:pPr>
              <w:ind w:left="180"/>
              <w:spacing w:after="0"/>
              <w:rPr>
                <w:sz w:val="20"/>
                <w:szCs w:val="20"/>
                <w:color w:val="auto"/>
              </w:rPr>
            </w:pPr>
            <w:r>
              <w:rPr>
                <w:rFonts w:ascii="Times New Roman" w:cs="Times New Roman" w:eastAsia="Times New Roman" w:hAnsi="Times New Roman"/>
                <w:sz w:val="10"/>
                <w:szCs w:val="10"/>
                <w:color w:val="auto"/>
              </w:rPr>
              <w:t>— </w:t>
            </w: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15"/>
        </w:trPr>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35,009</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35,062</w:t>
            </w:r>
          </w:p>
        </w:tc>
        <w:tc>
          <w:tcPr>
            <w:tcW w:w="100" w:type="dxa"/>
            <w:vAlign w:val="bottom"/>
          </w:tcPr>
          <w:p>
            <w:pPr>
              <w:spacing w:after="0"/>
              <w:rPr>
                <w:sz w:val="10"/>
                <w:szCs w:val="10"/>
                <w:color w:val="auto"/>
              </w:rPr>
            </w:pPr>
          </w:p>
        </w:tc>
        <w:tc>
          <w:tcPr>
            <w:tcW w:w="440" w:type="dxa"/>
            <w:vAlign w:val="bottom"/>
            <w:gridSpan w:val="2"/>
          </w:tcPr>
          <w:p>
            <w:pPr>
              <w:jc w:val="right"/>
              <w:spacing w:after="0" w:line="113" w:lineRule="exact"/>
              <w:rPr>
                <w:sz w:val="20"/>
                <w:szCs w:val="20"/>
                <w:color w:val="auto"/>
              </w:rPr>
            </w:pPr>
            <w:r>
              <w:rPr>
                <w:rFonts w:ascii="Times New Roman" w:cs="Times New Roman" w:eastAsia="Times New Roman" w:hAnsi="Times New Roman"/>
                <w:sz w:val="10"/>
                <w:szCs w:val="10"/>
                <w:color w:val="auto"/>
              </w:rPr>
              <w:t>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-2059940</wp:posOffset>
            </wp:positionH>
            <wp:positionV relativeFrom="paragraph">
              <wp:posOffset>-4557395</wp:posOffset>
            </wp:positionV>
            <wp:extent cx="5422265" cy="1397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8">
                      <a:extLst>
                        <a:ext uri="{28A0092B-C50C-407E-A947-70E740481C1C}"/>
                      </a:extLst>
                    </a:blip>
                    <a:srcRect/>
                    <a:stretch>
                      <a:fillRect/>
                    </a:stretch>
                  </pic:blipFill>
                  <pic:spPr bwMode="auto">
                    <a:xfrm>
                      <a:off x="0" y="0"/>
                      <a:ext cx="5422265" cy="139700"/>
                    </a:xfrm>
                    <a:prstGeom prst="rect">
                      <a:avLst/>
                    </a:prstGeom>
                    <a:noFill/>
                  </pic:spPr>
                </pic:pic>
              </a:graphicData>
            </a:graphic>
          </wp:anchor>
        </w:drawing>
        <w:drawing>
          <wp:anchor simplePos="0" relativeHeight="251657728" behindDoc="1" locked="0" layoutInCell="0" allowOverlap="1">
            <wp:simplePos x="0" y="0"/>
            <wp:positionH relativeFrom="column">
              <wp:posOffset>-2059940</wp:posOffset>
            </wp:positionH>
            <wp:positionV relativeFrom="paragraph">
              <wp:posOffset>-4231640</wp:posOffset>
            </wp:positionV>
            <wp:extent cx="5422265" cy="13271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9">
                      <a:extLst>
                        <a:ext uri="{28A0092B-C50C-407E-A947-70E740481C1C}"/>
                      </a:extLst>
                    </a:blip>
                    <a:srcRect/>
                    <a:stretch>
                      <a:fillRect/>
                    </a:stretch>
                  </pic:blipFill>
                  <pic:spPr bwMode="auto">
                    <a:xfrm>
                      <a:off x="0" y="0"/>
                      <a:ext cx="5422265" cy="132715"/>
                    </a:xfrm>
                    <a:prstGeom prst="rect">
                      <a:avLst/>
                    </a:prstGeom>
                    <a:noFill/>
                  </pic:spPr>
                </pic:pic>
              </a:graphicData>
            </a:graphic>
          </wp:anchor>
        </w:drawing>
        <w:drawing>
          <wp:anchor simplePos="0" relativeHeight="251657728" behindDoc="1" locked="0" layoutInCell="0" allowOverlap="1">
            <wp:simplePos x="0" y="0"/>
            <wp:positionH relativeFrom="column">
              <wp:posOffset>-2059940</wp:posOffset>
            </wp:positionH>
            <wp:positionV relativeFrom="paragraph">
              <wp:posOffset>-3966210</wp:posOffset>
            </wp:positionV>
            <wp:extent cx="5422265" cy="6667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50">
                      <a:extLst>
                        <a:ext uri="{28A0092B-C50C-407E-A947-70E740481C1C}"/>
                      </a:extLst>
                    </a:blip>
                    <a:srcRect/>
                    <a:stretch>
                      <a:fillRect/>
                    </a:stretch>
                  </pic:blipFill>
                  <pic:spPr bwMode="auto">
                    <a:xfrm>
                      <a:off x="0" y="0"/>
                      <a:ext cx="5422265" cy="66675"/>
                    </a:xfrm>
                    <a:prstGeom prst="rect">
                      <a:avLst/>
                    </a:prstGeom>
                    <a:noFill/>
                  </pic:spPr>
                </pic:pic>
              </a:graphicData>
            </a:graphic>
          </wp:anchor>
        </w:drawing>
        <w:drawing>
          <wp:anchor simplePos="0" relativeHeight="251657728" behindDoc="1" locked="0" layoutInCell="0" allowOverlap="1">
            <wp:simplePos x="0" y="0"/>
            <wp:positionH relativeFrom="column">
              <wp:posOffset>-2059940</wp:posOffset>
            </wp:positionH>
            <wp:positionV relativeFrom="paragraph">
              <wp:posOffset>-3766820</wp:posOffset>
            </wp:positionV>
            <wp:extent cx="5422265" cy="13271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51">
                      <a:extLst>
                        <a:ext uri="{28A0092B-C50C-407E-A947-70E740481C1C}"/>
                      </a:extLst>
                    </a:blip>
                    <a:srcRect/>
                    <a:stretch>
                      <a:fillRect/>
                    </a:stretch>
                  </pic:blipFill>
                  <pic:spPr bwMode="auto">
                    <a:xfrm>
                      <a:off x="0" y="0"/>
                      <a:ext cx="5422265" cy="132715"/>
                    </a:xfrm>
                    <a:prstGeom prst="rect">
                      <a:avLst/>
                    </a:prstGeom>
                    <a:noFill/>
                  </pic:spPr>
                </pic:pic>
              </a:graphicData>
            </a:graphic>
          </wp:anchor>
        </w:drawing>
        <w:drawing>
          <wp:anchor simplePos="0" relativeHeight="251657728" behindDoc="1" locked="0" layoutInCell="0" allowOverlap="1">
            <wp:simplePos x="0" y="0"/>
            <wp:positionH relativeFrom="column">
              <wp:posOffset>-2059940</wp:posOffset>
            </wp:positionH>
            <wp:positionV relativeFrom="paragraph">
              <wp:posOffset>-3554095</wp:posOffset>
            </wp:positionV>
            <wp:extent cx="5422265" cy="13271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52">
                      <a:extLst>
                        <a:ext uri="{28A0092B-C50C-407E-A947-70E740481C1C}"/>
                      </a:extLst>
                    </a:blip>
                    <a:srcRect/>
                    <a:stretch>
                      <a:fillRect/>
                    </a:stretch>
                  </pic:blipFill>
                  <pic:spPr bwMode="auto">
                    <a:xfrm>
                      <a:off x="0" y="0"/>
                      <a:ext cx="5422265" cy="132715"/>
                    </a:xfrm>
                    <a:prstGeom prst="rect">
                      <a:avLst/>
                    </a:prstGeom>
                    <a:noFill/>
                  </pic:spPr>
                </pic:pic>
              </a:graphicData>
            </a:graphic>
          </wp:anchor>
        </w:drawing>
        <w:drawing>
          <wp:anchor simplePos="0" relativeHeight="251657728" behindDoc="1" locked="0" layoutInCell="0" allowOverlap="1">
            <wp:simplePos x="0" y="0"/>
            <wp:positionH relativeFrom="column">
              <wp:posOffset>-2059940</wp:posOffset>
            </wp:positionH>
            <wp:positionV relativeFrom="paragraph">
              <wp:posOffset>-3288030</wp:posOffset>
            </wp:positionV>
            <wp:extent cx="5422265" cy="1993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53">
                      <a:extLst>
                        <a:ext uri="{28A0092B-C50C-407E-A947-70E740481C1C}"/>
                      </a:extLst>
                    </a:blip>
                    <a:srcRect/>
                    <a:stretch>
                      <a:fillRect/>
                    </a:stretch>
                  </pic:blipFill>
                  <pic:spPr bwMode="auto">
                    <a:xfrm>
                      <a:off x="0" y="0"/>
                      <a:ext cx="5422265" cy="199390"/>
                    </a:xfrm>
                    <a:prstGeom prst="rect">
                      <a:avLst/>
                    </a:prstGeom>
                    <a:noFill/>
                  </pic:spPr>
                </pic:pic>
              </a:graphicData>
            </a:graphic>
          </wp:anchor>
        </w:drawing>
        <w:drawing>
          <wp:anchor simplePos="0" relativeHeight="251657728" behindDoc="1" locked="0" layoutInCell="0" allowOverlap="1">
            <wp:simplePos x="0" y="0"/>
            <wp:positionH relativeFrom="column">
              <wp:posOffset>-2059940</wp:posOffset>
            </wp:positionH>
            <wp:positionV relativeFrom="paragraph">
              <wp:posOffset>-3022600</wp:posOffset>
            </wp:positionV>
            <wp:extent cx="5422265" cy="13271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54">
                      <a:extLst>
                        <a:ext uri="{28A0092B-C50C-407E-A947-70E740481C1C}"/>
                      </a:extLst>
                    </a:blip>
                    <a:srcRect/>
                    <a:stretch>
                      <a:fillRect/>
                    </a:stretch>
                  </pic:blipFill>
                  <pic:spPr bwMode="auto">
                    <a:xfrm>
                      <a:off x="0" y="0"/>
                      <a:ext cx="5422265" cy="132715"/>
                    </a:xfrm>
                    <a:prstGeom prst="rect">
                      <a:avLst/>
                    </a:prstGeom>
                    <a:noFill/>
                  </pic:spPr>
                </pic:pic>
              </a:graphicData>
            </a:graphic>
          </wp:anchor>
        </w:drawing>
        <w:drawing>
          <wp:anchor simplePos="0" relativeHeight="251657728" behindDoc="1" locked="0" layoutInCell="0" allowOverlap="1">
            <wp:simplePos x="0" y="0"/>
            <wp:positionH relativeFrom="column">
              <wp:posOffset>-2059940</wp:posOffset>
            </wp:positionH>
            <wp:positionV relativeFrom="paragraph">
              <wp:posOffset>-2809875</wp:posOffset>
            </wp:positionV>
            <wp:extent cx="5422265" cy="6667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5">
                      <a:extLst>
                        <a:ext uri="{28A0092B-C50C-407E-A947-70E740481C1C}"/>
                      </a:extLst>
                    </a:blip>
                    <a:srcRect/>
                    <a:stretch>
                      <a:fillRect/>
                    </a:stretch>
                  </pic:blipFill>
                  <pic:spPr bwMode="auto">
                    <a:xfrm>
                      <a:off x="0" y="0"/>
                      <a:ext cx="5422265" cy="66675"/>
                    </a:xfrm>
                    <a:prstGeom prst="rect">
                      <a:avLst/>
                    </a:prstGeom>
                    <a:noFill/>
                  </pic:spPr>
                </pic:pic>
              </a:graphicData>
            </a:graphic>
          </wp:anchor>
        </w:drawing>
        <w:drawing>
          <wp:anchor simplePos="0" relativeHeight="251657728" behindDoc="1" locked="0" layoutInCell="0" allowOverlap="1">
            <wp:simplePos x="0" y="0"/>
            <wp:positionH relativeFrom="column">
              <wp:posOffset>-2059940</wp:posOffset>
            </wp:positionH>
            <wp:positionV relativeFrom="paragraph">
              <wp:posOffset>-2677160</wp:posOffset>
            </wp:positionV>
            <wp:extent cx="5422265" cy="13271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6">
                      <a:extLst>
                        <a:ext uri="{28A0092B-C50C-407E-A947-70E740481C1C}"/>
                      </a:extLst>
                    </a:blip>
                    <a:srcRect/>
                    <a:stretch>
                      <a:fillRect/>
                    </a:stretch>
                  </pic:blipFill>
                  <pic:spPr bwMode="auto">
                    <a:xfrm>
                      <a:off x="0" y="0"/>
                      <a:ext cx="5422265" cy="132715"/>
                    </a:xfrm>
                    <a:prstGeom prst="rect">
                      <a:avLst/>
                    </a:prstGeom>
                    <a:noFill/>
                  </pic:spPr>
                </pic:pic>
              </a:graphicData>
            </a:graphic>
          </wp:anchor>
        </w:drawing>
        <w:drawing>
          <wp:anchor simplePos="0" relativeHeight="251657728" behindDoc="1" locked="0" layoutInCell="0" allowOverlap="1">
            <wp:simplePos x="0" y="0"/>
            <wp:positionH relativeFrom="column">
              <wp:posOffset>-2059940</wp:posOffset>
            </wp:positionH>
            <wp:positionV relativeFrom="paragraph">
              <wp:posOffset>-2464435</wp:posOffset>
            </wp:positionV>
            <wp:extent cx="5422265" cy="6667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7">
                      <a:extLst>
                        <a:ext uri="{28A0092B-C50C-407E-A947-70E740481C1C}"/>
                      </a:extLst>
                    </a:blip>
                    <a:srcRect/>
                    <a:stretch>
                      <a:fillRect/>
                    </a:stretch>
                  </pic:blipFill>
                  <pic:spPr bwMode="auto">
                    <a:xfrm>
                      <a:off x="0" y="0"/>
                      <a:ext cx="5422265" cy="66675"/>
                    </a:xfrm>
                    <a:prstGeom prst="rect">
                      <a:avLst/>
                    </a:prstGeom>
                    <a:noFill/>
                  </pic:spPr>
                </pic:pic>
              </a:graphicData>
            </a:graphic>
          </wp:anchor>
        </w:drawing>
        <w:drawing>
          <wp:anchor simplePos="0" relativeHeight="251657728" behindDoc="1" locked="0" layoutInCell="0" allowOverlap="1">
            <wp:simplePos x="0" y="0"/>
            <wp:positionH relativeFrom="column">
              <wp:posOffset>-2059940</wp:posOffset>
            </wp:positionH>
            <wp:positionV relativeFrom="paragraph">
              <wp:posOffset>-2331085</wp:posOffset>
            </wp:positionV>
            <wp:extent cx="5422265" cy="13271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8">
                      <a:extLst>
                        <a:ext uri="{28A0092B-C50C-407E-A947-70E740481C1C}"/>
                      </a:extLst>
                    </a:blip>
                    <a:srcRect/>
                    <a:stretch>
                      <a:fillRect/>
                    </a:stretch>
                  </pic:blipFill>
                  <pic:spPr bwMode="auto">
                    <a:xfrm>
                      <a:off x="0" y="0"/>
                      <a:ext cx="5422265" cy="132715"/>
                    </a:xfrm>
                    <a:prstGeom prst="rect">
                      <a:avLst/>
                    </a:prstGeom>
                    <a:noFill/>
                  </pic:spPr>
                </pic:pic>
              </a:graphicData>
            </a:graphic>
          </wp:anchor>
        </w:drawing>
        <w:drawing>
          <wp:anchor simplePos="0" relativeHeight="251657728" behindDoc="1" locked="0" layoutInCell="0" allowOverlap="1">
            <wp:simplePos x="0" y="0"/>
            <wp:positionH relativeFrom="column">
              <wp:posOffset>-2059940</wp:posOffset>
            </wp:positionH>
            <wp:positionV relativeFrom="paragraph">
              <wp:posOffset>-2118995</wp:posOffset>
            </wp:positionV>
            <wp:extent cx="5422265" cy="13271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9">
                      <a:extLst>
                        <a:ext uri="{28A0092B-C50C-407E-A947-70E740481C1C}"/>
                      </a:extLst>
                    </a:blip>
                    <a:srcRect/>
                    <a:stretch>
                      <a:fillRect/>
                    </a:stretch>
                  </pic:blipFill>
                  <pic:spPr bwMode="auto">
                    <a:xfrm>
                      <a:off x="0" y="0"/>
                      <a:ext cx="5422265" cy="132715"/>
                    </a:xfrm>
                    <a:prstGeom prst="rect">
                      <a:avLst/>
                    </a:prstGeom>
                    <a:noFill/>
                  </pic:spPr>
                </pic:pic>
              </a:graphicData>
            </a:graphic>
          </wp:anchor>
        </w:drawing>
        <w:drawing>
          <wp:anchor simplePos="0" relativeHeight="251657728" behindDoc="1" locked="0" layoutInCell="0" allowOverlap="1">
            <wp:simplePos x="0" y="0"/>
            <wp:positionH relativeFrom="column">
              <wp:posOffset>-2059940</wp:posOffset>
            </wp:positionH>
            <wp:positionV relativeFrom="paragraph">
              <wp:posOffset>-1919605</wp:posOffset>
            </wp:positionV>
            <wp:extent cx="5422265" cy="13271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60">
                      <a:extLst>
                        <a:ext uri="{28A0092B-C50C-407E-A947-70E740481C1C}"/>
                      </a:extLst>
                    </a:blip>
                    <a:srcRect/>
                    <a:stretch>
                      <a:fillRect/>
                    </a:stretch>
                  </pic:blipFill>
                  <pic:spPr bwMode="auto">
                    <a:xfrm>
                      <a:off x="0" y="0"/>
                      <a:ext cx="5422265" cy="132715"/>
                    </a:xfrm>
                    <a:prstGeom prst="rect">
                      <a:avLst/>
                    </a:prstGeom>
                    <a:noFill/>
                  </pic:spPr>
                </pic:pic>
              </a:graphicData>
            </a:graphic>
          </wp:anchor>
        </w:drawing>
        <w:drawing>
          <wp:anchor simplePos="0" relativeHeight="251657728" behindDoc="1" locked="0" layoutInCell="0" allowOverlap="1">
            <wp:simplePos x="0" y="0"/>
            <wp:positionH relativeFrom="column">
              <wp:posOffset>-2059940</wp:posOffset>
            </wp:positionH>
            <wp:positionV relativeFrom="paragraph">
              <wp:posOffset>-1706880</wp:posOffset>
            </wp:positionV>
            <wp:extent cx="5422265" cy="1993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61">
                      <a:extLst>
                        <a:ext uri="{28A0092B-C50C-407E-A947-70E740481C1C}"/>
                      </a:extLst>
                    </a:blip>
                    <a:srcRect/>
                    <a:stretch>
                      <a:fillRect/>
                    </a:stretch>
                  </pic:blipFill>
                  <pic:spPr bwMode="auto">
                    <a:xfrm>
                      <a:off x="0" y="0"/>
                      <a:ext cx="5422265" cy="199390"/>
                    </a:xfrm>
                    <a:prstGeom prst="rect">
                      <a:avLst/>
                    </a:prstGeom>
                    <a:noFill/>
                  </pic:spPr>
                </pic:pic>
              </a:graphicData>
            </a:graphic>
          </wp:anchor>
        </w:drawing>
        <w:drawing>
          <wp:anchor simplePos="0" relativeHeight="251657728" behindDoc="1" locked="0" layoutInCell="0" allowOverlap="1">
            <wp:simplePos x="0" y="0"/>
            <wp:positionH relativeFrom="column">
              <wp:posOffset>-2059940</wp:posOffset>
            </wp:positionH>
            <wp:positionV relativeFrom="paragraph">
              <wp:posOffset>-1308100</wp:posOffset>
            </wp:positionV>
            <wp:extent cx="5422265" cy="13271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62">
                      <a:extLst>
                        <a:ext uri="{28A0092B-C50C-407E-A947-70E740481C1C}"/>
                      </a:extLst>
                    </a:blip>
                    <a:srcRect/>
                    <a:stretch>
                      <a:fillRect/>
                    </a:stretch>
                  </pic:blipFill>
                  <pic:spPr bwMode="auto">
                    <a:xfrm>
                      <a:off x="0" y="0"/>
                      <a:ext cx="5422265" cy="132715"/>
                    </a:xfrm>
                    <a:prstGeom prst="rect">
                      <a:avLst/>
                    </a:prstGeom>
                    <a:noFill/>
                  </pic:spPr>
                </pic:pic>
              </a:graphicData>
            </a:graphic>
          </wp:anchor>
        </w:drawing>
        <w:drawing>
          <wp:anchor simplePos="0" relativeHeight="251657728" behindDoc="1" locked="0" layoutInCell="0" allowOverlap="1">
            <wp:simplePos x="0" y="0"/>
            <wp:positionH relativeFrom="column">
              <wp:posOffset>-2059940</wp:posOffset>
            </wp:positionH>
            <wp:positionV relativeFrom="paragraph">
              <wp:posOffset>-1095375</wp:posOffset>
            </wp:positionV>
            <wp:extent cx="5422265" cy="13271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63">
                      <a:extLst>
                        <a:ext uri="{28A0092B-C50C-407E-A947-70E740481C1C}"/>
                      </a:extLst>
                    </a:blip>
                    <a:srcRect/>
                    <a:stretch>
                      <a:fillRect/>
                    </a:stretch>
                  </pic:blipFill>
                  <pic:spPr bwMode="auto">
                    <a:xfrm>
                      <a:off x="0" y="0"/>
                      <a:ext cx="5422265" cy="132715"/>
                    </a:xfrm>
                    <a:prstGeom prst="rect">
                      <a:avLst/>
                    </a:prstGeom>
                    <a:noFill/>
                  </pic:spPr>
                </pic:pic>
              </a:graphicData>
            </a:graphic>
          </wp:anchor>
        </w:drawing>
        <w:drawing>
          <wp:anchor simplePos="0" relativeHeight="251657728" behindDoc="1" locked="0" layoutInCell="0" allowOverlap="1">
            <wp:simplePos x="0" y="0"/>
            <wp:positionH relativeFrom="column">
              <wp:posOffset>-2059940</wp:posOffset>
            </wp:positionH>
            <wp:positionV relativeFrom="paragraph">
              <wp:posOffset>-829310</wp:posOffset>
            </wp:positionV>
            <wp:extent cx="5422265" cy="13271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64">
                      <a:extLst>
                        <a:ext uri="{28A0092B-C50C-407E-A947-70E740481C1C}"/>
                      </a:extLst>
                    </a:blip>
                    <a:srcRect/>
                    <a:stretch>
                      <a:fillRect/>
                    </a:stretch>
                  </pic:blipFill>
                  <pic:spPr bwMode="auto">
                    <a:xfrm>
                      <a:off x="0" y="0"/>
                      <a:ext cx="5422265" cy="132715"/>
                    </a:xfrm>
                    <a:prstGeom prst="rect">
                      <a:avLst/>
                    </a:prstGeom>
                    <a:noFill/>
                  </pic:spPr>
                </pic:pic>
              </a:graphicData>
            </a:graphic>
          </wp:anchor>
        </w:drawing>
        <w:drawing>
          <wp:anchor simplePos="0" relativeHeight="251657728" behindDoc="1" locked="0" layoutInCell="0" allowOverlap="1">
            <wp:simplePos x="0" y="0"/>
            <wp:positionH relativeFrom="column">
              <wp:posOffset>-2059940</wp:posOffset>
            </wp:positionH>
            <wp:positionV relativeFrom="paragraph">
              <wp:posOffset>-617220</wp:posOffset>
            </wp:positionV>
            <wp:extent cx="5422265" cy="13271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65">
                      <a:extLst>
                        <a:ext uri="{28A0092B-C50C-407E-A947-70E740481C1C}"/>
                      </a:extLst>
                    </a:blip>
                    <a:srcRect/>
                    <a:stretch>
                      <a:fillRect/>
                    </a:stretch>
                  </pic:blipFill>
                  <pic:spPr bwMode="auto">
                    <a:xfrm>
                      <a:off x="0" y="0"/>
                      <a:ext cx="5422265" cy="132715"/>
                    </a:xfrm>
                    <a:prstGeom prst="rect">
                      <a:avLst/>
                    </a:prstGeom>
                    <a:noFill/>
                  </pic:spPr>
                </pic:pic>
              </a:graphicData>
            </a:graphic>
          </wp:anchor>
        </w:drawing>
        <w:drawing>
          <wp:anchor simplePos="0" relativeHeight="251657728" behindDoc="1" locked="0" layoutInCell="0" allowOverlap="1">
            <wp:simplePos x="0" y="0"/>
            <wp:positionH relativeFrom="column">
              <wp:posOffset>-2059940</wp:posOffset>
            </wp:positionH>
            <wp:positionV relativeFrom="paragraph">
              <wp:posOffset>-351155</wp:posOffset>
            </wp:positionV>
            <wp:extent cx="5422265" cy="6667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6">
                      <a:extLst>
                        <a:ext uri="{28A0092B-C50C-407E-A947-70E740481C1C}"/>
                      </a:extLst>
                    </a:blip>
                    <a:srcRect/>
                    <a:stretch>
                      <a:fillRect/>
                    </a:stretch>
                  </pic:blipFill>
                  <pic:spPr bwMode="auto">
                    <a:xfrm>
                      <a:off x="0" y="0"/>
                      <a:ext cx="5422265" cy="66675"/>
                    </a:xfrm>
                    <a:prstGeom prst="rect">
                      <a:avLst/>
                    </a:prstGeom>
                    <a:noFill/>
                  </pic:spPr>
                </pic:pic>
              </a:graphicData>
            </a:graphic>
          </wp:anchor>
        </w:drawing>
        <w:drawing>
          <wp:anchor simplePos="0" relativeHeight="251657728" behindDoc="1" locked="0" layoutInCell="0" allowOverlap="1">
            <wp:simplePos x="0" y="0"/>
            <wp:positionH relativeFrom="column">
              <wp:posOffset>-2059940</wp:posOffset>
            </wp:positionH>
            <wp:positionV relativeFrom="paragraph">
              <wp:posOffset>-72390</wp:posOffset>
            </wp:positionV>
            <wp:extent cx="5422265" cy="6667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7">
                      <a:extLst>
                        <a:ext uri="{28A0092B-C50C-407E-A947-70E740481C1C}"/>
                      </a:extLst>
                    </a:blip>
                    <a:srcRect/>
                    <a:stretch>
                      <a:fillRect/>
                    </a:stretch>
                  </pic:blipFill>
                  <pic:spPr bwMode="auto">
                    <a:xfrm>
                      <a:off x="0" y="0"/>
                      <a:ext cx="5422265" cy="66675"/>
                    </a:xfrm>
                    <a:prstGeom prst="rect">
                      <a:avLst/>
                    </a:prstGeom>
                    <a:noFill/>
                  </pic:spPr>
                </pic:pic>
              </a:graphicData>
            </a:graphic>
          </wp:anchor>
        </w:drawing>
      </w:r>
    </w:p>
    <w:p>
      <w:pPr>
        <w:spacing w:after="0" w:line="71"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4"/>
          <w:szCs w:val="14"/>
          <w:color w:val="auto"/>
        </w:rPr>
        <w:t>51</w:t>
      </w:r>
    </w:p>
    <w:p>
      <w:pPr>
        <w:sectPr>
          <w:pgSz w:w="11900" w:h="16838" w:orient="portrait"/>
          <w:cols w:equalWidth="0" w:num="2">
            <w:col w:w="4560" w:space="60"/>
            <w:col w:w="5539"/>
          </w:cols>
          <w:pgMar w:left="300" w:top="384" w:right="1440" w:bottom="1440" w:gutter="0" w:footer="0" w:header="0"/>
          <w:type w:val="continuous"/>
        </w:sectPr>
      </w:pPr>
    </w:p>
    <w:bookmarkStart w:id="55" w:name="page56"/>
    <w:bookmarkEnd w:id="55"/>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52" w:lineRule="exact"/>
        <w:rPr>
          <w:sz w:val="20"/>
          <w:szCs w:val="20"/>
          <w:color w:val="auto"/>
        </w:rPr>
      </w:pPr>
    </w:p>
    <w:tbl>
      <w:tblPr>
        <w:tblLayout w:type="fixed"/>
        <w:tblInd w:w="1380" w:type="dxa"/>
        <w:tblCellMar>
          <w:top w:w="0" w:type="dxa"/>
          <w:left w:w="0" w:type="dxa"/>
          <w:bottom w:w="0" w:type="dxa"/>
          <w:right w:w="0" w:type="dxa"/>
        </w:tblCellMar>
      </w:tblPr>
      <w:tr>
        <w:trPr>
          <w:trHeight w:val="94"/>
        </w:trPr>
        <w:tc>
          <w:tcPr>
            <w:tcW w:w="1320" w:type="dxa"/>
            <w:vAlign w:val="bottom"/>
            <w:gridSpan w:val="2"/>
          </w:tcPr>
          <w:p>
            <w:pPr>
              <w:spacing w:after="0"/>
              <w:rPr>
                <w:sz w:val="20"/>
                <w:szCs w:val="20"/>
                <w:color w:val="auto"/>
              </w:rPr>
            </w:pPr>
            <w:r>
              <w:rPr>
                <w:rFonts w:ascii="Times New Roman" w:cs="Times New Roman" w:eastAsia="Times New Roman" w:hAnsi="Times New Roman"/>
                <w:sz w:val="8"/>
                <w:szCs w:val="8"/>
                <w:b w:val="1"/>
                <w:bCs w:val="1"/>
                <w:color w:val="auto"/>
              </w:rPr>
              <w:t>Portfolio Company (a)(b)</w:t>
            </w:r>
          </w:p>
        </w:tc>
        <w:tc>
          <w:tcPr>
            <w:tcW w:w="900" w:type="dxa"/>
            <w:vAlign w:val="bottom"/>
          </w:tcPr>
          <w:p>
            <w:pPr>
              <w:spacing w:after="0"/>
              <w:rPr>
                <w:sz w:val="8"/>
                <w:szCs w:val="8"/>
                <w:color w:val="auto"/>
              </w:rPr>
            </w:pPr>
          </w:p>
        </w:tc>
        <w:tc>
          <w:tcPr>
            <w:tcW w:w="60" w:type="dxa"/>
            <w:vAlign w:val="bottom"/>
          </w:tcPr>
          <w:p>
            <w:pPr>
              <w:spacing w:after="0"/>
              <w:rPr>
                <w:sz w:val="8"/>
                <w:szCs w:val="8"/>
                <w:color w:val="auto"/>
              </w:rPr>
            </w:pPr>
          </w:p>
        </w:tc>
        <w:tc>
          <w:tcPr>
            <w:tcW w:w="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1320" w:type="dxa"/>
            <w:vAlign w:val="bottom"/>
            <w:gridSpan w:val="2"/>
          </w:tcPr>
          <w:p>
            <w:pPr>
              <w:spacing w:after="0"/>
              <w:rPr>
                <w:sz w:val="20"/>
                <w:szCs w:val="20"/>
                <w:color w:val="auto"/>
              </w:rPr>
            </w:pPr>
            <w:r>
              <w:rPr>
                <w:rFonts w:ascii="Times New Roman" w:cs="Times New Roman" w:eastAsia="Times New Roman" w:hAnsi="Times New Roman"/>
                <w:sz w:val="8"/>
                <w:szCs w:val="8"/>
                <w:b w:val="1"/>
                <w:bCs w:val="1"/>
                <w:color w:val="auto"/>
              </w:rPr>
              <w:t>Address of Portfolio Company</w:t>
            </w:r>
          </w:p>
        </w:tc>
        <w:tc>
          <w:tcPr>
            <w:tcW w:w="900" w:type="dxa"/>
            <w:vAlign w:val="bottom"/>
          </w:tcPr>
          <w:p>
            <w:pPr>
              <w:ind w:left="100"/>
              <w:spacing w:after="0"/>
              <w:rPr>
                <w:sz w:val="20"/>
                <w:szCs w:val="20"/>
                <w:color w:val="auto"/>
              </w:rPr>
            </w:pPr>
            <w:r>
              <w:rPr>
                <w:rFonts w:ascii="Times New Roman" w:cs="Times New Roman" w:eastAsia="Times New Roman" w:hAnsi="Times New Roman"/>
                <w:sz w:val="8"/>
                <w:szCs w:val="8"/>
                <w:b w:val="1"/>
                <w:bCs w:val="1"/>
                <w:color w:val="auto"/>
              </w:rPr>
              <w:t>Investment Type (c)</w:t>
            </w:r>
          </w:p>
        </w:tc>
        <w:tc>
          <w:tcPr>
            <w:tcW w:w="60" w:type="dxa"/>
            <w:vAlign w:val="bottom"/>
          </w:tcPr>
          <w:p>
            <w:pPr>
              <w:spacing w:after="0"/>
              <w:rPr>
                <w:sz w:val="10"/>
                <w:szCs w:val="10"/>
                <w:color w:val="auto"/>
              </w:rPr>
            </w:pPr>
          </w:p>
        </w:tc>
        <w:tc>
          <w:tcPr>
            <w:tcW w:w="940" w:type="dxa"/>
            <w:vAlign w:val="bottom"/>
          </w:tcPr>
          <w:p>
            <w:pPr>
              <w:ind w:left="320"/>
              <w:spacing w:after="0"/>
              <w:rPr>
                <w:sz w:val="20"/>
                <w:szCs w:val="20"/>
                <w:color w:val="auto"/>
              </w:rPr>
            </w:pPr>
            <w:r>
              <w:rPr>
                <w:rFonts w:ascii="Times New Roman" w:cs="Times New Roman" w:eastAsia="Times New Roman" w:hAnsi="Times New Roman"/>
                <w:sz w:val="8"/>
                <w:szCs w:val="8"/>
                <w:b w:val="1"/>
                <w:bCs w:val="1"/>
                <w:color w:val="auto"/>
              </w:rPr>
              <w:t>Industry</w:t>
            </w:r>
          </w:p>
        </w:tc>
        <w:tc>
          <w:tcPr>
            <w:tcW w:w="0" w:type="dxa"/>
            <w:vAlign w:val="bottom"/>
          </w:tcPr>
          <w:p>
            <w:pPr>
              <w:spacing w:after="0"/>
              <w:rPr>
                <w:sz w:val="1"/>
                <w:szCs w:val="1"/>
                <w:color w:val="auto"/>
              </w:rPr>
            </w:pPr>
          </w:p>
        </w:tc>
      </w:tr>
      <w:tr>
        <w:trPr>
          <w:trHeight w:val="72"/>
        </w:trPr>
        <w:tc>
          <w:tcPr>
            <w:tcW w:w="1100" w:type="dxa"/>
            <w:vAlign w:val="bottom"/>
            <w:tcBorders>
              <w:top w:val="single" w:sz="8" w:color="auto"/>
            </w:tcBorders>
          </w:tcPr>
          <w:p>
            <w:pPr>
              <w:spacing w:after="0" w:line="73" w:lineRule="exact"/>
              <w:rPr>
                <w:sz w:val="20"/>
                <w:szCs w:val="20"/>
                <w:color w:val="auto"/>
              </w:rPr>
            </w:pPr>
            <w:r>
              <w:rPr>
                <w:rFonts w:ascii="Times New Roman" w:cs="Times New Roman" w:eastAsia="Times New Roman" w:hAnsi="Times New Roman"/>
                <w:sz w:val="7"/>
                <w:szCs w:val="7"/>
                <w:i w:val="1"/>
                <w:iCs w:val="1"/>
                <w:color w:val="auto"/>
              </w:rPr>
              <w:t>Fraser Steel LLC</w:t>
            </w:r>
          </w:p>
        </w:tc>
        <w:tc>
          <w:tcPr>
            <w:tcW w:w="220" w:type="dxa"/>
            <w:vAlign w:val="bottom"/>
          </w:tcPr>
          <w:p>
            <w:pPr>
              <w:spacing w:after="0"/>
              <w:rPr>
                <w:sz w:val="6"/>
                <w:szCs w:val="6"/>
                <w:color w:val="auto"/>
              </w:rPr>
            </w:pPr>
          </w:p>
        </w:tc>
        <w:tc>
          <w:tcPr>
            <w:tcW w:w="900" w:type="dxa"/>
            <w:vAlign w:val="bottom"/>
            <w:tcBorders>
              <w:top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940" w:type="dxa"/>
            <w:vAlign w:val="bottom"/>
            <w:tcBorders>
              <w:top w:val="single" w:sz="8" w:color="auto"/>
            </w:tcBorders>
          </w:tcPr>
          <w:p>
            <w:pPr>
              <w:spacing w:after="0" w:line="73" w:lineRule="exact"/>
              <w:rPr>
                <w:sz w:val="20"/>
                <w:szCs w:val="20"/>
                <w:color w:val="auto"/>
              </w:rPr>
            </w:pPr>
            <w:r>
              <w:rPr>
                <w:rFonts w:ascii="Times New Roman" w:cs="Times New Roman" w:eastAsia="Times New Roman" w:hAnsi="Times New Roman"/>
                <w:sz w:val="7"/>
                <w:szCs w:val="7"/>
                <w:color w:val="auto"/>
              </w:rPr>
              <w:t>Component</w:t>
            </w:r>
          </w:p>
        </w:tc>
        <w:tc>
          <w:tcPr>
            <w:tcW w:w="0" w:type="dxa"/>
            <w:vAlign w:val="bottom"/>
          </w:tcPr>
          <w:p>
            <w:pPr>
              <w:spacing w:after="0"/>
              <w:rPr>
                <w:sz w:val="1"/>
                <w:szCs w:val="1"/>
                <w:color w:val="auto"/>
              </w:rPr>
            </w:pPr>
          </w:p>
        </w:tc>
      </w:tr>
      <w:tr>
        <w:trPr>
          <w:trHeight w:val="125"/>
        </w:trPr>
        <w:tc>
          <w:tcPr>
            <w:tcW w:w="13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0"/>
                <w:szCs w:val="10"/>
                <w:color w:val="auto"/>
              </w:rPr>
              <w:t>11915 53rd St. NE</w:t>
            </w:r>
          </w:p>
        </w:tc>
        <w:tc>
          <w:tcPr>
            <w:tcW w:w="900" w:type="dxa"/>
            <w:vAlign w:val="bottom"/>
            <w:vMerge w:val="restart"/>
          </w:tcPr>
          <w:p>
            <w:pPr>
              <w:spacing w:after="0"/>
              <w:rPr>
                <w:sz w:val="20"/>
                <w:szCs w:val="20"/>
                <w:color w:val="auto"/>
              </w:rPr>
            </w:pPr>
            <w:r>
              <w:rPr>
                <w:rFonts w:ascii="Times New Roman" w:cs="Times New Roman" w:eastAsia="Times New Roman" w:hAnsi="Times New Roman"/>
                <w:sz w:val="10"/>
                <w:szCs w:val="10"/>
                <w:color w:val="auto"/>
              </w:rPr>
              <w:t>First Lien Debt (bm)</w:t>
            </w:r>
          </w:p>
        </w:tc>
        <w:tc>
          <w:tcPr>
            <w:tcW w:w="1000" w:type="dxa"/>
            <w:vAlign w:val="bottom"/>
            <w:gridSpan w:val="2"/>
          </w:tcPr>
          <w:p>
            <w:pPr>
              <w:ind w:left="60"/>
              <w:spacing w:after="0"/>
              <w:rPr>
                <w:sz w:val="20"/>
                <w:szCs w:val="20"/>
                <w:color w:val="auto"/>
              </w:rPr>
            </w:pPr>
            <w:r>
              <w:rPr>
                <w:rFonts w:ascii="Times New Roman" w:cs="Times New Roman" w:eastAsia="Times New Roman" w:hAnsi="Times New Roman"/>
                <w:sz w:val="10"/>
                <w:szCs w:val="10"/>
                <w:color w:val="auto"/>
              </w:rPr>
              <w:t>Manufacturing</w:t>
            </w:r>
          </w:p>
        </w:tc>
        <w:tc>
          <w:tcPr>
            <w:tcW w:w="0" w:type="dxa"/>
            <w:vAlign w:val="bottom"/>
          </w:tcPr>
          <w:p>
            <w:pPr>
              <w:spacing w:after="0"/>
              <w:rPr>
                <w:sz w:val="1"/>
                <w:szCs w:val="1"/>
                <w:color w:val="auto"/>
              </w:rPr>
            </w:pPr>
          </w:p>
        </w:tc>
      </w:tr>
      <w:tr>
        <w:trPr>
          <w:trHeight w:val="84"/>
        </w:trPr>
        <w:tc>
          <w:tcPr>
            <w:tcW w:w="1320" w:type="dxa"/>
            <w:vAlign w:val="bottom"/>
            <w:gridSpan w:val="2"/>
            <w:vMerge w:val="continue"/>
          </w:tcPr>
          <w:p>
            <w:pPr>
              <w:spacing w:after="0"/>
              <w:rPr>
                <w:sz w:val="7"/>
                <w:szCs w:val="7"/>
                <w:color w:val="auto"/>
              </w:rPr>
            </w:pPr>
          </w:p>
        </w:tc>
        <w:tc>
          <w:tcPr>
            <w:tcW w:w="90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9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5"/>
        </w:trPr>
        <w:tc>
          <w:tcPr>
            <w:tcW w:w="1320" w:type="dxa"/>
            <w:vAlign w:val="bottom"/>
            <w:gridSpan w:val="2"/>
          </w:tcPr>
          <w:p>
            <w:pPr>
              <w:ind w:left="100"/>
              <w:spacing w:after="0" w:line="105" w:lineRule="exact"/>
              <w:rPr>
                <w:sz w:val="20"/>
                <w:szCs w:val="20"/>
                <w:color w:val="auto"/>
              </w:rPr>
            </w:pPr>
            <w:r>
              <w:rPr>
                <w:rFonts w:ascii="Times New Roman" w:cs="Times New Roman" w:eastAsia="Times New Roman" w:hAnsi="Times New Roman"/>
                <w:sz w:val="10"/>
                <w:szCs w:val="10"/>
                <w:color w:val="auto"/>
              </w:rPr>
              <w:t>Albertville, MN 55362</w:t>
            </w:r>
          </w:p>
        </w:tc>
        <w:tc>
          <w:tcPr>
            <w:tcW w:w="900" w:type="dxa"/>
            <w:vAlign w:val="bottom"/>
          </w:tcPr>
          <w:p>
            <w:pPr>
              <w:spacing w:after="0" w:line="105" w:lineRule="exact"/>
              <w:rPr>
                <w:sz w:val="20"/>
                <w:szCs w:val="20"/>
                <w:color w:val="auto"/>
              </w:rPr>
            </w:pPr>
            <w:r>
              <w:rPr>
                <w:rFonts w:ascii="Times New Roman" w:cs="Times New Roman" w:eastAsia="Times New Roman" w:hAnsi="Times New Roman"/>
                <w:sz w:val="10"/>
                <w:szCs w:val="10"/>
                <w:color w:val="auto"/>
              </w:rPr>
              <w:t>Common Equity</w:t>
            </w:r>
          </w:p>
        </w:tc>
        <w:tc>
          <w:tcPr>
            <w:tcW w:w="6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1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0"/>
                <w:szCs w:val="10"/>
                <w:color w:val="auto"/>
              </w:rPr>
              <w:t>(500,000 units) (h)</w:t>
            </w:r>
          </w:p>
        </w:tc>
        <w:tc>
          <w:tcPr>
            <w:tcW w:w="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0"/>
        </w:trPr>
        <w:tc>
          <w:tcPr>
            <w:tcW w:w="1320" w:type="dxa"/>
            <w:vAlign w:val="bottom"/>
            <w:gridSpan w:val="2"/>
          </w:tcPr>
          <w:p>
            <w:pPr>
              <w:spacing w:after="0"/>
              <w:rPr>
                <w:sz w:val="20"/>
                <w:szCs w:val="20"/>
                <w:color w:val="auto"/>
              </w:rPr>
            </w:pPr>
            <w:r>
              <w:rPr>
                <w:rFonts w:ascii="Times New Roman" w:cs="Times New Roman" w:eastAsia="Times New Roman" w:hAnsi="Times New Roman"/>
                <w:sz w:val="10"/>
                <w:szCs w:val="10"/>
                <w:i w:val="1"/>
                <w:iCs w:val="1"/>
                <w:color w:val="auto"/>
              </w:rPr>
              <w:t>Fumex, LLC</w:t>
            </w:r>
          </w:p>
        </w:tc>
        <w:tc>
          <w:tcPr>
            <w:tcW w:w="900" w:type="dxa"/>
            <w:vAlign w:val="bottom"/>
          </w:tcPr>
          <w:p>
            <w:pPr>
              <w:spacing w:after="0"/>
              <w:rPr>
                <w:sz w:val="18"/>
                <w:szCs w:val="18"/>
                <w:color w:val="auto"/>
              </w:rPr>
            </w:pPr>
          </w:p>
        </w:tc>
        <w:tc>
          <w:tcPr>
            <w:tcW w:w="1000" w:type="dxa"/>
            <w:vAlign w:val="bottom"/>
            <w:gridSpan w:val="2"/>
          </w:tcPr>
          <w:p>
            <w:pPr>
              <w:ind w:left="60"/>
              <w:spacing w:after="0"/>
              <w:rPr>
                <w:sz w:val="20"/>
                <w:szCs w:val="20"/>
                <w:color w:val="auto"/>
              </w:rPr>
            </w:pPr>
            <w:r>
              <w:rPr>
                <w:rFonts w:ascii="Times New Roman" w:cs="Times New Roman" w:eastAsia="Times New Roman" w:hAnsi="Times New Roman"/>
                <w:sz w:val="10"/>
                <w:szCs w:val="10"/>
                <w:color w:val="auto"/>
              </w:rPr>
              <w:t>Industrial Product</w:t>
            </w:r>
          </w:p>
        </w:tc>
        <w:tc>
          <w:tcPr>
            <w:tcW w:w="0" w:type="dxa"/>
            <w:vAlign w:val="bottom"/>
          </w:tcPr>
          <w:p>
            <w:pPr>
              <w:spacing w:after="0"/>
              <w:rPr>
                <w:sz w:val="1"/>
                <w:szCs w:val="1"/>
                <w:color w:val="auto"/>
              </w:rPr>
            </w:pPr>
          </w:p>
        </w:tc>
      </w:tr>
      <w:tr>
        <w:trPr>
          <w:trHeight w:val="125"/>
        </w:trPr>
        <w:tc>
          <w:tcPr>
            <w:tcW w:w="13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0"/>
                <w:szCs w:val="10"/>
                <w:color w:val="auto"/>
              </w:rPr>
              <w:t>1150 Cobb International</w:t>
            </w:r>
          </w:p>
        </w:tc>
        <w:tc>
          <w:tcPr>
            <w:tcW w:w="900" w:type="dxa"/>
            <w:vAlign w:val="bottom"/>
          </w:tcPr>
          <w:p>
            <w:pPr>
              <w:spacing w:after="0"/>
              <w:rPr>
                <w:sz w:val="10"/>
                <w:szCs w:val="10"/>
                <w:color w:val="auto"/>
              </w:rPr>
            </w:pPr>
          </w:p>
        </w:tc>
        <w:tc>
          <w:tcPr>
            <w:tcW w:w="1000" w:type="dxa"/>
            <w:vAlign w:val="bottom"/>
            <w:gridSpan w:val="2"/>
          </w:tcPr>
          <w:p>
            <w:pPr>
              <w:ind w:left="60"/>
              <w:spacing w:after="0"/>
              <w:rPr>
                <w:sz w:val="20"/>
                <w:szCs w:val="20"/>
                <w:color w:val="auto"/>
              </w:rPr>
            </w:pPr>
            <w:r>
              <w:rPr>
                <w:rFonts w:ascii="Times New Roman" w:cs="Times New Roman" w:eastAsia="Times New Roman" w:hAnsi="Times New Roman"/>
                <w:sz w:val="10"/>
                <w:szCs w:val="10"/>
                <w:color w:val="auto"/>
              </w:rPr>
              <w:t>Services</w:t>
            </w:r>
          </w:p>
        </w:tc>
        <w:tc>
          <w:tcPr>
            <w:tcW w:w="0" w:type="dxa"/>
            <w:vAlign w:val="bottom"/>
          </w:tcPr>
          <w:p>
            <w:pPr>
              <w:spacing w:after="0"/>
              <w:rPr>
                <w:sz w:val="1"/>
                <w:szCs w:val="1"/>
                <w:color w:val="auto"/>
              </w:rPr>
            </w:pPr>
          </w:p>
        </w:tc>
      </w:tr>
      <w:tr>
        <w:trPr>
          <w:trHeight w:val="84"/>
        </w:trPr>
        <w:tc>
          <w:tcPr>
            <w:tcW w:w="1320" w:type="dxa"/>
            <w:vAlign w:val="bottom"/>
            <w:gridSpan w:val="2"/>
            <w:vMerge w:val="continue"/>
          </w:tcPr>
          <w:p>
            <w:pPr>
              <w:spacing w:after="0"/>
              <w:rPr>
                <w:sz w:val="7"/>
                <w:szCs w:val="7"/>
                <w:color w:val="auto"/>
              </w:rPr>
            </w:pPr>
          </w:p>
        </w:tc>
        <w:tc>
          <w:tcPr>
            <w:tcW w:w="900" w:type="dxa"/>
            <w:vAlign w:val="bottom"/>
          </w:tcPr>
          <w:p>
            <w:pPr>
              <w:spacing w:after="0"/>
              <w:rPr>
                <w:sz w:val="7"/>
                <w:szCs w:val="7"/>
                <w:color w:val="auto"/>
              </w:rPr>
            </w:pPr>
          </w:p>
        </w:tc>
        <w:tc>
          <w:tcPr>
            <w:tcW w:w="60" w:type="dxa"/>
            <w:vAlign w:val="bottom"/>
          </w:tcPr>
          <w:p>
            <w:pPr>
              <w:spacing w:after="0"/>
              <w:rPr>
                <w:sz w:val="7"/>
                <w:szCs w:val="7"/>
                <w:color w:val="auto"/>
              </w:rPr>
            </w:pPr>
          </w:p>
        </w:tc>
        <w:tc>
          <w:tcPr>
            <w:tcW w:w="9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5"/>
        </w:trPr>
        <w:tc>
          <w:tcPr>
            <w:tcW w:w="1320" w:type="dxa"/>
            <w:vAlign w:val="bottom"/>
            <w:gridSpan w:val="2"/>
          </w:tcPr>
          <w:p>
            <w:pPr>
              <w:ind w:left="100"/>
              <w:spacing w:after="0" w:line="105" w:lineRule="exact"/>
              <w:rPr>
                <w:sz w:val="20"/>
                <w:szCs w:val="20"/>
                <w:color w:val="auto"/>
              </w:rPr>
            </w:pPr>
            <w:r>
              <w:rPr>
                <w:rFonts w:ascii="Times New Roman" w:cs="Times New Roman" w:eastAsia="Times New Roman" w:hAnsi="Times New Roman"/>
                <w:sz w:val="10"/>
                <w:szCs w:val="10"/>
                <w:color w:val="auto"/>
              </w:rPr>
              <w:t>Place</w:t>
            </w:r>
          </w:p>
        </w:tc>
        <w:tc>
          <w:tcPr>
            <w:tcW w:w="900" w:type="dxa"/>
            <w:vAlign w:val="bottom"/>
          </w:tcPr>
          <w:p>
            <w:pPr>
              <w:spacing w:after="0" w:line="105" w:lineRule="exact"/>
              <w:rPr>
                <w:sz w:val="20"/>
                <w:szCs w:val="20"/>
                <w:color w:val="auto"/>
              </w:rPr>
            </w:pPr>
            <w:r>
              <w:rPr>
                <w:rFonts w:ascii="Times New Roman" w:cs="Times New Roman" w:eastAsia="Times New Roman" w:hAnsi="Times New Roman"/>
                <w:sz w:val="10"/>
                <w:szCs w:val="10"/>
                <w:color w:val="auto"/>
              </w:rPr>
              <w:t>First Lien Debt (j)(ar)</w:t>
            </w:r>
          </w:p>
        </w:tc>
        <w:tc>
          <w:tcPr>
            <w:tcW w:w="6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320" w:type="dxa"/>
            <w:vAlign w:val="bottom"/>
            <w:gridSpan w:val="2"/>
          </w:tcPr>
          <w:p>
            <w:pPr>
              <w:ind w:left="100"/>
              <w:spacing w:after="0" w:line="105" w:lineRule="exact"/>
              <w:rPr>
                <w:sz w:val="20"/>
                <w:szCs w:val="20"/>
                <w:color w:val="auto"/>
              </w:rPr>
            </w:pPr>
            <w:r>
              <w:rPr>
                <w:rFonts w:ascii="Times New Roman" w:cs="Times New Roman" w:eastAsia="Times New Roman" w:hAnsi="Times New Roman"/>
                <w:sz w:val="10"/>
                <w:szCs w:val="10"/>
                <w:color w:val="auto"/>
              </w:rPr>
              <w:t>Kennesaw, GA 30152</w:t>
            </w:r>
          </w:p>
        </w:tc>
        <w:tc>
          <w:tcPr>
            <w:tcW w:w="900" w:type="dxa"/>
            <w:vAlign w:val="bottom"/>
          </w:tcPr>
          <w:p>
            <w:pPr>
              <w:spacing w:after="0" w:line="105" w:lineRule="exact"/>
              <w:rPr>
                <w:sz w:val="20"/>
                <w:szCs w:val="20"/>
                <w:color w:val="auto"/>
              </w:rPr>
            </w:pPr>
            <w:r>
              <w:rPr>
                <w:rFonts w:ascii="Times New Roman" w:cs="Times New Roman" w:eastAsia="Times New Roman" w:hAnsi="Times New Roman"/>
                <w:sz w:val="10"/>
                <w:szCs w:val="10"/>
                <w:color w:val="auto"/>
              </w:rPr>
              <w:t>Common Equity</w:t>
            </w:r>
          </w:p>
        </w:tc>
        <w:tc>
          <w:tcPr>
            <w:tcW w:w="6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1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0"/>
                <w:szCs w:val="10"/>
                <w:color w:val="auto"/>
              </w:rPr>
              <w:t>(3,500 units) (h)</w:t>
            </w:r>
          </w:p>
        </w:tc>
        <w:tc>
          <w:tcPr>
            <w:tcW w:w="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8"/>
        </w:trPr>
        <w:tc>
          <w:tcPr>
            <w:tcW w:w="1320" w:type="dxa"/>
            <w:vAlign w:val="bottom"/>
            <w:gridSpan w:val="2"/>
          </w:tcPr>
          <w:p>
            <w:pPr>
              <w:spacing w:after="0"/>
              <w:rPr>
                <w:sz w:val="20"/>
                <w:szCs w:val="20"/>
                <w:color w:val="auto"/>
              </w:rPr>
            </w:pPr>
            <w:r>
              <w:rPr>
                <w:rFonts w:ascii="Times New Roman" w:cs="Times New Roman" w:eastAsia="Times New Roman" w:hAnsi="Times New Roman"/>
                <w:sz w:val="10"/>
                <w:szCs w:val="10"/>
                <w:i w:val="1"/>
                <w:iCs w:val="1"/>
                <w:color w:val="auto"/>
              </w:rPr>
              <w:t>Gap Intelligence Acquisition,</w:t>
            </w:r>
          </w:p>
        </w:tc>
        <w:tc>
          <w:tcPr>
            <w:tcW w:w="900" w:type="dxa"/>
            <w:vAlign w:val="bottom"/>
          </w:tcPr>
          <w:p>
            <w:pPr>
              <w:spacing w:after="0"/>
              <w:rPr>
                <w:sz w:val="18"/>
                <w:szCs w:val="18"/>
                <w:color w:val="auto"/>
              </w:rPr>
            </w:pPr>
          </w:p>
        </w:tc>
        <w:tc>
          <w:tcPr>
            <w:tcW w:w="1000" w:type="dxa"/>
            <w:vAlign w:val="bottom"/>
            <w:gridSpan w:val="2"/>
          </w:tcPr>
          <w:p>
            <w:pPr>
              <w:ind w:left="60"/>
              <w:spacing w:after="0"/>
              <w:rPr>
                <w:sz w:val="20"/>
                <w:szCs w:val="20"/>
                <w:color w:val="auto"/>
              </w:rPr>
            </w:pPr>
            <w:r>
              <w:rPr>
                <w:rFonts w:ascii="Times New Roman" w:cs="Times New Roman" w:eastAsia="Times New Roman" w:hAnsi="Times New Roman"/>
                <w:sz w:val="10"/>
                <w:szCs w:val="10"/>
                <w:color w:val="auto"/>
              </w:rPr>
              <w:t>Information</w:t>
            </w:r>
          </w:p>
        </w:tc>
        <w:tc>
          <w:tcPr>
            <w:tcW w:w="0" w:type="dxa"/>
            <w:vAlign w:val="bottom"/>
          </w:tcPr>
          <w:p>
            <w:pPr>
              <w:spacing w:after="0"/>
              <w:rPr>
                <w:sz w:val="1"/>
                <w:szCs w:val="1"/>
                <w:color w:val="auto"/>
              </w:rPr>
            </w:pPr>
          </w:p>
        </w:tc>
      </w:tr>
      <w:tr>
        <w:trPr>
          <w:trHeight w:val="107"/>
        </w:trPr>
        <w:tc>
          <w:tcPr>
            <w:tcW w:w="1320" w:type="dxa"/>
            <w:vAlign w:val="bottom"/>
            <w:gridSpan w:val="2"/>
          </w:tcPr>
          <w:p>
            <w:pPr>
              <w:spacing w:after="0" w:line="107" w:lineRule="exact"/>
              <w:rPr>
                <w:sz w:val="20"/>
                <w:szCs w:val="20"/>
                <w:color w:val="auto"/>
              </w:rPr>
            </w:pPr>
            <w:r>
              <w:rPr>
                <w:rFonts w:ascii="Times New Roman" w:cs="Times New Roman" w:eastAsia="Times New Roman" w:hAnsi="Times New Roman"/>
                <w:sz w:val="10"/>
                <w:szCs w:val="10"/>
                <w:i w:val="1"/>
                <w:iCs w:val="1"/>
                <w:color w:val="auto"/>
              </w:rPr>
              <w:t>LLC (dba OpenBrand)</w:t>
            </w:r>
          </w:p>
        </w:tc>
        <w:tc>
          <w:tcPr>
            <w:tcW w:w="900" w:type="dxa"/>
            <w:vAlign w:val="bottom"/>
          </w:tcPr>
          <w:p>
            <w:pPr>
              <w:spacing w:after="0"/>
              <w:rPr>
                <w:sz w:val="9"/>
                <w:szCs w:val="9"/>
                <w:color w:val="auto"/>
              </w:rPr>
            </w:pPr>
          </w:p>
        </w:tc>
        <w:tc>
          <w:tcPr>
            <w:tcW w:w="1000" w:type="dxa"/>
            <w:vAlign w:val="bottom"/>
            <w:gridSpan w:val="2"/>
          </w:tcPr>
          <w:p>
            <w:pPr>
              <w:ind w:left="60"/>
              <w:spacing w:after="0" w:line="107" w:lineRule="exact"/>
              <w:rPr>
                <w:sz w:val="20"/>
                <w:szCs w:val="20"/>
                <w:color w:val="auto"/>
              </w:rPr>
            </w:pPr>
            <w:r>
              <w:rPr>
                <w:rFonts w:ascii="Times New Roman" w:cs="Times New Roman" w:eastAsia="Times New Roman" w:hAnsi="Times New Roman"/>
                <w:sz w:val="10"/>
                <w:szCs w:val="10"/>
                <w:color w:val="auto"/>
              </w:rPr>
              <w:t>Technology Services</w:t>
            </w:r>
          </w:p>
        </w:tc>
        <w:tc>
          <w:tcPr>
            <w:tcW w:w="0" w:type="dxa"/>
            <w:vAlign w:val="bottom"/>
          </w:tcPr>
          <w:p>
            <w:pPr>
              <w:spacing w:after="0"/>
              <w:rPr>
                <w:sz w:val="1"/>
                <w:szCs w:val="1"/>
                <w:color w:val="auto"/>
              </w:rPr>
            </w:pPr>
          </w:p>
        </w:tc>
      </w:tr>
      <w:tr>
        <w:trPr>
          <w:trHeight w:val="105"/>
        </w:trPr>
        <w:tc>
          <w:tcPr>
            <w:tcW w:w="1320" w:type="dxa"/>
            <w:vAlign w:val="bottom"/>
            <w:gridSpan w:val="2"/>
          </w:tcPr>
          <w:p>
            <w:pPr>
              <w:ind w:left="100"/>
              <w:spacing w:after="0" w:line="105" w:lineRule="exact"/>
              <w:rPr>
                <w:sz w:val="20"/>
                <w:szCs w:val="20"/>
                <w:color w:val="auto"/>
              </w:rPr>
            </w:pPr>
            <w:r>
              <w:rPr>
                <w:rFonts w:ascii="Times New Roman" w:cs="Times New Roman" w:eastAsia="Times New Roman" w:hAnsi="Times New Roman"/>
                <w:sz w:val="10"/>
                <w:szCs w:val="10"/>
                <w:color w:val="auto"/>
              </w:rPr>
              <w:t>701 Island Ave., Suite 300</w:t>
            </w:r>
          </w:p>
        </w:tc>
        <w:tc>
          <w:tcPr>
            <w:tcW w:w="900" w:type="dxa"/>
            <w:vAlign w:val="bottom"/>
          </w:tcPr>
          <w:p>
            <w:pPr>
              <w:spacing w:after="0" w:line="105" w:lineRule="exact"/>
              <w:rPr>
                <w:sz w:val="20"/>
                <w:szCs w:val="20"/>
                <w:color w:val="auto"/>
              </w:rPr>
            </w:pPr>
            <w:r>
              <w:rPr>
                <w:rFonts w:ascii="Times New Roman" w:cs="Times New Roman" w:eastAsia="Times New Roman" w:hAnsi="Times New Roman"/>
                <w:sz w:val="10"/>
                <w:szCs w:val="10"/>
                <w:color w:val="auto"/>
              </w:rPr>
              <w:t>First Lien Debt</w:t>
            </w:r>
          </w:p>
        </w:tc>
        <w:tc>
          <w:tcPr>
            <w:tcW w:w="6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320" w:type="dxa"/>
            <w:vAlign w:val="bottom"/>
            <w:gridSpan w:val="2"/>
          </w:tcPr>
          <w:p>
            <w:pPr>
              <w:ind w:left="100"/>
              <w:spacing w:after="0" w:line="105" w:lineRule="exact"/>
              <w:rPr>
                <w:sz w:val="20"/>
                <w:szCs w:val="20"/>
                <w:color w:val="auto"/>
              </w:rPr>
            </w:pPr>
            <w:r>
              <w:rPr>
                <w:rFonts w:ascii="Times New Roman" w:cs="Times New Roman" w:eastAsia="Times New Roman" w:hAnsi="Times New Roman"/>
                <w:sz w:val="10"/>
                <w:szCs w:val="10"/>
                <w:color w:val="auto"/>
              </w:rPr>
              <w:t>San Diego, CA 92101</w:t>
            </w:r>
          </w:p>
        </w:tc>
        <w:tc>
          <w:tcPr>
            <w:tcW w:w="900" w:type="dxa"/>
            <w:vAlign w:val="bottom"/>
          </w:tcPr>
          <w:p>
            <w:pPr>
              <w:spacing w:after="0" w:line="105" w:lineRule="exact"/>
              <w:rPr>
                <w:sz w:val="20"/>
                <w:szCs w:val="20"/>
                <w:color w:val="auto"/>
              </w:rPr>
            </w:pPr>
            <w:r>
              <w:rPr>
                <w:rFonts w:ascii="Times New Roman" w:cs="Times New Roman" w:eastAsia="Times New Roman" w:hAnsi="Times New Roman"/>
                <w:sz w:val="10"/>
                <w:szCs w:val="10"/>
                <w:color w:val="auto"/>
              </w:rPr>
              <w:t>Preferred Equity (951</w:t>
            </w:r>
          </w:p>
        </w:tc>
        <w:tc>
          <w:tcPr>
            <w:tcW w:w="6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tcPr>
          <w:p>
            <w:pPr>
              <w:spacing w:after="0" w:line="105" w:lineRule="exact"/>
              <w:rPr>
                <w:sz w:val="20"/>
                <w:szCs w:val="20"/>
                <w:color w:val="auto"/>
              </w:rPr>
            </w:pPr>
            <w:r>
              <w:rPr>
                <w:rFonts w:ascii="Times New Roman" w:cs="Times New Roman" w:eastAsia="Times New Roman" w:hAnsi="Times New Roman"/>
                <w:sz w:val="10"/>
                <w:szCs w:val="10"/>
                <w:color w:val="auto"/>
              </w:rPr>
              <w:t>units)</w:t>
            </w:r>
          </w:p>
        </w:tc>
        <w:tc>
          <w:tcPr>
            <w:tcW w:w="6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tcPr>
          <w:p>
            <w:pPr>
              <w:spacing w:after="0" w:line="105" w:lineRule="exact"/>
              <w:rPr>
                <w:sz w:val="20"/>
                <w:szCs w:val="20"/>
                <w:color w:val="auto"/>
              </w:rPr>
            </w:pPr>
            <w:r>
              <w:rPr>
                <w:rFonts w:ascii="Times New Roman" w:cs="Times New Roman" w:eastAsia="Times New Roman" w:hAnsi="Times New Roman"/>
                <w:sz w:val="10"/>
                <w:szCs w:val="10"/>
                <w:color w:val="auto"/>
              </w:rPr>
              <w:t>Common Equity (951</w:t>
            </w:r>
          </w:p>
        </w:tc>
        <w:tc>
          <w:tcPr>
            <w:tcW w:w="6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1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0"/>
                <w:szCs w:val="10"/>
                <w:color w:val="auto"/>
              </w:rPr>
              <w:t>units)</w:t>
            </w:r>
          </w:p>
        </w:tc>
        <w:tc>
          <w:tcPr>
            <w:tcW w:w="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0"/>
        </w:trPr>
        <w:tc>
          <w:tcPr>
            <w:tcW w:w="1320" w:type="dxa"/>
            <w:vAlign w:val="bottom"/>
            <w:gridSpan w:val="2"/>
          </w:tcPr>
          <w:p>
            <w:pPr>
              <w:spacing w:after="0"/>
              <w:rPr>
                <w:sz w:val="20"/>
                <w:szCs w:val="20"/>
                <w:color w:val="auto"/>
              </w:rPr>
            </w:pPr>
            <w:r>
              <w:rPr>
                <w:rFonts w:ascii="Times New Roman" w:cs="Times New Roman" w:eastAsia="Times New Roman" w:hAnsi="Times New Roman"/>
                <w:sz w:val="10"/>
                <w:szCs w:val="10"/>
                <w:i w:val="1"/>
                <w:iCs w:val="1"/>
                <w:color w:val="auto"/>
              </w:rPr>
              <w:t>Global Plasma Solutions, Inc.</w:t>
            </w:r>
          </w:p>
        </w:tc>
        <w:tc>
          <w:tcPr>
            <w:tcW w:w="900" w:type="dxa"/>
            <w:vAlign w:val="bottom"/>
          </w:tcPr>
          <w:p>
            <w:pPr>
              <w:spacing w:after="0"/>
              <w:rPr>
                <w:sz w:val="18"/>
                <w:szCs w:val="18"/>
                <w:color w:val="auto"/>
              </w:rPr>
            </w:pPr>
          </w:p>
        </w:tc>
        <w:tc>
          <w:tcPr>
            <w:tcW w:w="1000" w:type="dxa"/>
            <w:vAlign w:val="bottom"/>
            <w:gridSpan w:val="2"/>
          </w:tcPr>
          <w:p>
            <w:pPr>
              <w:ind w:left="60"/>
              <w:spacing w:after="0"/>
              <w:rPr>
                <w:sz w:val="20"/>
                <w:szCs w:val="20"/>
                <w:color w:val="auto"/>
              </w:rPr>
            </w:pPr>
            <w:r>
              <w:rPr>
                <w:rFonts w:ascii="Times New Roman" w:cs="Times New Roman" w:eastAsia="Times New Roman" w:hAnsi="Times New Roman"/>
                <w:sz w:val="10"/>
                <w:szCs w:val="10"/>
                <w:color w:val="auto"/>
              </w:rPr>
              <w:t>Component</w:t>
            </w:r>
          </w:p>
        </w:tc>
        <w:tc>
          <w:tcPr>
            <w:tcW w:w="0" w:type="dxa"/>
            <w:vAlign w:val="bottom"/>
          </w:tcPr>
          <w:p>
            <w:pPr>
              <w:spacing w:after="0"/>
              <w:rPr>
                <w:sz w:val="1"/>
                <w:szCs w:val="1"/>
                <w:color w:val="auto"/>
              </w:rPr>
            </w:pPr>
          </w:p>
        </w:tc>
      </w:tr>
      <w:tr>
        <w:trPr>
          <w:trHeight w:val="125"/>
        </w:trPr>
        <w:tc>
          <w:tcPr>
            <w:tcW w:w="13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0"/>
                <w:szCs w:val="10"/>
                <w:color w:val="auto"/>
              </w:rPr>
              <w:t>3101 Yorkmont Road, Suite</w:t>
            </w:r>
          </w:p>
        </w:tc>
        <w:tc>
          <w:tcPr>
            <w:tcW w:w="900" w:type="dxa"/>
            <w:vAlign w:val="bottom"/>
            <w:vMerge w:val="restart"/>
          </w:tcPr>
          <w:p>
            <w:pPr>
              <w:spacing w:after="0"/>
              <w:rPr>
                <w:sz w:val="20"/>
                <w:szCs w:val="20"/>
                <w:color w:val="auto"/>
              </w:rPr>
            </w:pPr>
            <w:r>
              <w:rPr>
                <w:rFonts w:ascii="Times New Roman" w:cs="Times New Roman" w:eastAsia="Times New Roman" w:hAnsi="Times New Roman"/>
                <w:sz w:val="10"/>
                <w:szCs w:val="10"/>
                <w:color w:val="auto"/>
              </w:rPr>
              <w:t>Common Equity (601</w:t>
            </w:r>
          </w:p>
        </w:tc>
        <w:tc>
          <w:tcPr>
            <w:tcW w:w="1000" w:type="dxa"/>
            <w:vAlign w:val="bottom"/>
            <w:gridSpan w:val="2"/>
          </w:tcPr>
          <w:p>
            <w:pPr>
              <w:ind w:left="60"/>
              <w:spacing w:after="0"/>
              <w:rPr>
                <w:sz w:val="20"/>
                <w:szCs w:val="20"/>
                <w:color w:val="auto"/>
              </w:rPr>
            </w:pPr>
            <w:r>
              <w:rPr>
                <w:rFonts w:ascii="Times New Roman" w:cs="Times New Roman" w:eastAsia="Times New Roman" w:hAnsi="Times New Roman"/>
                <w:sz w:val="10"/>
                <w:szCs w:val="10"/>
                <w:color w:val="auto"/>
              </w:rPr>
              <w:t>Manufacturing</w:t>
            </w:r>
          </w:p>
        </w:tc>
        <w:tc>
          <w:tcPr>
            <w:tcW w:w="0" w:type="dxa"/>
            <w:vAlign w:val="bottom"/>
          </w:tcPr>
          <w:p>
            <w:pPr>
              <w:spacing w:after="0"/>
              <w:rPr>
                <w:sz w:val="1"/>
                <w:szCs w:val="1"/>
                <w:color w:val="auto"/>
              </w:rPr>
            </w:pPr>
          </w:p>
        </w:tc>
      </w:tr>
      <w:tr>
        <w:trPr>
          <w:trHeight w:val="84"/>
        </w:trPr>
        <w:tc>
          <w:tcPr>
            <w:tcW w:w="1320" w:type="dxa"/>
            <w:vAlign w:val="bottom"/>
            <w:gridSpan w:val="2"/>
            <w:vMerge w:val="continue"/>
          </w:tcPr>
          <w:p>
            <w:pPr>
              <w:spacing w:after="0"/>
              <w:rPr>
                <w:sz w:val="7"/>
                <w:szCs w:val="7"/>
                <w:color w:val="auto"/>
              </w:rPr>
            </w:pPr>
          </w:p>
        </w:tc>
        <w:tc>
          <w:tcPr>
            <w:tcW w:w="90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9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5"/>
        </w:trPr>
        <w:tc>
          <w:tcPr>
            <w:tcW w:w="1100" w:type="dxa"/>
            <w:vAlign w:val="bottom"/>
          </w:tcPr>
          <w:p>
            <w:pPr>
              <w:ind w:left="100"/>
              <w:spacing w:after="0" w:line="105" w:lineRule="exact"/>
              <w:rPr>
                <w:sz w:val="20"/>
                <w:szCs w:val="20"/>
                <w:color w:val="auto"/>
              </w:rPr>
            </w:pPr>
            <w:r>
              <w:rPr>
                <w:rFonts w:ascii="Times New Roman" w:cs="Times New Roman" w:eastAsia="Times New Roman" w:hAnsi="Times New Roman"/>
                <w:sz w:val="10"/>
                <w:szCs w:val="10"/>
                <w:color w:val="auto"/>
              </w:rPr>
              <w:t>1500</w:t>
            </w:r>
          </w:p>
        </w:tc>
        <w:tc>
          <w:tcPr>
            <w:tcW w:w="220" w:type="dxa"/>
            <w:vAlign w:val="bottom"/>
          </w:tcPr>
          <w:p>
            <w:pPr>
              <w:spacing w:after="0"/>
              <w:rPr>
                <w:sz w:val="9"/>
                <w:szCs w:val="9"/>
                <w:color w:val="auto"/>
              </w:rPr>
            </w:pPr>
          </w:p>
        </w:tc>
        <w:tc>
          <w:tcPr>
            <w:tcW w:w="900" w:type="dxa"/>
            <w:vAlign w:val="bottom"/>
          </w:tcPr>
          <w:p>
            <w:pPr>
              <w:spacing w:after="0" w:line="105" w:lineRule="exact"/>
              <w:rPr>
                <w:sz w:val="20"/>
                <w:szCs w:val="20"/>
                <w:color w:val="auto"/>
              </w:rPr>
            </w:pPr>
            <w:r>
              <w:rPr>
                <w:rFonts w:ascii="Times New Roman" w:cs="Times New Roman" w:eastAsia="Times New Roman" w:hAnsi="Times New Roman"/>
                <w:sz w:val="10"/>
                <w:szCs w:val="10"/>
                <w:color w:val="auto"/>
              </w:rPr>
              <w:t>shares)</w:t>
            </w:r>
          </w:p>
        </w:tc>
        <w:tc>
          <w:tcPr>
            <w:tcW w:w="6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320" w:type="dxa"/>
            <w:vAlign w:val="bottom"/>
            <w:gridSpan w:val="2"/>
          </w:tcPr>
          <w:p>
            <w:pPr>
              <w:ind w:left="100"/>
              <w:spacing w:after="0" w:line="105" w:lineRule="exact"/>
              <w:rPr>
                <w:sz w:val="20"/>
                <w:szCs w:val="20"/>
                <w:color w:val="auto"/>
              </w:rPr>
            </w:pPr>
            <w:r>
              <w:rPr>
                <w:rFonts w:ascii="Times New Roman" w:cs="Times New Roman" w:eastAsia="Times New Roman" w:hAnsi="Times New Roman"/>
                <w:sz w:val="10"/>
                <w:szCs w:val="10"/>
                <w:color w:val="auto"/>
              </w:rPr>
              <w:t>Charlotte, NC 28208</w:t>
            </w:r>
          </w:p>
        </w:tc>
        <w:tc>
          <w:tcPr>
            <w:tcW w:w="900" w:type="dxa"/>
            <w:vAlign w:val="bottom"/>
          </w:tcPr>
          <w:p>
            <w:pPr>
              <w:spacing w:after="0" w:line="105" w:lineRule="exact"/>
              <w:rPr>
                <w:sz w:val="20"/>
                <w:szCs w:val="20"/>
                <w:color w:val="auto"/>
              </w:rPr>
            </w:pPr>
            <w:r>
              <w:rPr>
                <w:rFonts w:ascii="Times New Roman" w:cs="Times New Roman" w:eastAsia="Times New Roman" w:hAnsi="Times New Roman"/>
                <w:sz w:val="10"/>
                <w:szCs w:val="10"/>
                <w:color w:val="auto"/>
              </w:rPr>
              <w:t>Common Equity</w:t>
            </w:r>
          </w:p>
        </w:tc>
        <w:tc>
          <w:tcPr>
            <w:tcW w:w="6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1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0"/>
                <w:szCs w:val="10"/>
                <w:color w:val="auto"/>
              </w:rPr>
              <w:t>(1,705 shares)</w:t>
            </w:r>
          </w:p>
        </w:tc>
        <w:tc>
          <w:tcPr>
            <w:tcW w:w="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8"/>
        </w:trPr>
        <w:tc>
          <w:tcPr>
            <w:tcW w:w="1320" w:type="dxa"/>
            <w:vAlign w:val="bottom"/>
            <w:gridSpan w:val="2"/>
          </w:tcPr>
          <w:p>
            <w:pPr>
              <w:spacing w:after="0"/>
              <w:rPr>
                <w:sz w:val="20"/>
                <w:szCs w:val="20"/>
                <w:color w:val="auto"/>
              </w:rPr>
            </w:pPr>
            <w:r>
              <w:rPr>
                <w:rFonts w:ascii="Times New Roman" w:cs="Times New Roman" w:eastAsia="Times New Roman" w:hAnsi="Times New Roman"/>
                <w:sz w:val="10"/>
                <w:szCs w:val="10"/>
                <w:i w:val="1"/>
                <w:iCs w:val="1"/>
                <w:color w:val="auto"/>
              </w:rPr>
              <w:t>GMP HVAC, LLC (dba McGee</w:t>
            </w: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7"/>
        </w:trPr>
        <w:tc>
          <w:tcPr>
            <w:tcW w:w="1320" w:type="dxa"/>
            <w:vAlign w:val="bottom"/>
            <w:gridSpan w:val="2"/>
          </w:tcPr>
          <w:p>
            <w:pPr>
              <w:spacing w:after="0" w:line="107" w:lineRule="exact"/>
              <w:rPr>
                <w:sz w:val="20"/>
                <w:szCs w:val="20"/>
                <w:color w:val="auto"/>
              </w:rPr>
            </w:pPr>
            <w:r>
              <w:rPr>
                <w:rFonts w:ascii="Times New Roman" w:cs="Times New Roman" w:eastAsia="Times New Roman" w:hAnsi="Times New Roman"/>
                <w:sz w:val="10"/>
                <w:szCs w:val="10"/>
                <w:i w:val="1"/>
                <w:iCs w:val="1"/>
                <w:color w:val="auto"/>
              </w:rPr>
              <w:t>Heating &amp; Air, LLC)</w:t>
            </w:r>
          </w:p>
        </w:tc>
        <w:tc>
          <w:tcPr>
            <w:tcW w:w="900" w:type="dxa"/>
            <w:vAlign w:val="bottom"/>
          </w:tcPr>
          <w:p>
            <w:pPr>
              <w:spacing w:after="0"/>
              <w:rPr>
                <w:sz w:val="9"/>
                <w:szCs w:val="9"/>
                <w:color w:val="auto"/>
              </w:rPr>
            </w:pPr>
          </w:p>
        </w:tc>
        <w:tc>
          <w:tcPr>
            <w:tcW w:w="1000" w:type="dxa"/>
            <w:vAlign w:val="bottom"/>
            <w:gridSpan w:val="2"/>
          </w:tcPr>
          <w:p>
            <w:pPr>
              <w:ind w:left="60"/>
              <w:spacing w:after="0" w:line="107" w:lineRule="exact"/>
              <w:rPr>
                <w:sz w:val="20"/>
                <w:szCs w:val="20"/>
                <w:color w:val="auto"/>
              </w:rPr>
            </w:pPr>
            <w:r>
              <w:rPr>
                <w:rFonts w:ascii="Times New Roman" w:cs="Times New Roman" w:eastAsia="Times New Roman" w:hAnsi="Times New Roman"/>
                <w:sz w:val="10"/>
                <w:szCs w:val="10"/>
                <w:color w:val="auto"/>
              </w:rPr>
              <w:t>Utilities: Services</w:t>
            </w:r>
          </w:p>
        </w:tc>
        <w:tc>
          <w:tcPr>
            <w:tcW w:w="0" w:type="dxa"/>
            <w:vAlign w:val="bottom"/>
          </w:tcPr>
          <w:p>
            <w:pPr>
              <w:spacing w:after="0"/>
              <w:rPr>
                <w:sz w:val="1"/>
                <w:szCs w:val="1"/>
                <w:color w:val="auto"/>
              </w:rPr>
            </w:pPr>
          </w:p>
        </w:tc>
      </w:tr>
      <w:tr>
        <w:trPr>
          <w:trHeight w:val="105"/>
        </w:trPr>
        <w:tc>
          <w:tcPr>
            <w:tcW w:w="1320" w:type="dxa"/>
            <w:vAlign w:val="bottom"/>
            <w:gridSpan w:val="2"/>
          </w:tcPr>
          <w:p>
            <w:pPr>
              <w:ind w:left="100"/>
              <w:spacing w:after="0" w:line="105" w:lineRule="exact"/>
              <w:rPr>
                <w:sz w:val="20"/>
                <w:szCs w:val="20"/>
                <w:color w:val="auto"/>
              </w:rPr>
            </w:pPr>
            <w:r>
              <w:rPr>
                <w:rFonts w:ascii="Times New Roman" w:cs="Times New Roman" w:eastAsia="Times New Roman" w:hAnsi="Times New Roman"/>
                <w:sz w:val="10"/>
                <w:szCs w:val="10"/>
                <w:color w:val="auto"/>
              </w:rPr>
              <w:t>93 Old 29 Highway</w:t>
            </w:r>
          </w:p>
        </w:tc>
        <w:tc>
          <w:tcPr>
            <w:tcW w:w="900" w:type="dxa"/>
            <w:vAlign w:val="bottom"/>
          </w:tcPr>
          <w:p>
            <w:pPr>
              <w:spacing w:after="0" w:line="105" w:lineRule="exact"/>
              <w:rPr>
                <w:sz w:val="20"/>
                <w:szCs w:val="20"/>
                <w:color w:val="auto"/>
              </w:rPr>
            </w:pPr>
            <w:r>
              <w:rPr>
                <w:rFonts w:ascii="Times New Roman" w:cs="Times New Roman" w:eastAsia="Times New Roman" w:hAnsi="Times New Roman"/>
                <w:sz w:val="10"/>
                <w:szCs w:val="10"/>
                <w:color w:val="auto"/>
                <w:w w:val="98"/>
              </w:rPr>
              <w:t>First Lien Debt (j)(bb)</w:t>
            </w:r>
          </w:p>
        </w:tc>
        <w:tc>
          <w:tcPr>
            <w:tcW w:w="6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320" w:type="dxa"/>
            <w:vAlign w:val="bottom"/>
            <w:gridSpan w:val="2"/>
          </w:tcPr>
          <w:p>
            <w:pPr>
              <w:ind w:left="100"/>
              <w:spacing w:after="0" w:line="105" w:lineRule="exact"/>
              <w:rPr>
                <w:sz w:val="20"/>
                <w:szCs w:val="20"/>
                <w:color w:val="auto"/>
              </w:rPr>
            </w:pPr>
            <w:r>
              <w:rPr>
                <w:rFonts w:ascii="Times New Roman" w:cs="Times New Roman" w:eastAsia="Times New Roman" w:hAnsi="Times New Roman"/>
                <w:sz w:val="10"/>
                <w:szCs w:val="10"/>
                <w:color w:val="auto"/>
              </w:rPr>
              <w:t>Hartwell, GA 30643</w:t>
            </w:r>
          </w:p>
        </w:tc>
        <w:tc>
          <w:tcPr>
            <w:tcW w:w="900" w:type="dxa"/>
            <w:vAlign w:val="bottom"/>
          </w:tcPr>
          <w:p>
            <w:pPr>
              <w:spacing w:after="0" w:line="105" w:lineRule="exact"/>
              <w:rPr>
                <w:sz w:val="20"/>
                <w:szCs w:val="20"/>
                <w:color w:val="auto"/>
              </w:rPr>
            </w:pPr>
            <w:r>
              <w:rPr>
                <w:rFonts w:ascii="Times New Roman" w:cs="Times New Roman" w:eastAsia="Times New Roman" w:hAnsi="Times New Roman"/>
                <w:sz w:val="10"/>
                <w:szCs w:val="10"/>
                <w:color w:val="auto"/>
              </w:rPr>
              <w:t>Preferred Equity</w:t>
            </w:r>
          </w:p>
        </w:tc>
        <w:tc>
          <w:tcPr>
            <w:tcW w:w="6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1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0"/>
                <w:szCs w:val="10"/>
                <w:color w:val="auto"/>
              </w:rPr>
              <w:t>(1,366 units) (h)</w:t>
            </w:r>
          </w:p>
        </w:tc>
        <w:tc>
          <w:tcPr>
            <w:tcW w:w="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0"/>
        </w:trPr>
        <w:tc>
          <w:tcPr>
            <w:tcW w:w="1320" w:type="dxa"/>
            <w:vAlign w:val="bottom"/>
            <w:gridSpan w:val="2"/>
          </w:tcPr>
          <w:p>
            <w:pPr>
              <w:spacing w:after="0"/>
              <w:rPr>
                <w:sz w:val="20"/>
                <w:szCs w:val="20"/>
                <w:color w:val="auto"/>
              </w:rPr>
            </w:pPr>
            <w:r>
              <w:rPr>
                <w:rFonts w:ascii="Times New Roman" w:cs="Times New Roman" w:eastAsia="Times New Roman" w:hAnsi="Times New Roman"/>
                <w:sz w:val="10"/>
                <w:szCs w:val="10"/>
                <w:i w:val="1"/>
                <w:iCs w:val="1"/>
                <w:color w:val="auto"/>
              </w:rPr>
              <w:t>GPS Insight, Inc.</w:t>
            </w:r>
          </w:p>
        </w:tc>
        <w:tc>
          <w:tcPr>
            <w:tcW w:w="900" w:type="dxa"/>
            <w:vAlign w:val="bottom"/>
          </w:tcPr>
          <w:p>
            <w:pPr>
              <w:spacing w:after="0"/>
              <w:rPr>
                <w:sz w:val="18"/>
                <w:szCs w:val="18"/>
                <w:color w:val="auto"/>
              </w:rPr>
            </w:pPr>
          </w:p>
        </w:tc>
        <w:tc>
          <w:tcPr>
            <w:tcW w:w="1000" w:type="dxa"/>
            <w:vAlign w:val="bottom"/>
            <w:gridSpan w:val="2"/>
          </w:tcPr>
          <w:p>
            <w:pPr>
              <w:ind w:left="60"/>
              <w:spacing w:after="0"/>
              <w:rPr>
                <w:sz w:val="20"/>
                <w:szCs w:val="20"/>
                <w:color w:val="auto"/>
              </w:rPr>
            </w:pPr>
            <w:r>
              <w:rPr>
                <w:rFonts w:ascii="Times New Roman" w:cs="Times New Roman" w:eastAsia="Times New Roman" w:hAnsi="Times New Roman"/>
                <w:sz w:val="10"/>
                <w:szCs w:val="10"/>
                <w:color w:val="auto"/>
              </w:rPr>
              <w:t>Information</w:t>
            </w:r>
          </w:p>
        </w:tc>
        <w:tc>
          <w:tcPr>
            <w:tcW w:w="0" w:type="dxa"/>
            <w:vAlign w:val="bottom"/>
          </w:tcPr>
          <w:p>
            <w:pPr>
              <w:spacing w:after="0"/>
              <w:rPr>
                <w:sz w:val="1"/>
                <w:szCs w:val="1"/>
                <w:color w:val="auto"/>
              </w:rPr>
            </w:pPr>
          </w:p>
        </w:tc>
      </w:tr>
      <w:tr>
        <w:trPr>
          <w:trHeight w:val="125"/>
        </w:trPr>
        <w:tc>
          <w:tcPr>
            <w:tcW w:w="13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0"/>
                <w:szCs w:val="10"/>
                <w:color w:val="auto"/>
              </w:rPr>
              <w:t>7201 E Henkel Way, Suite</w:t>
            </w:r>
          </w:p>
        </w:tc>
        <w:tc>
          <w:tcPr>
            <w:tcW w:w="900" w:type="dxa"/>
            <w:vAlign w:val="bottom"/>
          </w:tcPr>
          <w:p>
            <w:pPr>
              <w:spacing w:after="0"/>
              <w:rPr>
                <w:sz w:val="10"/>
                <w:szCs w:val="10"/>
                <w:color w:val="auto"/>
              </w:rPr>
            </w:pPr>
          </w:p>
        </w:tc>
        <w:tc>
          <w:tcPr>
            <w:tcW w:w="1000" w:type="dxa"/>
            <w:vAlign w:val="bottom"/>
            <w:gridSpan w:val="2"/>
          </w:tcPr>
          <w:p>
            <w:pPr>
              <w:ind w:left="60"/>
              <w:spacing w:after="0"/>
              <w:rPr>
                <w:sz w:val="20"/>
                <w:szCs w:val="20"/>
                <w:color w:val="auto"/>
              </w:rPr>
            </w:pPr>
            <w:r>
              <w:rPr>
                <w:rFonts w:ascii="Times New Roman" w:cs="Times New Roman" w:eastAsia="Times New Roman" w:hAnsi="Times New Roman"/>
                <w:sz w:val="10"/>
                <w:szCs w:val="10"/>
                <w:color w:val="auto"/>
              </w:rPr>
              <w:t>Technology Services</w:t>
            </w:r>
          </w:p>
        </w:tc>
        <w:tc>
          <w:tcPr>
            <w:tcW w:w="0" w:type="dxa"/>
            <w:vAlign w:val="bottom"/>
          </w:tcPr>
          <w:p>
            <w:pPr>
              <w:spacing w:after="0"/>
              <w:rPr>
                <w:sz w:val="1"/>
                <w:szCs w:val="1"/>
                <w:color w:val="auto"/>
              </w:rPr>
            </w:pPr>
          </w:p>
        </w:tc>
      </w:tr>
      <w:tr>
        <w:trPr>
          <w:trHeight w:val="84"/>
        </w:trPr>
        <w:tc>
          <w:tcPr>
            <w:tcW w:w="1320" w:type="dxa"/>
            <w:vAlign w:val="bottom"/>
            <w:gridSpan w:val="2"/>
            <w:vMerge w:val="continue"/>
          </w:tcPr>
          <w:p>
            <w:pPr>
              <w:spacing w:after="0"/>
              <w:rPr>
                <w:sz w:val="7"/>
                <w:szCs w:val="7"/>
                <w:color w:val="auto"/>
              </w:rPr>
            </w:pPr>
          </w:p>
        </w:tc>
        <w:tc>
          <w:tcPr>
            <w:tcW w:w="900" w:type="dxa"/>
            <w:vAlign w:val="bottom"/>
          </w:tcPr>
          <w:p>
            <w:pPr>
              <w:spacing w:after="0"/>
              <w:rPr>
                <w:sz w:val="7"/>
                <w:szCs w:val="7"/>
                <w:color w:val="auto"/>
              </w:rPr>
            </w:pPr>
          </w:p>
        </w:tc>
        <w:tc>
          <w:tcPr>
            <w:tcW w:w="60" w:type="dxa"/>
            <w:vAlign w:val="bottom"/>
          </w:tcPr>
          <w:p>
            <w:pPr>
              <w:spacing w:after="0"/>
              <w:rPr>
                <w:sz w:val="7"/>
                <w:szCs w:val="7"/>
                <w:color w:val="auto"/>
              </w:rPr>
            </w:pPr>
          </w:p>
        </w:tc>
        <w:tc>
          <w:tcPr>
            <w:tcW w:w="9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1320" w:type="dxa"/>
            <w:vAlign w:val="bottom"/>
            <w:gridSpan w:val="2"/>
          </w:tcPr>
          <w:p>
            <w:pPr>
              <w:ind w:left="100"/>
              <w:spacing w:after="0"/>
              <w:rPr>
                <w:sz w:val="20"/>
                <w:szCs w:val="20"/>
                <w:color w:val="auto"/>
              </w:rPr>
            </w:pPr>
            <w:r>
              <w:rPr>
                <w:rFonts w:ascii="Times New Roman" w:cs="Times New Roman" w:eastAsia="Times New Roman" w:hAnsi="Times New Roman"/>
                <w:sz w:val="10"/>
                <w:szCs w:val="10"/>
                <w:color w:val="auto"/>
              </w:rPr>
              <w:t>400 Scottsdale, AZ 85255</w:t>
            </w:r>
          </w:p>
        </w:tc>
        <w:tc>
          <w:tcPr>
            <w:tcW w:w="900" w:type="dxa"/>
            <w:vAlign w:val="bottom"/>
          </w:tcPr>
          <w:p>
            <w:pPr>
              <w:spacing w:after="0"/>
              <w:rPr>
                <w:sz w:val="20"/>
                <w:szCs w:val="20"/>
                <w:color w:val="auto"/>
              </w:rPr>
            </w:pPr>
            <w:r>
              <w:rPr>
                <w:rFonts w:ascii="Times New Roman" w:cs="Times New Roman" w:eastAsia="Times New Roman" w:hAnsi="Times New Roman"/>
                <w:sz w:val="10"/>
                <w:szCs w:val="10"/>
                <w:color w:val="auto"/>
              </w:rPr>
              <w:t>First Lien Debt (av)</w:t>
            </w:r>
          </w:p>
        </w:tc>
        <w:tc>
          <w:tcPr>
            <w:tcW w:w="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6"/>
        </w:trPr>
        <w:tc>
          <w:tcPr>
            <w:tcW w:w="1320" w:type="dxa"/>
            <w:vAlign w:val="bottom"/>
            <w:gridSpan w:val="2"/>
          </w:tcPr>
          <w:p>
            <w:pPr>
              <w:spacing w:after="0"/>
              <w:rPr>
                <w:sz w:val="20"/>
                <w:szCs w:val="20"/>
                <w:color w:val="auto"/>
              </w:rPr>
            </w:pPr>
            <w:r>
              <w:rPr>
                <w:rFonts w:ascii="Times New Roman" w:cs="Times New Roman" w:eastAsia="Times New Roman" w:hAnsi="Times New Roman"/>
                <w:sz w:val="10"/>
                <w:szCs w:val="10"/>
                <w:i w:val="1"/>
                <w:iCs w:val="1"/>
                <w:color w:val="auto"/>
              </w:rPr>
              <w:t>Green Cubes Technology, LLC</w:t>
            </w:r>
          </w:p>
        </w:tc>
        <w:tc>
          <w:tcPr>
            <w:tcW w:w="900" w:type="dxa"/>
            <w:vAlign w:val="bottom"/>
          </w:tcPr>
          <w:p>
            <w:pPr>
              <w:spacing w:after="0"/>
              <w:rPr>
                <w:sz w:val="14"/>
                <w:szCs w:val="14"/>
                <w:color w:val="auto"/>
              </w:rPr>
            </w:pPr>
          </w:p>
        </w:tc>
        <w:tc>
          <w:tcPr>
            <w:tcW w:w="1000" w:type="dxa"/>
            <w:vAlign w:val="bottom"/>
            <w:gridSpan w:val="2"/>
          </w:tcPr>
          <w:p>
            <w:pPr>
              <w:ind w:left="60"/>
              <w:spacing w:after="0"/>
              <w:rPr>
                <w:sz w:val="20"/>
                <w:szCs w:val="20"/>
                <w:color w:val="auto"/>
              </w:rPr>
            </w:pPr>
            <w:r>
              <w:rPr>
                <w:rFonts w:ascii="Times New Roman" w:cs="Times New Roman" w:eastAsia="Times New Roman" w:hAnsi="Times New Roman"/>
                <w:sz w:val="10"/>
                <w:szCs w:val="10"/>
                <w:color w:val="auto"/>
              </w:rPr>
              <w:t>Component</w:t>
            </w:r>
          </w:p>
        </w:tc>
        <w:tc>
          <w:tcPr>
            <w:tcW w:w="0" w:type="dxa"/>
            <w:vAlign w:val="bottom"/>
          </w:tcPr>
          <w:p>
            <w:pPr>
              <w:spacing w:after="0"/>
              <w:rPr>
                <w:sz w:val="1"/>
                <w:szCs w:val="1"/>
                <w:color w:val="auto"/>
              </w:rPr>
            </w:pPr>
          </w:p>
        </w:tc>
      </w:tr>
      <w:tr>
        <w:trPr>
          <w:trHeight w:val="107"/>
        </w:trPr>
        <w:tc>
          <w:tcPr>
            <w:tcW w:w="1320" w:type="dxa"/>
            <w:vAlign w:val="bottom"/>
            <w:gridSpan w:val="2"/>
          </w:tcPr>
          <w:p>
            <w:pPr>
              <w:spacing w:after="0" w:line="107" w:lineRule="exact"/>
              <w:rPr>
                <w:sz w:val="20"/>
                <w:szCs w:val="20"/>
                <w:color w:val="auto"/>
              </w:rPr>
            </w:pPr>
            <w:r>
              <w:rPr>
                <w:rFonts w:ascii="Times New Roman" w:cs="Times New Roman" w:eastAsia="Times New Roman" w:hAnsi="Times New Roman"/>
                <w:sz w:val="10"/>
                <w:szCs w:val="10"/>
                <w:i w:val="1"/>
                <w:iCs w:val="1"/>
                <w:color w:val="auto"/>
              </w:rPr>
              <w:t>(dba Green Cubes)</w:t>
            </w:r>
          </w:p>
        </w:tc>
        <w:tc>
          <w:tcPr>
            <w:tcW w:w="900" w:type="dxa"/>
            <w:vAlign w:val="bottom"/>
          </w:tcPr>
          <w:p>
            <w:pPr>
              <w:spacing w:after="0"/>
              <w:rPr>
                <w:sz w:val="9"/>
                <w:szCs w:val="9"/>
                <w:color w:val="auto"/>
              </w:rPr>
            </w:pPr>
          </w:p>
        </w:tc>
        <w:tc>
          <w:tcPr>
            <w:tcW w:w="1000" w:type="dxa"/>
            <w:vAlign w:val="bottom"/>
            <w:gridSpan w:val="2"/>
          </w:tcPr>
          <w:p>
            <w:pPr>
              <w:ind w:left="60"/>
              <w:spacing w:after="0" w:line="107" w:lineRule="exact"/>
              <w:rPr>
                <w:sz w:val="20"/>
                <w:szCs w:val="20"/>
                <w:color w:val="auto"/>
              </w:rPr>
            </w:pPr>
            <w:r>
              <w:rPr>
                <w:rFonts w:ascii="Times New Roman" w:cs="Times New Roman" w:eastAsia="Times New Roman" w:hAnsi="Times New Roman"/>
                <w:sz w:val="10"/>
                <w:szCs w:val="10"/>
                <w:color w:val="auto"/>
              </w:rPr>
              <w:t>Manufacturing</w:t>
            </w:r>
          </w:p>
        </w:tc>
        <w:tc>
          <w:tcPr>
            <w:tcW w:w="0" w:type="dxa"/>
            <w:vAlign w:val="bottom"/>
          </w:tcPr>
          <w:p>
            <w:pPr>
              <w:spacing w:after="0"/>
              <w:rPr>
                <w:sz w:val="1"/>
                <w:szCs w:val="1"/>
                <w:color w:val="auto"/>
              </w:rPr>
            </w:pPr>
          </w:p>
        </w:tc>
      </w:tr>
      <w:tr>
        <w:trPr>
          <w:trHeight w:val="105"/>
        </w:trPr>
        <w:tc>
          <w:tcPr>
            <w:tcW w:w="1320" w:type="dxa"/>
            <w:vAlign w:val="bottom"/>
            <w:gridSpan w:val="2"/>
          </w:tcPr>
          <w:p>
            <w:pPr>
              <w:ind w:left="100"/>
              <w:spacing w:after="0" w:line="105" w:lineRule="exact"/>
              <w:rPr>
                <w:sz w:val="20"/>
                <w:szCs w:val="20"/>
                <w:color w:val="auto"/>
              </w:rPr>
            </w:pPr>
            <w:r>
              <w:rPr>
                <w:rFonts w:ascii="Times New Roman" w:cs="Times New Roman" w:eastAsia="Times New Roman" w:hAnsi="Times New Roman"/>
                <w:sz w:val="10"/>
                <w:szCs w:val="10"/>
                <w:color w:val="auto"/>
              </w:rPr>
              <w:t>2121 East Boulevard</w:t>
            </w:r>
          </w:p>
        </w:tc>
        <w:tc>
          <w:tcPr>
            <w:tcW w:w="900" w:type="dxa"/>
            <w:vAlign w:val="bottom"/>
          </w:tcPr>
          <w:p>
            <w:pPr>
              <w:spacing w:after="0"/>
              <w:rPr>
                <w:sz w:val="9"/>
                <w:szCs w:val="9"/>
                <w:color w:val="auto"/>
              </w:rPr>
            </w:pPr>
          </w:p>
        </w:tc>
        <w:tc>
          <w:tcPr>
            <w:tcW w:w="6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1320" w:type="dxa"/>
            <w:vAlign w:val="bottom"/>
            <w:gridSpan w:val="2"/>
          </w:tcPr>
          <w:p>
            <w:pPr>
              <w:ind w:left="100"/>
              <w:spacing w:after="0"/>
              <w:rPr>
                <w:sz w:val="20"/>
                <w:szCs w:val="20"/>
                <w:color w:val="auto"/>
              </w:rPr>
            </w:pPr>
            <w:r>
              <w:rPr>
                <w:rFonts w:ascii="Times New Roman" w:cs="Times New Roman" w:eastAsia="Times New Roman" w:hAnsi="Times New Roman"/>
                <w:sz w:val="10"/>
                <w:szCs w:val="10"/>
                <w:color w:val="auto"/>
              </w:rPr>
              <w:t>Kokomo. IN 46902</w:t>
            </w:r>
          </w:p>
        </w:tc>
        <w:tc>
          <w:tcPr>
            <w:tcW w:w="900" w:type="dxa"/>
            <w:vAlign w:val="bottom"/>
          </w:tcPr>
          <w:p>
            <w:pPr>
              <w:spacing w:after="0"/>
              <w:rPr>
                <w:sz w:val="20"/>
                <w:szCs w:val="20"/>
                <w:color w:val="auto"/>
              </w:rPr>
            </w:pPr>
            <w:r>
              <w:rPr>
                <w:rFonts w:ascii="Times New Roman" w:cs="Times New Roman" w:eastAsia="Times New Roman" w:hAnsi="Times New Roman"/>
                <w:sz w:val="10"/>
                <w:szCs w:val="10"/>
                <w:color w:val="auto"/>
                <w:w w:val="98"/>
              </w:rPr>
              <w:t>First Lien Debt (j)(ax)</w:t>
            </w:r>
          </w:p>
        </w:tc>
        <w:tc>
          <w:tcPr>
            <w:tcW w:w="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6"/>
        </w:trPr>
        <w:tc>
          <w:tcPr>
            <w:tcW w:w="1320" w:type="dxa"/>
            <w:vAlign w:val="bottom"/>
            <w:gridSpan w:val="2"/>
          </w:tcPr>
          <w:p>
            <w:pPr>
              <w:spacing w:after="0"/>
              <w:rPr>
                <w:sz w:val="20"/>
                <w:szCs w:val="20"/>
                <w:color w:val="auto"/>
              </w:rPr>
            </w:pPr>
            <w:r>
              <w:rPr>
                <w:rFonts w:ascii="Times New Roman" w:cs="Times New Roman" w:eastAsia="Times New Roman" w:hAnsi="Times New Roman"/>
                <w:sz w:val="10"/>
                <w:szCs w:val="10"/>
                <w:i w:val="1"/>
                <w:iCs w:val="1"/>
                <w:color w:val="auto"/>
              </w:rPr>
              <w:t>Haematologic Technologies,</w:t>
            </w: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1320" w:type="dxa"/>
            <w:vAlign w:val="bottom"/>
            <w:gridSpan w:val="2"/>
          </w:tcPr>
          <w:p>
            <w:pPr>
              <w:spacing w:after="0" w:line="107" w:lineRule="exact"/>
              <w:rPr>
                <w:sz w:val="20"/>
                <w:szCs w:val="20"/>
                <w:color w:val="auto"/>
              </w:rPr>
            </w:pPr>
            <w:r>
              <w:rPr>
                <w:rFonts w:ascii="Times New Roman" w:cs="Times New Roman" w:eastAsia="Times New Roman" w:hAnsi="Times New Roman"/>
                <w:sz w:val="10"/>
                <w:szCs w:val="10"/>
                <w:i w:val="1"/>
                <w:iCs w:val="1"/>
                <w:color w:val="auto"/>
              </w:rPr>
              <w:t>Inc.</w:t>
            </w:r>
          </w:p>
        </w:tc>
        <w:tc>
          <w:tcPr>
            <w:tcW w:w="900" w:type="dxa"/>
            <w:vAlign w:val="bottom"/>
          </w:tcPr>
          <w:p>
            <w:pPr>
              <w:spacing w:after="0"/>
              <w:rPr>
                <w:sz w:val="9"/>
                <w:szCs w:val="9"/>
                <w:color w:val="auto"/>
              </w:rPr>
            </w:pPr>
          </w:p>
        </w:tc>
        <w:tc>
          <w:tcPr>
            <w:tcW w:w="1000" w:type="dxa"/>
            <w:vAlign w:val="bottom"/>
            <w:gridSpan w:val="2"/>
          </w:tcPr>
          <w:p>
            <w:pPr>
              <w:ind w:left="60"/>
              <w:spacing w:after="0" w:line="107" w:lineRule="exact"/>
              <w:rPr>
                <w:sz w:val="20"/>
                <w:szCs w:val="20"/>
                <w:color w:val="auto"/>
              </w:rPr>
            </w:pPr>
            <w:r>
              <w:rPr>
                <w:rFonts w:ascii="Times New Roman" w:cs="Times New Roman" w:eastAsia="Times New Roman" w:hAnsi="Times New Roman"/>
                <w:sz w:val="10"/>
                <w:szCs w:val="10"/>
                <w:color w:val="auto"/>
              </w:rPr>
              <w:t>Healthcare Services</w:t>
            </w:r>
          </w:p>
        </w:tc>
        <w:tc>
          <w:tcPr>
            <w:tcW w:w="0" w:type="dxa"/>
            <w:vAlign w:val="bottom"/>
          </w:tcPr>
          <w:p>
            <w:pPr>
              <w:spacing w:after="0"/>
              <w:rPr>
                <w:sz w:val="1"/>
                <w:szCs w:val="1"/>
                <w:color w:val="auto"/>
              </w:rPr>
            </w:pPr>
          </w:p>
        </w:tc>
      </w:tr>
      <w:tr>
        <w:trPr>
          <w:trHeight w:val="105"/>
        </w:trPr>
        <w:tc>
          <w:tcPr>
            <w:tcW w:w="1320" w:type="dxa"/>
            <w:vAlign w:val="bottom"/>
            <w:gridSpan w:val="2"/>
          </w:tcPr>
          <w:p>
            <w:pPr>
              <w:ind w:left="100"/>
              <w:spacing w:after="0" w:line="105" w:lineRule="exact"/>
              <w:rPr>
                <w:sz w:val="20"/>
                <w:szCs w:val="20"/>
                <w:color w:val="auto"/>
              </w:rPr>
            </w:pPr>
            <w:r>
              <w:rPr>
                <w:rFonts w:ascii="Times New Roman" w:cs="Times New Roman" w:eastAsia="Times New Roman" w:hAnsi="Times New Roman"/>
                <w:sz w:val="10"/>
                <w:szCs w:val="10"/>
                <w:color w:val="auto"/>
              </w:rPr>
              <w:t>57 River Road</w:t>
            </w:r>
          </w:p>
        </w:tc>
        <w:tc>
          <w:tcPr>
            <w:tcW w:w="900" w:type="dxa"/>
            <w:vAlign w:val="bottom"/>
          </w:tcPr>
          <w:p>
            <w:pPr>
              <w:spacing w:after="0" w:line="105" w:lineRule="exact"/>
              <w:rPr>
                <w:sz w:val="20"/>
                <w:szCs w:val="20"/>
                <w:color w:val="auto"/>
              </w:rPr>
            </w:pPr>
            <w:r>
              <w:rPr>
                <w:rFonts w:ascii="Times New Roman" w:cs="Times New Roman" w:eastAsia="Times New Roman" w:hAnsi="Times New Roman"/>
                <w:sz w:val="10"/>
                <w:szCs w:val="10"/>
                <w:color w:val="auto"/>
              </w:rPr>
              <w:t>First Lien Debt</w:t>
            </w:r>
          </w:p>
        </w:tc>
        <w:tc>
          <w:tcPr>
            <w:tcW w:w="6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320" w:type="dxa"/>
            <w:vAlign w:val="bottom"/>
            <w:gridSpan w:val="2"/>
          </w:tcPr>
          <w:p>
            <w:pPr>
              <w:ind w:left="100"/>
              <w:spacing w:after="0" w:line="105" w:lineRule="exact"/>
              <w:rPr>
                <w:sz w:val="20"/>
                <w:szCs w:val="20"/>
                <w:color w:val="auto"/>
              </w:rPr>
            </w:pPr>
            <w:r>
              <w:rPr>
                <w:rFonts w:ascii="Times New Roman" w:cs="Times New Roman" w:eastAsia="Times New Roman" w:hAnsi="Times New Roman"/>
                <w:sz w:val="10"/>
                <w:szCs w:val="10"/>
                <w:color w:val="auto"/>
              </w:rPr>
              <w:t>Essex Junction, VT 05452</w:t>
            </w:r>
          </w:p>
        </w:tc>
        <w:tc>
          <w:tcPr>
            <w:tcW w:w="900" w:type="dxa"/>
            <w:vAlign w:val="bottom"/>
          </w:tcPr>
          <w:p>
            <w:pPr>
              <w:spacing w:after="0" w:line="105" w:lineRule="exact"/>
              <w:rPr>
                <w:sz w:val="20"/>
                <w:szCs w:val="20"/>
                <w:color w:val="auto"/>
              </w:rPr>
            </w:pPr>
            <w:r>
              <w:rPr>
                <w:rFonts w:ascii="Times New Roman" w:cs="Times New Roman" w:eastAsia="Times New Roman" w:hAnsi="Times New Roman"/>
                <w:sz w:val="10"/>
                <w:szCs w:val="10"/>
                <w:color w:val="auto"/>
              </w:rPr>
              <w:t>Common Equity (630</w:t>
            </w:r>
          </w:p>
        </w:tc>
        <w:tc>
          <w:tcPr>
            <w:tcW w:w="6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tcPr>
          <w:p>
            <w:pPr>
              <w:spacing w:after="0" w:line="105" w:lineRule="exact"/>
              <w:rPr>
                <w:sz w:val="20"/>
                <w:szCs w:val="20"/>
                <w:color w:val="auto"/>
              </w:rPr>
            </w:pPr>
            <w:r>
              <w:rPr>
                <w:rFonts w:ascii="Times New Roman" w:cs="Times New Roman" w:eastAsia="Times New Roman" w:hAnsi="Times New Roman"/>
                <w:sz w:val="10"/>
                <w:szCs w:val="10"/>
                <w:color w:val="auto"/>
              </w:rPr>
              <w:t>units) (h)</w:t>
            </w:r>
          </w:p>
        </w:tc>
        <w:tc>
          <w:tcPr>
            <w:tcW w:w="6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tcPr>
          <w:p>
            <w:pPr>
              <w:spacing w:after="0" w:line="105" w:lineRule="exact"/>
              <w:rPr>
                <w:sz w:val="20"/>
                <w:szCs w:val="20"/>
                <w:color w:val="auto"/>
              </w:rPr>
            </w:pPr>
            <w:r>
              <w:rPr>
                <w:rFonts w:ascii="Times New Roman" w:cs="Times New Roman" w:eastAsia="Times New Roman" w:hAnsi="Times New Roman"/>
                <w:sz w:val="10"/>
                <w:szCs w:val="10"/>
                <w:color w:val="auto"/>
              </w:rPr>
              <w:t>Common Equity (169</w:t>
            </w:r>
          </w:p>
        </w:tc>
        <w:tc>
          <w:tcPr>
            <w:tcW w:w="6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1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0"/>
                <w:szCs w:val="10"/>
                <w:color w:val="auto"/>
              </w:rPr>
              <w:t>units) (h)</w:t>
            </w:r>
          </w:p>
        </w:tc>
        <w:tc>
          <w:tcPr>
            <w:tcW w:w="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8"/>
        </w:trPr>
        <w:tc>
          <w:tcPr>
            <w:tcW w:w="1320" w:type="dxa"/>
            <w:vAlign w:val="bottom"/>
            <w:gridSpan w:val="2"/>
          </w:tcPr>
          <w:p>
            <w:pPr>
              <w:spacing w:after="0"/>
              <w:rPr>
                <w:sz w:val="20"/>
                <w:szCs w:val="20"/>
                <w:color w:val="auto"/>
              </w:rPr>
            </w:pPr>
            <w:r>
              <w:rPr>
                <w:rFonts w:ascii="Times New Roman" w:cs="Times New Roman" w:eastAsia="Times New Roman" w:hAnsi="Times New Roman"/>
                <w:sz w:val="10"/>
                <w:szCs w:val="10"/>
                <w:i w:val="1"/>
                <w:iCs w:val="1"/>
                <w:color w:val="auto"/>
              </w:rPr>
              <w:t>Hallmark Health Care</w:t>
            </w:r>
          </w:p>
        </w:tc>
        <w:tc>
          <w:tcPr>
            <w:tcW w:w="900" w:type="dxa"/>
            <w:vAlign w:val="bottom"/>
          </w:tcPr>
          <w:p>
            <w:pPr>
              <w:spacing w:after="0"/>
              <w:rPr>
                <w:sz w:val="18"/>
                <w:szCs w:val="18"/>
                <w:color w:val="auto"/>
              </w:rPr>
            </w:pPr>
          </w:p>
        </w:tc>
        <w:tc>
          <w:tcPr>
            <w:tcW w:w="1000" w:type="dxa"/>
            <w:vAlign w:val="bottom"/>
            <w:gridSpan w:val="2"/>
          </w:tcPr>
          <w:p>
            <w:pPr>
              <w:ind w:left="60"/>
              <w:spacing w:after="0"/>
              <w:rPr>
                <w:sz w:val="20"/>
                <w:szCs w:val="20"/>
                <w:color w:val="auto"/>
              </w:rPr>
            </w:pPr>
            <w:r>
              <w:rPr>
                <w:rFonts w:ascii="Times New Roman" w:cs="Times New Roman" w:eastAsia="Times New Roman" w:hAnsi="Times New Roman"/>
                <w:sz w:val="10"/>
                <w:szCs w:val="10"/>
                <w:color w:val="auto"/>
              </w:rPr>
              <w:t>Information</w:t>
            </w:r>
          </w:p>
        </w:tc>
        <w:tc>
          <w:tcPr>
            <w:tcW w:w="0" w:type="dxa"/>
            <w:vAlign w:val="bottom"/>
          </w:tcPr>
          <w:p>
            <w:pPr>
              <w:spacing w:after="0"/>
              <w:rPr>
                <w:sz w:val="1"/>
                <w:szCs w:val="1"/>
                <w:color w:val="auto"/>
              </w:rPr>
            </w:pPr>
          </w:p>
        </w:tc>
      </w:tr>
      <w:tr>
        <w:trPr>
          <w:trHeight w:val="107"/>
        </w:trPr>
        <w:tc>
          <w:tcPr>
            <w:tcW w:w="1320" w:type="dxa"/>
            <w:vAlign w:val="bottom"/>
            <w:gridSpan w:val="2"/>
          </w:tcPr>
          <w:p>
            <w:pPr>
              <w:spacing w:after="0" w:line="107" w:lineRule="exact"/>
              <w:rPr>
                <w:sz w:val="20"/>
                <w:szCs w:val="20"/>
                <w:color w:val="auto"/>
              </w:rPr>
            </w:pPr>
            <w:r>
              <w:rPr>
                <w:rFonts w:ascii="Times New Roman" w:cs="Times New Roman" w:eastAsia="Times New Roman" w:hAnsi="Times New Roman"/>
                <w:sz w:val="10"/>
                <w:szCs w:val="10"/>
                <w:i w:val="1"/>
                <w:iCs w:val="1"/>
                <w:color w:val="auto"/>
              </w:rPr>
              <w:t>Solutions, Inc.</w:t>
            </w:r>
          </w:p>
        </w:tc>
        <w:tc>
          <w:tcPr>
            <w:tcW w:w="900" w:type="dxa"/>
            <w:vAlign w:val="bottom"/>
          </w:tcPr>
          <w:p>
            <w:pPr>
              <w:spacing w:after="0"/>
              <w:rPr>
                <w:sz w:val="9"/>
                <w:szCs w:val="9"/>
                <w:color w:val="auto"/>
              </w:rPr>
            </w:pPr>
          </w:p>
        </w:tc>
        <w:tc>
          <w:tcPr>
            <w:tcW w:w="1000" w:type="dxa"/>
            <w:vAlign w:val="bottom"/>
            <w:gridSpan w:val="2"/>
          </w:tcPr>
          <w:p>
            <w:pPr>
              <w:ind w:left="60"/>
              <w:spacing w:after="0" w:line="107" w:lineRule="exact"/>
              <w:rPr>
                <w:sz w:val="20"/>
                <w:szCs w:val="20"/>
                <w:color w:val="auto"/>
              </w:rPr>
            </w:pPr>
            <w:r>
              <w:rPr>
                <w:rFonts w:ascii="Times New Roman" w:cs="Times New Roman" w:eastAsia="Times New Roman" w:hAnsi="Times New Roman"/>
                <w:sz w:val="10"/>
                <w:szCs w:val="10"/>
                <w:color w:val="auto"/>
              </w:rPr>
              <w:t>Technology Services</w:t>
            </w:r>
          </w:p>
        </w:tc>
        <w:tc>
          <w:tcPr>
            <w:tcW w:w="0" w:type="dxa"/>
            <w:vAlign w:val="bottom"/>
          </w:tcPr>
          <w:p>
            <w:pPr>
              <w:spacing w:after="0"/>
              <w:rPr>
                <w:sz w:val="1"/>
                <w:szCs w:val="1"/>
                <w:color w:val="auto"/>
              </w:rPr>
            </w:pPr>
          </w:p>
        </w:tc>
      </w:tr>
      <w:tr>
        <w:trPr>
          <w:trHeight w:val="105"/>
        </w:trPr>
        <w:tc>
          <w:tcPr>
            <w:tcW w:w="1320" w:type="dxa"/>
            <w:vAlign w:val="bottom"/>
            <w:gridSpan w:val="2"/>
          </w:tcPr>
          <w:p>
            <w:pPr>
              <w:ind w:left="100"/>
              <w:spacing w:after="0" w:line="105" w:lineRule="exact"/>
              <w:rPr>
                <w:sz w:val="20"/>
                <w:szCs w:val="20"/>
                <w:color w:val="auto"/>
              </w:rPr>
            </w:pPr>
            <w:r>
              <w:rPr>
                <w:rFonts w:ascii="Times New Roman" w:cs="Times New Roman" w:eastAsia="Times New Roman" w:hAnsi="Times New Roman"/>
                <w:sz w:val="10"/>
                <w:szCs w:val="10"/>
                <w:color w:val="auto"/>
              </w:rPr>
              <w:t>200 Motor Parkway, Suite</w:t>
            </w:r>
          </w:p>
        </w:tc>
        <w:tc>
          <w:tcPr>
            <w:tcW w:w="900" w:type="dxa"/>
            <w:vAlign w:val="bottom"/>
          </w:tcPr>
          <w:p>
            <w:pPr>
              <w:spacing w:after="0" w:line="105" w:lineRule="exact"/>
              <w:rPr>
                <w:sz w:val="20"/>
                <w:szCs w:val="20"/>
                <w:color w:val="auto"/>
              </w:rPr>
            </w:pPr>
            <w:r>
              <w:rPr>
                <w:rFonts w:ascii="Times New Roman" w:cs="Times New Roman" w:eastAsia="Times New Roman" w:hAnsi="Times New Roman"/>
                <w:sz w:val="10"/>
                <w:szCs w:val="10"/>
                <w:color w:val="auto"/>
              </w:rPr>
              <w:t>Common Equity</w:t>
            </w:r>
          </w:p>
        </w:tc>
        <w:tc>
          <w:tcPr>
            <w:tcW w:w="6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1320" w:type="dxa"/>
            <w:vAlign w:val="bottom"/>
            <w:gridSpan w:val="2"/>
          </w:tcPr>
          <w:p>
            <w:pPr>
              <w:ind w:left="100"/>
              <w:spacing w:after="0"/>
              <w:rPr>
                <w:sz w:val="20"/>
                <w:szCs w:val="20"/>
                <w:color w:val="auto"/>
              </w:rPr>
            </w:pPr>
            <w:r>
              <w:rPr>
                <w:rFonts w:ascii="Times New Roman" w:cs="Times New Roman" w:eastAsia="Times New Roman" w:hAnsi="Times New Roman"/>
                <w:sz w:val="10"/>
                <w:szCs w:val="10"/>
                <w:color w:val="auto"/>
              </w:rPr>
              <w:t>D-26 Hauppauge, NY 11788</w:t>
            </w:r>
          </w:p>
        </w:tc>
        <w:tc>
          <w:tcPr>
            <w:tcW w:w="900" w:type="dxa"/>
            <w:vAlign w:val="bottom"/>
          </w:tcPr>
          <w:p>
            <w:pPr>
              <w:spacing w:after="0"/>
              <w:rPr>
                <w:sz w:val="20"/>
                <w:szCs w:val="20"/>
                <w:color w:val="auto"/>
              </w:rPr>
            </w:pPr>
            <w:r>
              <w:rPr>
                <w:rFonts w:ascii="Times New Roman" w:cs="Times New Roman" w:eastAsia="Times New Roman" w:hAnsi="Times New Roman"/>
                <w:sz w:val="10"/>
                <w:szCs w:val="10"/>
                <w:color w:val="auto"/>
              </w:rPr>
              <w:t>(3,645,752 units)</w:t>
            </w:r>
          </w:p>
        </w:tc>
        <w:tc>
          <w:tcPr>
            <w:tcW w:w="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6"/>
        </w:trPr>
        <w:tc>
          <w:tcPr>
            <w:tcW w:w="1320" w:type="dxa"/>
            <w:vAlign w:val="bottom"/>
            <w:gridSpan w:val="2"/>
          </w:tcPr>
          <w:p>
            <w:pPr>
              <w:spacing w:after="0"/>
              <w:rPr>
                <w:sz w:val="20"/>
                <w:szCs w:val="20"/>
                <w:color w:val="auto"/>
              </w:rPr>
            </w:pPr>
            <w:r>
              <w:rPr>
                <w:rFonts w:ascii="Times New Roman" w:cs="Times New Roman" w:eastAsia="Times New Roman" w:hAnsi="Times New Roman"/>
                <w:sz w:val="10"/>
                <w:szCs w:val="10"/>
                <w:i w:val="1"/>
                <w:iCs w:val="1"/>
                <w:color w:val="auto"/>
              </w:rPr>
              <w:t>Hub Acquisition Sub, LLC (dba</w:t>
            </w: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1320" w:type="dxa"/>
            <w:vAlign w:val="bottom"/>
            <w:gridSpan w:val="2"/>
          </w:tcPr>
          <w:p>
            <w:pPr>
              <w:spacing w:after="0" w:line="107" w:lineRule="exact"/>
              <w:rPr>
                <w:sz w:val="20"/>
                <w:szCs w:val="20"/>
                <w:color w:val="auto"/>
              </w:rPr>
            </w:pPr>
            <w:r>
              <w:rPr>
                <w:rFonts w:ascii="Times New Roman" w:cs="Times New Roman" w:eastAsia="Times New Roman" w:hAnsi="Times New Roman"/>
                <w:sz w:val="10"/>
                <w:szCs w:val="10"/>
                <w:i w:val="1"/>
                <w:iCs w:val="1"/>
                <w:color w:val="auto"/>
              </w:rPr>
              <w:t>Hub Pen)</w:t>
            </w:r>
          </w:p>
        </w:tc>
        <w:tc>
          <w:tcPr>
            <w:tcW w:w="900" w:type="dxa"/>
            <w:vAlign w:val="bottom"/>
          </w:tcPr>
          <w:p>
            <w:pPr>
              <w:spacing w:after="0"/>
              <w:rPr>
                <w:sz w:val="9"/>
                <w:szCs w:val="9"/>
                <w:color w:val="auto"/>
              </w:rPr>
            </w:pPr>
          </w:p>
        </w:tc>
        <w:tc>
          <w:tcPr>
            <w:tcW w:w="1000" w:type="dxa"/>
            <w:vAlign w:val="bottom"/>
            <w:gridSpan w:val="2"/>
          </w:tcPr>
          <w:p>
            <w:pPr>
              <w:ind w:left="60"/>
              <w:spacing w:after="0" w:line="107" w:lineRule="exact"/>
              <w:rPr>
                <w:sz w:val="20"/>
                <w:szCs w:val="20"/>
                <w:color w:val="auto"/>
              </w:rPr>
            </w:pPr>
            <w:r>
              <w:rPr>
                <w:rFonts w:ascii="Times New Roman" w:cs="Times New Roman" w:eastAsia="Times New Roman" w:hAnsi="Times New Roman"/>
                <w:sz w:val="10"/>
                <w:szCs w:val="10"/>
                <w:color w:val="auto"/>
              </w:rPr>
              <w:t>Promotional products</w:t>
            </w:r>
          </w:p>
        </w:tc>
        <w:tc>
          <w:tcPr>
            <w:tcW w:w="0" w:type="dxa"/>
            <w:vAlign w:val="bottom"/>
          </w:tcPr>
          <w:p>
            <w:pPr>
              <w:spacing w:after="0"/>
              <w:rPr>
                <w:sz w:val="1"/>
                <w:szCs w:val="1"/>
                <w:color w:val="auto"/>
              </w:rPr>
            </w:pPr>
          </w:p>
        </w:tc>
      </w:tr>
      <w:tr>
        <w:trPr>
          <w:trHeight w:val="105"/>
        </w:trPr>
        <w:tc>
          <w:tcPr>
            <w:tcW w:w="1320" w:type="dxa"/>
            <w:vAlign w:val="bottom"/>
            <w:gridSpan w:val="2"/>
          </w:tcPr>
          <w:p>
            <w:pPr>
              <w:ind w:left="100"/>
              <w:spacing w:after="0" w:line="105" w:lineRule="exact"/>
              <w:rPr>
                <w:sz w:val="20"/>
                <w:szCs w:val="20"/>
                <w:color w:val="auto"/>
              </w:rPr>
            </w:pPr>
            <w:r>
              <w:rPr>
                <w:rFonts w:ascii="Times New Roman" w:cs="Times New Roman" w:eastAsia="Times New Roman" w:hAnsi="Times New Roman"/>
                <w:sz w:val="10"/>
                <w:szCs w:val="10"/>
                <w:color w:val="auto"/>
              </w:rPr>
              <w:t>1525 Washington Street</w:t>
            </w:r>
          </w:p>
        </w:tc>
        <w:tc>
          <w:tcPr>
            <w:tcW w:w="900" w:type="dxa"/>
            <w:vAlign w:val="bottom"/>
          </w:tcPr>
          <w:p>
            <w:pPr>
              <w:spacing w:after="0" w:line="105" w:lineRule="exact"/>
              <w:rPr>
                <w:sz w:val="20"/>
                <w:szCs w:val="20"/>
                <w:color w:val="auto"/>
              </w:rPr>
            </w:pPr>
            <w:r>
              <w:rPr>
                <w:rFonts w:ascii="Times New Roman" w:cs="Times New Roman" w:eastAsia="Times New Roman" w:hAnsi="Times New Roman"/>
                <w:sz w:val="10"/>
                <w:szCs w:val="10"/>
                <w:color w:val="auto"/>
              </w:rPr>
              <w:t>Second Lien Debt</w:t>
            </w:r>
          </w:p>
        </w:tc>
        <w:tc>
          <w:tcPr>
            <w:tcW w:w="6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320" w:type="dxa"/>
            <w:vAlign w:val="bottom"/>
            <w:gridSpan w:val="2"/>
          </w:tcPr>
          <w:p>
            <w:pPr>
              <w:ind w:left="100"/>
              <w:spacing w:after="0" w:line="105" w:lineRule="exact"/>
              <w:rPr>
                <w:sz w:val="20"/>
                <w:szCs w:val="20"/>
                <w:color w:val="auto"/>
              </w:rPr>
            </w:pPr>
            <w:r>
              <w:rPr>
                <w:rFonts w:ascii="Times New Roman" w:cs="Times New Roman" w:eastAsia="Times New Roman" w:hAnsi="Times New Roman"/>
                <w:sz w:val="10"/>
                <w:szCs w:val="10"/>
                <w:color w:val="auto"/>
              </w:rPr>
              <w:t>Braintree, MA 02184</w:t>
            </w:r>
          </w:p>
        </w:tc>
        <w:tc>
          <w:tcPr>
            <w:tcW w:w="900" w:type="dxa"/>
            <w:vAlign w:val="bottom"/>
          </w:tcPr>
          <w:p>
            <w:pPr>
              <w:spacing w:after="0" w:line="105" w:lineRule="exact"/>
              <w:rPr>
                <w:sz w:val="20"/>
                <w:szCs w:val="20"/>
                <w:color w:val="auto"/>
              </w:rPr>
            </w:pPr>
            <w:r>
              <w:rPr>
                <w:rFonts w:ascii="Times New Roman" w:cs="Times New Roman" w:eastAsia="Times New Roman" w:hAnsi="Times New Roman"/>
                <w:sz w:val="10"/>
                <w:szCs w:val="10"/>
                <w:color w:val="auto"/>
              </w:rPr>
              <w:t>Common Equity</w:t>
            </w:r>
          </w:p>
        </w:tc>
        <w:tc>
          <w:tcPr>
            <w:tcW w:w="6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tcPr>
          <w:p>
            <w:pPr>
              <w:spacing w:after="0" w:line="105" w:lineRule="exact"/>
              <w:rPr>
                <w:sz w:val="20"/>
                <w:szCs w:val="20"/>
                <w:color w:val="auto"/>
              </w:rPr>
            </w:pPr>
            <w:r>
              <w:rPr>
                <w:rFonts w:ascii="Times New Roman" w:cs="Times New Roman" w:eastAsia="Times New Roman" w:hAnsi="Times New Roman"/>
                <w:sz w:val="10"/>
                <w:szCs w:val="10"/>
                <w:color w:val="auto"/>
              </w:rPr>
              <w:t>(5,837 units)</w:t>
            </w:r>
          </w:p>
        </w:tc>
        <w:tc>
          <w:tcPr>
            <w:tcW w:w="6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tcPr>
          <w:p>
            <w:pPr>
              <w:spacing w:after="0" w:line="105" w:lineRule="exact"/>
              <w:rPr>
                <w:sz w:val="20"/>
                <w:szCs w:val="20"/>
                <w:color w:val="auto"/>
              </w:rPr>
            </w:pPr>
            <w:r>
              <w:rPr>
                <w:rFonts w:ascii="Times New Roman" w:cs="Times New Roman" w:eastAsia="Times New Roman" w:hAnsi="Times New Roman"/>
                <w:sz w:val="10"/>
                <w:szCs w:val="10"/>
                <w:color w:val="auto"/>
              </w:rPr>
              <w:t>Common Equity (637</w:t>
            </w:r>
          </w:p>
        </w:tc>
        <w:tc>
          <w:tcPr>
            <w:tcW w:w="6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tcPr>
          <w:p>
            <w:pPr>
              <w:spacing w:after="0" w:line="105" w:lineRule="exact"/>
              <w:rPr>
                <w:sz w:val="20"/>
                <w:szCs w:val="20"/>
                <w:color w:val="auto"/>
              </w:rPr>
            </w:pPr>
            <w:r>
              <w:rPr>
                <w:rFonts w:ascii="Times New Roman" w:cs="Times New Roman" w:eastAsia="Times New Roman" w:hAnsi="Times New Roman"/>
                <w:sz w:val="10"/>
                <w:szCs w:val="10"/>
                <w:color w:val="auto"/>
              </w:rPr>
              <w:t>units)</w:t>
            </w:r>
          </w:p>
        </w:tc>
        <w:tc>
          <w:tcPr>
            <w:tcW w:w="6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tcPr>
          <w:p>
            <w:pPr>
              <w:spacing w:after="0" w:line="105" w:lineRule="exact"/>
              <w:rPr>
                <w:sz w:val="20"/>
                <w:szCs w:val="20"/>
                <w:color w:val="auto"/>
              </w:rPr>
            </w:pPr>
            <w:r>
              <w:rPr>
                <w:rFonts w:ascii="Times New Roman" w:cs="Times New Roman" w:eastAsia="Times New Roman" w:hAnsi="Times New Roman"/>
                <w:sz w:val="10"/>
                <w:szCs w:val="10"/>
                <w:color w:val="auto"/>
              </w:rPr>
              <w:t>Preferred Equity (868</w:t>
            </w:r>
          </w:p>
        </w:tc>
        <w:tc>
          <w:tcPr>
            <w:tcW w:w="6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1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0"/>
                <w:szCs w:val="10"/>
                <w:color w:val="auto"/>
              </w:rPr>
              <w:t>units)</w:t>
            </w:r>
          </w:p>
        </w:tc>
        <w:tc>
          <w:tcPr>
            <w:tcW w:w="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9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95"/>
        </w:trPr>
        <w:tc>
          <w:tcPr>
            <w:tcW w:w="740" w:type="dxa"/>
            <w:vAlign w:val="bottom"/>
            <w:gridSpan w:val="2"/>
          </w:tcPr>
          <w:p>
            <w:pPr>
              <w:jc w:val="center"/>
              <w:ind w:right="180"/>
              <w:spacing w:after="0"/>
              <w:rPr>
                <w:sz w:val="20"/>
                <w:szCs w:val="20"/>
                <w:color w:val="auto"/>
              </w:rPr>
            </w:pPr>
            <w:r>
              <w:rPr>
                <w:rFonts w:ascii="Times New Roman" w:cs="Times New Roman" w:eastAsia="Times New Roman" w:hAnsi="Times New Roman"/>
                <w:sz w:val="8"/>
                <w:szCs w:val="8"/>
                <w:b w:val="1"/>
                <w:bCs w:val="1"/>
                <w:color w:val="auto"/>
              </w:rPr>
              <w:t>Percentage of</w:t>
            </w:r>
          </w:p>
        </w:tc>
        <w:tc>
          <w:tcPr>
            <w:tcW w:w="920" w:type="dxa"/>
            <w:vAlign w:val="bottom"/>
            <w:gridSpan w:val="2"/>
          </w:tcPr>
          <w:p>
            <w:pPr>
              <w:jc w:val="center"/>
              <w:ind w:right="60"/>
              <w:spacing w:after="0"/>
              <w:rPr>
                <w:sz w:val="20"/>
                <w:szCs w:val="20"/>
                <w:color w:val="auto"/>
              </w:rPr>
            </w:pPr>
            <w:r>
              <w:rPr>
                <w:rFonts w:ascii="Times New Roman" w:cs="Times New Roman" w:eastAsia="Times New Roman" w:hAnsi="Times New Roman"/>
                <w:sz w:val="8"/>
                <w:szCs w:val="8"/>
                <w:b w:val="1"/>
                <w:bCs w:val="1"/>
                <w:color w:val="auto"/>
              </w:rPr>
              <w:t>Variable Index</w:t>
            </w:r>
          </w:p>
        </w:tc>
        <w:tc>
          <w:tcPr>
            <w:tcW w:w="720" w:type="dxa"/>
            <w:vAlign w:val="bottom"/>
            <w:gridSpan w:val="2"/>
          </w:tcPr>
          <w:p>
            <w:pPr>
              <w:jc w:val="center"/>
              <w:ind w:right="80"/>
              <w:spacing w:after="0"/>
              <w:rPr>
                <w:sz w:val="20"/>
                <w:szCs w:val="20"/>
                <w:color w:val="auto"/>
              </w:rPr>
            </w:pPr>
            <w:r>
              <w:rPr>
                <w:rFonts w:ascii="Times New Roman" w:cs="Times New Roman" w:eastAsia="Times New Roman" w:hAnsi="Times New Roman"/>
                <w:sz w:val="8"/>
                <w:szCs w:val="8"/>
                <w:b w:val="1"/>
                <w:bCs w:val="1"/>
                <w:color w:val="auto"/>
              </w:rPr>
              <w:t>Rate (e)</w:t>
            </w:r>
          </w:p>
        </w:tc>
        <w:tc>
          <w:tcPr>
            <w:tcW w:w="580" w:type="dxa"/>
            <w:vAlign w:val="bottom"/>
            <w:gridSpan w:val="2"/>
          </w:tcPr>
          <w:p>
            <w:pPr>
              <w:ind w:left="40"/>
              <w:spacing w:after="0"/>
              <w:rPr>
                <w:sz w:val="20"/>
                <w:szCs w:val="20"/>
                <w:color w:val="auto"/>
              </w:rPr>
            </w:pPr>
            <w:r>
              <w:rPr>
                <w:rFonts w:ascii="Times New Roman" w:cs="Times New Roman" w:eastAsia="Times New Roman" w:hAnsi="Times New Roman"/>
                <w:sz w:val="8"/>
                <w:szCs w:val="8"/>
                <w:b w:val="1"/>
                <w:bCs w:val="1"/>
                <w:color w:val="auto"/>
              </w:rPr>
              <w:t>Investment</w:t>
            </w: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gridSpan w:val="2"/>
          </w:tcPr>
          <w:p>
            <w:pPr>
              <w:jc w:val="center"/>
              <w:ind w:right="100"/>
              <w:spacing w:after="0"/>
              <w:rPr>
                <w:sz w:val="20"/>
                <w:szCs w:val="20"/>
                <w:color w:val="auto"/>
              </w:rPr>
            </w:pPr>
            <w:r>
              <w:rPr>
                <w:rFonts w:ascii="Times New Roman" w:cs="Times New Roman" w:eastAsia="Times New Roman" w:hAnsi="Times New Roman"/>
                <w:sz w:val="8"/>
                <w:szCs w:val="8"/>
                <w:b w:val="1"/>
                <w:bCs w:val="1"/>
                <w:color w:val="auto"/>
              </w:rPr>
              <w:t>Principal</w:t>
            </w: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gridSpan w:val="2"/>
          </w:tcPr>
          <w:p>
            <w:pPr>
              <w:ind w:left="80"/>
              <w:spacing w:after="0"/>
              <w:rPr>
                <w:sz w:val="20"/>
                <w:szCs w:val="20"/>
                <w:color w:val="auto"/>
              </w:rPr>
            </w:pPr>
            <w:r>
              <w:rPr>
                <w:rFonts w:ascii="Times New Roman" w:cs="Times New Roman" w:eastAsia="Times New Roman" w:hAnsi="Times New Roman"/>
                <w:sz w:val="8"/>
                <w:szCs w:val="8"/>
                <w:b w:val="1"/>
                <w:bCs w:val="1"/>
                <w:color w:val="auto"/>
              </w:rPr>
              <w:t>Fair</w:t>
            </w:r>
          </w:p>
        </w:tc>
        <w:tc>
          <w:tcPr>
            <w:tcW w:w="440" w:type="dxa"/>
            <w:vAlign w:val="bottom"/>
            <w:gridSpan w:val="2"/>
          </w:tcPr>
          <w:p>
            <w:pPr>
              <w:jc w:val="right"/>
              <w:ind w:right="80"/>
              <w:spacing w:after="0"/>
              <w:rPr>
                <w:sz w:val="20"/>
                <w:szCs w:val="20"/>
                <w:color w:val="auto"/>
              </w:rPr>
            </w:pPr>
            <w:r>
              <w:rPr>
                <w:rFonts w:ascii="Times New Roman" w:cs="Times New Roman" w:eastAsia="Times New Roman" w:hAnsi="Times New Roman"/>
                <w:sz w:val="8"/>
                <w:szCs w:val="8"/>
                <w:b w:val="1"/>
                <w:bCs w:val="1"/>
                <w:color w:val="auto"/>
                <w:w w:val="97"/>
              </w:rPr>
              <w:t>Percent of</w:t>
            </w:r>
          </w:p>
        </w:tc>
      </w:tr>
      <w:tr>
        <w:trPr>
          <w:trHeight w:val="115"/>
        </w:trPr>
        <w:tc>
          <w:tcPr>
            <w:tcW w:w="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8"/>
                <w:szCs w:val="8"/>
                <w:b w:val="1"/>
                <w:bCs w:val="1"/>
                <w:color w:val="auto"/>
              </w:rPr>
              <w:t>Class Held (bn)</w:t>
            </w:r>
          </w:p>
        </w:tc>
        <w:tc>
          <w:tcPr>
            <w:tcW w:w="180" w:type="dxa"/>
            <w:vAlign w:val="bottom"/>
          </w:tcPr>
          <w:p>
            <w:pPr>
              <w:spacing w:after="0"/>
              <w:rPr>
                <w:sz w:val="10"/>
                <w:szCs w:val="10"/>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8"/>
                <w:szCs w:val="8"/>
                <w:b w:val="1"/>
                <w:bCs w:val="1"/>
                <w:color w:val="auto"/>
              </w:rPr>
              <w:t>Spread / Floor (d)</w:t>
            </w:r>
          </w:p>
        </w:tc>
        <w:tc>
          <w:tcPr>
            <w:tcW w:w="60" w:type="dxa"/>
            <w:vAlign w:val="bottom"/>
          </w:tcPr>
          <w:p>
            <w:pPr>
              <w:spacing w:after="0"/>
              <w:rPr>
                <w:sz w:val="10"/>
                <w:szCs w:val="10"/>
                <w:color w:val="auto"/>
              </w:rPr>
            </w:pP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8"/>
                <w:szCs w:val="8"/>
                <w:b w:val="1"/>
                <w:bCs w:val="1"/>
                <w:color w:val="auto"/>
              </w:rPr>
              <w:t>Cash/PIK</w:t>
            </w:r>
          </w:p>
        </w:tc>
        <w:tc>
          <w:tcPr>
            <w:tcW w:w="100" w:type="dxa"/>
            <w:vAlign w:val="bottom"/>
          </w:tcPr>
          <w:p>
            <w:pPr>
              <w:spacing w:after="0"/>
              <w:rPr>
                <w:sz w:val="10"/>
                <w:szCs w:val="10"/>
                <w:color w:val="auto"/>
              </w:rPr>
            </w:pPr>
          </w:p>
        </w:tc>
        <w:tc>
          <w:tcPr>
            <w:tcW w:w="48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8"/>
                <w:szCs w:val="8"/>
                <w:b w:val="1"/>
                <w:bCs w:val="1"/>
                <w:color w:val="auto"/>
              </w:rPr>
              <w:t>Date (f)</w:t>
            </w:r>
          </w:p>
        </w:tc>
        <w:tc>
          <w:tcPr>
            <w:tcW w:w="100" w:type="dxa"/>
            <w:vAlign w:val="bottom"/>
          </w:tcPr>
          <w:p>
            <w:pPr>
              <w:spacing w:after="0"/>
              <w:rPr>
                <w:sz w:val="10"/>
                <w:szCs w:val="10"/>
                <w:color w:val="auto"/>
              </w:rPr>
            </w:pPr>
          </w:p>
        </w:tc>
        <w:tc>
          <w:tcPr>
            <w:tcW w:w="4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8"/>
                <w:szCs w:val="8"/>
                <w:b w:val="1"/>
                <w:bCs w:val="1"/>
                <w:color w:val="auto"/>
              </w:rPr>
              <w:t>Maturity</w:t>
            </w:r>
          </w:p>
        </w:tc>
        <w:tc>
          <w:tcPr>
            <w:tcW w:w="80" w:type="dxa"/>
            <w:vAlign w:val="bottom"/>
          </w:tcPr>
          <w:p>
            <w:pPr>
              <w:spacing w:after="0"/>
              <w:rPr>
                <w:sz w:val="10"/>
                <w:szCs w:val="10"/>
                <w:color w:val="auto"/>
              </w:rPr>
            </w:pPr>
          </w:p>
        </w:tc>
        <w:tc>
          <w:tcPr>
            <w:tcW w:w="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8"/>
                <w:szCs w:val="8"/>
                <w:b w:val="1"/>
                <w:bCs w:val="1"/>
                <w:color w:val="auto"/>
              </w:rPr>
              <w:t>Amount</w:t>
            </w:r>
          </w:p>
        </w:tc>
        <w:tc>
          <w:tcPr>
            <w:tcW w:w="100" w:type="dxa"/>
            <w:vAlign w:val="bottom"/>
          </w:tcPr>
          <w:p>
            <w:pPr>
              <w:spacing w:after="0"/>
              <w:rPr>
                <w:sz w:val="10"/>
                <w:szCs w:val="10"/>
                <w:color w:val="auto"/>
              </w:rPr>
            </w:pPr>
          </w:p>
        </w:tc>
        <w:tc>
          <w:tcPr>
            <w:tcW w:w="3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8"/>
                <w:szCs w:val="8"/>
                <w:b w:val="1"/>
                <w:bCs w:val="1"/>
                <w:color w:val="auto"/>
              </w:rPr>
              <w:t>Cost</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8"/>
                <w:szCs w:val="8"/>
                <w:b w:val="1"/>
                <w:bCs w:val="1"/>
                <w:color w:val="auto"/>
                <w:w w:val="95"/>
              </w:rPr>
              <w:t>Value (g)</w:t>
            </w:r>
          </w:p>
        </w:tc>
        <w:tc>
          <w:tcPr>
            <w:tcW w:w="100" w:type="dxa"/>
            <w:vAlign w:val="bottom"/>
          </w:tcPr>
          <w:p>
            <w:pPr>
              <w:spacing w:after="0"/>
              <w:rPr>
                <w:sz w:val="10"/>
                <w:szCs w:val="10"/>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8"/>
                <w:szCs w:val="8"/>
                <w:b w:val="1"/>
                <w:bCs w:val="1"/>
                <w:color w:val="auto"/>
                <w:w w:val="96"/>
              </w:rPr>
              <w:t>Net Assets</w:t>
            </w:r>
          </w:p>
        </w:tc>
        <w:tc>
          <w:tcPr>
            <w:tcW w:w="80" w:type="dxa"/>
            <w:vAlign w:val="bottom"/>
          </w:tcPr>
          <w:p>
            <w:pPr>
              <w:spacing w:after="0"/>
              <w:rPr>
                <w:sz w:val="10"/>
                <w:szCs w:val="10"/>
                <w:color w:val="auto"/>
              </w:rPr>
            </w:pPr>
          </w:p>
        </w:tc>
      </w:tr>
      <w:tr>
        <w:trPr>
          <w:trHeight w:val="311"/>
        </w:trPr>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gridSpan w:val="2"/>
          </w:tcPr>
          <w:p>
            <w:pPr>
              <w:jc w:val="center"/>
              <w:ind w:right="60"/>
              <w:spacing w:after="0"/>
              <w:rPr>
                <w:sz w:val="20"/>
                <w:szCs w:val="20"/>
                <w:color w:val="auto"/>
              </w:rPr>
            </w:pPr>
            <w:r>
              <w:rPr>
                <w:rFonts w:ascii="Times New Roman" w:cs="Times New Roman" w:eastAsia="Times New Roman" w:hAnsi="Times New Roman"/>
                <w:sz w:val="10"/>
                <w:szCs w:val="10"/>
                <w:color w:val="auto"/>
                <w:w w:val="96"/>
              </w:rPr>
              <w:t>(S + 6.00%) / (2.00%)</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9.66%/0.00%</w:t>
            </w: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11/5/2025</w:t>
            </w: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2/5/2030</w:t>
            </w: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13,800</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0"/>
                <w:szCs w:val="10"/>
                <w:color w:val="auto"/>
              </w:rPr>
              <w:t>13,741</w:t>
            </w:r>
          </w:p>
        </w:tc>
        <w:tc>
          <w:tcPr>
            <w:tcW w:w="500" w:type="dxa"/>
            <w:vAlign w:val="bottom"/>
            <w:gridSpan w:val="3"/>
          </w:tcPr>
          <w:p>
            <w:pPr>
              <w:jc w:val="right"/>
              <w:ind w:right="100"/>
              <w:spacing w:after="0"/>
              <w:rPr>
                <w:sz w:val="20"/>
                <w:szCs w:val="20"/>
                <w:color w:val="auto"/>
              </w:rPr>
            </w:pPr>
            <w:r>
              <w:rPr>
                <w:rFonts w:ascii="Times New Roman" w:cs="Times New Roman" w:eastAsia="Times New Roman" w:hAnsi="Times New Roman"/>
                <w:sz w:val="10"/>
                <w:szCs w:val="10"/>
                <w:color w:val="auto"/>
              </w:rPr>
              <w:t>13,800</w:t>
            </w: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02"/>
        </w:trPr>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1.8%</w:t>
            </w: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2/5/2025</w:t>
            </w: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0"/>
                <w:szCs w:val="10"/>
                <w:color w:val="auto"/>
              </w:rPr>
              <w:t>500</w:t>
            </w:r>
          </w:p>
        </w:tc>
        <w:tc>
          <w:tcPr>
            <w:tcW w:w="500" w:type="dxa"/>
            <w:vAlign w:val="bottom"/>
            <w:gridSpan w:val="3"/>
          </w:tcPr>
          <w:p>
            <w:pPr>
              <w:jc w:val="right"/>
              <w:ind w:right="100"/>
              <w:spacing w:after="0"/>
              <w:rPr>
                <w:sz w:val="20"/>
                <w:szCs w:val="20"/>
                <w:color w:val="auto"/>
              </w:rPr>
            </w:pPr>
            <w:r>
              <w:rPr>
                <w:rFonts w:ascii="Times New Roman" w:cs="Times New Roman" w:eastAsia="Times New Roman" w:hAnsi="Times New Roman"/>
                <w:sz w:val="10"/>
                <w:szCs w:val="10"/>
                <w:color w:val="auto"/>
              </w:rPr>
              <w:t>630</w:t>
            </w: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15"/>
        </w:trPr>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0"/>
                <w:szCs w:val="10"/>
                <w:color w:val="auto"/>
              </w:rPr>
              <w:t>14,241</w:t>
            </w:r>
          </w:p>
        </w:tc>
        <w:tc>
          <w:tcPr>
            <w:tcW w:w="80" w:type="dxa"/>
            <w:vAlign w:val="bottom"/>
          </w:tcPr>
          <w:p>
            <w:pPr>
              <w:spacing w:after="0"/>
              <w:rPr>
                <w:sz w:val="10"/>
                <w:szCs w:val="10"/>
                <w:color w:val="auto"/>
              </w:rPr>
            </w:pPr>
          </w:p>
        </w:tc>
        <w:tc>
          <w:tcPr>
            <w:tcW w:w="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14,430</w:t>
            </w:r>
          </w:p>
        </w:tc>
        <w:tc>
          <w:tcPr>
            <w:tcW w:w="100" w:type="dxa"/>
            <w:vAlign w:val="bottom"/>
          </w:tcPr>
          <w:p>
            <w:pPr>
              <w:spacing w:after="0"/>
              <w:rPr>
                <w:sz w:val="10"/>
                <w:szCs w:val="10"/>
                <w:color w:val="auto"/>
              </w:rPr>
            </w:pPr>
          </w:p>
        </w:tc>
        <w:tc>
          <w:tcPr>
            <w:tcW w:w="440" w:type="dxa"/>
            <w:vAlign w:val="bottom"/>
            <w:gridSpan w:val="2"/>
          </w:tcPr>
          <w:p>
            <w:pPr>
              <w:jc w:val="right"/>
              <w:spacing w:after="0" w:line="113" w:lineRule="exact"/>
              <w:rPr>
                <w:sz w:val="20"/>
                <w:szCs w:val="20"/>
                <w:color w:val="auto"/>
              </w:rPr>
            </w:pPr>
            <w:r>
              <w:rPr>
                <w:rFonts w:ascii="Times New Roman" w:cs="Times New Roman" w:eastAsia="Times New Roman" w:hAnsi="Times New Roman"/>
                <w:sz w:val="10"/>
                <w:szCs w:val="10"/>
                <w:color w:val="auto"/>
              </w:rPr>
              <w:t>2%</w:t>
            </w:r>
          </w:p>
        </w:tc>
      </w:tr>
      <w:tr>
        <w:trPr>
          <w:trHeight w:val="416"/>
        </w:trPr>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gridSpan w:val="2"/>
          </w:tcPr>
          <w:p>
            <w:pPr>
              <w:jc w:val="center"/>
              <w:ind w:right="60"/>
              <w:spacing w:after="0"/>
              <w:rPr>
                <w:sz w:val="20"/>
                <w:szCs w:val="20"/>
                <w:color w:val="auto"/>
              </w:rPr>
            </w:pPr>
            <w:r>
              <w:rPr>
                <w:rFonts w:ascii="Times New Roman" w:cs="Times New Roman" w:eastAsia="Times New Roman" w:hAnsi="Times New Roman"/>
                <w:sz w:val="10"/>
                <w:szCs w:val="10"/>
                <w:color w:val="auto"/>
                <w:w w:val="96"/>
              </w:rPr>
              <w:t>(S + 4.75%) / (1.00%)</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8.44%/0.00%</w:t>
            </w: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11/27/2024</w:t>
            </w: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11/27/2029</w:t>
            </w: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7,000</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0"/>
                <w:szCs w:val="10"/>
                <w:color w:val="auto"/>
              </w:rPr>
              <w:t>6,962</w:t>
            </w:r>
          </w:p>
        </w:tc>
        <w:tc>
          <w:tcPr>
            <w:tcW w:w="500" w:type="dxa"/>
            <w:vAlign w:val="bottom"/>
            <w:gridSpan w:val="3"/>
          </w:tcPr>
          <w:p>
            <w:pPr>
              <w:jc w:val="right"/>
              <w:ind w:right="100"/>
              <w:spacing w:after="0"/>
              <w:rPr>
                <w:sz w:val="20"/>
                <w:szCs w:val="20"/>
                <w:color w:val="auto"/>
              </w:rPr>
            </w:pPr>
            <w:r>
              <w:rPr>
                <w:rFonts w:ascii="Times New Roman" w:cs="Times New Roman" w:eastAsia="Times New Roman" w:hAnsi="Times New Roman"/>
                <w:sz w:val="10"/>
                <w:szCs w:val="10"/>
                <w:color w:val="auto"/>
              </w:rPr>
              <w:t>7,000</w:t>
            </w: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02"/>
        </w:trPr>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0.7%</w:t>
            </w: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11/27/2024</w:t>
            </w: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0"/>
                <w:szCs w:val="10"/>
                <w:color w:val="auto"/>
              </w:rPr>
              <w:t>350</w:t>
            </w:r>
          </w:p>
        </w:tc>
        <w:tc>
          <w:tcPr>
            <w:tcW w:w="500" w:type="dxa"/>
            <w:vAlign w:val="bottom"/>
            <w:gridSpan w:val="3"/>
          </w:tcPr>
          <w:p>
            <w:pPr>
              <w:jc w:val="right"/>
              <w:ind w:right="100"/>
              <w:spacing w:after="0"/>
              <w:rPr>
                <w:sz w:val="20"/>
                <w:szCs w:val="20"/>
                <w:color w:val="auto"/>
              </w:rPr>
            </w:pPr>
            <w:r>
              <w:rPr>
                <w:rFonts w:ascii="Times New Roman" w:cs="Times New Roman" w:eastAsia="Times New Roman" w:hAnsi="Times New Roman"/>
                <w:sz w:val="10"/>
                <w:szCs w:val="10"/>
                <w:color w:val="auto"/>
              </w:rPr>
              <w:t>321</w:t>
            </w: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15"/>
        </w:trPr>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0"/>
                <w:szCs w:val="10"/>
                <w:color w:val="auto"/>
              </w:rPr>
              <w:t>7,312</w:t>
            </w:r>
          </w:p>
        </w:tc>
        <w:tc>
          <w:tcPr>
            <w:tcW w:w="80" w:type="dxa"/>
            <w:vAlign w:val="bottom"/>
          </w:tcPr>
          <w:p>
            <w:pPr>
              <w:spacing w:after="0"/>
              <w:rPr>
                <w:sz w:val="10"/>
                <w:szCs w:val="10"/>
                <w:color w:val="auto"/>
              </w:rPr>
            </w:pPr>
          </w:p>
        </w:tc>
        <w:tc>
          <w:tcPr>
            <w:tcW w:w="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7,321</w:t>
            </w:r>
          </w:p>
        </w:tc>
        <w:tc>
          <w:tcPr>
            <w:tcW w:w="100" w:type="dxa"/>
            <w:vAlign w:val="bottom"/>
          </w:tcPr>
          <w:p>
            <w:pPr>
              <w:spacing w:after="0"/>
              <w:rPr>
                <w:sz w:val="10"/>
                <w:szCs w:val="10"/>
                <w:color w:val="auto"/>
              </w:rPr>
            </w:pPr>
          </w:p>
        </w:tc>
        <w:tc>
          <w:tcPr>
            <w:tcW w:w="440" w:type="dxa"/>
            <w:vAlign w:val="bottom"/>
            <w:gridSpan w:val="2"/>
          </w:tcPr>
          <w:p>
            <w:pPr>
              <w:jc w:val="right"/>
              <w:spacing w:after="0" w:line="113" w:lineRule="exact"/>
              <w:rPr>
                <w:sz w:val="20"/>
                <w:szCs w:val="20"/>
                <w:color w:val="auto"/>
              </w:rPr>
            </w:pPr>
            <w:r>
              <w:rPr>
                <w:rFonts w:ascii="Times New Roman" w:cs="Times New Roman" w:eastAsia="Times New Roman" w:hAnsi="Times New Roman"/>
                <w:sz w:val="10"/>
                <w:szCs w:val="10"/>
                <w:color w:val="auto"/>
              </w:rPr>
              <w:t>1%</w:t>
            </w:r>
          </w:p>
        </w:tc>
      </w:tr>
      <w:tr>
        <w:trPr>
          <w:trHeight w:val="311"/>
        </w:trPr>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12.00%/0.00%</w:t>
            </w: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1/28/2026</w:t>
            </w: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1/28/2031</w:t>
            </w: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6,000</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0"/>
                <w:szCs w:val="10"/>
                <w:color w:val="auto"/>
              </w:rPr>
              <w:t>5,969</w:t>
            </w:r>
          </w:p>
        </w:tc>
        <w:tc>
          <w:tcPr>
            <w:tcW w:w="500" w:type="dxa"/>
            <w:vAlign w:val="bottom"/>
            <w:gridSpan w:val="3"/>
          </w:tcPr>
          <w:p>
            <w:pPr>
              <w:jc w:val="right"/>
              <w:ind w:right="100"/>
              <w:spacing w:after="0"/>
              <w:rPr>
                <w:sz w:val="20"/>
                <w:szCs w:val="20"/>
                <w:color w:val="auto"/>
              </w:rPr>
            </w:pPr>
            <w:r>
              <w:rPr>
                <w:rFonts w:ascii="Times New Roman" w:cs="Times New Roman" w:eastAsia="Times New Roman" w:hAnsi="Times New Roman"/>
                <w:sz w:val="10"/>
                <w:szCs w:val="10"/>
                <w:color w:val="auto"/>
              </w:rPr>
              <w:t>5,969</w:t>
            </w: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09"/>
        </w:trPr>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1.5%</w:t>
            </w: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1/28/2026</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0"/>
                <w:szCs w:val="10"/>
                <w:color w:val="auto"/>
              </w:rPr>
              <w:t>1,000</w:t>
            </w:r>
          </w:p>
        </w:tc>
        <w:tc>
          <w:tcPr>
            <w:tcW w:w="500" w:type="dxa"/>
            <w:vAlign w:val="bottom"/>
            <w:gridSpan w:val="3"/>
          </w:tcPr>
          <w:p>
            <w:pPr>
              <w:jc w:val="right"/>
              <w:ind w:right="100"/>
              <w:spacing w:after="0"/>
              <w:rPr>
                <w:sz w:val="20"/>
                <w:szCs w:val="20"/>
                <w:color w:val="auto"/>
              </w:rPr>
            </w:pPr>
            <w:r>
              <w:rPr>
                <w:rFonts w:ascii="Times New Roman" w:cs="Times New Roman" w:eastAsia="Times New Roman" w:hAnsi="Times New Roman"/>
                <w:sz w:val="10"/>
                <w:szCs w:val="10"/>
                <w:color w:val="auto"/>
              </w:rPr>
              <w:t>1,000</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2"/>
        </w:trPr>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1.4%</w:t>
            </w: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1/28/2026</w:t>
            </w: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gridSpan w:val="2"/>
          </w:tcPr>
          <w:p>
            <w:pPr>
              <w:ind w:left="160"/>
              <w:spacing w:after="0"/>
              <w:rPr>
                <w:sz w:val="20"/>
                <w:szCs w:val="20"/>
                <w:color w:val="auto"/>
              </w:rPr>
            </w:pPr>
            <w:r>
              <w:rPr>
                <w:rFonts w:ascii="Times New Roman" w:cs="Times New Roman" w:eastAsia="Times New Roman" w:hAnsi="Times New Roman"/>
                <w:sz w:val="10"/>
                <w:szCs w:val="10"/>
                <w:color w:val="auto"/>
                <w:w w:val="93"/>
              </w:rPr>
              <w:t>— </w:t>
            </w:r>
          </w:p>
        </w:tc>
        <w:tc>
          <w:tcPr>
            <w:tcW w:w="80" w:type="dxa"/>
            <w:vAlign w:val="bottom"/>
          </w:tcPr>
          <w:p>
            <w:pPr>
              <w:spacing w:after="0"/>
              <w:rPr>
                <w:sz w:val="17"/>
                <w:szCs w:val="17"/>
                <w:color w:val="auto"/>
              </w:rPr>
            </w:pPr>
          </w:p>
        </w:tc>
        <w:tc>
          <w:tcPr>
            <w:tcW w:w="420" w:type="dxa"/>
            <w:vAlign w:val="bottom"/>
            <w:gridSpan w:val="2"/>
          </w:tcPr>
          <w:p>
            <w:pPr>
              <w:ind w:left="180"/>
              <w:spacing w:after="0"/>
              <w:rPr>
                <w:sz w:val="20"/>
                <w:szCs w:val="20"/>
                <w:color w:val="auto"/>
              </w:rPr>
            </w:pPr>
            <w:r>
              <w:rPr>
                <w:rFonts w:ascii="Times New Roman" w:cs="Times New Roman" w:eastAsia="Times New Roman" w:hAnsi="Times New Roman"/>
                <w:sz w:val="10"/>
                <w:szCs w:val="10"/>
                <w:color w:val="auto"/>
              </w:rPr>
              <w:t>— </w:t>
            </w: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15"/>
        </w:trPr>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6,969</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6,969</w:t>
            </w:r>
          </w:p>
        </w:tc>
        <w:tc>
          <w:tcPr>
            <w:tcW w:w="100" w:type="dxa"/>
            <w:vAlign w:val="bottom"/>
          </w:tcPr>
          <w:p>
            <w:pPr>
              <w:spacing w:after="0"/>
              <w:rPr>
                <w:sz w:val="10"/>
                <w:szCs w:val="10"/>
                <w:color w:val="auto"/>
              </w:rPr>
            </w:pPr>
          </w:p>
        </w:tc>
        <w:tc>
          <w:tcPr>
            <w:tcW w:w="440" w:type="dxa"/>
            <w:vAlign w:val="bottom"/>
            <w:gridSpan w:val="2"/>
          </w:tcPr>
          <w:p>
            <w:pPr>
              <w:jc w:val="right"/>
              <w:spacing w:after="0" w:line="113" w:lineRule="exact"/>
              <w:rPr>
                <w:sz w:val="20"/>
                <w:szCs w:val="20"/>
                <w:color w:val="auto"/>
              </w:rPr>
            </w:pPr>
            <w:r>
              <w:rPr>
                <w:rFonts w:ascii="Times New Roman" w:cs="Times New Roman" w:eastAsia="Times New Roman" w:hAnsi="Times New Roman"/>
                <w:sz w:val="10"/>
                <w:szCs w:val="10"/>
                <w:color w:val="auto"/>
              </w:rPr>
              <w:t>1%</w:t>
            </w:r>
          </w:p>
        </w:tc>
      </w:tr>
      <w:tr>
        <w:trPr>
          <w:trHeight w:val="416"/>
        </w:trPr>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0.0%</w:t>
            </w: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2/1/2024</w:t>
            </w: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0"/>
                <w:szCs w:val="10"/>
                <w:color w:val="auto"/>
              </w:rPr>
              <w:t>162</w:t>
            </w:r>
          </w:p>
        </w:tc>
        <w:tc>
          <w:tcPr>
            <w:tcW w:w="500" w:type="dxa"/>
            <w:vAlign w:val="bottom"/>
            <w:gridSpan w:val="3"/>
          </w:tcPr>
          <w:p>
            <w:pPr>
              <w:jc w:val="right"/>
              <w:ind w:right="100"/>
              <w:spacing w:after="0"/>
              <w:rPr>
                <w:sz w:val="20"/>
                <w:szCs w:val="20"/>
                <w:color w:val="auto"/>
              </w:rPr>
            </w:pPr>
            <w:r>
              <w:rPr>
                <w:rFonts w:ascii="Times New Roman" w:cs="Times New Roman" w:eastAsia="Times New Roman" w:hAnsi="Times New Roman"/>
                <w:sz w:val="10"/>
                <w:szCs w:val="10"/>
                <w:color w:val="auto"/>
              </w:rPr>
              <w:t>288</w:t>
            </w: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02"/>
        </w:trPr>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0.9%</w:t>
            </w: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9/21/2018</w:t>
            </w: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0"/>
                <w:szCs w:val="10"/>
                <w:color w:val="auto"/>
              </w:rPr>
              <w:t>188</w:t>
            </w:r>
          </w:p>
        </w:tc>
        <w:tc>
          <w:tcPr>
            <w:tcW w:w="500" w:type="dxa"/>
            <w:vAlign w:val="bottom"/>
            <w:gridSpan w:val="3"/>
          </w:tcPr>
          <w:p>
            <w:pPr>
              <w:jc w:val="right"/>
              <w:ind w:right="100"/>
              <w:spacing w:after="0"/>
              <w:rPr>
                <w:sz w:val="20"/>
                <w:szCs w:val="20"/>
                <w:color w:val="auto"/>
              </w:rPr>
            </w:pPr>
            <w:r>
              <w:rPr>
                <w:rFonts w:ascii="Times New Roman" w:cs="Times New Roman" w:eastAsia="Times New Roman" w:hAnsi="Times New Roman"/>
                <w:sz w:val="10"/>
                <w:szCs w:val="10"/>
                <w:color w:val="auto"/>
              </w:rPr>
              <w:t>217</w:t>
            </w: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15"/>
        </w:trPr>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0"/>
                <w:szCs w:val="10"/>
                <w:color w:val="auto"/>
              </w:rPr>
              <w:t>350</w:t>
            </w:r>
          </w:p>
        </w:tc>
        <w:tc>
          <w:tcPr>
            <w:tcW w:w="80" w:type="dxa"/>
            <w:vAlign w:val="bottom"/>
          </w:tcPr>
          <w:p>
            <w:pPr>
              <w:spacing w:after="0"/>
              <w:rPr>
                <w:sz w:val="10"/>
                <w:szCs w:val="10"/>
                <w:color w:val="auto"/>
              </w:rPr>
            </w:pPr>
          </w:p>
        </w:tc>
        <w:tc>
          <w:tcPr>
            <w:tcW w:w="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505</w:t>
            </w:r>
          </w:p>
        </w:tc>
        <w:tc>
          <w:tcPr>
            <w:tcW w:w="100" w:type="dxa"/>
            <w:vAlign w:val="bottom"/>
          </w:tcPr>
          <w:p>
            <w:pPr>
              <w:spacing w:after="0"/>
              <w:rPr>
                <w:sz w:val="10"/>
                <w:szCs w:val="10"/>
                <w:color w:val="auto"/>
              </w:rPr>
            </w:pPr>
          </w:p>
        </w:tc>
        <w:tc>
          <w:tcPr>
            <w:tcW w:w="440" w:type="dxa"/>
            <w:vAlign w:val="bottom"/>
            <w:gridSpan w:val="2"/>
          </w:tcPr>
          <w:p>
            <w:pPr>
              <w:jc w:val="right"/>
              <w:spacing w:after="0" w:line="113" w:lineRule="exact"/>
              <w:rPr>
                <w:sz w:val="20"/>
                <w:szCs w:val="20"/>
                <w:color w:val="auto"/>
              </w:rPr>
            </w:pPr>
            <w:r>
              <w:rPr>
                <w:rFonts w:ascii="Times New Roman" w:cs="Times New Roman" w:eastAsia="Times New Roman" w:hAnsi="Times New Roman"/>
                <w:sz w:val="10"/>
                <w:szCs w:val="10"/>
                <w:color w:val="auto"/>
              </w:rPr>
              <w:t>0%</w:t>
            </w:r>
          </w:p>
        </w:tc>
      </w:tr>
      <w:tr>
        <w:trPr>
          <w:trHeight w:val="311"/>
        </w:trPr>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gridSpan w:val="2"/>
          </w:tcPr>
          <w:p>
            <w:pPr>
              <w:jc w:val="center"/>
              <w:ind w:right="60"/>
              <w:spacing w:after="0"/>
              <w:rPr>
                <w:sz w:val="20"/>
                <w:szCs w:val="20"/>
                <w:color w:val="auto"/>
              </w:rPr>
            </w:pPr>
            <w:r>
              <w:rPr>
                <w:rFonts w:ascii="Times New Roman" w:cs="Times New Roman" w:eastAsia="Times New Roman" w:hAnsi="Times New Roman"/>
                <w:sz w:val="10"/>
                <w:szCs w:val="10"/>
                <w:color w:val="auto"/>
                <w:w w:val="96"/>
              </w:rPr>
              <w:t>(S + 6.50%) / (2.00%)</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10.16%/0.00%</w:t>
            </w: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12/8/2023</w:t>
            </w: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12/8/2028</w:t>
            </w: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29,460</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0"/>
                <w:szCs w:val="10"/>
                <w:color w:val="auto"/>
              </w:rPr>
              <w:t>29,258</w:t>
            </w:r>
          </w:p>
        </w:tc>
        <w:tc>
          <w:tcPr>
            <w:tcW w:w="500" w:type="dxa"/>
            <w:vAlign w:val="bottom"/>
            <w:gridSpan w:val="3"/>
          </w:tcPr>
          <w:p>
            <w:pPr>
              <w:jc w:val="right"/>
              <w:ind w:right="100"/>
              <w:spacing w:after="0"/>
              <w:rPr>
                <w:sz w:val="20"/>
                <w:szCs w:val="20"/>
                <w:color w:val="auto"/>
              </w:rPr>
            </w:pPr>
            <w:r>
              <w:rPr>
                <w:rFonts w:ascii="Times New Roman" w:cs="Times New Roman" w:eastAsia="Times New Roman" w:hAnsi="Times New Roman"/>
                <w:sz w:val="10"/>
                <w:szCs w:val="10"/>
                <w:color w:val="auto"/>
              </w:rPr>
              <w:t>29,460</w:t>
            </w: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02"/>
        </w:trPr>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2.2%</w:t>
            </w: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12/8/2023</w:t>
            </w: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0"/>
                <w:szCs w:val="10"/>
                <w:color w:val="auto"/>
              </w:rPr>
              <w:t>1,406</w:t>
            </w:r>
          </w:p>
        </w:tc>
        <w:tc>
          <w:tcPr>
            <w:tcW w:w="500" w:type="dxa"/>
            <w:vAlign w:val="bottom"/>
            <w:gridSpan w:val="3"/>
          </w:tcPr>
          <w:p>
            <w:pPr>
              <w:jc w:val="right"/>
              <w:ind w:right="100"/>
              <w:spacing w:after="0"/>
              <w:rPr>
                <w:sz w:val="20"/>
                <w:szCs w:val="20"/>
                <w:color w:val="auto"/>
              </w:rPr>
            </w:pPr>
            <w:r>
              <w:rPr>
                <w:rFonts w:ascii="Times New Roman" w:cs="Times New Roman" w:eastAsia="Times New Roman" w:hAnsi="Times New Roman"/>
                <w:sz w:val="10"/>
                <w:szCs w:val="10"/>
                <w:color w:val="auto"/>
              </w:rPr>
              <w:t>1,946</w:t>
            </w: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15"/>
        </w:trPr>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0"/>
                <w:szCs w:val="10"/>
                <w:color w:val="auto"/>
              </w:rPr>
              <w:t>30,664</w:t>
            </w:r>
          </w:p>
        </w:tc>
        <w:tc>
          <w:tcPr>
            <w:tcW w:w="80" w:type="dxa"/>
            <w:vAlign w:val="bottom"/>
          </w:tcPr>
          <w:p>
            <w:pPr>
              <w:spacing w:after="0"/>
              <w:rPr>
                <w:sz w:val="10"/>
                <w:szCs w:val="10"/>
                <w:color w:val="auto"/>
              </w:rPr>
            </w:pPr>
          </w:p>
        </w:tc>
        <w:tc>
          <w:tcPr>
            <w:tcW w:w="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31,406</w:t>
            </w:r>
          </w:p>
        </w:tc>
        <w:tc>
          <w:tcPr>
            <w:tcW w:w="100" w:type="dxa"/>
            <w:vAlign w:val="bottom"/>
          </w:tcPr>
          <w:p>
            <w:pPr>
              <w:spacing w:after="0"/>
              <w:rPr>
                <w:sz w:val="10"/>
                <w:szCs w:val="10"/>
                <w:color w:val="auto"/>
              </w:rPr>
            </w:pPr>
          </w:p>
        </w:tc>
        <w:tc>
          <w:tcPr>
            <w:tcW w:w="440" w:type="dxa"/>
            <w:vAlign w:val="bottom"/>
            <w:gridSpan w:val="2"/>
          </w:tcPr>
          <w:p>
            <w:pPr>
              <w:jc w:val="right"/>
              <w:spacing w:after="0" w:line="113" w:lineRule="exact"/>
              <w:rPr>
                <w:sz w:val="20"/>
                <w:szCs w:val="20"/>
                <w:color w:val="auto"/>
              </w:rPr>
            </w:pPr>
            <w:r>
              <w:rPr>
                <w:rFonts w:ascii="Times New Roman" w:cs="Times New Roman" w:eastAsia="Times New Roman" w:hAnsi="Times New Roman"/>
                <w:sz w:val="10"/>
                <w:szCs w:val="10"/>
                <w:color w:val="auto"/>
              </w:rPr>
              <w:t>4%</w:t>
            </w:r>
          </w:p>
        </w:tc>
      </w:tr>
      <w:tr>
        <w:trPr>
          <w:trHeight w:val="416"/>
        </w:trPr>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gridSpan w:val="2"/>
          </w:tcPr>
          <w:p>
            <w:pPr>
              <w:jc w:val="center"/>
              <w:ind w:right="60"/>
              <w:spacing w:after="0"/>
              <w:rPr>
                <w:sz w:val="20"/>
                <w:szCs w:val="20"/>
                <w:color w:val="auto"/>
              </w:rPr>
            </w:pPr>
            <w:r>
              <w:rPr>
                <w:rFonts w:ascii="Times New Roman" w:cs="Times New Roman" w:eastAsia="Times New Roman" w:hAnsi="Times New Roman"/>
                <w:sz w:val="10"/>
                <w:szCs w:val="10"/>
                <w:color w:val="auto"/>
                <w:w w:val="96"/>
              </w:rPr>
              <w:t>(S + 5.58%) / (1.00%)</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9.25%/0.00%</w:t>
            </w: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10/17/2025</w:t>
            </w: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5/18/2028</w:t>
            </w: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23,080</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0"/>
                <w:szCs w:val="10"/>
                <w:color w:val="auto"/>
              </w:rPr>
              <w:t>22,985</w:t>
            </w:r>
          </w:p>
        </w:tc>
        <w:tc>
          <w:tcPr>
            <w:tcW w:w="500" w:type="dxa"/>
            <w:vAlign w:val="bottom"/>
            <w:gridSpan w:val="3"/>
          </w:tcPr>
          <w:p>
            <w:pPr>
              <w:jc w:val="right"/>
              <w:ind w:right="100"/>
              <w:spacing w:after="0"/>
              <w:rPr>
                <w:sz w:val="20"/>
                <w:szCs w:val="20"/>
                <w:color w:val="auto"/>
              </w:rPr>
            </w:pPr>
            <w:r>
              <w:rPr>
                <w:rFonts w:ascii="Times New Roman" w:cs="Times New Roman" w:eastAsia="Times New Roman" w:hAnsi="Times New Roman"/>
                <w:sz w:val="10"/>
                <w:szCs w:val="10"/>
                <w:color w:val="auto"/>
              </w:rPr>
              <w:t>22,985</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3%</w:t>
            </w:r>
          </w:p>
        </w:tc>
      </w:tr>
      <w:tr>
        <w:trPr>
          <w:trHeight w:val="502"/>
        </w:trPr>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gridSpan w:val="2"/>
          </w:tcPr>
          <w:p>
            <w:pPr>
              <w:jc w:val="center"/>
              <w:ind w:right="60"/>
              <w:spacing w:after="0"/>
              <w:rPr>
                <w:sz w:val="20"/>
                <w:szCs w:val="20"/>
                <w:color w:val="auto"/>
              </w:rPr>
            </w:pPr>
            <w:r>
              <w:rPr>
                <w:rFonts w:ascii="Times New Roman" w:cs="Times New Roman" w:eastAsia="Times New Roman" w:hAnsi="Times New Roman"/>
                <w:sz w:val="10"/>
                <w:szCs w:val="10"/>
                <w:color w:val="auto"/>
                <w:w w:val="96"/>
              </w:rPr>
              <w:t>(S + 7.50%) / (2.00%)</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11.15%/0.00%</w:t>
            </w: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10/16/2024</w:t>
            </w: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10/16/2029</w:t>
            </w: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22,500</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0"/>
                <w:szCs w:val="10"/>
                <w:color w:val="auto"/>
              </w:rPr>
              <w:t>22,303</w:t>
            </w:r>
          </w:p>
        </w:tc>
        <w:tc>
          <w:tcPr>
            <w:tcW w:w="500" w:type="dxa"/>
            <w:vAlign w:val="bottom"/>
            <w:gridSpan w:val="3"/>
          </w:tcPr>
          <w:p>
            <w:pPr>
              <w:jc w:val="right"/>
              <w:ind w:right="100"/>
              <w:spacing w:after="0"/>
              <w:rPr>
                <w:sz w:val="20"/>
                <w:szCs w:val="20"/>
                <w:color w:val="auto"/>
              </w:rPr>
            </w:pPr>
            <w:r>
              <w:rPr>
                <w:rFonts w:ascii="Times New Roman" w:cs="Times New Roman" w:eastAsia="Times New Roman" w:hAnsi="Times New Roman"/>
                <w:sz w:val="10"/>
                <w:szCs w:val="10"/>
                <w:color w:val="auto"/>
              </w:rPr>
              <w:t>22,500</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3%</w:t>
            </w:r>
          </w:p>
        </w:tc>
      </w:tr>
      <w:tr>
        <w:trPr>
          <w:trHeight w:val="398"/>
        </w:trPr>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gridSpan w:val="2"/>
          </w:tcPr>
          <w:p>
            <w:pPr>
              <w:jc w:val="center"/>
              <w:ind w:right="60"/>
              <w:spacing w:after="0"/>
              <w:rPr>
                <w:sz w:val="20"/>
                <w:szCs w:val="20"/>
                <w:color w:val="auto"/>
              </w:rPr>
            </w:pPr>
            <w:r>
              <w:rPr>
                <w:rFonts w:ascii="Times New Roman" w:cs="Times New Roman" w:eastAsia="Times New Roman" w:hAnsi="Times New Roman"/>
                <w:sz w:val="10"/>
                <w:szCs w:val="10"/>
                <w:color w:val="auto"/>
                <w:w w:val="96"/>
              </w:rPr>
              <w:t>(S + 5.25%) / (3.00%)</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9.16%/3.00%</w:t>
            </w: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10/11/2019</w:t>
            </w: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6/30/2026</w:t>
            </w: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6,618</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0"/>
                <w:szCs w:val="10"/>
                <w:color w:val="auto"/>
              </w:rPr>
              <w:t>6,618</w:t>
            </w:r>
          </w:p>
        </w:tc>
        <w:tc>
          <w:tcPr>
            <w:tcW w:w="500" w:type="dxa"/>
            <w:vAlign w:val="bottom"/>
            <w:gridSpan w:val="3"/>
          </w:tcPr>
          <w:p>
            <w:pPr>
              <w:jc w:val="right"/>
              <w:ind w:right="100"/>
              <w:spacing w:after="0"/>
              <w:rPr>
                <w:sz w:val="20"/>
                <w:szCs w:val="20"/>
                <w:color w:val="auto"/>
              </w:rPr>
            </w:pPr>
            <w:r>
              <w:rPr>
                <w:rFonts w:ascii="Times New Roman" w:cs="Times New Roman" w:eastAsia="Times New Roman" w:hAnsi="Times New Roman"/>
                <w:sz w:val="10"/>
                <w:szCs w:val="10"/>
                <w:color w:val="auto"/>
              </w:rPr>
              <w:t>6,323</w:t>
            </w: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09"/>
        </w:trPr>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3.1%</w:t>
            </w: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10/11/2019</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0"/>
                <w:szCs w:val="10"/>
                <w:color w:val="auto"/>
              </w:rPr>
              <w:t>630</w:t>
            </w:r>
          </w:p>
        </w:tc>
        <w:tc>
          <w:tcPr>
            <w:tcW w:w="80" w:type="dxa"/>
            <w:vAlign w:val="bottom"/>
          </w:tcPr>
          <w:p>
            <w:pPr>
              <w:spacing w:after="0"/>
              <w:rPr>
                <w:sz w:val="18"/>
                <w:szCs w:val="18"/>
                <w:color w:val="auto"/>
              </w:rPr>
            </w:pPr>
          </w:p>
        </w:tc>
        <w:tc>
          <w:tcPr>
            <w:tcW w:w="420" w:type="dxa"/>
            <w:vAlign w:val="bottom"/>
            <w:gridSpan w:val="2"/>
          </w:tcPr>
          <w:p>
            <w:pPr>
              <w:ind w:left="180"/>
              <w:spacing w:after="0"/>
              <w:rPr>
                <w:sz w:val="20"/>
                <w:szCs w:val="20"/>
                <w:color w:val="auto"/>
              </w:rPr>
            </w:pPr>
            <w:r>
              <w:rPr>
                <w:rFonts w:ascii="Times New Roman" w:cs="Times New Roman" w:eastAsia="Times New Roman" w:hAnsi="Times New Roman"/>
                <w:sz w:val="10"/>
                <w:szCs w:val="10"/>
                <w:color w:val="auto"/>
              </w:rPr>
              <w:t>— </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2"/>
        </w:trPr>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0.4%</w:t>
            </w: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6/26/2023</w:t>
            </w: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0"/>
                <w:szCs w:val="10"/>
                <w:color w:val="auto"/>
              </w:rPr>
              <w:t>169</w:t>
            </w:r>
          </w:p>
        </w:tc>
        <w:tc>
          <w:tcPr>
            <w:tcW w:w="500" w:type="dxa"/>
            <w:vAlign w:val="bottom"/>
            <w:gridSpan w:val="3"/>
          </w:tcPr>
          <w:p>
            <w:pPr>
              <w:jc w:val="right"/>
              <w:ind w:right="100"/>
              <w:spacing w:after="0"/>
              <w:rPr>
                <w:sz w:val="20"/>
                <w:szCs w:val="20"/>
                <w:color w:val="auto"/>
              </w:rPr>
            </w:pPr>
            <w:r>
              <w:rPr>
                <w:rFonts w:ascii="Times New Roman" w:cs="Times New Roman" w:eastAsia="Times New Roman" w:hAnsi="Times New Roman"/>
                <w:sz w:val="10"/>
                <w:szCs w:val="10"/>
                <w:color w:val="auto"/>
              </w:rPr>
              <w:t>5</w:t>
            </w: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15"/>
        </w:trPr>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0"/>
                <w:szCs w:val="10"/>
                <w:color w:val="auto"/>
              </w:rPr>
              <w:t>7,417</w:t>
            </w:r>
          </w:p>
        </w:tc>
        <w:tc>
          <w:tcPr>
            <w:tcW w:w="80" w:type="dxa"/>
            <w:vAlign w:val="bottom"/>
          </w:tcPr>
          <w:p>
            <w:pPr>
              <w:spacing w:after="0"/>
              <w:rPr>
                <w:sz w:val="10"/>
                <w:szCs w:val="10"/>
                <w:color w:val="auto"/>
              </w:rPr>
            </w:pPr>
          </w:p>
        </w:tc>
        <w:tc>
          <w:tcPr>
            <w:tcW w:w="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6,328</w:t>
            </w:r>
          </w:p>
        </w:tc>
        <w:tc>
          <w:tcPr>
            <w:tcW w:w="100" w:type="dxa"/>
            <w:vAlign w:val="bottom"/>
          </w:tcPr>
          <w:p>
            <w:pPr>
              <w:spacing w:after="0"/>
              <w:rPr>
                <w:sz w:val="10"/>
                <w:szCs w:val="10"/>
                <w:color w:val="auto"/>
              </w:rPr>
            </w:pPr>
          </w:p>
        </w:tc>
        <w:tc>
          <w:tcPr>
            <w:tcW w:w="440" w:type="dxa"/>
            <w:vAlign w:val="bottom"/>
            <w:gridSpan w:val="2"/>
          </w:tcPr>
          <w:p>
            <w:pPr>
              <w:jc w:val="right"/>
              <w:spacing w:after="0" w:line="113" w:lineRule="exact"/>
              <w:rPr>
                <w:sz w:val="20"/>
                <w:szCs w:val="20"/>
                <w:color w:val="auto"/>
              </w:rPr>
            </w:pPr>
            <w:r>
              <w:rPr>
                <w:rFonts w:ascii="Times New Roman" w:cs="Times New Roman" w:eastAsia="Times New Roman" w:hAnsi="Times New Roman"/>
                <w:sz w:val="10"/>
                <w:szCs w:val="10"/>
                <w:color w:val="auto"/>
              </w:rPr>
              <w:t>1%</w:t>
            </w:r>
          </w:p>
        </w:tc>
      </w:tr>
      <w:tr>
        <w:trPr>
          <w:trHeight w:val="416"/>
        </w:trPr>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0.4%</w:t>
            </w: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9/18/2023</w:t>
            </w: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0"/>
                <w:szCs w:val="10"/>
                <w:color w:val="auto"/>
              </w:rPr>
              <w:t>3,646</w:t>
            </w:r>
          </w:p>
        </w:tc>
        <w:tc>
          <w:tcPr>
            <w:tcW w:w="500" w:type="dxa"/>
            <w:vAlign w:val="bottom"/>
            <w:gridSpan w:val="3"/>
          </w:tcPr>
          <w:p>
            <w:pPr>
              <w:jc w:val="right"/>
              <w:ind w:right="100"/>
              <w:spacing w:after="0"/>
              <w:rPr>
                <w:sz w:val="20"/>
                <w:szCs w:val="20"/>
                <w:color w:val="auto"/>
              </w:rPr>
            </w:pPr>
            <w:r>
              <w:rPr>
                <w:rFonts w:ascii="Times New Roman" w:cs="Times New Roman" w:eastAsia="Times New Roman" w:hAnsi="Times New Roman"/>
                <w:sz w:val="10"/>
                <w:szCs w:val="10"/>
                <w:color w:val="auto"/>
              </w:rPr>
              <w:t>745</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0%</w:t>
            </w:r>
          </w:p>
        </w:tc>
      </w:tr>
      <w:tr>
        <w:trPr>
          <w:trHeight w:val="398"/>
        </w:trPr>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11.50%/1.25%</w:t>
            </w: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4/25/2023</w:t>
            </w: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6/30/2028</w:t>
            </w: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25,199</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0"/>
                <w:szCs w:val="10"/>
                <w:color w:val="auto"/>
              </w:rPr>
              <w:t>25,044</w:t>
            </w:r>
          </w:p>
        </w:tc>
        <w:tc>
          <w:tcPr>
            <w:tcW w:w="500" w:type="dxa"/>
            <w:vAlign w:val="bottom"/>
            <w:gridSpan w:val="3"/>
          </w:tcPr>
          <w:p>
            <w:pPr>
              <w:jc w:val="right"/>
              <w:ind w:right="100"/>
              <w:spacing w:after="0"/>
              <w:rPr>
                <w:sz w:val="20"/>
                <w:szCs w:val="20"/>
                <w:color w:val="auto"/>
              </w:rPr>
            </w:pPr>
            <w:r>
              <w:rPr>
                <w:rFonts w:ascii="Times New Roman" w:cs="Times New Roman" w:eastAsia="Times New Roman" w:hAnsi="Times New Roman"/>
                <w:sz w:val="10"/>
                <w:szCs w:val="10"/>
                <w:color w:val="auto"/>
              </w:rPr>
              <w:t>25,200</w:t>
            </w: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09"/>
        </w:trPr>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0.6%</w:t>
            </w: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3/23/2016</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gridSpan w:val="2"/>
          </w:tcPr>
          <w:p>
            <w:pPr>
              <w:ind w:left="160"/>
              <w:spacing w:after="0"/>
              <w:rPr>
                <w:sz w:val="20"/>
                <w:szCs w:val="20"/>
                <w:color w:val="auto"/>
              </w:rPr>
            </w:pPr>
            <w:r>
              <w:rPr>
                <w:rFonts w:ascii="Times New Roman" w:cs="Times New Roman" w:eastAsia="Times New Roman" w:hAnsi="Times New Roman"/>
                <w:sz w:val="10"/>
                <w:szCs w:val="10"/>
                <w:color w:val="auto"/>
                <w:w w:val="93"/>
              </w:rPr>
              <w:t>— </w:t>
            </w:r>
          </w:p>
        </w:tc>
        <w:tc>
          <w:tcPr>
            <w:tcW w:w="500" w:type="dxa"/>
            <w:vAlign w:val="bottom"/>
            <w:gridSpan w:val="3"/>
          </w:tcPr>
          <w:p>
            <w:pPr>
              <w:jc w:val="right"/>
              <w:ind w:right="100"/>
              <w:spacing w:after="0"/>
              <w:rPr>
                <w:sz w:val="20"/>
                <w:szCs w:val="20"/>
                <w:color w:val="auto"/>
              </w:rPr>
            </w:pPr>
            <w:r>
              <w:rPr>
                <w:rFonts w:ascii="Times New Roman" w:cs="Times New Roman" w:eastAsia="Times New Roman" w:hAnsi="Times New Roman"/>
                <w:sz w:val="10"/>
                <w:szCs w:val="10"/>
                <w:color w:val="auto"/>
              </w:rPr>
              <w:t>1,309</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9"/>
        </w:trPr>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0.1%</w:t>
            </w: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8/7/2023</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0"/>
                <w:szCs w:val="10"/>
                <w:color w:val="auto"/>
              </w:rPr>
              <w:t>102</w:t>
            </w:r>
          </w:p>
        </w:tc>
        <w:tc>
          <w:tcPr>
            <w:tcW w:w="500" w:type="dxa"/>
            <w:vAlign w:val="bottom"/>
            <w:gridSpan w:val="3"/>
          </w:tcPr>
          <w:p>
            <w:pPr>
              <w:jc w:val="right"/>
              <w:ind w:right="100"/>
              <w:spacing w:after="0"/>
              <w:rPr>
                <w:sz w:val="20"/>
                <w:szCs w:val="20"/>
                <w:color w:val="auto"/>
              </w:rPr>
            </w:pPr>
            <w:r>
              <w:rPr>
                <w:rFonts w:ascii="Times New Roman" w:cs="Times New Roman" w:eastAsia="Times New Roman" w:hAnsi="Times New Roman"/>
                <w:sz w:val="10"/>
                <w:szCs w:val="10"/>
                <w:color w:val="auto"/>
              </w:rPr>
              <w:t>143</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2"/>
        </w:trPr>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0.0%</w:t>
            </w: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10/16/2020</w:t>
            </w: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0"/>
                <w:szCs w:val="10"/>
                <w:color w:val="auto"/>
              </w:rPr>
              <w:t>154</w:t>
            </w:r>
          </w:p>
        </w:tc>
        <w:tc>
          <w:tcPr>
            <w:tcW w:w="500" w:type="dxa"/>
            <w:vAlign w:val="bottom"/>
            <w:gridSpan w:val="3"/>
          </w:tcPr>
          <w:p>
            <w:pPr>
              <w:jc w:val="right"/>
              <w:ind w:right="100"/>
              <w:spacing w:after="0"/>
              <w:rPr>
                <w:sz w:val="20"/>
                <w:szCs w:val="20"/>
                <w:color w:val="auto"/>
              </w:rPr>
            </w:pPr>
            <w:r>
              <w:rPr>
                <w:rFonts w:ascii="Times New Roman" w:cs="Times New Roman" w:eastAsia="Times New Roman" w:hAnsi="Times New Roman"/>
                <w:sz w:val="10"/>
                <w:szCs w:val="10"/>
                <w:color w:val="auto"/>
              </w:rPr>
              <w:t>400</w:t>
            </w: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15"/>
        </w:trPr>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0"/>
                <w:szCs w:val="10"/>
                <w:color w:val="auto"/>
              </w:rPr>
              <w:t>25,300</w:t>
            </w:r>
          </w:p>
        </w:tc>
        <w:tc>
          <w:tcPr>
            <w:tcW w:w="80" w:type="dxa"/>
            <w:vAlign w:val="bottom"/>
          </w:tcPr>
          <w:p>
            <w:pPr>
              <w:spacing w:after="0"/>
              <w:rPr>
                <w:sz w:val="10"/>
                <w:szCs w:val="10"/>
                <w:color w:val="auto"/>
              </w:rPr>
            </w:pPr>
          </w:p>
        </w:tc>
        <w:tc>
          <w:tcPr>
            <w:tcW w:w="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27,052</w:t>
            </w:r>
          </w:p>
        </w:tc>
        <w:tc>
          <w:tcPr>
            <w:tcW w:w="100" w:type="dxa"/>
            <w:vAlign w:val="bottom"/>
          </w:tcPr>
          <w:p>
            <w:pPr>
              <w:spacing w:after="0"/>
              <w:rPr>
                <w:sz w:val="10"/>
                <w:szCs w:val="10"/>
                <w:color w:val="auto"/>
              </w:rPr>
            </w:pPr>
          </w:p>
        </w:tc>
        <w:tc>
          <w:tcPr>
            <w:tcW w:w="440" w:type="dxa"/>
            <w:vAlign w:val="bottom"/>
            <w:gridSpan w:val="2"/>
          </w:tcPr>
          <w:p>
            <w:pPr>
              <w:jc w:val="right"/>
              <w:spacing w:after="0" w:line="113" w:lineRule="exact"/>
              <w:rPr>
                <w:sz w:val="20"/>
                <w:szCs w:val="20"/>
                <w:color w:val="auto"/>
              </w:rPr>
            </w:pPr>
            <w:r>
              <w:rPr>
                <w:rFonts w:ascii="Times New Roman" w:cs="Times New Roman" w:eastAsia="Times New Roman" w:hAnsi="Times New Roman"/>
                <w:sz w:val="10"/>
                <w:szCs w:val="10"/>
                <w:color w:val="auto"/>
              </w:rPr>
              <w:t>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-2968625</wp:posOffset>
            </wp:positionH>
            <wp:positionV relativeFrom="paragraph">
              <wp:posOffset>-5069205</wp:posOffset>
            </wp:positionV>
            <wp:extent cx="7201535" cy="3238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8">
                      <a:extLst>
                        <a:ext uri="{28A0092B-C50C-407E-A947-70E740481C1C}"/>
                      </a:extLst>
                    </a:blip>
                    <a:srcRect/>
                    <a:stretch>
                      <a:fillRect/>
                    </a:stretch>
                  </pic:blipFill>
                  <pic:spPr bwMode="auto">
                    <a:xfrm>
                      <a:off x="0" y="0"/>
                      <a:ext cx="7201535" cy="32385"/>
                    </a:xfrm>
                    <a:prstGeom prst="rect">
                      <a:avLst/>
                    </a:prstGeom>
                    <a:noFill/>
                  </pic:spPr>
                </pic:pic>
              </a:graphicData>
            </a:graphic>
          </wp:anchor>
        </w:drawing>
        <w:drawing>
          <wp:anchor simplePos="0" relativeHeight="251657728" behindDoc="1" locked="0" layoutInCell="0" allowOverlap="1">
            <wp:simplePos x="0" y="0"/>
            <wp:positionH relativeFrom="column">
              <wp:posOffset>-2085340</wp:posOffset>
            </wp:positionH>
            <wp:positionV relativeFrom="paragraph">
              <wp:posOffset>-4517390</wp:posOffset>
            </wp:positionV>
            <wp:extent cx="5422265" cy="1397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9">
                      <a:extLst>
                        <a:ext uri="{28A0092B-C50C-407E-A947-70E740481C1C}"/>
                      </a:extLst>
                    </a:blip>
                    <a:srcRect/>
                    <a:stretch>
                      <a:fillRect/>
                    </a:stretch>
                  </pic:blipFill>
                  <pic:spPr bwMode="auto">
                    <a:xfrm>
                      <a:off x="0" y="0"/>
                      <a:ext cx="5422265" cy="139700"/>
                    </a:xfrm>
                    <a:prstGeom prst="rect">
                      <a:avLst/>
                    </a:prstGeom>
                    <a:noFill/>
                  </pic:spPr>
                </pic:pic>
              </a:graphicData>
            </a:graphic>
          </wp:anchor>
        </w:drawing>
        <w:drawing>
          <wp:anchor simplePos="0" relativeHeight="251657728" behindDoc="1" locked="0" layoutInCell="0" allowOverlap="1">
            <wp:simplePos x="0" y="0"/>
            <wp:positionH relativeFrom="column">
              <wp:posOffset>-2085340</wp:posOffset>
            </wp:positionH>
            <wp:positionV relativeFrom="paragraph">
              <wp:posOffset>-4311650</wp:posOffset>
            </wp:positionV>
            <wp:extent cx="5422265" cy="13271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70">
                      <a:extLst>
                        <a:ext uri="{28A0092B-C50C-407E-A947-70E740481C1C}"/>
                      </a:extLst>
                    </a:blip>
                    <a:srcRect/>
                    <a:stretch>
                      <a:fillRect/>
                    </a:stretch>
                  </pic:blipFill>
                  <pic:spPr bwMode="auto">
                    <a:xfrm>
                      <a:off x="0" y="0"/>
                      <a:ext cx="5422265" cy="132715"/>
                    </a:xfrm>
                    <a:prstGeom prst="rect">
                      <a:avLst/>
                    </a:prstGeom>
                    <a:noFill/>
                  </pic:spPr>
                </pic:pic>
              </a:graphicData>
            </a:graphic>
          </wp:anchor>
        </w:drawing>
        <w:drawing>
          <wp:anchor simplePos="0" relativeHeight="251657728" behindDoc="1" locked="0" layoutInCell="0" allowOverlap="1">
            <wp:simplePos x="0" y="0"/>
            <wp:positionH relativeFrom="column">
              <wp:posOffset>-2085340</wp:posOffset>
            </wp:positionH>
            <wp:positionV relativeFrom="paragraph">
              <wp:posOffset>-4098925</wp:posOffset>
            </wp:positionV>
            <wp:extent cx="5422265" cy="13271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71">
                      <a:extLst>
                        <a:ext uri="{28A0092B-C50C-407E-A947-70E740481C1C}"/>
                      </a:extLst>
                    </a:blip>
                    <a:srcRect/>
                    <a:stretch>
                      <a:fillRect/>
                    </a:stretch>
                  </pic:blipFill>
                  <pic:spPr bwMode="auto">
                    <a:xfrm>
                      <a:off x="0" y="0"/>
                      <a:ext cx="5422265" cy="132715"/>
                    </a:xfrm>
                    <a:prstGeom prst="rect">
                      <a:avLst/>
                    </a:prstGeom>
                    <a:noFill/>
                  </pic:spPr>
                </pic:pic>
              </a:graphicData>
            </a:graphic>
          </wp:anchor>
        </w:drawing>
        <w:drawing>
          <wp:anchor simplePos="0" relativeHeight="251657728" behindDoc="1" locked="0" layoutInCell="0" allowOverlap="1">
            <wp:simplePos x="0" y="0"/>
            <wp:positionH relativeFrom="column">
              <wp:posOffset>-2085340</wp:posOffset>
            </wp:positionH>
            <wp:positionV relativeFrom="paragraph">
              <wp:posOffset>-3832860</wp:posOffset>
            </wp:positionV>
            <wp:extent cx="5422265" cy="13271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72">
                      <a:extLst>
                        <a:ext uri="{28A0092B-C50C-407E-A947-70E740481C1C}"/>
                      </a:extLst>
                    </a:blip>
                    <a:srcRect/>
                    <a:stretch>
                      <a:fillRect/>
                    </a:stretch>
                  </pic:blipFill>
                  <pic:spPr bwMode="auto">
                    <a:xfrm>
                      <a:off x="0" y="0"/>
                      <a:ext cx="5422265" cy="132715"/>
                    </a:xfrm>
                    <a:prstGeom prst="rect">
                      <a:avLst/>
                    </a:prstGeom>
                    <a:noFill/>
                  </pic:spPr>
                </pic:pic>
              </a:graphicData>
            </a:graphic>
          </wp:anchor>
        </w:drawing>
        <w:drawing>
          <wp:anchor simplePos="0" relativeHeight="251657728" behindDoc="1" locked="0" layoutInCell="0" allowOverlap="1">
            <wp:simplePos x="0" y="0"/>
            <wp:positionH relativeFrom="column">
              <wp:posOffset>-2085340</wp:posOffset>
            </wp:positionH>
            <wp:positionV relativeFrom="paragraph">
              <wp:posOffset>-3620135</wp:posOffset>
            </wp:positionV>
            <wp:extent cx="5422265" cy="13271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73">
                      <a:extLst>
                        <a:ext uri="{28A0092B-C50C-407E-A947-70E740481C1C}"/>
                      </a:extLst>
                    </a:blip>
                    <a:srcRect/>
                    <a:stretch>
                      <a:fillRect/>
                    </a:stretch>
                  </pic:blipFill>
                  <pic:spPr bwMode="auto">
                    <a:xfrm>
                      <a:off x="0" y="0"/>
                      <a:ext cx="5422265" cy="132715"/>
                    </a:xfrm>
                    <a:prstGeom prst="rect">
                      <a:avLst/>
                    </a:prstGeom>
                    <a:noFill/>
                  </pic:spPr>
                </pic:pic>
              </a:graphicData>
            </a:graphic>
          </wp:anchor>
        </w:drawing>
        <w:drawing>
          <wp:anchor simplePos="0" relativeHeight="251657728" behindDoc="1" locked="0" layoutInCell="0" allowOverlap="1">
            <wp:simplePos x="0" y="0"/>
            <wp:positionH relativeFrom="column">
              <wp:posOffset>-2085340</wp:posOffset>
            </wp:positionH>
            <wp:positionV relativeFrom="paragraph">
              <wp:posOffset>-3421380</wp:posOffset>
            </wp:positionV>
            <wp:extent cx="5422265" cy="13271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74">
                      <a:extLst>
                        <a:ext uri="{28A0092B-C50C-407E-A947-70E740481C1C}"/>
                      </a:extLst>
                    </a:blip>
                    <a:srcRect/>
                    <a:stretch>
                      <a:fillRect/>
                    </a:stretch>
                  </pic:blipFill>
                  <pic:spPr bwMode="auto">
                    <a:xfrm>
                      <a:off x="0" y="0"/>
                      <a:ext cx="5422265" cy="132715"/>
                    </a:xfrm>
                    <a:prstGeom prst="rect">
                      <a:avLst/>
                    </a:prstGeom>
                    <a:noFill/>
                  </pic:spPr>
                </pic:pic>
              </a:graphicData>
            </a:graphic>
          </wp:anchor>
        </w:drawing>
        <w:drawing>
          <wp:anchor simplePos="0" relativeHeight="251657728" behindDoc="1" locked="0" layoutInCell="0" allowOverlap="1">
            <wp:simplePos x="0" y="0"/>
            <wp:positionH relativeFrom="column">
              <wp:posOffset>-2085340</wp:posOffset>
            </wp:positionH>
            <wp:positionV relativeFrom="paragraph">
              <wp:posOffset>-3141980</wp:posOffset>
            </wp:positionV>
            <wp:extent cx="5422265" cy="6667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75">
                      <a:extLst>
                        <a:ext uri="{28A0092B-C50C-407E-A947-70E740481C1C}"/>
                      </a:extLst>
                    </a:blip>
                    <a:srcRect/>
                    <a:stretch>
                      <a:fillRect/>
                    </a:stretch>
                  </pic:blipFill>
                  <pic:spPr bwMode="auto">
                    <a:xfrm>
                      <a:off x="0" y="0"/>
                      <a:ext cx="5422265" cy="66675"/>
                    </a:xfrm>
                    <a:prstGeom prst="rect">
                      <a:avLst/>
                    </a:prstGeom>
                    <a:noFill/>
                  </pic:spPr>
                </pic:pic>
              </a:graphicData>
            </a:graphic>
          </wp:anchor>
        </w:drawing>
        <w:drawing>
          <wp:anchor simplePos="0" relativeHeight="251657728" behindDoc="1" locked="0" layoutInCell="0" allowOverlap="1">
            <wp:simplePos x="0" y="0"/>
            <wp:positionH relativeFrom="column">
              <wp:posOffset>-2085340</wp:posOffset>
            </wp:positionH>
            <wp:positionV relativeFrom="paragraph">
              <wp:posOffset>-2942590</wp:posOffset>
            </wp:positionV>
            <wp:extent cx="5422265" cy="13271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76">
                      <a:extLst>
                        <a:ext uri="{28A0092B-C50C-407E-A947-70E740481C1C}"/>
                      </a:extLst>
                    </a:blip>
                    <a:srcRect/>
                    <a:stretch>
                      <a:fillRect/>
                    </a:stretch>
                  </pic:blipFill>
                  <pic:spPr bwMode="auto">
                    <a:xfrm>
                      <a:off x="0" y="0"/>
                      <a:ext cx="5422265" cy="132715"/>
                    </a:xfrm>
                    <a:prstGeom prst="rect">
                      <a:avLst/>
                    </a:prstGeom>
                    <a:noFill/>
                  </pic:spPr>
                </pic:pic>
              </a:graphicData>
            </a:graphic>
          </wp:anchor>
        </w:drawing>
        <w:drawing>
          <wp:anchor simplePos="0" relativeHeight="251657728" behindDoc="1" locked="0" layoutInCell="0" allowOverlap="1">
            <wp:simplePos x="0" y="0"/>
            <wp:positionH relativeFrom="column">
              <wp:posOffset>-2085340</wp:posOffset>
            </wp:positionH>
            <wp:positionV relativeFrom="paragraph">
              <wp:posOffset>-2663825</wp:posOffset>
            </wp:positionV>
            <wp:extent cx="5422265" cy="6667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77">
                      <a:extLst>
                        <a:ext uri="{28A0092B-C50C-407E-A947-70E740481C1C}"/>
                      </a:extLst>
                    </a:blip>
                    <a:srcRect/>
                    <a:stretch>
                      <a:fillRect/>
                    </a:stretch>
                  </pic:blipFill>
                  <pic:spPr bwMode="auto">
                    <a:xfrm>
                      <a:off x="0" y="0"/>
                      <a:ext cx="5422265" cy="66675"/>
                    </a:xfrm>
                    <a:prstGeom prst="rect">
                      <a:avLst/>
                    </a:prstGeom>
                    <a:noFill/>
                  </pic:spPr>
                </pic:pic>
              </a:graphicData>
            </a:graphic>
          </wp:anchor>
        </w:drawing>
        <w:drawing>
          <wp:anchor simplePos="0" relativeHeight="251657728" behindDoc="1" locked="0" layoutInCell="0" allowOverlap="1">
            <wp:simplePos x="0" y="0"/>
            <wp:positionH relativeFrom="column">
              <wp:posOffset>-2085340</wp:posOffset>
            </wp:positionH>
            <wp:positionV relativeFrom="paragraph">
              <wp:posOffset>-2464435</wp:posOffset>
            </wp:positionV>
            <wp:extent cx="5422265" cy="6667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78">
                      <a:extLst>
                        <a:ext uri="{28A0092B-C50C-407E-A947-70E740481C1C}"/>
                      </a:extLst>
                    </a:blip>
                    <a:srcRect/>
                    <a:stretch>
                      <a:fillRect/>
                    </a:stretch>
                  </pic:blipFill>
                  <pic:spPr bwMode="auto">
                    <a:xfrm>
                      <a:off x="0" y="0"/>
                      <a:ext cx="5422265" cy="66675"/>
                    </a:xfrm>
                    <a:prstGeom prst="rect">
                      <a:avLst/>
                    </a:prstGeom>
                    <a:noFill/>
                  </pic:spPr>
                </pic:pic>
              </a:graphicData>
            </a:graphic>
          </wp:anchor>
        </w:drawing>
        <w:drawing>
          <wp:anchor simplePos="0" relativeHeight="251657728" behindDoc="1" locked="0" layoutInCell="0" allowOverlap="1">
            <wp:simplePos x="0" y="0"/>
            <wp:positionH relativeFrom="column">
              <wp:posOffset>-2085340</wp:posOffset>
            </wp:positionH>
            <wp:positionV relativeFrom="paragraph">
              <wp:posOffset>-2251710</wp:posOffset>
            </wp:positionV>
            <wp:extent cx="5422265" cy="6667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9">
                      <a:extLst>
                        <a:ext uri="{28A0092B-C50C-407E-A947-70E740481C1C}"/>
                      </a:extLst>
                    </a:blip>
                    <a:srcRect/>
                    <a:stretch>
                      <a:fillRect/>
                    </a:stretch>
                  </pic:blipFill>
                  <pic:spPr bwMode="auto">
                    <a:xfrm>
                      <a:off x="0" y="0"/>
                      <a:ext cx="5422265" cy="66675"/>
                    </a:xfrm>
                    <a:prstGeom prst="rect">
                      <a:avLst/>
                    </a:prstGeom>
                    <a:noFill/>
                  </pic:spPr>
                </pic:pic>
              </a:graphicData>
            </a:graphic>
          </wp:anchor>
        </w:drawing>
        <w:drawing>
          <wp:anchor simplePos="0" relativeHeight="251657728" behindDoc="1" locked="0" layoutInCell="0" allowOverlap="1">
            <wp:simplePos x="0" y="0"/>
            <wp:positionH relativeFrom="column">
              <wp:posOffset>-2085340</wp:posOffset>
            </wp:positionH>
            <wp:positionV relativeFrom="paragraph">
              <wp:posOffset>-2052320</wp:posOffset>
            </wp:positionV>
            <wp:extent cx="5422265" cy="13271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80">
                      <a:extLst>
                        <a:ext uri="{28A0092B-C50C-407E-A947-70E740481C1C}"/>
                      </a:extLst>
                    </a:blip>
                    <a:srcRect/>
                    <a:stretch>
                      <a:fillRect/>
                    </a:stretch>
                  </pic:blipFill>
                  <pic:spPr bwMode="auto">
                    <a:xfrm>
                      <a:off x="0" y="0"/>
                      <a:ext cx="5422265" cy="132715"/>
                    </a:xfrm>
                    <a:prstGeom prst="rect">
                      <a:avLst/>
                    </a:prstGeom>
                    <a:noFill/>
                  </pic:spPr>
                </pic:pic>
              </a:graphicData>
            </a:graphic>
          </wp:anchor>
        </w:drawing>
        <w:drawing>
          <wp:anchor simplePos="0" relativeHeight="251657728" behindDoc="1" locked="0" layoutInCell="0" allowOverlap="1">
            <wp:simplePos x="0" y="0"/>
            <wp:positionH relativeFrom="column">
              <wp:posOffset>-2085340</wp:posOffset>
            </wp:positionH>
            <wp:positionV relativeFrom="paragraph">
              <wp:posOffset>-1733550</wp:posOffset>
            </wp:positionV>
            <wp:extent cx="5422265" cy="13271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81">
                      <a:extLst>
                        <a:ext uri="{28A0092B-C50C-407E-A947-70E740481C1C}"/>
                      </a:extLst>
                    </a:blip>
                    <a:srcRect/>
                    <a:stretch>
                      <a:fillRect/>
                    </a:stretch>
                  </pic:blipFill>
                  <pic:spPr bwMode="auto">
                    <a:xfrm>
                      <a:off x="0" y="0"/>
                      <a:ext cx="5422265" cy="132715"/>
                    </a:xfrm>
                    <a:prstGeom prst="rect">
                      <a:avLst/>
                    </a:prstGeom>
                    <a:noFill/>
                  </pic:spPr>
                </pic:pic>
              </a:graphicData>
            </a:graphic>
          </wp:anchor>
        </w:drawing>
        <w:drawing>
          <wp:anchor simplePos="0" relativeHeight="251657728" behindDoc="1" locked="0" layoutInCell="0" allowOverlap="1">
            <wp:simplePos x="0" y="0"/>
            <wp:positionH relativeFrom="column">
              <wp:posOffset>-2085340</wp:posOffset>
            </wp:positionH>
            <wp:positionV relativeFrom="paragraph">
              <wp:posOffset>-1414145</wp:posOffset>
            </wp:positionV>
            <wp:extent cx="5422265" cy="6667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82">
                      <a:extLst>
                        <a:ext uri="{28A0092B-C50C-407E-A947-70E740481C1C}"/>
                      </a:extLst>
                    </a:blip>
                    <a:srcRect/>
                    <a:stretch>
                      <a:fillRect/>
                    </a:stretch>
                  </pic:blipFill>
                  <pic:spPr bwMode="auto">
                    <a:xfrm>
                      <a:off x="0" y="0"/>
                      <a:ext cx="5422265" cy="66675"/>
                    </a:xfrm>
                    <a:prstGeom prst="rect">
                      <a:avLst/>
                    </a:prstGeom>
                    <a:noFill/>
                  </pic:spPr>
                </pic:pic>
              </a:graphicData>
            </a:graphic>
          </wp:anchor>
        </w:drawing>
        <w:drawing>
          <wp:anchor simplePos="0" relativeHeight="251657728" behindDoc="1" locked="0" layoutInCell="0" allowOverlap="1">
            <wp:simplePos x="0" y="0"/>
            <wp:positionH relativeFrom="column">
              <wp:posOffset>-2085340</wp:posOffset>
            </wp:positionH>
            <wp:positionV relativeFrom="paragraph">
              <wp:posOffset>-1214755</wp:posOffset>
            </wp:positionV>
            <wp:extent cx="5422265" cy="13271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83">
                      <a:extLst>
                        <a:ext uri="{28A0092B-C50C-407E-A947-70E740481C1C}"/>
                      </a:extLst>
                    </a:blip>
                    <a:srcRect/>
                    <a:stretch>
                      <a:fillRect/>
                    </a:stretch>
                  </pic:blipFill>
                  <pic:spPr bwMode="auto">
                    <a:xfrm>
                      <a:off x="0" y="0"/>
                      <a:ext cx="5422265" cy="132715"/>
                    </a:xfrm>
                    <a:prstGeom prst="rect">
                      <a:avLst/>
                    </a:prstGeom>
                    <a:noFill/>
                  </pic:spPr>
                </pic:pic>
              </a:graphicData>
            </a:graphic>
          </wp:anchor>
        </w:drawing>
        <w:drawing>
          <wp:anchor simplePos="0" relativeHeight="251657728" behindDoc="1" locked="0" layoutInCell="0" allowOverlap="1">
            <wp:simplePos x="0" y="0"/>
            <wp:positionH relativeFrom="column">
              <wp:posOffset>-2085340</wp:posOffset>
            </wp:positionH>
            <wp:positionV relativeFrom="paragraph">
              <wp:posOffset>-1002665</wp:posOffset>
            </wp:positionV>
            <wp:extent cx="5422265" cy="13271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84">
                      <a:extLst>
                        <a:ext uri="{28A0092B-C50C-407E-A947-70E740481C1C}"/>
                      </a:extLst>
                    </a:blip>
                    <a:srcRect/>
                    <a:stretch>
                      <a:fillRect/>
                    </a:stretch>
                  </pic:blipFill>
                  <pic:spPr bwMode="auto">
                    <a:xfrm>
                      <a:off x="0" y="0"/>
                      <a:ext cx="5422265" cy="132715"/>
                    </a:xfrm>
                    <a:prstGeom prst="rect">
                      <a:avLst/>
                    </a:prstGeom>
                    <a:noFill/>
                  </pic:spPr>
                </pic:pic>
              </a:graphicData>
            </a:graphic>
          </wp:anchor>
        </w:drawing>
        <w:drawing>
          <wp:anchor simplePos="0" relativeHeight="251657728" behindDoc="1" locked="0" layoutInCell="0" allowOverlap="1">
            <wp:simplePos x="0" y="0"/>
            <wp:positionH relativeFrom="column">
              <wp:posOffset>-2085340</wp:posOffset>
            </wp:positionH>
            <wp:positionV relativeFrom="paragraph">
              <wp:posOffset>-683260</wp:posOffset>
            </wp:positionV>
            <wp:extent cx="5422265" cy="13271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85">
                      <a:extLst>
                        <a:ext uri="{28A0092B-C50C-407E-A947-70E740481C1C}"/>
                      </a:extLst>
                    </a:blip>
                    <a:srcRect/>
                    <a:stretch>
                      <a:fillRect/>
                    </a:stretch>
                  </pic:blipFill>
                  <pic:spPr bwMode="auto">
                    <a:xfrm>
                      <a:off x="0" y="0"/>
                      <a:ext cx="5422265" cy="132715"/>
                    </a:xfrm>
                    <a:prstGeom prst="rect">
                      <a:avLst/>
                    </a:prstGeom>
                    <a:noFill/>
                  </pic:spPr>
                </pic:pic>
              </a:graphicData>
            </a:graphic>
          </wp:anchor>
        </w:drawing>
        <w:drawing>
          <wp:anchor simplePos="0" relativeHeight="251657728" behindDoc="1" locked="0" layoutInCell="0" allowOverlap="1">
            <wp:simplePos x="0" y="0"/>
            <wp:positionH relativeFrom="column">
              <wp:posOffset>-2085340</wp:posOffset>
            </wp:positionH>
            <wp:positionV relativeFrom="paragraph">
              <wp:posOffset>-483870</wp:posOffset>
            </wp:positionV>
            <wp:extent cx="5422265" cy="13271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86">
                      <a:extLst>
                        <a:ext uri="{28A0092B-C50C-407E-A947-70E740481C1C}"/>
                      </a:extLst>
                    </a:blip>
                    <a:srcRect/>
                    <a:stretch>
                      <a:fillRect/>
                    </a:stretch>
                  </pic:blipFill>
                  <pic:spPr bwMode="auto">
                    <a:xfrm>
                      <a:off x="0" y="0"/>
                      <a:ext cx="5422265" cy="132715"/>
                    </a:xfrm>
                    <a:prstGeom prst="rect">
                      <a:avLst/>
                    </a:prstGeom>
                    <a:noFill/>
                  </pic:spPr>
                </pic:pic>
              </a:graphicData>
            </a:graphic>
          </wp:anchor>
        </w:drawing>
        <w:drawing>
          <wp:anchor simplePos="0" relativeHeight="251657728" behindDoc="1" locked="0" layoutInCell="0" allowOverlap="1">
            <wp:simplePos x="0" y="0"/>
            <wp:positionH relativeFrom="column">
              <wp:posOffset>-2085340</wp:posOffset>
            </wp:positionH>
            <wp:positionV relativeFrom="paragraph">
              <wp:posOffset>-218440</wp:posOffset>
            </wp:positionV>
            <wp:extent cx="5422265" cy="13271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87">
                      <a:extLst>
                        <a:ext uri="{28A0092B-C50C-407E-A947-70E740481C1C}"/>
                      </a:extLst>
                    </a:blip>
                    <a:srcRect/>
                    <a:stretch>
                      <a:fillRect/>
                    </a:stretch>
                  </pic:blipFill>
                  <pic:spPr bwMode="auto">
                    <a:xfrm>
                      <a:off x="0" y="0"/>
                      <a:ext cx="5422265" cy="132715"/>
                    </a:xfrm>
                    <a:prstGeom prst="rect">
                      <a:avLst/>
                    </a:prstGeom>
                    <a:noFill/>
                  </pic:spPr>
                </pic:pic>
              </a:graphicData>
            </a:graphic>
          </wp:anchor>
        </w:drawing>
      </w:r>
    </w:p>
    <w:p>
      <w:pPr>
        <w:spacing w:after="0" w:line="7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52</w:t>
      </w:r>
    </w:p>
    <w:p>
      <w:pPr>
        <w:sectPr>
          <w:pgSz w:w="11900" w:h="16838" w:orient="portrait"/>
          <w:cols w:equalWidth="0" w:num="2">
            <w:col w:w="4600" w:space="60"/>
            <w:col w:w="5499"/>
          </w:cols>
          <w:pgMar w:left="300" w:top="384" w:right="1440"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52" w:lineRule="exact"/>
        <w:rPr>
          <w:sz w:val="20"/>
          <w:szCs w:val="20"/>
          <w:color w:val="auto"/>
        </w:rPr>
      </w:pPr>
    </w:p>
    <w:tbl>
      <w:tblPr>
        <w:tblLayout w:type="fixed"/>
        <w:tblInd w:w="1380" w:type="dxa"/>
        <w:tblCellMar>
          <w:top w:w="0" w:type="dxa"/>
          <w:left w:w="0" w:type="dxa"/>
          <w:bottom w:w="0" w:type="dxa"/>
          <w:right w:w="0" w:type="dxa"/>
        </w:tblCellMar>
      </w:tblPr>
      <w:tr>
        <w:trPr>
          <w:trHeight w:val="94"/>
        </w:trPr>
        <w:tc>
          <w:tcPr>
            <w:tcW w:w="1300" w:type="dxa"/>
            <w:vAlign w:val="bottom"/>
            <w:gridSpan w:val="2"/>
          </w:tcPr>
          <w:p>
            <w:pPr>
              <w:spacing w:after="0"/>
              <w:rPr>
                <w:sz w:val="20"/>
                <w:szCs w:val="20"/>
                <w:color w:val="auto"/>
              </w:rPr>
            </w:pPr>
            <w:r>
              <w:rPr>
                <w:rFonts w:ascii="Times New Roman" w:cs="Times New Roman" w:eastAsia="Times New Roman" w:hAnsi="Times New Roman"/>
                <w:sz w:val="8"/>
                <w:szCs w:val="8"/>
                <w:b w:val="1"/>
                <w:bCs w:val="1"/>
                <w:color w:val="auto"/>
              </w:rPr>
              <w:t>Portfolio Company (a)(b)</w:t>
            </w:r>
          </w:p>
        </w:tc>
        <w:tc>
          <w:tcPr>
            <w:tcW w:w="40" w:type="dxa"/>
            <w:vAlign w:val="bottom"/>
          </w:tcPr>
          <w:p>
            <w:pPr>
              <w:spacing w:after="0"/>
              <w:rPr>
                <w:sz w:val="8"/>
                <w:szCs w:val="8"/>
                <w:color w:val="auto"/>
              </w:rPr>
            </w:pPr>
          </w:p>
        </w:tc>
        <w:tc>
          <w:tcPr>
            <w:tcW w:w="920" w:type="dxa"/>
            <w:vAlign w:val="bottom"/>
          </w:tcPr>
          <w:p>
            <w:pPr>
              <w:spacing w:after="0"/>
              <w:rPr>
                <w:sz w:val="8"/>
                <w:szCs w:val="8"/>
                <w:color w:val="auto"/>
              </w:rPr>
            </w:pPr>
          </w:p>
        </w:tc>
        <w:tc>
          <w:tcPr>
            <w:tcW w:w="60" w:type="dxa"/>
            <w:vAlign w:val="bottom"/>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1300" w:type="dxa"/>
            <w:vAlign w:val="bottom"/>
            <w:gridSpan w:val="2"/>
          </w:tcPr>
          <w:p>
            <w:pPr>
              <w:spacing w:after="0"/>
              <w:rPr>
                <w:sz w:val="20"/>
                <w:szCs w:val="20"/>
                <w:color w:val="auto"/>
              </w:rPr>
            </w:pPr>
            <w:r>
              <w:rPr>
                <w:rFonts w:ascii="Times New Roman" w:cs="Times New Roman" w:eastAsia="Times New Roman" w:hAnsi="Times New Roman"/>
                <w:sz w:val="8"/>
                <w:szCs w:val="8"/>
                <w:b w:val="1"/>
                <w:bCs w:val="1"/>
                <w:color w:val="auto"/>
              </w:rPr>
              <w:t>Address of Portfolio Company</w:t>
            </w:r>
          </w:p>
        </w:tc>
        <w:tc>
          <w:tcPr>
            <w:tcW w:w="40" w:type="dxa"/>
            <w:vAlign w:val="bottom"/>
          </w:tcPr>
          <w:p>
            <w:pPr>
              <w:spacing w:after="0"/>
              <w:rPr>
                <w:sz w:val="10"/>
                <w:szCs w:val="10"/>
                <w:color w:val="auto"/>
              </w:rPr>
            </w:pPr>
          </w:p>
        </w:tc>
        <w:tc>
          <w:tcPr>
            <w:tcW w:w="920" w:type="dxa"/>
            <w:vAlign w:val="bottom"/>
          </w:tcPr>
          <w:p>
            <w:pPr>
              <w:ind w:left="100"/>
              <w:spacing w:after="0"/>
              <w:rPr>
                <w:sz w:val="20"/>
                <w:szCs w:val="20"/>
                <w:color w:val="auto"/>
              </w:rPr>
            </w:pPr>
            <w:r>
              <w:rPr>
                <w:rFonts w:ascii="Times New Roman" w:cs="Times New Roman" w:eastAsia="Times New Roman" w:hAnsi="Times New Roman"/>
                <w:sz w:val="8"/>
                <w:szCs w:val="8"/>
                <w:b w:val="1"/>
                <w:bCs w:val="1"/>
                <w:color w:val="auto"/>
              </w:rPr>
              <w:t>Investment Type (c)</w:t>
            </w:r>
          </w:p>
        </w:tc>
        <w:tc>
          <w:tcPr>
            <w:tcW w:w="60" w:type="dxa"/>
            <w:vAlign w:val="bottom"/>
          </w:tcPr>
          <w:p>
            <w:pPr>
              <w:spacing w:after="0"/>
              <w:rPr>
                <w:sz w:val="10"/>
                <w:szCs w:val="10"/>
                <w:color w:val="auto"/>
              </w:rPr>
            </w:pPr>
          </w:p>
        </w:tc>
        <w:tc>
          <w:tcPr>
            <w:tcW w:w="900" w:type="dxa"/>
            <w:vAlign w:val="bottom"/>
          </w:tcPr>
          <w:p>
            <w:pPr>
              <w:ind w:left="300"/>
              <w:spacing w:after="0"/>
              <w:rPr>
                <w:sz w:val="20"/>
                <w:szCs w:val="20"/>
                <w:color w:val="auto"/>
              </w:rPr>
            </w:pPr>
            <w:r>
              <w:rPr>
                <w:rFonts w:ascii="Times New Roman" w:cs="Times New Roman" w:eastAsia="Times New Roman" w:hAnsi="Times New Roman"/>
                <w:sz w:val="8"/>
                <w:szCs w:val="8"/>
                <w:b w:val="1"/>
                <w:bCs w:val="1"/>
                <w:color w:val="auto"/>
              </w:rPr>
              <w:t>Industry</w:t>
            </w:r>
          </w:p>
        </w:tc>
        <w:tc>
          <w:tcPr>
            <w:tcW w:w="0" w:type="dxa"/>
            <w:vAlign w:val="bottom"/>
          </w:tcPr>
          <w:p>
            <w:pPr>
              <w:spacing w:after="0"/>
              <w:rPr>
                <w:sz w:val="1"/>
                <w:szCs w:val="1"/>
                <w:color w:val="auto"/>
              </w:rPr>
            </w:pPr>
          </w:p>
        </w:tc>
      </w:tr>
      <w:tr>
        <w:trPr>
          <w:trHeight w:val="60"/>
        </w:trPr>
        <w:tc>
          <w:tcPr>
            <w:tcW w:w="1100" w:type="dxa"/>
            <w:vAlign w:val="bottom"/>
            <w:tcBorders>
              <w:top w:val="single" w:sz="8" w:color="auto"/>
            </w:tcBorders>
          </w:tcPr>
          <w:p>
            <w:pPr>
              <w:spacing w:after="0" w:line="60" w:lineRule="exact"/>
              <w:rPr>
                <w:sz w:val="20"/>
                <w:szCs w:val="20"/>
                <w:color w:val="auto"/>
              </w:rPr>
            </w:pPr>
            <w:r>
              <w:rPr>
                <w:rFonts w:ascii="Times New Roman" w:cs="Times New Roman" w:eastAsia="Times New Roman" w:hAnsi="Times New Roman"/>
                <w:sz w:val="6"/>
                <w:szCs w:val="6"/>
                <w:i w:val="1"/>
                <w:iCs w:val="1"/>
                <w:color w:val="auto"/>
              </w:rPr>
              <w:t>IBH Holdings, LLC (fka</w:t>
            </w:r>
          </w:p>
        </w:tc>
        <w:tc>
          <w:tcPr>
            <w:tcW w:w="200" w:type="dxa"/>
            <w:vAlign w:val="bottom"/>
          </w:tcPr>
          <w:p>
            <w:pPr>
              <w:spacing w:after="0"/>
              <w:rPr>
                <w:sz w:val="5"/>
                <w:szCs w:val="5"/>
                <w:color w:val="auto"/>
              </w:rPr>
            </w:pPr>
          </w:p>
        </w:tc>
        <w:tc>
          <w:tcPr>
            <w:tcW w:w="40" w:type="dxa"/>
            <w:vAlign w:val="bottom"/>
          </w:tcPr>
          <w:p>
            <w:pPr>
              <w:spacing w:after="0"/>
              <w:rPr>
                <w:sz w:val="5"/>
                <w:szCs w:val="5"/>
                <w:color w:val="auto"/>
              </w:rPr>
            </w:pPr>
          </w:p>
        </w:tc>
        <w:tc>
          <w:tcPr>
            <w:tcW w:w="920" w:type="dxa"/>
            <w:vAlign w:val="bottom"/>
            <w:tcBorders>
              <w:top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900" w:type="dxa"/>
            <w:vAlign w:val="bottom"/>
            <w:tcBorders>
              <w:top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07"/>
        </w:trPr>
        <w:tc>
          <w:tcPr>
            <w:tcW w:w="1300" w:type="dxa"/>
            <w:vAlign w:val="bottom"/>
            <w:gridSpan w:val="2"/>
          </w:tcPr>
          <w:p>
            <w:pPr>
              <w:spacing w:after="0" w:line="107" w:lineRule="exact"/>
              <w:rPr>
                <w:sz w:val="20"/>
                <w:szCs w:val="20"/>
                <w:color w:val="auto"/>
              </w:rPr>
            </w:pPr>
            <w:r>
              <w:rPr>
                <w:rFonts w:ascii="Times New Roman" w:cs="Times New Roman" w:eastAsia="Times New Roman" w:hAnsi="Times New Roman"/>
                <w:sz w:val="10"/>
                <w:szCs w:val="10"/>
                <w:i w:val="1"/>
                <w:iCs w:val="1"/>
                <w:color w:val="auto"/>
              </w:rPr>
              <w:t>Inflexxion, Inc.)</w:t>
            </w:r>
          </w:p>
        </w:tc>
        <w:tc>
          <w:tcPr>
            <w:tcW w:w="40" w:type="dxa"/>
            <w:vAlign w:val="bottom"/>
          </w:tcPr>
          <w:p>
            <w:pPr>
              <w:spacing w:after="0"/>
              <w:rPr>
                <w:sz w:val="9"/>
                <w:szCs w:val="9"/>
                <w:color w:val="auto"/>
              </w:rPr>
            </w:pPr>
          </w:p>
        </w:tc>
        <w:tc>
          <w:tcPr>
            <w:tcW w:w="920" w:type="dxa"/>
            <w:vAlign w:val="bottom"/>
          </w:tcPr>
          <w:p>
            <w:pPr>
              <w:spacing w:after="0"/>
              <w:rPr>
                <w:sz w:val="9"/>
                <w:szCs w:val="9"/>
                <w:color w:val="auto"/>
              </w:rPr>
            </w:pPr>
          </w:p>
        </w:tc>
        <w:tc>
          <w:tcPr>
            <w:tcW w:w="960" w:type="dxa"/>
            <w:vAlign w:val="bottom"/>
            <w:gridSpan w:val="2"/>
          </w:tcPr>
          <w:p>
            <w:pPr>
              <w:ind w:left="60"/>
              <w:spacing w:after="0" w:line="107" w:lineRule="exact"/>
              <w:rPr>
                <w:sz w:val="20"/>
                <w:szCs w:val="20"/>
                <w:color w:val="auto"/>
              </w:rPr>
            </w:pPr>
            <w:r>
              <w:rPr>
                <w:rFonts w:ascii="Times New Roman" w:cs="Times New Roman" w:eastAsia="Times New Roman" w:hAnsi="Times New Roman"/>
                <w:sz w:val="10"/>
                <w:szCs w:val="10"/>
                <w:color w:val="auto"/>
              </w:rPr>
              <w:t>Business Services</w:t>
            </w:r>
          </w:p>
        </w:tc>
        <w:tc>
          <w:tcPr>
            <w:tcW w:w="0" w:type="dxa"/>
            <w:vAlign w:val="bottom"/>
          </w:tcPr>
          <w:p>
            <w:pPr>
              <w:spacing w:after="0"/>
              <w:rPr>
                <w:sz w:val="1"/>
                <w:szCs w:val="1"/>
                <w:color w:val="auto"/>
              </w:rPr>
            </w:pPr>
          </w:p>
        </w:tc>
      </w:tr>
      <w:tr>
        <w:trPr>
          <w:trHeight w:val="105"/>
        </w:trPr>
        <w:tc>
          <w:tcPr>
            <w:tcW w:w="1300" w:type="dxa"/>
            <w:vAlign w:val="bottom"/>
            <w:gridSpan w:val="2"/>
          </w:tcPr>
          <w:p>
            <w:pPr>
              <w:ind w:left="100"/>
              <w:spacing w:after="0" w:line="105" w:lineRule="exact"/>
              <w:rPr>
                <w:sz w:val="20"/>
                <w:szCs w:val="20"/>
                <w:color w:val="auto"/>
              </w:rPr>
            </w:pPr>
            <w:r>
              <w:rPr>
                <w:rFonts w:ascii="Times New Roman" w:cs="Times New Roman" w:eastAsia="Times New Roman" w:hAnsi="Times New Roman"/>
                <w:sz w:val="10"/>
                <w:szCs w:val="10"/>
                <w:color w:val="auto"/>
              </w:rPr>
              <w:t>3070 Bristol ST #350 Costa</w:t>
            </w:r>
          </w:p>
        </w:tc>
        <w:tc>
          <w:tcPr>
            <w:tcW w:w="960" w:type="dxa"/>
            <w:vAlign w:val="bottom"/>
            <w:gridSpan w:val="2"/>
          </w:tcPr>
          <w:p>
            <w:pPr>
              <w:ind w:left="40"/>
              <w:spacing w:after="0" w:line="105" w:lineRule="exact"/>
              <w:rPr>
                <w:sz w:val="20"/>
                <w:szCs w:val="20"/>
                <w:color w:val="auto"/>
              </w:rPr>
            </w:pPr>
            <w:r>
              <w:rPr>
                <w:rFonts w:ascii="Times New Roman" w:cs="Times New Roman" w:eastAsia="Times New Roman" w:hAnsi="Times New Roman"/>
                <w:sz w:val="10"/>
                <w:szCs w:val="10"/>
                <w:color w:val="auto"/>
              </w:rPr>
              <w:t>Common Equity</w:t>
            </w:r>
          </w:p>
        </w:tc>
        <w:tc>
          <w:tcPr>
            <w:tcW w:w="6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1300" w:type="dxa"/>
            <w:vAlign w:val="bottom"/>
            <w:gridSpan w:val="2"/>
          </w:tcPr>
          <w:p>
            <w:pPr>
              <w:ind w:left="100"/>
              <w:spacing w:after="0"/>
              <w:rPr>
                <w:sz w:val="20"/>
                <w:szCs w:val="20"/>
                <w:color w:val="auto"/>
              </w:rPr>
            </w:pPr>
            <w:r>
              <w:rPr>
                <w:rFonts w:ascii="Times New Roman" w:cs="Times New Roman" w:eastAsia="Times New Roman" w:hAnsi="Times New Roman"/>
                <w:sz w:val="10"/>
                <w:szCs w:val="10"/>
                <w:color w:val="auto"/>
              </w:rPr>
              <w:t>Mesa, CA 92626</w:t>
            </w:r>
          </w:p>
        </w:tc>
        <w:tc>
          <w:tcPr>
            <w:tcW w:w="960" w:type="dxa"/>
            <w:vAlign w:val="bottom"/>
            <w:gridSpan w:val="2"/>
          </w:tcPr>
          <w:p>
            <w:pPr>
              <w:ind w:left="40"/>
              <w:spacing w:after="0"/>
              <w:rPr>
                <w:sz w:val="20"/>
                <w:szCs w:val="20"/>
                <w:color w:val="auto"/>
              </w:rPr>
            </w:pPr>
            <w:r>
              <w:rPr>
                <w:rFonts w:ascii="Times New Roman" w:cs="Times New Roman" w:eastAsia="Times New Roman" w:hAnsi="Times New Roman"/>
                <w:sz w:val="10"/>
                <w:szCs w:val="10"/>
                <w:color w:val="auto"/>
              </w:rPr>
              <w:t>(150,000 units)</w:t>
            </w:r>
          </w:p>
        </w:tc>
        <w:tc>
          <w:tcPr>
            <w:tcW w:w="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6"/>
        </w:trPr>
        <w:tc>
          <w:tcPr>
            <w:tcW w:w="1300" w:type="dxa"/>
            <w:vAlign w:val="bottom"/>
            <w:gridSpan w:val="2"/>
          </w:tcPr>
          <w:p>
            <w:pPr>
              <w:spacing w:after="0"/>
              <w:rPr>
                <w:sz w:val="20"/>
                <w:szCs w:val="20"/>
                <w:color w:val="auto"/>
              </w:rPr>
            </w:pPr>
            <w:r>
              <w:rPr>
                <w:rFonts w:ascii="Times New Roman" w:cs="Times New Roman" w:eastAsia="Times New Roman" w:hAnsi="Times New Roman"/>
                <w:sz w:val="10"/>
                <w:szCs w:val="10"/>
                <w:i w:val="1"/>
                <w:iCs w:val="1"/>
                <w:color w:val="auto"/>
              </w:rPr>
              <w:t>InductiveHealth Informatics,</w:t>
            </w:r>
          </w:p>
        </w:tc>
        <w:tc>
          <w:tcPr>
            <w:tcW w:w="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60" w:type="dxa"/>
            <w:vAlign w:val="bottom"/>
            <w:gridSpan w:val="2"/>
          </w:tcPr>
          <w:p>
            <w:pPr>
              <w:ind w:left="60"/>
              <w:spacing w:after="0"/>
              <w:rPr>
                <w:sz w:val="20"/>
                <w:szCs w:val="20"/>
                <w:color w:val="auto"/>
              </w:rPr>
            </w:pPr>
            <w:r>
              <w:rPr>
                <w:rFonts w:ascii="Times New Roman" w:cs="Times New Roman" w:eastAsia="Times New Roman" w:hAnsi="Times New Roman"/>
                <w:sz w:val="10"/>
                <w:szCs w:val="10"/>
                <w:color w:val="auto"/>
              </w:rPr>
              <w:t>Information</w:t>
            </w:r>
          </w:p>
        </w:tc>
        <w:tc>
          <w:tcPr>
            <w:tcW w:w="0" w:type="dxa"/>
            <w:vAlign w:val="bottom"/>
          </w:tcPr>
          <w:p>
            <w:pPr>
              <w:spacing w:after="0"/>
              <w:rPr>
                <w:sz w:val="1"/>
                <w:szCs w:val="1"/>
                <w:color w:val="auto"/>
              </w:rPr>
            </w:pPr>
          </w:p>
        </w:tc>
      </w:tr>
      <w:tr>
        <w:trPr>
          <w:trHeight w:val="107"/>
        </w:trPr>
        <w:tc>
          <w:tcPr>
            <w:tcW w:w="1300" w:type="dxa"/>
            <w:vAlign w:val="bottom"/>
            <w:gridSpan w:val="2"/>
          </w:tcPr>
          <w:p>
            <w:pPr>
              <w:spacing w:after="0" w:line="107" w:lineRule="exact"/>
              <w:rPr>
                <w:sz w:val="20"/>
                <w:szCs w:val="20"/>
                <w:color w:val="auto"/>
              </w:rPr>
            </w:pPr>
            <w:r>
              <w:rPr>
                <w:rFonts w:ascii="Times New Roman" w:cs="Times New Roman" w:eastAsia="Times New Roman" w:hAnsi="Times New Roman"/>
                <w:sz w:val="10"/>
                <w:szCs w:val="10"/>
                <w:i w:val="1"/>
                <w:iCs w:val="1"/>
                <w:color w:val="auto"/>
              </w:rPr>
              <w:t>LLC</w:t>
            </w:r>
          </w:p>
        </w:tc>
        <w:tc>
          <w:tcPr>
            <w:tcW w:w="40" w:type="dxa"/>
            <w:vAlign w:val="bottom"/>
          </w:tcPr>
          <w:p>
            <w:pPr>
              <w:spacing w:after="0"/>
              <w:rPr>
                <w:sz w:val="9"/>
                <w:szCs w:val="9"/>
                <w:color w:val="auto"/>
              </w:rPr>
            </w:pPr>
          </w:p>
        </w:tc>
        <w:tc>
          <w:tcPr>
            <w:tcW w:w="920" w:type="dxa"/>
            <w:vAlign w:val="bottom"/>
          </w:tcPr>
          <w:p>
            <w:pPr>
              <w:spacing w:after="0"/>
              <w:rPr>
                <w:sz w:val="9"/>
                <w:szCs w:val="9"/>
                <w:color w:val="auto"/>
              </w:rPr>
            </w:pPr>
          </w:p>
        </w:tc>
        <w:tc>
          <w:tcPr>
            <w:tcW w:w="960" w:type="dxa"/>
            <w:vAlign w:val="bottom"/>
            <w:gridSpan w:val="2"/>
          </w:tcPr>
          <w:p>
            <w:pPr>
              <w:ind w:left="60"/>
              <w:spacing w:after="0" w:line="107" w:lineRule="exact"/>
              <w:rPr>
                <w:sz w:val="20"/>
                <w:szCs w:val="20"/>
                <w:color w:val="auto"/>
              </w:rPr>
            </w:pPr>
            <w:r>
              <w:rPr>
                <w:rFonts w:ascii="Times New Roman" w:cs="Times New Roman" w:eastAsia="Times New Roman" w:hAnsi="Times New Roman"/>
                <w:sz w:val="10"/>
                <w:szCs w:val="10"/>
                <w:color w:val="auto"/>
              </w:rPr>
              <w:t>Technology Services</w:t>
            </w:r>
          </w:p>
        </w:tc>
        <w:tc>
          <w:tcPr>
            <w:tcW w:w="0" w:type="dxa"/>
            <w:vAlign w:val="bottom"/>
          </w:tcPr>
          <w:p>
            <w:pPr>
              <w:spacing w:after="0"/>
              <w:rPr>
                <w:sz w:val="1"/>
                <w:szCs w:val="1"/>
                <w:color w:val="auto"/>
              </w:rPr>
            </w:pPr>
          </w:p>
        </w:tc>
      </w:tr>
      <w:tr>
        <w:trPr>
          <w:trHeight w:val="105"/>
        </w:trPr>
        <w:tc>
          <w:tcPr>
            <w:tcW w:w="1300" w:type="dxa"/>
            <w:vAlign w:val="bottom"/>
            <w:gridSpan w:val="2"/>
          </w:tcPr>
          <w:p>
            <w:pPr>
              <w:ind w:left="100"/>
              <w:spacing w:after="0" w:line="105" w:lineRule="exact"/>
              <w:rPr>
                <w:sz w:val="20"/>
                <w:szCs w:val="20"/>
                <w:color w:val="auto"/>
              </w:rPr>
            </w:pPr>
            <w:r>
              <w:rPr>
                <w:rFonts w:ascii="Times New Roman" w:cs="Times New Roman" w:eastAsia="Times New Roman" w:hAnsi="Times New Roman"/>
                <w:sz w:val="10"/>
                <w:szCs w:val="10"/>
                <w:color w:val="auto"/>
              </w:rPr>
              <w:t>2870 Peachtree Rd NW</w:t>
            </w:r>
          </w:p>
        </w:tc>
        <w:tc>
          <w:tcPr>
            <w:tcW w:w="960" w:type="dxa"/>
            <w:vAlign w:val="bottom"/>
            <w:gridSpan w:val="2"/>
          </w:tcPr>
          <w:p>
            <w:pPr>
              <w:ind w:left="40"/>
              <w:spacing w:after="0" w:line="105" w:lineRule="exact"/>
              <w:rPr>
                <w:sz w:val="20"/>
                <w:szCs w:val="20"/>
                <w:color w:val="auto"/>
              </w:rPr>
            </w:pPr>
            <w:r>
              <w:rPr>
                <w:rFonts w:ascii="Times New Roman" w:cs="Times New Roman" w:eastAsia="Times New Roman" w:hAnsi="Times New Roman"/>
                <w:sz w:val="10"/>
                <w:szCs w:val="10"/>
                <w:color w:val="auto"/>
              </w:rPr>
              <w:t>First Lien Debt (j)(o)</w:t>
            </w:r>
          </w:p>
        </w:tc>
        <w:tc>
          <w:tcPr>
            <w:tcW w:w="6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300" w:type="dxa"/>
            <w:vAlign w:val="bottom"/>
            <w:gridSpan w:val="2"/>
          </w:tcPr>
          <w:p>
            <w:pPr>
              <w:ind w:left="100"/>
              <w:spacing w:after="0" w:line="105" w:lineRule="exact"/>
              <w:rPr>
                <w:sz w:val="20"/>
                <w:szCs w:val="20"/>
                <w:color w:val="auto"/>
              </w:rPr>
            </w:pPr>
            <w:r>
              <w:rPr>
                <w:rFonts w:ascii="Times New Roman" w:cs="Times New Roman" w:eastAsia="Times New Roman" w:hAnsi="Times New Roman"/>
                <w:sz w:val="10"/>
                <w:szCs w:val="10"/>
                <w:color w:val="auto"/>
              </w:rPr>
              <w:t>Atlanta, GA 30305</w:t>
            </w:r>
          </w:p>
        </w:tc>
        <w:tc>
          <w:tcPr>
            <w:tcW w:w="960" w:type="dxa"/>
            <w:vAlign w:val="bottom"/>
            <w:gridSpan w:val="2"/>
          </w:tcPr>
          <w:p>
            <w:pPr>
              <w:ind w:left="40"/>
              <w:spacing w:after="0" w:line="105" w:lineRule="exact"/>
              <w:rPr>
                <w:sz w:val="20"/>
                <w:szCs w:val="20"/>
                <w:color w:val="auto"/>
              </w:rPr>
            </w:pPr>
            <w:r>
              <w:rPr>
                <w:rFonts w:ascii="Times New Roman" w:cs="Times New Roman" w:eastAsia="Times New Roman" w:hAnsi="Times New Roman"/>
                <w:sz w:val="10"/>
                <w:szCs w:val="10"/>
                <w:color w:val="auto"/>
              </w:rPr>
              <w:t>Preferred Equity (367</w:t>
            </w:r>
          </w:p>
        </w:tc>
        <w:tc>
          <w:tcPr>
            <w:tcW w:w="6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960" w:type="dxa"/>
            <w:vAlign w:val="bottom"/>
            <w:gridSpan w:val="2"/>
          </w:tcPr>
          <w:p>
            <w:pPr>
              <w:ind w:left="40"/>
              <w:spacing w:after="0" w:line="105" w:lineRule="exact"/>
              <w:rPr>
                <w:sz w:val="20"/>
                <w:szCs w:val="20"/>
                <w:color w:val="auto"/>
              </w:rPr>
            </w:pPr>
            <w:r>
              <w:rPr>
                <w:rFonts w:ascii="Times New Roman" w:cs="Times New Roman" w:eastAsia="Times New Roman" w:hAnsi="Times New Roman"/>
                <w:sz w:val="10"/>
                <w:szCs w:val="10"/>
                <w:color w:val="auto"/>
              </w:rPr>
              <w:t>units)</w:t>
            </w:r>
          </w:p>
        </w:tc>
        <w:tc>
          <w:tcPr>
            <w:tcW w:w="6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960" w:type="dxa"/>
            <w:vAlign w:val="bottom"/>
            <w:gridSpan w:val="2"/>
          </w:tcPr>
          <w:p>
            <w:pPr>
              <w:ind w:left="40"/>
              <w:spacing w:after="0" w:line="105" w:lineRule="exact"/>
              <w:rPr>
                <w:sz w:val="20"/>
                <w:szCs w:val="20"/>
                <w:color w:val="auto"/>
              </w:rPr>
            </w:pPr>
            <w:r>
              <w:rPr>
                <w:rFonts w:ascii="Times New Roman" w:cs="Times New Roman" w:eastAsia="Times New Roman" w:hAnsi="Times New Roman"/>
                <w:sz w:val="10"/>
                <w:szCs w:val="10"/>
                <w:color w:val="auto"/>
              </w:rPr>
              <w:t>Common Equity</w:t>
            </w:r>
          </w:p>
        </w:tc>
        <w:tc>
          <w:tcPr>
            <w:tcW w:w="6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1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60" w:type="dxa"/>
            <w:vAlign w:val="bottom"/>
            <w:gridSpan w:val="2"/>
          </w:tcPr>
          <w:p>
            <w:pPr>
              <w:ind w:left="40"/>
              <w:spacing w:after="0"/>
              <w:rPr>
                <w:sz w:val="20"/>
                <w:szCs w:val="20"/>
                <w:color w:val="auto"/>
              </w:rPr>
            </w:pPr>
            <w:r>
              <w:rPr>
                <w:rFonts w:ascii="Times New Roman" w:cs="Times New Roman" w:eastAsia="Times New Roman" w:hAnsi="Times New Roman"/>
                <w:sz w:val="10"/>
                <w:szCs w:val="10"/>
                <w:color w:val="auto"/>
              </w:rPr>
              <w:t>(1,361 units)</w:t>
            </w:r>
          </w:p>
        </w:tc>
        <w:tc>
          <w:tcPr>
            <w:tcW w:w="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8"/>
        </w:trPr>
        <w:tc>
          <w:tcPr>
            <w:tcW w:w="1300" w:type="dxa"/>
            <w:vAlign w:val="bottom"/>
            <w:gridSpan w:val="2"/>
          </w:tcPr>
          <w:p>
            <w:pPr>
              <w:spacing w:after="0"/>
              <w:rPr>
                <w:sz w:val="20"/>
                <w:szCs w:val="20"/>
                <w:color w:val="auto"/>
              </w:rPr>
            </w:pPr>
            <w:r>
              <w:rPr>
                <w:rFonts w:ascii="Times New Roman" w:cs="Times New Roman" w:eastAsia="Times New Roman" w:hAnsi="Times New Roman"/>
                <w:sz w:val="10"/>
                <w:szCs w:val="10"/>
                <w:i w:val="1"/>
                <w:iCs w:val="1"/>
                <w:color w:val="auto"/>
              </w:rPr>
              <w:t>Info Tech Operating, LLC (dba</w:t>
            </w:r>
          </w:p>
        </w:tc>
        <w:tc>
          <w:tcPr>
            <w:tcW w:w="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60" w:type="dxa"/>
            <w:vAlign w:val="bottom"/>
            <w:gridSpan w:val="2"/>
          </w:tcPr>
          <w:p>
            <w:pPr>
              <w:ind w:left="60"/>
              <w:spacing w:after="0"/>
              <w:rPr>
                <w:sz w:val="20"/>
                <w:szCs w:val="20"/>
                <w:color w:val="auto"/>
              </w:rPr>
            </w:pPr>
            <w:r>
              <w:rPr>
                <w:rFonts w:ascii="Times New Roman" w:cs="Times New Roman" w:eastAsia="Times New Roman" w:hAnsi="Times New Roman"/>
                <w:sz w:val="10"/>
                <w:szCs w:val="10"/>
                <w:color w:val="auto"/>
              </w:rPr>
              <w:t>Information</w:t>
            </w:r>
          </w:p>
        </w:tc>
        <w:tc>
          <w:tcPr>
            <w:tcW w:w="0" w:type="dxa"/>
            <w:vAlign w:val="bottom"/>
          </w:tcPr>
          <w:p>
            <w:pPr>
              <w:spacing w:after="0"/>
              <w:rPr>
                <w:sz w:val="1"/>
                <w:szCs w:val="1"/>
                <w:color w:val="auto"/>
              </w:rPr>
            </w:pPr>
          </w:p>
        </w:tc>
      </w:tr>
      <w:tr>
        <w:trPr>
          <w:trHeight w:val="107"/>
        </w:trPr>
        <w:tc>
          <w:tcPr>
            <w:tcW w:w="1300" w:type="dxa"/>
            <w:vAlign w:val="bottom"/>
            <w:gridSpan w:val="2"/>
          </w:tcPr>
          <w:p>
            <w:pPr>
              <w:spacing w:after="0" w:line="107" w:lineRule="exact"/>
              <w:rPr>
                <w:sz w:val="20"/>
                <w:szCs w:val="20"/>
                <w:color w:val="auto"/>
              </w:rPr>
            </w:pPr>
            <w:r>
              <w:rPr>
                <w:rFonts w:ascii="Times New Roman" w:cs="Times New Roman" w:eastAsia="Times New Roman" w:hAnsi="Times New Roman"/>
                <w:sz w:val="10"/>
                <w:szCs w:val="10"/>
                <w:i w:val="1"/>
                <w:iCs w:val="1"/>
                <w:color w:val="auto"/>
              </w:rPr>
              <w:t>infotech)</w:t>
            </w:r>
          </w:p>
        </w:tc>
        <w:tc>
          <w:tcPr>
            <w:tcW w:w="40" w:type="dxa"/>
            <w:vAlign w:val="bottom"/>
          </w:tcPr>
          <w:p>
            <w:pPr>
              <w:spacing w:after="0"/>
              <w:rPr>
                <w:sz w:val="9"/>
                <w:szCs w:val="9"/>
                <w:color w:val="auto"/>
              </w:rPr>
            </w:pPr>
          </w:p>
        </w:tc>
        <w:tc>
          <w:tcPr>
            <w:tcW w:w="920" w:type="dxa"/>
            <w:vAlign w:val="bottom"/>
          </w:tcPr>
          <w:p>
            <w:pPr>
              <w:spacing w:after="0"/>
              <w:rPr>
                <w:sz w:val="9"/>
                <w:szCs w:val="9"/>
                <w:color w:val="auto"/>
              </w:rPr>
            </w:pPr>
          </w:p>
        </w:tc>
        <w:tc>
          <w:tcPr>
            <w:tcW w:w="960" w:type="dxa"/>
            <w:vAlign w:val="bottom"/>
            <w:gridSpan w:val="2"/>
          </w:tcPr>
          <w:p>
            <w:pPr>
              <w:ind w:left="60"/>
              <w:spacing w:after="0" w:line="107" w:lineRule="exact"/>
              <w:rPr>
                <w:sz w:val="20"/>
                <w:szCs w:val="20"/>
                <w:color w:val="auto"/>
              </w:rPr>
            </w:pPr>
            <w:r>
              <w:rPr>
                <w:rFonts w:ascii="Times New Roman" w:cs="Times New Roman" w:eastAsia="Times New Roman" w:hAnsi="Times New Roman"/>
                <w:sz w:val="10"/>
                <w:szCs w:val="10"/>
                <w:color w:val="auto"/>
              </w:rPr>
              <w:t>Technology Services</w:t>
            </w:r>
          </w:p>
        </w:tc>
        <w:tc>
          <w:tcPr>
            <w:tcW w:w="0" w:type="dxa"/>
            <w:vAlign w:val="bottom"/>
          </w:tcPr>
          <w:p>
            <w:pPr>
              <w:spacing w:after="0"/>
              <w:rPr>
                <w:sz w:val="1"/>
                <w:szCs w:val="1"/>
                <w:color w:val="auto"/>
              </w:rPr>
            </w:pPr>
          </w:p>
        </w:tc>
      </w:tr>
      <w:tr>
        <w:trPr>
          <w:trHeight w:val="105"/>
        </w:trPr>
        <w:tc>
          <w:tcPr>
            <w:tcW w:w="1300" w:type="dxa"/>
            <w:vAlign w:val="bottom"/>
            <w:gridSpan w:val="2"/>
          </w:tcPr>
          <w:p>
            <w:pPr>
              <w:ind w:left="100"/>
              <w:spacing w:after="0" w:line="105" w:lineRule="exact"/>
              <w:rPr>
                <w:sz w:val="20"/>
                <w:szCs w:val="20"/>
                <w:color w:val="auto"/>
              </w:rPr>
            </w:pPr>
            <w:r>
              <w:rPr>
                <w:rFonts w:ascii="Times New Roman" w:cs="Times New Roman" w:eastAsia="Times New Roman" w:hAnsi="Times New Roman"/>
                <w:sz w:val="10"/>
                <w:szCs w:val="10"/>
                <w:color w:val="auto"/>
              </w:rPr>
              <w:t>2970 SW 50th Terrace</w:t>
            </w:r>
          </w:p>
        </w:tc>
        <w:tc>
          <w:tcPr>
            <w:tcW w:w="40" w:type="dxa"/>
            <w:vAlign w:val="bottom"/>
          </w:tcPr>
          <w:p>
            <w:pPr>
              <w:spacing w:after="0"/>
              <w:rPr>
                <w:sz w:val="9"/>
                <w:szCs w:val="9"/>
                <w:color w:val="auto"/>
              </w:rPr>
            </w:pPr>
          </w:p>
        </w:tc>
        <w:tc>
          <w:tcPr>
            <w:tcW w:w="920" w:type="dxa"/>
            <w:vAlign w:val="bottom"/>
          </w:tcPr>
          <w:p>
            <w:pPr>
              <w:spacing w:after="0"/>
              <w:rPr>
                <w:sz w:val="9"/>
                <w:szCs w:val="9"/>
                <w:color w:val="auto"/>
              </w:rPr>
            </w:pPr>
          </w:p>
        </w:tc>
        <w:tc>
          <w:tcPr>
            <w:tcW w:w="6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1300" w:type="dxa"/>
            <w:vAlign w:val="bottom"/>
            <w:gridSpan w:val="2"/>
          </w:tcPr>
          <w:p>
            <w:pPr>
              <w:ind w:left="100"/>
              <w:spacing w:after="0"/>
              <w:rPr>
                <w:sz w:val="20"/>
                <w:szCs w:val="20"/>
                <w:color w:val="auto"/>
              </w:rPr>
            </w:pPr>
            <w:r>
              <w:rPr>
                <w:rFonts w:ascii="Times New Roman" w:cs="Times New Roman" w:eastAsia="Times New Roman" w:hAnsi="Times New Roman"/>
                <w:sz w:val="10"/>
                <w:szCs w:val="10"/>
                <w:color w:val="auto"/>
              </w:rPr>
              <w:t>Gainesville, FL 32608</w:t>
            </w:r>
          </w:p>
        </w:tc>
        <w:tc>
          <w:tcPr>
            <w:tcW w:w="960" w:type="dxa"/>
            <w:vAlign w:val="bottom"/>
            <w:gridSpan w:val="2"/>
          </w:tcPr>
          <w:p>
            <w:pPr>
              <w:ind w:left="40"/>
              <w:spacing w:after="0"/>
              <w:rPr>
                <w:sz w:val="20"/>
                <w:szCs w:val="20"/>
                <w:color w:val="auto"/>
              </w:rPr>
            </w:pPr>
            <w:r>
              <w:rPr>
                <w:rFonts w:ascii="Times New Roman" w:cs="Times New Roman" w:eastAsia="Times New Roman" w:hAnsi="Times New Roman"/>
                <w:sz w:val="10"/>
                <w:szCs w:val="10"/>
                <w:color w:val="auto"/>
              </w:rPr>
              <w:t>First Lien Debt (bd)</w:t>
            </w:r>
          </w:p>
        </w:tc>
        <w:tc>
          <w:tcPr>
            <w:tcW w:w="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6"/>
        </w:trPr>
        <w:tc>
          <w:tcPr>
            <w:tcW w:w="1300" w:type="dxa"/>
            <w:vAlign w:val="bottom"/>
            <w:gridSpan w:val="2"/>
          </w:tcPr>
          <w:p>
            <w:pPr>
              <w:spacing w:after="0"/>
              <w:rPr>
                <w:sz w:val="20"/>
                <w:szCs w:val="20"/>
                <w:color w:val="auto"/>
              </w:rPr>
            </w:pPr>
            <w:r>
              <w:rPr>
                <w:rFonts w:ascii="Times New Roman" w:cs="Times New Roman" w:eastAsia="Times New Roman" w:hAnsi="Times New Roman"/>
                <w:sz w:val="10"/>
                <w:szCs w:val="10"/>
                <w:i w:val="1"/>
                <w:iCs w:val="1"/>
                <w:color w:val="auto"/>
              </w:rPr>
              <w:t>Informatics Holdings, Inc. (dba</w:t>
            </w:r>
          </w:p>
        </w:tc>
        <w:tc>
          <w:tcPr>
            <w:tcW w:w="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60" w:type="dxa"/>
            <w:vAlign w:val="bottom"/>
            <w:gridSpan w:val="2"/>
          </w:tcPr>
          <w:p>
            <w:pPr>
              <w:ind w:left="60"/>
              <w:spacing w:after="0"/>
              <w:rPr>
                <w:sz w:val="20"/>
                <w:szCs w:val="20"/>
                <w:color w:val="auto"/>
              </w:rPr>
            </w:pPr>
            <w:r>
              <w:rPr>
                <w:rFonts w:ascii="Times New Roman" w:cs="Times New Roman" w:eastAsia="Times New Roman" w:hAnsi="Times New Roman"/>
                <w:sz w:val="10"/>
                <w:szCs w:val="10"/>
                <w:color w:val="auto"/>
              </w:rPr>
              <w:t>Information</w:t>
            </w:r>
          </w:p>
        </w:tc>
        <w:tc>
          <w:tcPr>
            <w:tcW w:w="0" w:type="dxa"/>
            <w:vAlign w:val="bottom"/>
          </w:tcPr>
          <w:p>
            <w:pPr>
              <w:spacing w:after="0"/>
              <w:rPr>
                <w:sz w:val="1"/>
                <w:szCs w:val="1"/>
                <w:color w:val="auto"/>
              </w:rPr>
            </w:pPr>
          </w:p>
        </w:tc>
      </w:tr>
      <w:tr>
        <w:trPr>
          <w:trHeight w:val="107"/>
        </w:trPr>
        <w:tc>
          <w:tcPr>
            <w:tcW w:w="1300" w:type="dxa"/>
            <w:vAlign w:val="bottom"/>
            <w:gridSpan w:val="2"/>
          </w:tcPr>
          <w:p>
            <w:pPr>
              <w:spacing w:after="0" w:line="107" w:lineRule="exact"/>
              <w:rPr>
                <w:sz w:val="20"/>
                <w:szCs w:val="20"/>
                <w:color w:val="auto"/>
              </w:rPr>
            </w:pPr>
            <w:r>
              <w:rPr>
                <w:rFonts w:ascii="Times New Roman" w:cs="Times New Roman" w:eastAsia="Times New Roman" w:hAnsi="Times New Roman"/>
                <w:sz w:val="10"/>
                <w:szCs w:val="10"/>
                <w:i w:val="1"/>
                <w:iCs w:val="1"/>
                <w:color w:val="auto"/>
              </w:rPr>
              <w:t>Wasp Barcode Technologies)</w:t>
            </w:r>
          </w:p>
        </w:tc>
        <w:tc>
          <w:tcPr>
            <w:tcW w:w="40" w:type="dxa"/>
            <w:vAlign w:val="bottom"/>
          </w:tcPr>
          <w:p>
            <w:pPr>
              <w:spacing w:after="0"/>
              <w:rPr>
                <w:sz w:val="9"/>
                <w:szCs w:val="9"/>
                <w:color w:val="auto"/>
              </w:rPr>
            </w:pPr>
          </w:p>
        </w:tc>
        <w:tc>
          <w:tcPr>
            <w:tcW w:w="920" w:type="dxa"/>
            <w:vAlign w:val="bottom"/>
          </w:tcPr>
          <w:p>
            <w:pPr>
              <w:spacing w:after="0"/>
              <w:rPr>
                <w:sz w:val="9"/>
                <w:szCs w:val="9"/>
                <w:color w:val="auto"/>
              </w:rPr>
            </w:pPr>
          </w:p>
        </w:tc>
        <w:tc>
          <w:tcPr>
            <w:tcW w:w="960" w:type="dxa"/>
            <w:vAlign w:val="bottom"/>
            <w:gridSpan w:val="2"/>
          </w:tcPr>
          <w:p>
            <w:pPr>
              <w:ind w:left="60"/>
              <w:spacing w:after="0" w:line="107" w:lineRule="exact"/>
              <w:rPr>
                <w:sz w:val="20"/>
                <w:szCs w:val="20"/>
                <w:color w:val="auto"/>
              </w:rPr>
            </w:pPr>
            <w:r>
              <w:rPr>
                <w:rFonts w:ascii="Times New Roman" w:cs="Times New Roman" w:eastAsia="Times New Roman" w:hAnsi="Times New Roman"/>
                <w:sz w:val="10"/>
                <w:szCs w:val="10"/>
                <w:color w:val="auto"/>
              </w:rPr>
              <w:t>Technology Services</w:t>
            </w:r>
          </w:p>
        </w:tc>
        <w:tc>
          <w:tcPr>
            <w:tcW w:w="0" w:type="dxa"/>
            <w:vAlign w:val="bottom"/>
          </w:tcPr>
          <w:p>
            <w:pPr>
              <w:spacing w:after="0"/>
              <w:rPr>
                <w:sz w:val="1"/>
                <w:szCs w:val="1"/>
                <w:color w:val="auto"/>
              </w:rPr>
            </w:pPr>
          </w:p>
        </w:tc>
      </w:tr>
      <w:tr>
        <w:trPr>
          <w:trHeight w:val="105"/>
        </w:trPr>
        <w:tc>
          <w:tcPr>
            <w:tcW w:w="1300" w:type="dxa"/>
            <w:vAlign w:val="bottom"/>
            <w:gridSpan w:val="2"/>
          </w:tcPr>
          <w:p>
            <w:pPr>
              <w:ind w:left="100"/>
              <w:spacing w:after="0" w:line="105" w:lineRule="exact"/>
              <w:rPr>
                <w:sz w:val="20"/>
                <w:szCs w:val="20"/>
                <w:color w:val="auto"/>
              </w:rPr>
            </w:pPr>
            <w:r>
              <w:rPr>
                <w:rFonts w:ascii="Times New Roman" w:cs="Times New Roman" w:eastAsia="Times New Roman" w:hAnsi="Times New Roman"/>
                <w:sz w:val="10"/>
                <w:szCs w:val="10"/>
                <w:color w:val="auto"/>
              </w:rPr>
              <w:t>14241 Dallas Parkway, Suite</w:t>
            </w:r>
          </w:p>
        </w:tc>
        <w:tc>
          <w:tcPr>
            <w:tcW w:w="40" w:type="dxa"/>
            <w:vAlign w:val="bottom"/>
          </w:tcPr>
          <w:p>
            <w:pPr>
              <w:spacing w:after="0"/>
              <w:rPr>
                <w:sz w:val="9"/>
                <w:szCs w:val="9"/>
                <w:color w:val="auto"/>
              </w:rPr>
            </w:pPr>
          </w:p>
        </w:tc>
        <w:tc>
          <w:tcPr>
            <w:tcW w:w="920" w:type="dxa"/>
            <w:vAlign w:val="bottom"/>
          </w:tcPr>
          <w:p>
            <w:pPr>
              <w:spacing w:after="0"/>
              <w:rPr>
                <w:sz w:val="9"/>
                <w:szCs w:val="9"/>
                <w:color w:val="auto"/>
              </w:rPr>
            </w:pPr>
          </w:p>
        </w:tc>
        <w:tc>
          <w:tcPr>
            <w:tcW w:w="6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100" w:type="dxa"/>
            <w:vAlign w:val="bottom"/>
          </w:tcPr>
          <w:p>
            <w:pPr>
              <w:ind w:left="100"/>
              <w:spacing w:after="0" w:line="105" w:lineRule="exact"/>
              <w:rPr>
                <w:sz w:val="20"/>
                <w:szCs w:val="20"/>
                <w:color w:val="auto"/>
              </w:rPr>
            </w:pPr>
            <w:r>
              <w:rPr>
                <w:rFonts w:ascii="Times New Roman" w:cs="Times New Roman" w:eastAsia="Times New Roman" w:hAnsi="Times New Roman"/>
                <w:sz w:val="10"/>
                <w:szCs w:val="10"/>
                <w:color w:val="auto"/>
              </w:rPr>
              <w:t>1230</w:t>
            </w:r>
          </w:p>
        </w:tc>
        <w:tc>
          <w:tcPr>
            <w:tcW w:w="200" w:type="dxa"/>
            <w:vAlign w:val="bottom"/>
          </w:tcPr>
          <w:p>
            <w:pPr>
              <w:spacing w:after="0"/>
              <w:rPr>
                <w:sz w:val="9"/>
                <w:szCs w:val="9"/>
                <w:color w:val="auto"/>
              </w:rPr>
            </w:pPr>
          </w:p>
        </w:tc>
        <w:tc>
          <w:tcPr>
            <w:tcW w:w="960" w:type="dxa"/>
            <w:vAlign w:val="bottom"/>
            <w:gridSpan w:val="2"/>
          </w:tcPr>
          <w:p>
            <w:pPr>
              <w:ind w:left="40"/>
              <w:spacing w:after="0" w:line="105" w:lineRule="exact"/>
              <w:rPr>
                <w:sz w:val="20"/>
                <w:szCs w:val="20"/>
                <w:color w:val="auto"/>
              </w:rPr>
            </w:pPr>
            <w:r>
              <w:rPr>
                <w:rFonts w:ascii="Times New Roman" w:cs="Times New Roman" w:eastAsia="Times New Roman" w:hAnsi="Times New Roman"/>
                <w:sz w:val="10"/>
                <w:szCs w:val="10"/>
                <w:color w:val="auto"/>
              </w:rPr>
              <w:t>First Lien Debt (j)(v)</w:t>
            </w:r>
          </w:p>
        </w:tc>
        <w:tc>
          <w:tcPr>
            <w:tcW w:w="6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300" w:type="dxa"/>
            <w:vAlign w:val="bottom"/>
            <w:gridSpan w:val="2"/>
          </w:tcPr>
          <w:p>
            <w:pPr>
              <w:ind w:left="100"/>
              <w:spacing w:after="0" w:line="105" w:lineRule="exact"/>
              <w:rPr>
                <w:sz w:val="20"/>
                <w:szCs w:val="20"/>
                <w:color w:val="auto"/>
              </w:rPr>
            </w:pPr>
            <w:r>
              <w:rPr>
                <w:rFonts w:ascii="Times New Roman" w:cs="Times New Roman" w:eastAsia="Times New Roman" w:hAnsi="Times New Roman"/>
                <w:sz w:val="10"/>
                <w:szCs w:val="10"/>
                <w:color w:val="auto"/>
              </w:rPr>
              <w:t>Dallas, TX 75254</w:t>
            </w:r>
          </w:p>
        </w:tc>
        <w:tc>
          <w:tcPr>
            <w:tcW w:w="960" w:type="dxa"/>
            <w:vAlign w:val="bottom"/>
            <w:gridSpan w:val="2"/>
          </w:tcPr>
          <w:p>
            <w:pPr>
              <w:ind w:left="40"/>
              <w:spacing w:after="0" w:line="105" w:lineRule="exact"/>
              <w:rPr>
                <w:sz w:val="20"/>
                <w:szCs w:val="20"/>
                <w:color w:val="auto"/>
              </w:rPr>
            </w:pPr>
            <w:r>
              <w:rPr>
                <w:rFonts w:ascii="Times New Roman" w:cs="Times New Roman" w:eastAsia="Times New Roman" w:hAnsi="Times New Roman"/>
                <w:sz w:val="10"/>
                <w:szCs w:val="10"/>
                <w:color w:val="auto"/>
              </w:rPr>
              <w:t>Preferred Equity</w:t>
            </w:r>
          </w:p>
        </w:tc>
        <w:tc>
          <w:tcPr>
            <w:tcW w:w="6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1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60" w:type="dxa"/>
            <w:vAlign w:val="bottom"/>
            <w:gridSpan w:val="2"/>
          </w:tcPr>
          <w:p>
            <w:pPr>
              <w:ind w:left="40"/>
              <w:spacing w:after="0"/>
              <w:rPr>
                <w:sz w:val="20"/>
                <w:szCs w:val="20"/>
                <w:color w:val="auto"/>
              </w:rPr>
            </w:pPr>
            <w:r>
              <w:rPr>
                <w:rFonts w:ascii="Times New Roman" w:cs="Times New Roman" w:eastAsia="Times New Roman" w:hAnsi="Times New Roman"/>
                <w:sz w:val="10"/>
                <w:szCs w:val="10"/>
                <w:color w:val="auto"/>
              </w:rPr>
              <w:t>(1,000,000 units)</w:t>
            </w:r>
          </w:p>
        </w:tc>
        <w:tc>
          <w:tcPr>
            <w:tcW w:w="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8"/>
        </w:trPr>
        <w:tc>
          <w:tcPr>
            <w:tcW w:w="1300" w:type="dxa"/>
            <w:vAlign w:val="bottom"/>
            <w:gridSpan w:val="2"/>
          </w:tcPr>
          <w:p>
            <w:pPr>
              <w:spacing w:after="0"/>
              <w:rPr>
                <w:sz w:val="20"/>
                <w:szCs w:val="20"/>
                <w:color w:val="auto"/>
              </w:rPr>
            </w:pPr>
            <w:r>
              <w:rPr>
                <w:rFonts w:ascii="Times New Roman" w:cs="Times New Roman" w:eastAsia="Times New Roman" w:hAnsi="Times New Roman"/>
                <w:sz w:val="10"/>
                <w:szCs w:val="10"/>
                <w:i w:val="1"/>
                <w:iCs w:val="1"/>
                <w:color w:val="auto"/>
              </w:rPr>
              <w:t>ISI PSG Holdings, LLC (dba</w:t>
            </w:r>
          </w:p>
        </w:tc>
        <w:tc>
          <w:tcPr>
            <w:tcW w:w="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7"/>
        </w:trPr>
        <w:tc>
          <w:tcPr>
            <w:tcW w:w="1300" w:type="dxa"/>
            <w:vAlign w:val="bottom"/>
            <w:gridSpan w:val="2"/>
          </w:tcPr>
          <w:p>
            <w:pPr>
              <w:spacing w:after="0" w:line="107" w:lineRule="exact"/>
              <w:rPr>
                <w:sz w:val="20"/>
                <w:szCs w:val="20"/>
                <w:color w:val="auto"/>
              </w:rPr>
            </w:pPr>
            <w:r>
              <w:rPr>
                <w:rFonts w:ascii="Times New Roman" w:cs="Times New Roman" w:eastAsia="Times New Roman" w:hAnsi="Times New Roman"/>
                <w:sz w:val="10"/>
                <w:szCs w:val="10"/>
                <w:i w:val="1"/>
                <w:iCs w:val="1"/>
                <w:color w:val="auto"/>
              </w:rPr>
              <w:t>Incentive Solutions, Inc.)</w:t>
            </w:r>
          </w:p>
        </w:tc>
        <w:tc>
          <w:tcPr>
            <w:tcW w:w="40" w:type="dxa"/>
            <w:vAlign w:val="bottom"/>
          </w:tcPr>
          <w:p>
            <w:pPr>
              <w:spacing w:after="0"/>
              <w:rPr>
                <w:sz w:val="9"/>
                <w:szCs w:val="9"/>
                <w:color w:val="auto"/>
              </w:rPr>
            </w:pPr>
          </w:p>
        </w:tc>
        <w:tc>
          <w:tcPr>
            <w:tcW w:w="920" w:type="dxa"/>
            <w:vAlign w:val="bottom"/>
          </w:tcPr>
          <w:p>
            <w:pPr>
              <w:spacing w:after="0"/>
              <w:rPr>
                <w:sz w:val="9"/>
                <w:szCs w:val="9"/>
                <w:color w:val="auto"/>
              </w:rPr>
            </w:pPr>
          </w:p>
        </w:tc>
        <w:tc>
          <w:tcPr>
            <w:tcW w:w="960" w:type="dxa"/>
            <w:vAlign w:val="bottom"/>
            <w:gridSpan w:val="2"/>
          </w:tcPr>
          <w:p>
            <w:pPr>
              <w:ind w:left="60"/>
              <w:spacing w:after="0" w:line="107" w:lineRule="exact"/>
              <w:rPr>
                <w:sz w:val="20"/>
                <w:szCs w:val="20"/>
                <w:color w:val="auto"/>
              </w:rPr>
            </w:pPr>
            <w:r>
              <w:rPr>
                <w:rFonts w:ascii="Times New Roman" w:cs="Times New Roman" w:eastAsia="Times New Roman" w:hAnsi="Times New Roman"/>
                <w:sz w:val="10"/>
                <w:szCs w:val="10"/>
                <w:color w:val="auto"/>
              </w:rPr>
              <w:t>Business Services</w:t>
            </w:r>
          </w:p>
        </w:tc>
        <w:tc>
          <w:tcPr>
            <w:tcW w:w="0" w:type="dxa"/>
            <w:vAlign w:val="bottom"/>
          </w:tcPr>
          <w:p>
            <w:pPr>
              <w:spacing w:after="0"/>
              <w:rPr>
                <w:sz w:val="1"/>
                <w:szCs w:val="1"/>
                <w:color w:val="auto"/>
              </w:rPr>
            </w:pPr>
          </w:p>
        </w:tc>
      </w:tr>
      <w:tr>
        <w:trPr>
          <w:trHeight w:val="105"/>
        </w:trPr>
        <w:tc>
          <w:tcPr>
            <w:tcW w:w="1300" w:type="dxa"/>
            <w:vAlign w:val="bottom"/>
            <w:gridSpan w:val="2"/>
          </w:tcPr>
          <w:p>
            <w:pPr>
              <w:ind w:left="100"/>
              <w:spacing w:after="0" w:line="105" w:lineRule="exact"/>
              <w:rPr>
                <w:sz w:val="20"/>
                <w:szCs w:val="20"/>
                <w:color w:val="auto"/>
              </w:rPr>
            </w:pPr>
            <w:r>
              <w:rPr>
                <w:rFonts w:ascii="Times New Roman" w:cs="Times New Roman" w:eastAsia="Times New Roman" w:hAnsi="Times New Roman"/>
                <w:sz w:val="10"/>
                <w:szCs w:val="10"/>
                <w:color w:val="auto"/>
                <w:w w:val="99"/>
              </w:rPr>
              <w:t>4170 Ashford Dunwoody Rd,</w:t>
            </w:r>
          </w:p>
        </w:tc>
        <w:tc>
          <w:tcPr>
            <w:tcW w:w="40" w:type="dxa"/>
            <w:vAlign w:val="bottom"/>
          </w:tcPr>
          <w:p>
            <w:pPr>
              <w:spacing w:after="0"/>
              <w:rPr>
                <w:sz w:val="9"/>
                <w:szCs w:val="9"/>
                <w:color w:val="auto"/>
              </w:rPr>
            </w:pPr>
          </w:p>
        </w:tc>
        <w:tc>
          <w:tcPr>
            <w:tcW w:w="920" w:type="dxa"/>
            <w:vAlign w:val="bottom"/>
          </w:tcPr>
          <w:p>
            <w:pPr>
              <w:spacing w:after="0"/>
              <w:rPr>
                <w:sz w:val="9"/>
                <w:szCs w:val="9"/>
                <w:color w:val="auto"/>
              </w:rPr>
            </w:pPr>
          </w:p>
        </w:tc>
        <w:tc>
          <w:tcPr>
            <w:tcW w:w="6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100" w:type="dxa"/>
            <w:vAlign w:val="bottom"/>
          </w:tcPr>
          <w:p>
            <w:pPr>
              <w:ind w:left="100"/>
              <w:spacing w:after="0" w:line="105" w:lineRule="exact"/>
              <w:rPr>
                <w:sz w:val="20"/>
                <w:szCs w:val="20"/>
                <w:color w:val="auto"/>
              </w:rPr>
            </w:pPr>
            <w:r>
              <w:rPr>
                <w:rFonts w:ascii="Times New Roman" w:cs="Times New Roman" w:eastAsia="Times New Roman" w:hAnsi="Times New Roman"/>
                <w:sz w:val="10"/>
                <w:szCs w:val="10"/>
                <w:color w:val="auto"/>
              </w:rPr>
              <w:t>#250</w:t>
            </w:r>
          </w:p>
        </w:tc>
        <w:tc>
          <w:tcPr>
            <w:tcW w:w="200" w:type="dxa"/>
            <w:vAlign w:val="bottom"/>
          </w:tcPr>
          <w:p>
            <w:pPr>
              <w:spacing w:after="0"/>
              <w:rPr>
                <w:sz w:val="9"/>
                <w:szCs w:val="9"/>
                <w:color w:val="auto"/>
              </w:rPr>
            </w:pPr>
          </w:p>
        </w:tc>
        <w:tc>
          <w:tcPr>
            <w:tcW w:w="960" w:type="dxa"/>
            <w:vAlign w:val="bottom"/>
            <w:gridSpan w:val="2"/>
          </w:tcPr>
          <w:p>
            <w:pPr>
              <w:ind w:left="40"/>
              <w:spacing w:after="0" w:line="105" w:lineRule="exact"/>
              <w:rPr>
                <w:sz w:val="20"/>
                <w:szCs w:val="20"/>
                <w:color w:val="auto"/>
              </w:rPr>
            </w:pPr>
            <w:r>
              <w:rPr>
                <w:rFonts w:ascii="Times New Roman" w:cs="Times New Roman" w:eastAsia="Times New Roman" w:hAnsi="Times New Roman"/>
                <w:sz w:val="10"/>
                <w:szCs w:val="10"/>
                <w:color w:val="auto"/>
              </w:rPr>
              <w:t>First Lien Debt (j)(aj)</w:t>
            </w:r>
          </w:p>
        </w:tc>
        <w:tc>
          <w:tcPr>
            <w:tcW w:w="6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300" w:type="dxa"/>
            <w:vAlign w:val="bottom"/>
            <w:gridSpan w:val="2"/>
          </w:tcPr>
          <w:p>
            <w:pPr>
              <w:ind w:left="100"/>
              <w:spacing w:after="0" w:line="105" w:lineRule="exact"/>
              <w:rPr>
                <w:sz w:val="20"/>
                <w:szCs w:val="20"/>
                <w:color w:val="auto"/>
              </w:rPr>
            </w:pPr>
            <w:r>
              <w:rPr>
                <w:rFonts w:ascii="Times New Roman" w:cs="Times New Roman" w:eastAsia="Times New Roman" w:hAnsi="Times New Roman"/>
                <w:sz w:val="10"/>
                <w:szCs w:val="10"/>
                <w:color w:val="auto"/>
              </w:rPr>
              <w:t>Atlanta, GA 30319</w:t>
            </w:r>
          </w:p>
        </w:tc>
        <w:tc>
          <w:tcPr>
            <w:tcW w:w="960" w:type="dxa"/>
            <w:vAlign w:val="bottom"/>
            <w:gridSpan w:val="2"/>
          </w:tcPr>
          <w:p>
            <w:pPr>
              <w:ind w:left="40"/>
              <w:spacing w:after="0" w:line="105" w:lineRule="exact"/>
              <w:rPr>
                <w:sz w:val="20"/>
                <w:szCs w:val="20"/>
                <w:color w:val="auto"/>
              </w:rPr>
            </w:pPr>
            <w:r>
              <w:rPr>
                <w:rFonts w:ascii="Times New Roman" w:cs="Times New Roman" w:eastAsia="Times New Roman" w:hAnsi="Times New Roman"/>
                <w:sz w:val="10"/>
                <w:szCs w:val="10"/>
                <w:color w:val="auto"/>
              </w:rPr>
              <w:t>First Lien Debt (an)</w:t>
            </w:r>
          </w:p>
        </w:tc>
        <w:tc>
          <w:tcPr>
            <w:tcW w:w="6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960" w:type="dxa"/>
            <w:vAlign w:val="bottom"/>
            <w:gridSpan w:val="2"/>
          </w:tcPr>
          <w:p>
            <w:pPr>
              <w:ind w:left="40"/>
              <w:spacing w:after="0" w:line="105" w:lineRule="exact"/>
              <w:rPr>
                <w:sz w:val="20"/>
                <w:szCs w:val="20"/>
                <w:color w:val="auto"/>
              </w:rPr>
            </w:pPr>
            <w:r>
              <w:rPr>
                <w:rFonts w:ascii="Times New Roman" w:cs="Times New Roman" w:eastAsia="Times New Roman" w:hAnsi="Times New Roman"/>
                <w:sz w:val="10"/>
                <w:szCs w:val="10"/>
                <w:color w:val="auto"/>
              </w:rPr>
              <w:t>Common Equity</w:t>
            </w:r>
          </w:p>
        </w:tc>
        <w:tc>
          <w:tcPr>
            <w:tcW w:w="6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1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60" w:type="dxa"/>
            <w:vAlign w:val="bottom"/>
            <w:gridSpan w:val="2"/>
          </w:tcPr>
          <w:p>
            <w:pPr>
              <w:ind w:left="40"/>
              <w:spacing w:after="0"/>
              <w:rPr>
                <w:sz w:val="20"/>
                <w:szCs w:val="20"/>
                <w:color w:val="auto"/>
              </w:rPr>
            </w:pPr>
            <w:r>
              <w:rPr>
                <w:rFonts w:ascii="Times New Roman" w:cs="Times New Roman" w:eastAsia="Times New Roman" w:hAnsi="Times New Roman"/>
                <w:sz w:val="10"/>
                <w:szCs w:val="10"/>
                <w:color w:val="auto"/>
              </w:rPr>
              <w:t>(256,964 units) (h)</w:t>
            </w:r>
          </w:p>
        </w:tc>
        <w:tc>
          <w:tcPr>
            <w:tcW w:w="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0"/>
        </w:trPr>
        <w:tc>
          <w:tcPr>
            <w:tcW w:w="1300" w:type="dxa"/>
            <w:vAlign w:val="bottom"/>
            <w:gridSpan w:val="2"/>
          </w:tcPr>
          <w:p>
            <w:pPr>
              <w:spacing w:after="0"/>
              <w:rPr>
                <w:sz w:val="20"/>
                <w:szCs w:val="20"/>
                <w:color w:val="auto"/>
              </w:rPr>
            </w:pPr>
            <w:r>
              <w:rPr>
                <w:rFonts w:ascii="Times New Roman" w:cs="Times New Roman" w:eastAsia="Times New Roman" w:hAnsi="Times New Roman"/>
                <w:sz w:val="10"/>
                <w:szCs w:val="10"/>
                <w:i w:val="1"/>
                <w:iCs w:val="1"/>
                <w:color w:val="auto"/>
                <w:w w:val="99"/>
              </w:rPr>
              <w:t>Janus Health Technologies, Inc.</w:t>
            </w:r>
          </w:p>
        </w:tc>
        <w:tc>
          <w:tcPr>
            <w:tcW w:w="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60" w:type="dxa"/>
            <w:vAlign w:val="bottom"/>
            <w:gridSpan w:val="2"/>
          </w:tcPr>
          <w:p>
            <w:pPr>
              <w:ind w:left="60"/>
              <w:spacing w:after="0"/>
              <w:rPr>
                <w:sz w:val="20"/>
                <w:szCs w:val="20"/>
                <w:color w:val="auto"/>
              </w:rPr>
            </w:pPr>
            <w:r>
              <w:rPr>
                <w:rFonts w:ascii="Times New Roman" w:cs="Times New Roman" w:eastAsia="Times New Roman" w:hAnsi="Times New Roman"/>
                <w:sz w:val="10"/>
                <w:szCs w:val="10"/>
                <w:color w:val="auto"/>
              </w:rPr>
              <w:t>Information</w:t>
            </w:r>
          </w:p>
        </w:tc>
        <w:tc>
          <w:tcPr>
            <w:tcW w:w="0" w:type="dxa"/>
            <w:vAlign w:val="bottom"/>
          </w:tcPr>
          <w:p>
            <w:pPr>
              <w:spacing w:after="0"/>
              <w:rPr>
                <w:sz w:val="1"/>
                <w:szCs w:val="1"/>
                <w:color w:val="auto"/>
              </w:rPr>
            </w:pPr>
          </w:p>
        </w:tc>
      </w:tr>
      <w:tr>
        <w:trPr>
          <w:trHeight w:val="125"/>
        </w:trPr>
        <w:tc>
          <w:tcPr>
            <w:tcW w:w="13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0"/>
                <w:szCs w:val="10"/>
                <w:color w:val="auto"/>
              </w:rPr>
              <w:t>4850 Tamiami Trl N, Suite</w:t>
            </w:r>
          </w:p>
        </w:tc>
        <w:tc>
          <w:tcPr>
            <w:tcW w:w="960" w:type="dxa"/>
            <w:vAlign w:val="bottom"/>
            <w:gridSpan w:val="2"/>
            <w:vMerge w:val="restart"/>
          </w:tcPr>
          <w:p>
            <w:pPr>
              <w:ind w:left="40"/>
              <w:spacing w:after="0"/>
              <w:rPr>
                <w:sz w:val="20"/>
                <w:szCs w:val="20"/>
                <w:color w:val="auto"/>
              </w:rPr>
            </w:pPr>
            <w:r>
              <w:rPr>
                <w:rFonts w:ascii="Times New Roman" w:cs="Times New Roman" w:eastAsia="Times New Roman" w:hAnsi="Times New Roman"/>
                <w:sz w:val="10"/>
                <w:szCs w:val="10"/>
                <w:color w:val="auto"/>
              </w:rPr>
              <w:t>Preferred Equity</w:t>
            </w:r>
          </w:p>
        </w:tc>
        <w:tc>
          <w:tcPr>
            <w:tcW w:w="960" w:type="dxa"/>
            <w:vAlign w:val="bottom"/>
            <w:gridSpan w:val="2"/>
          </w:tcPr>
          <w:p>
            <w:pPr>
              <w:ind w:left="60"/>
              <w:spacing w:after="0"/>
              <w:rPr>
                <w:sz w:val="20"/>
                <w:szCs w:val="20"/>
                <w:color w:val="auto"/>
              </w:rPr>
            </w:pPr>
            <w:r>
              <w:rPr>
                <w:rFonts w:ascii="Times New Roman" w:cs="Times New Roman" w:eastAsia="Times New Roman" w:hAnsi="Times New Roman"/>
                <w:sz w:val="10"/>
                <w:szCs w:val="10"/>
                <w:color w:val="auto"/>
              </w:rPr>
              <w:t>Technology Services</w:t>
            </w:r>
          </w:p>
        </w:tc>
        <w:tc>
          <w:tcPr>
            <w:tcW w:w="0" w:type="dxa"/>
            <w:vAlign w:val="bottom"/>
          </w:tcPr>
          <w:p>
            <w:pPr>
              <w:spacing w:after="0"/>
              <w:rPr>
                <w:sz w:val="1"/>
                <w:szCs w:val="1"/>
                <w:color w:val="auto"/>
              </w:rPr>
            </w:pPr>
          </w:p>
        </w:tc>
      </w:tr>
      <w:tr>
        <w:trPr>
          <w:trHeight w:val="84"/>
        </w:trPr>
        <w:tc>
          <w:tcPr>
            <w:tcW w:w="1300" w:type="dxa"/>
            <w:vAlign w:val="bottom"/>
            <w:gridSpan w:val="2"/>
            <w:vMerge w:val="continue"/>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1300" w:type="dxa"/>
            <w:vAlign w:val="bottom"/>
            <w:gridSpan w:val="2"/>
          </w:tcPr>
          <w:p>
            <w:pPr>
              <w:ind w:left="100"/>
              <w:spacing w:after="0"/>
              <w:rPr>
                <w:sz w:val="20"/>
                <w:szCs w:val="20"/>
                <w:color w:val="auto"/>
              </w:rPr>
            </w:pPr>
            <w:r>
              <w:rPr>
                <w:rFonts w:ascii="Times New Roman" w:cs="Times New Roman" w:eastAsia="Times New Roman" w:hAnsi="Times New Roman"/>
                <w:sz w:val="10"/>
                <w:szCs w:val="10"/>
                <w:color w:val="auto"/>
              </w:rPr>
              <w:t>301 Naples, FL 34103</w:t>
            </w:r>
          </w:p>
        </w:tc>
        <w:tc>
          <w:tcPr>
            <w:tcW w:w="960" w:type="dxa"/>
            <w:vAlign w:val="bottom"/>
            <w:gridSpan w:val="2"/>
          </w:tcPr>
          <w:p>
            <w:pPr>
              <w:ind w:left="40"/>
              <w:spacing w:after="0"/>
              <w:rPr>
                <w:sz w:val="20"/>
                <w:szCs w:val="20"/>
                <w:color w:val="auto"/>
              </w:rPr>
            </w:pPr>
            <w:r>
              <w:rPr>
                <w:rFonts w:ascii="Times New Roman" w:cs="Times New Roman" w:eastAsia="Times New Roman" w:hAnsi="Times New Roman"/>
                <w:sz w:val="10"/>
                <w:szCs w:val="10"/>
                <w:color w:val="auto"/>
              </w:rPr>
              <w:t>(68,361 units)</w:t>
            </w:r>
          </w:p>
        </w:tc>
        <w:tc>
          <w:tcPr>
            <w:tcW w:w="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1300" w:type="dxa"/>
            <w:vAlign w:val="bottom"/>
            <w:gridSpan w:val="2"/>
          </w:tcPr>
          <w:p>
            <w:pPr>
              <w:spacing w:after="0"/>
              <w:rPr>
                <w:sz w:val="20"/>
                <w:szCs w:val="20"/>
                <w:color w:val="auto"/>
              </w:rPr>
            </w:pPr>
            <w:r>
              <w:rPr>
                <w:rFonts w:ascii="Times New Roman" w:cs="Times New Roman" w:eastAsia="Times New Roman" w:hAnsi="Times New Roman"/>
                <w:sz w:val="10"/>
                <w:szCs w:val="10"/>
                <w:i w:val="1"/>
                <w:iCs w:val="1"/>
                <w:color w:val="auto"/>
              </w:rPr>
              <w:t>Jumo Health, Inc.</w:t>
            </w:r>
          </w:p>
        </w:tc>
        <w:tc>
          <w:tcPr>
            <w:tcW w:w="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60" w:type="dxa"/>
            <w:vAlign w:val="bottom"/>
            <w:gridSpan w:val="2"/>
          </w:tcPr>
          <w:p>
            <w:pPr>
              <w:ind w:left="60"/>
              <w:spacing w:after="0"/>
              <w:rPr>
                <w:sz w:val="20"/>
                <w:szCs w:val="20"/>
                <w:color w:val="auto"/>
              </w:rPr>
            </w:pPr>
            <w:r>
              <w:rPr>
                <w:rFonts w:ascii="Times New Roman" w:cs="Times New Roman" w:eastAsia="Times New Roman" w:hAnsi="Times New Roman"/>
                <w:sz w:val="10"/>
                <w:szCs w:val="10"/>
                <w:color w:val="auto"/>
              </w:rPr>
              <w:t>Healthcare Services</w:t>
            </w:r>
          </w:p>
        </w:tc>
        <w:tc>
          <w:tcPr>
            <w:tcW w:w="0" w:type="dxa"/>
            <w:vAlign w:val="bottom"/>
          </w:tcPr>
          <w:p>
            <w:pPr>
              <w:spacing w:after="0"/>
              <w:rPr>
                <w:sz w:val="1"/>
                <w:szCs w:val="1"/>
                <w:color w:val="auto"/>
              </w:rPr>
            </w:pPr>
          </w:p>
        </w:tc>
      </w:tr>
      <w:tr>
        <w:trPr>
          <w:trHeight w:val="105"/>
        </w:trPr>
        <w:tc>
          <w:tcPr>
            <w:tcW w:w="1300" w:type="dxa"/>
            <w:vAlign w:val="bottom"/>
            <w:gridSpan w:val="2"/>
          </w:tcPr>
          <w:p>
            <w:pPr>
              <w:ind w:left="100"/>
              <w:spacing w:after="0" w:line="105" w:lineRule="exact"/>
              <w:rPr>
                <w:sz w:val="20"/>
                <w:szCs w:val="20"/>
                <w:color w:val="auto"/>
              </w:rPr>
            </w:pPr>
            <w:r>
              <w:rPr>
                <w:rFonts w:ascii="Times New Roman" w:cs="Times New Roman" w:eastAsia="Times New Roman" w:hAnsi="Times New Roman"/>
                <w:sz w:val="10"/>
                <w:szCs w:val="10"/>
                <w:color w:val="auto"/>
              </w:rPr>
              <w:t>470 James Street, Suite 232</w:t>
            </w:r>
          </w:p>
        </w:tc>
        <w:tc>
          <w:tcPr>
            <w:tcW w:w="960" w:type="dxa"/>
            <w:vAlign w:val="bottom"/>
            <w:gridSpan w:val="2"/>
          </w:tcPr>
          <w:p>
            <w:pPr>
              <w:ind w:left="40"/>
              <w:spacing w:after="0" w:line="105" w:lineRule="exact"/>
              <w:rPr>
                <w:sz w:val="20"/>
                <w:szCs w:val="20"/>
                <w:color w:val="auto"/>
              </w:rPr>
            </w:pPr>
            <w:r>
              <w:rPr>
                <w:rFonts w:ascii="Times New Roman" w:cs="Times New Roman" w:eastAsia="Times New Roman" w:hAnsi="Times New Roman"/>
                <w:sz w:val="10"/>
                <w:szCs w:val="10"/>
                <w:color w:val="auto"/>
                <w:w w:val="98"/>
              </w:rPr>
              <w:t>First Lien Debt (j)(aw)</w:t>
            </w:r>
          </w:p>
        </w:tc>
        <w:tc>
          <w:tcPr>
            <w:tcW w:w="6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300" w:type="dxa"/>
            <w:vAlign w:val="bottom"/>
            <w:gridSpan w:val="2"/>
          </w:tcPr>
          <w:p>
            <w:pPr>
              <w:ind w:left="100"/>
              <w:spacing w:after="0" w:line="105" w:lineRule="exact"/>
              <w:rPr>
                <w:sz w:val="20"/>
                <w:szCs w:val="20"/>
                <w:color w:val="auto"/>
              </w:rPr>
            </w:pPr>
            <w:r>
              <w:rPr>
                <w:rFonts w:ascii="Times New Roman" w:cs="Times New Roman" w:eastAsia="Times New Roman" w:hAnsi="Times New Roman"/>
                <w:sz w:val="10"/>
                <w:szCs w:val="10"/>
                <w:color w:val="auto"/>
              </w:rPr>
              <w:t>New Haven, CT 06513</w:t>
            </w:r>
          </w:p>
        </w:tc>
        <w:tc>
          <w:tcPr>
            <w:tcW w:w="960" w:type="dxa"/>
            <w:vAlign w:val="bottom"/>
            <w:gridSpan w:val="2"/>
          </w:tcPr>
          <w:p>
            <w:pPr>
              <w:ind w:left="40"/>
              <w:spacing w:after="0" w:line="105" w:lineRule="exact"/>
              <w:rPr>
                <w:sz w:val="20"/>
                <w:szCs w:val="20"/>
                <w:color w:val="auto"/>
              </w:rPr>
            </w:pPr>
            <w:r>
              <w:rPr>
                <w:rFonts w:ascii="Times New Roman" w:cs="Times New Roman" w:eastAsia="Times New Roman" w:hAnsi="Times New Roman"/>
                <w:sz w:val="10"/>
                <w:szCs w:val="10"/>
                <w:color w:val="auto"/>
              </w:rPr>
              <w:t>Common Equity</w:t>
            </w:r>
          </w:p>
        </w:tc>
        <w:tc>
          <w:tcPr>
            <w:tcW w:w="6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960" w:type="dxa"/>
            <w:vAlign w:val="bottom"/>
            <w:gridSpan w:val="2"/>
          </w:tcPr>
          <w:p>
            <w:pPr>
              <w:ind w:left="40"/>
              <w:spacing w:after="0" w:line="105" w:lineRule="exact"/>
              <w:rPr>
                <w:sz w:val="20"/>
                <w:szCs w:val="20"/>
                <w:color w:val="auto"/>
              </w:rPr>
            </w:pPr>
            <w:r>
              <w:rPr>
                <w:rFonts w:ascii="Times New Roman" w:cs="Times New Roman" w:eastAsia="Times New Roman" w:hAnsi="Times New Roman"/>
                <w:sz w:val="10"/>
                <w:szCs w:val="10"/>
                <w:color w:val="auto"/>
              </w:rPr>
              <w:t>(1,359 shares)</w:t>
            </w:r>
          </w:p>
        </w:tc>
        <w:tc>
          <w:tcPr>
            <w:tcW w:w="6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960" w:type="dxa"/>
            <w:vAlign w:val="bottom"/>
            <w:gridSpan w:val="2"/>
          </w:tcPr>
          <w:p>
            <w:pPr>
              <w:ind w:left="40"/>
              <w:spacing w:after="0" w:line="105" w:lineRule="exact"/>
              <w:rPr>
                <w:sz w:val="20"/>
                <w:szCs w:val="20"/>
                <w:color w:val="auto"/>
              </w:rPr>
            </w:pPr>
            <w:r>
              <w:rPr>
                <w:rFonts w:ascii="Times New Roman" w:cs="Times New Roman" w:eastAsia="Times New Roman" w:hAnsi="Times New Roman"/>
                <w:sz w:val="10"/>
                <w:szCs w:val="10"/>
                <w:color w:val="auto"/>
              </w:rPr>
              <w:t>Preferred Equity</w:t>
            </w:r>
          </w:p>
        </w:tc>
        <w:tc>
          <w:tcPr>
            <w:tcW w:w="6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1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60" w:type="dxa"/>
            <w:vAlign w:val="bottom"/>
            <w:gridSpan w:val="2"/>
          </w:tcPr>
          <w:p>
            <w:pPr>
              <w:ind w:left="40"/>
              <w:spacing w:after="0"/>
              <w:rPr>
                <w:sz w:val="20"/>
                <w:szCs w:val="20"/>
                <w:color w:val="auto"/>
              </w:rPr>
            </w:pPr>
            <w:r>
              <w:rPr>
                <w:rFonts w:ascii="Times New Roman" w:cs="Times New Roman" w:eastAsia="Times New Roman" w:hAnsi="Times New Roman"/>
                <w:sz w:val="10"/>
                <w:szCs w:val="10"/>
                <w:color w:val="auto"/>
              </w:rPr>
              <w:t>(1,359 shares)</w:t>
            </w:r>
          </w:p>
        </w:tc>
        <w:tc>
          <w:tcPr>
            <w:tcW w:w="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8"/>
        </w:trPr>
        <w:tc>
          <w:tcPr>
            <w:tcW w:w="1300" w:type="dxa"/>
            <w:vAlign w:val="bottom"/>
            <w:gridSpan w:val="2"/>
          </w:tcPr>
          <w:p>
            <w:pPr>
              <w:spacing w:after="0"/>
              <w:rPr>
                <w:sz w:val="20"/>
                <w:szCs w:val="20"/>
                <w:color w:val="auto"/>
              </w:rPr>
            </w:pPr>
            <w:r>
              <w:rPr>
                <w:rFonts w:ascii="Times New Roman" w:cs="Times New Roman" w:eastAsia="Times New Roman" w:hAnsi="Times New Roman"/>
                <w:sz w:val="10"/>
                <w:szCs w:val="10"/>
                <w:i w:val="1"/>
                <w:iCs w:val="1"/>
                <w:color w:val="auto"/>
              </w:rPr>
              <w:t>KG Lawn Care, Inc. (dba King</w:t>
            </w:r>
          </w:p>
        </w:tc>
        <w:tc>
          <w:tcPr>
            <w:tcW w:w="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7"/>
        </w:trPr>
        <w:tc>
          <w:tcPr>
            <w:tcW w:w="1300" w:type="dxa"/>
            <w:vAlign w:val="bottom"/>
            <w:gridSpan w:val="2"/>
          </w:tcPr>
          <w:p>
            <w:pPr>
              <w:spacing w:after="0" w:line="107" w:lineRule="exact"/>
              <w:rPr>
                <w:sz w:val="20"/>
                <w:szCs w:val="20"/>
                <w:color w:val="auto"/>
              </w:rPr>
            </w:pPr>
            <w:r>
              <w:rPr>
                <w:rFonts w:ascii="Times New Roman" w:cs="Times New Roman" w:eastAsia="Times New Roman" w:hAnsi="Times New Roman"/>
                <w:sz w:val="10"/>
                <w:szCs w:val="10"/>
                <w:i w:val="1"/>
                <w:iCs w:val="1"/>
                <w:color w:val="auto"/>
              </w:rPr>
              <w:t>Green)</w:t>
            </w:r>
          </w:p>
        </w:tc>
        <w:tc>
          <w:tcPr>
            <w:tcW w:w="40" w:type="dxa"/>
            <w:vAlign w:val="bottom"/>
          </w:tcPr>
          <w:p>
            <w:pPr>
              <w:spacing w:after="0"/>
              <w:rPr>
                <w:sz w:val="9"/>
                <w:szCs w:val="9"/>
                <w:color w:val="auto"/>
              </w:rPr>
            </w:pPr>
          </w:p>
        </w:tc>
        <w:tc>
          <w:tcPr>
            <w:tcW w:w="920" w:type="dxa"/>
            <w:vAlign w:val="bottom"/>
          </w:tcPr>
          <w:p>
            <w:pPr>
              <w:spacing w:after="0"/>
              <w:rPr>
                <w:sz w:val="9"/>
                <w:szCs w:val="9"/>
                <w:color w:val="auto"/>
              </w:rPr>
            </w:pPr>
          </w:p>
        </w:tc>
        <w:tc>
          <w:tcPr>
            <w:tcW w:w="960" w:type="dxa"/>
            <w:vAlign w:val="bottom"/>
            <w:gridSpan w:val="2"/>
          </w:tcPr>
          <w:p>
            <w:pPr>
              <w:ind w:left="60"/>
              <w:spacing w:after="0" w:line="107" w:lineRule="exact"/>
              <w:rPr>
                <w:sz w:val="20"/>
                <w:szCs w:val="20"/>
                <w:color w:val="auto"/>
              </w:rPr>
            </w:pPr>
            <w:r>
              <w:rPr>
                <w:rFonts w:ascii="Times New Roman" w:cs="Times New Roman" w:eastAsia="Times New Roman" w:hAnsi="Times New Roman"/>
                <w:sz w:val="10"/>
                <w:szCs w:val="10"/>
                <w:color w:val="auto"/>
              </w:rPr>
              <w:t>Consumer Services</w:t>
            </w:r>
          </w:p>
        </w:tc>
        <w:tc>
          <w:tcPr>
            <w:tcW w:w="0" w:type="dxa"/>
            <w:vAlign w:val="bottom"/>
          </w:tcPr>
          <w:p>
            <w:pPr>
              <w:spacing w:after="0"/>
              <w:rPr>
                <w:sz w:val="1"/>
                <w:szCs w:val="1"/>
                <w:color w:val="auto"/>
              </w:rPr>
            </w:pPr>
          </w:p>
        </w:tc>
      </w:tr>
      <w:tr>
        <w:trPr>
          <w:trHeight w:val="105"/>
        </w:trPr>
        <w:tc>
          <w:tcPr>
            <w:tcW w:w="1300" w:type="dxa"/>
            <w:vAlign w:val="bottom"/>
            <w:gridSpan w:val="2"/>
          </w:tcPr>
          <w:p>
            <w:pPr>
              <w:ind w:left="100"/>
              <w:spacing w:after="0" w:line="105" w:lineRule="exact"/>
              <w:rPr>
                <w:sz w:val="20"/>
                <w:szCs w:val="20"/>
                <w:color w:val="auto"/>
              </w:rPr>
            </w:pPr>
            <w:r>
              <w:rPr>
                <w:rFonts w:ascii="Times New Roman" w:cs="Times New Roman" w:eastAsia="Times New Roman" w:hAnsi="Times New Roman"/>
                <w:sz w:val="10"/>
                <w:szCs w:val="10"/>
                <w:color w:val="auto"/>
              </w:rPr>
              <w:t>1631 Gibbs. Dr</w:t>
            </w:r>
          </w:p>
        </w:tc>
        <w:tc>
          <w:tcPr>
            <w:tcW w:w="960" w:type="dxa"/>
            <w:vAlign w:val="bottom"/>
            <w:gridSpan w:val="2"/>
          </w:tcPr>
          <w:p>
            <w:pPr>
              <w:ind w:left="40"/>
              <w:spacing w:after="0" w:line="105" w:lineRule="exact"/>
              <w:rPr>
                <w:sz w:val="20"/>
                <w:szCs w:val="20"/>
                <w:color w:val="auto"/>
              </w:rPr>
            </w:pPr>
            <w:r>
              <w:rPr>
                <w:rFonts w:ascii="Times New Roman" w:cs="Times New Roman" w:eastAsia="Times New Roman" w:hAnsi="Times New Roman"/>
                <w:sz w:val="10"/>
                <w:szCs w:val="10"/>
                <w:color w:val="auto"/>
              </w:rPr>
              <w:t>First Lien Debt</w:t>
            </w:r>
          </w:p>
        </w:tc>
        <w:tc>
          <w:tcPr>
            <w:tcW w:w="6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300" w:type="dxa"/>
            <w:vAlign w:val="bottom"/>
            <w:gridSpan w:val="2"/>
          </w:tcPr>
          <w:p>
            <w:pPr>
              <w:ind w:left="100"/>
              <w:spacing w:after="0" w:line="105" w:lineRule="exact"/>
              <w:rPr>
                <w:sz w:val="20"/>
                <w:szCs w:val="20"/>
                <w:color w:val="auto"/>
              </w:rPr>
            </w:pPr>
            <w:r>
              <w:rPr>
                <w:rFonts w:ascii="Times New Roman" w:cs="Times New Roman" w:eastAsia="Times New Roman" w:hAnsi="Times New Roman"/>
                <w:sz w:val="10"/>
                <w:szCs w:val="10"/>
                <w:color w:val="auto"/>
              </w:rPr>
              <w:t>Gainesville, GA 30507</w:t>
            </w:r>
          </w:p>
        </w:tc>
        <w:tc>
          <w:tcPr>
            <w:tcW w:w="960" w:type="dxa"/>
            <w:vAlign w:val="bottom"/>
            <w:gridSpan w:val="2"/>
          </w:tcPr>
          <w:p>
            <w:pPr>
              <w:ind w:left="40"/>
              <w:spacing w:after="0" w:line="105" w:lineRule="exact"/>
              <w:rPr>
                <w:sz w:val="20"/>
                <w:szCs w:val="20"/>
                <w:color w:val="auto"/>
              </w:rPr>
            </w:pPr>
            <w:r>
              <w:rPr>
                <w:rFonts w:ascii="Times New Roman" w:cs="Times New Roman" w:eastAsia="Times New Roman" w:hAnsi="Times New Roman"/>
                <w:sz w:val="10"/>
                <w:szCs w:val="10"/>
                <w:color w:val="auto"/>
              </w:rPr>
              <w:t>Common Equity (62</w:t>
            </w:r>
          </w:p>
        </w:tc>
        <w:tc>
          <w:tcPr>
            <w:tcW w:w="6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1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60" w:type="dxa"/>
            <w:vAlign w:val="bottom"/>
            <w:gridSpan w:val="2"/>
          </w:tcPr>
          <w:p>
            <w:pPr>
              <w:ind w:left="40"/>
              <w:spacing w:after="0"/>
              <w:rPr>
                <w:sz w:val="20"/>
                <w:szCs w:val="20"/>
                <w:color w:val="auto"/>
              </w:rPr>
            </w:pPr>
            <w:r>
              <w:rPr>
                <w:rFonts w:ascii="Times New Roman" w:cs="Times New Roman" w:eastAsia="Times New Roman" w:hAnsi="Times New Roman"/>
                <w:sz w:val="10"/>
                <w:szCs w:val="10"/>
                <w:color w:val="auto"/>
              </w:rPr>
              <w:t>Units)</w:t>
            </w:r>
          </w:p>
        </w:tc>
        <w:tc>
          <w:tcPr>
            <w:tcW w:w="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8"/>
        </w:trPr>
        <w:tc>
          <w:tcPr>
            <w:tcW w:w="1300" w:type="dxa"/>
            <w:vAlign w:val="bottom"/>
            <w:gridSpan w:val="2"/>
          </w:tcPr>
          <w:p>
            <w:pPr>
              <w:spacing w:after="0"/>
              <w:rPr>
                <w:sz w:val="20"/>
                <w:szCs w:val="20"/>
                <w:color w:val="auto"/>
              </w:rPr>
            </w:pPr>
            <w:r>
              <w:rPr>
                <w:rFonts w:ascii="Times New Roman" w:cs="Times New Roman" w:eastAsia="Times New Roman" w:hAnsi="Times New Roman"/>
                <w:sz w:val="10"/>
                <w:szCs w:val="10"/>
                <w:i w:val="1"/>
                <w:iCs w:val="1"/>
                <w:color w:val="auto"/>
              </w:rPr>
              <w:t>The Kyjen Company, LLC (dba</w:t>
            </w:r>
          </w:p>
        </w:tc>
        <w:tc>
          <w:tcPr>
            <w:tcW w:w="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7"/>
        </w:trPr>
        <w:tc>
          <w:tcPr>
            <w:tcW w:w="1300" w:type="dxa"/>
            <w:vAlign w:val="bottom"/>
            <w:gridSpan w:val="2"/>
          </w:tcPr>
          <w:p>
            <w:pPr>
              <w:spacing w:after="0" w:line="107" w:lineRule="exact"/>
              <w:rPr>
                <w:sz w:val="20"/>
                <w:szCs w:val="20"/>
                <w:color w:val="auto"/>
              </w:rPr>
            </w:pPr>
            <w:r>
              <w:rPr>
                <w:rFonts w:ascii="Times New Roman" w:cs="Times New Roman" w:eastAsia="Times New Roman" w:hAnsi="Times New Roman"/>
                <w:sz w:val="10"/>
                <w:szCs w:val="10"/>
                <w:i w:val="1"/>
                <w:iCs w:val="1"/>
                <w:color w:val="auto"/>
              </w:rPr>
              <w:t>Outward Hound)</w:t>
            </w:r>
          </w:p>
        </w:tc>
        <w:tc>
          <w:tcPr>
            <w:tcW w:w="40" w:type="dxa"/>
            <w:vAlign w:val="bottom"/>
          </w:tcPr>
          <w:p>
            <w:pPr>
              <w:spacing w:after="0"/>
              <w:rPr>
                <w:sz w:val="9"/>
                <w:szCs w:val="9"/>
                <w:color w:val="auto"/>
              </w:rPr>
            </w:pPr>
          </w:p>
        </w:tc>
        <w:tc>
          <w:tcPr>
            <w:tcW w:w="920" w:type="dxa"/>
            <w:vAlign w:val="bottom"/>
          </w:tcPr>
          <w:p>
            <w:pPr>
              <w:spacing w:after="0"/>
              <w:rPr>
                <w:sz w:val="9"/>
                <w:szCs w:val="9"/>
                <w:color w:val="auto"/>
              </w:rPr>
            </w:pPr>
          </w:p>
        </w:tc>
        <w:tc>
          <w:tcPr>
            <w:tcW w:w="960" w:type="dxa"/>
            <w:vAlign w:val="bottom"/>
            <w:gridSpan w:val="2"/>
          </w:tcPr>
          <w:p>
            <w:pPr>
              <w:ind w:left="60"/>
              <w:spacing w:after="0" w:line="107" w:lineRule="exact"/>
              <w:rPr>
                <w:sz w:val="20"/>
                <w:szCs w:val="20"/>
                <w:color w:val="auto"/>
              </w:rPr>
            </w:pPr>
            <w:r>
              <w:rPr>
                <w:rFonts w:ascii="Times New Roman" w:cs="Times New Roman" w:eastAsia="Times New Roman" w:hAnsi="Times New Roman"/>
                <w:sz w:val="10"/>
                <w:szCs w:val="10"/>
                <w:color w:val="auto"/>
              </w:rPr>
              <w:t>Consumer Products</w:t>
            </w:r>
          </w:p>
        </w:tc>
        <w:tc>
          <w:tcPr>
            <w:tcW w:w="0" w:type="dxa"/>
            <w:vAlign w:val="bottom"/>
          </w:tcPr>
          <w:p>
            <w:pPr>
              <w:spacing w:after="0"/>
              <w:rPr>
                <w:sz w:val="1"/>
                <w:szCs w:val="1"/>
                <w:color w:val="auto"/>
              </w:rPr>
            </w:pPr>
          </w:p>
        </w:tc>
      </w:tr>
      <w:tr>
        <w:trPr>
          <w:trHeight w:val="105"/>
        </w:trPr>
        <w:tc>
          <w:tcPr>
            <w:tcW w:w="1300" w:type="dxa"/>
            <w:vAlign w:val="bottom"/>
            <w:gridSpan w:val="2"/>
          </w:tcPr>
          <w:p>
            <w:pPr>
              <w:ind w:left="100"/>
              <w:spacing w:after="0" w:line="105" w:lineRule="exact"/>
              <w:rPr>
                <w:sz w:val="20"/>
                <w:szCs w:val="20"/>
                <w:color w:val="auto"/>
              </w:rPr>
            </w:pPr>
            <w:r>
              <w:rPr>
                <w:rFonts w:ascii="Times New Roman" w:cs="Times New Roman" w:eastAsia="Times New Roman" w:hAnsi="Times New Roman"/>
                <w:sz w:val="10"/>
                <w:szCs w:val="10"/>
                <w:color w:val="auto"/>
              </w:rPr>
              <w:t>7337 S Revere Parkway</w:t>
            </w:r>
          </w:p>
        </w:tc>
        <w:tc>
          <w:tcPr>
            <w:tcW w:w="960" w:type="dxa"/>
            <w:vAlign w:val="bottom"/>
            <w:gridSpan w:val="2"/>
          </w:tcPr>
          <w:p>
            <w:pPr>
              <w:ind w:left="40"/>
              <w:spacing w:after="0" w:line="105" w:lineRule="exact"/>
              <w:rPr>
                <w:sz w:val="20"/>
                <w:szCs w:val="20"/>
                <w:color w:val="auto"/>
              </w:rPr>
            </w:pPr>
            <w:r>
              <w:rPr>
                <w:rFonts w:ascii="Times New Roman" w:cs="Times New Roman" w:eastAsia="Times New Roman" w:hAnsi="Times New Roman"/>
                <w:sz w:val="10"/>
                <w:szCs w:val="10"/>
                <w:color w:val="auto"/>
              </w:rPr>
              <w:t>Common Equity (855</w:t>
            </w:r>
          </w:p>
        </w:tc>
        <w:tc>
          <w:tcPr>
            <w:tcW w:w="6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1300" w:type="dxa"/>
            <w:vAlign w:val="bottom"/>
            <w:gridSpan w:val="2"/>
          </w:tcPr>
          <w:p>
            <w:pPr>
              <w:ind w:left="100"/>
              <w:spacing w:after="0"/>
              <w:rPr>
                <w:sz w:val="20"/>
                <w:szCs w:val="20"/>
                <w:color w:val="auto"/>
              </w:rPr>
            </w:pPr>
            <w:r>
              <w:rPr>
                <w:rFonts w:ascii="Times New Roman" w:cs="Times New Roman" w:eastAsia="Times New Roman" w:hAnsi="Times New Roman"/>
                <w:sz w:val="10"/>
                <w:szCs w:val="10"/>
                <w:color w:val="auto"/>
              </w:rPr>
              <w:t>Centennial, CO 80112</w:t>
            </w:r>
          </w:p>
        </w:tc>
        <w:tc>
          <w:tcPr>
            <w:tcW w:w="960" w:type="dxa"/>
            <w:vAlign w:val="bottom"/>
            <w:gridSpan w:val="2"/>
          </w:tcPr>
          <w:p>
            <w:pPr>
              <w:ind w:left="40"/>
              <w:spacing w:after="0"/>
              <w:rPr>
                <w:sz w:val="20"/>
                <w:szCs w:val="20"/>
                <w:color w:val="auto"/>
              </w:rPr>
            </w:pPr>
            <w:r>
              <w:rPr>
                <w:rFonts w:ascii="Times New Roman" w:cs="Times New Roman" w:eastAsia="Times New Roman" w:hAnsi="Times New Roman"/>
                <w:sz w:val="10"/>
                <w:szCs w:val="10"/>
                <w:color w:val="auto"/>
              </w:rPr>
              <w:t>shares)</w:t>
            </w:r>
          </w:p>
        </w:tc>
        <w:tc>
          <w:tcPr>
            <w:tcW w:w="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1300" w:type="dxa"/>
            <w:vAlign w:val="bottom"/>
            <w:gridSpan w:val="2"/>
          </w:tcPr>
          <w:p>
            <w:pPr>
              <w:spacing w:after="0"/>
              <w:rPr>
                <w:sz w:val="20"/>
                <w:szCs w:val="20"/>
                <w:color w:val="auto"/>
              </w:rPr>
            </w:pPr>
            <w:r>
              <w:rPr>
                <w:rFonts w:ascii="Times New Roman" w:cs="Times New Roman" w:eastAsia="Times New Roman" w:hAnsi="Times New Roman"/>
                <w:sz w:val="10"/>
                <w:szCs w:val="10"/>
                <w:i w:val="1"/>
                <w:iCs w:val="1"/>
                <w:color w:val="auto"/>
              </w:rPr>
              <w:t>Laboratory Testing, LLC</w:t>
            </w:r>
          </w:p>
        </w:tc>
        <w:tc>
          <w:tcPr>
            <w:tcW w:w="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60" w:type="dxa"/>
            <w:vAlign w:val="bottom"/>
            <w:gridSpan w:val="2"/>
          </w:tcPr>
          <w:p>
            <w:pPr>
              <w:ind w:left="60"/>
              <w:spacing w:after="0"/>
              <w:rPr>
                <w:sz w:val="20"/>
                <w:szCs w:val="20"/>
                <w:color w:val="auto"/>
              </w:rPr>
            </w:pPr>
            <w:r>
              <w:rPr>
                <w:rFonts w:ascii="Times New Roman" w:cs="Times New Roman" w:eastAsia="Times New Roman" w:hAnsi="Times New Roman"/>
                <w:sz w:val="10"/>
                <w:szCs w:val="10"/>
                <w:color w:val="auto"/>
              </w:rPr>
              <w:t>Business Services</w:t>
            </w:r>
          </w:p>
        </w:tc>
        <w:tc>
          <w:tcPr>
            <w:tcW w:w="0" w:type="dxa"/>
            <w:vAlign w:val="bottom"/>
          </w:tcPr>
          <w:p>
            <w:pPr>
              <w:spacing w:after="0"/>
              <w:rPr>
                <w:sz w:val="1"/>
                <w:szCs w:val="1"/>
                <w:color w:val="auto"/>
              </w:rPr>
            </w:pPr>
          </w:p>
        </w:tc>
      </w:tr>
      <w:tr>
        <w:trPr>
          <w:trHeight w:val="105"/>
        </w:trPr>
        <w:tc>
          <w:tcPr>
            <w:tcW w:w="1300" w:type="dxa"/>
            <w:vAlign w:val="bottom"/>
            <w:gridSpan w:val="2"/>
          </w:tcPr>
          <w:p>
            <w:pPr>
              <w:ind w:left="100"/>
              <w:spacing w:after="0" w:line="105" w:lineRule="exact"/>
              <w:rPr>
                <w:sz w:val="20"/>
                <w:szCs w:val="20"/>
                <w:color w:val="auto"/>
              </w:rPr>
            </w:pPr>
            <w:r>
              <w:rPr>
                <w:rFonts w:ascii="Times New Roman" w:cs="Times New Roman" w:eastAsia="Times New Roman" w:hAnsi="Times New Roman"/>
                <w:sz w:val="10"/>
                <w:szCs w:val="10"/>
                <w:color w:val="auto"/>
              </w:rPr>
              <w:t>2331 Topaz Drive</w:t>
            </w:r>
          </w:p>
        </w:tc>
        <w:tc>
          <w:tcPr>
            <w:tcW w:w="960" w:type="dxa"/>
            <w:vAlign w:val="bottom"/>
            <w:gridSpan w:val="2"/>
          </w:tcPr>
          <w:p>
            <w:pPr>
              <w:ind w:left="40"/>
              <w:spacing w:after="0" w:line="105" w:lineRule="exact"/>
              <w:rPr>
                <w:sz w:val="20"/>
                <w:szCs w:val="20"/>
                <w:color w:val="auto"/>
              </w:rPr>
            </w:pPr>
            <w:r>
              <w:rPr>
                <w:rFonts w:ascii="Times New Roman" w:cs="Times New Roman" w:eastAsia="Times New Roman" w:hAnsi="Times New Roman"/>
                <w:sz w:val="10"/>
                <w:szCs w:val="10"/>
                <w:color w:val="auto"/>
              </w:rPr>
              <w:t>First Lien Debt</w:t>
            </w:r>
          </w:p>
        </w:tc>
        <w:tc>
          <w:tcPr>
            <w:tcW w:w="6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300" w:type="dxa"/>
            <w:vAlign w:val="bottom"/>
            <w:gridSpan w:val="2"/>
          </w:tcPr>
          <w:p>
            <w:pPr>
              <w:ind w:left="100"/>
              <w:spacing w:after="0" w:line="105" w:lineRule="exact"/>
              <w:rPr>
                <w:sz w:val="20"/>
                <w:szCs w:val="20"/>
                <w:color w:val="auto"/>
              </w:rPr>
            </w:pPr>
            <w:r>
              <w:rPr>
                <w:rFonts w:ascii="Times New Roman" w:cs="Times New Roman" w:eastAsia="Times New Roman" w:hAnsi="Times New Roman"/>
                <w:sz w:val="10"/>
                <w:szCs w:val="10"/>
                <w:color w:val="auto"/>
              </w:rPr>
              <w:t>Hatfield, PA 19440</w:t>
            </w:r>
          </w:p>
        </w:tc>
        <w:tc>
          <w:tcPr>
            <w:tcW w:w="960" w:type="dxa"/>
            <w:vAlign w:val="bottom"/>
            <w:gridSpan w:val="2"/>
          </w:tcPr>
          <w:p>
            <w:pPr>
              <w:ind w:left="40"/>
              <w:spacing w:after="0" w:line="105" w:lineRule="exact"/>
              <w:rPr>
                <w:sz w:val="20"/>
                <w:szCs w:val="20"/>
                <w:color w:val="auto"/>
              </w:rPr>
            </w:pPr>
            <w:r>
              <w:rPr>
                <w:rFonts w:ascii="Times New Roman" w:cs="Times New Roman" w:eastAsia="Times New Roman" w:hAnsi="Times New Roman"/>
                <w:sz w:val="10"/>
                <w:szCs w:val="10"/>
                <w:color w:val="auto"/>
              </w:rPr>
              <w:t>Revolving Loan</w:t>
            </w:r>
          </w:p>
        </w:tc>
        <w:tc>
          <w:tcPr>
            <w:tcW w:w="6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960" w:type="dxa"/>
            <w:vAlign w:val="bottom"/>
            <w:gridSpan w:val="2"/>
          </w:tcPr>
          <w:p>
            <w:pPr>
              <w:ind w:left="40"/>
              <w:spacing w:after="0" w:line="105" w:lineRule="exact"/>
              <w:rPr>
                <w:sz w:val="20"/>
                <w:szCs w:val="20"/>
                <w:color w:val="auto"/>
              </w:rPr>
            </w:pPr>
            <w:r>
              <w:rPr>
                <w:rFonts w:ascii="Times New Roman" w:cs="Times New Roman" w:eastAsia="Times New Roman" w:hAnsi="Times New Roman"/>
                <w:sz w:val="10"/>
                <w:szCs w:val="10"/>
                <w:color w:val="auto"/>
              </w:rPr>
              <w:t>($3,427 unfunded</w:t>
            </w:r>
          </w:p>
        </w:tc>
        <w:tc>
          <w:tcPr>
            <w:tcW w:w="6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960" w:type="dxa"/>
            <w:vAlign w:val="bottom"/>
            <w:gridSpan w:val="2"/>
          </w:tcPr>
          <w:p>
            <w:pPr>
              <w:ind w:left="40"/>
              <w:spacing w:after="0" w:line="105" w:lineRule="exact"/>
              <w:rPr>
                <w:sz w:val="20"/>
                <w:szCs w:val="20"/>
                <w:color w:val="auto"/>
              </w:rPr>
            </w:pPr>
            <w:r>
              <w:rPr>
                <w:rFonts w:ascii="Times New Roman" w:cs="Times New Roman" w:eastAsia="Times New Roman" w:hAnsi="Times New Roman"/>
                <w:sz w:val="10"/>
                <w:szCs w:val="10"/>
                <w:color w:val="auto"/>
              </w:rPr>
              <w:t>commitment) (i)</w:t>
            </w:r>
          </w:p>
        </w:tc>
        <w:tc>
          <w:tcPr>
            <w:tcW w:w="6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960" w:type="dxa"/>
            <w:vAlign w:val="bottom"/>
            <w:gridSpan w:val="2"/>
          </w:tcPr>
          <w:p>
            <w:pPr>
              <w:ind w:left="40"/>
              <w:spacing w:after="0" w:line="105" w:lineRule="exact"/>
              <w:rPr>
                <w:sz w:val="20"/>
                <w:szCs w:val="20"/>
                <w:color w:val="auto"/>
              </w:rPr>
            </w:pPr>
            <w:r>
              <w:rPr>
                <w:rFonts w:ascii="Times New Roman" w:cs="Times New Roman" w:eastAsia="Times New Roman" w:hAnsi="Times New Roman"/>
                <w:sz w:val="10"/>
                <w:szCs w:val="10"/>
                <w:color w:val="auto"/>
              </w:rPr>
              <w:t>Common Equity</w:t>
            </w:r>
          </w:p>
        </w:tc>
        <w:tc>
          <w:tcPr>
            <w:tcW w:w="6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960" w:type="dxa"/>
            <w:vAlign w:val="bottom"/>
            <w:gridSpan w:val="2"/>
          </w:tcPr>
          <w:p>
            <w:pPr>
              <w:ind w:left="40"/>
              <w:spacing w:after="0" w:line="105" w:lineRule="exact"/>
              <w:rPr>
                <w:sz w:val="20"/>
                <w:szCs w:val="20"/>
                <w:color w:val="auto"/>
              </w:rPr>
            </w:pPr>
            <w:r>
              <w:rPr>
                <w:rFonts w:ascii="Times New Roman" w:cs="Times New Roman" w:eastAsia="Times New Roman" w:hAnsi="Times New Roman"/>
                <w:sz w:val="10"/>
                <w:szCs w:val="10"/>
                <w:color w:val="auto"/>
              </w:rPr>
              <w:t>(3,881 units) (h)</w:t>
            </w:r>
          </w:p>
        </w:tc>
        <w:tc>
          <w:tcPr>
            <w:tcW w:w="6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960" w:type="dxa"/>
            <w:vAlign w:val="bottom"/>
            <w:gridSpan w:val="2"/>
          </w:tcPr>
          <w:p>
            <w:pPr>
              <w:ind w:left="40"/>
              <w:spacing w:after="0" w:line="105" w:lineRule="exact"/>
              <w:rPr>
                <w:sz w:val="20"/>
                <w:szCs w:val="20"/>
                <w:color w:val="auto"/>
              </w:rPr>
            </w:pPr>
            <w:r>
              <w:rPr>
                <w:rFonts w:ascii="Times New Roman" w:cs="Times New Roman" w:eastAsia="Times New Roman" w:hAnsi="Times New Roman"/>
                <w:sz w:val="10"/>
                <w:szCs w:val="10"/>
                <w:color w:val="auto"/>
              </w:rPr>
              <w:t>Preferred Equity</w:t>
            </w:r>
          </w:p>
        </w:tc>
        <w:tc>
          <w:tcPr>
            <w:tcW w:w="6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1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60" w:type="dxa"/>
            <w:vAlign w:val="bottom"/>
            <w:gridSpan w:val="2"/>
          </w:tcPr>
          <w:p>
            <w:pPr>
              <w:ind w:left="40"/>
              <w:spacing w:after="0"/>
              <w:rPr>
                <w:sz w:val="20"/>
                <w:szCs w:val="20"/>
                <w:color w:val="auto"/>
              </w:rPr>
            </w:pPr>
            <w:r>
              <w:rPr>
                <w:rFonts w:ascii="Times New Roman" w:cs="Times New Roman" w:eastAsia="Times New Roman" w:hAnsi="Times New Roman"/>
                <w:sz w:val="10"/>
                <w:szCs w:val="10"/>
                <w:color w:val="auto"/>
              </w:rPr>
              <w:t>(3,619 units) (h)</w:t>
            </w:r>
          </w:p>
        </w:tc>
        <w:tc>
          <w:tcPr>
            <w:tcW w:w="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9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95"/>
        </w:trPr>
        <w:tc>
          <w:tcPr>
            <w:tcW w:w="740" w:type="dxa"/>
            <w:vAlign w:val="bottom"/>
            <w:gridSpan w:val="2"/>
          </w:tcPr>
          <w:p>
            <w:pPr>
              <w:jc w:val="center"/>
              <w:ind w:right="180"/>
              <w:spacing w:after="0"/>
              <w:rPr>
                <w:sz w:val="20"/>
                <w:szCs w:val="20"/>
                <w:color w:val="auto"/>
              </w:rPr>
            </w:pPr>
            <w:r>
              <w:rPr>
                <w:rFonts w:ascii="Times New Roman" w:cs="Times New Roman" w:eastAsia="Times New Roman" w:hAnsi="Times New Roman"/>
                <w:sz w:val="8"/>
                <w:szCs w:val="8"/>
                <w:b w:val="1"/>
                <w:bCs w:val="1"/>
                <w:color w:val="auto"/>
              </w:rPr>
              <w:t>Percentage of</w:t>
            </w:r>
          </w:p>
        </w:tc>
        <w:tc>
          <w:tcPr>
            <w:tcW w:w="920" w:type="dxa"/>
            <w:vAlign w:val="bottom"/>
            <w:gridSpan w:val="2"/>
          </w:tcPr>
          <w:p>
            <w:pPr>
              <w:jc w:val="center"/>
              <w:ind w:right="60"/>
              <w:spacing w:after="0"/>
              <w:rPr>
                <w:sz w:val="20"/>
                <w:szCs w:val="20"/>
                <w:color w:val="auto"/>
              </w:rPr>
            </w:pPr>
            <w:r>
              <w:rPr>
                <w:rFonts w:ascii="Times New Roman" w:cs="Times New Roman" w:eastAsia="Times New Roman" w:hAnsi="Times New Roman"/>
                <w:sz w:val="8"/>
                <w:szCs w:val="8"/>
                <w:b w:val="1"/>
                <w:bCs w:val="1"/>
                <w:color w:val="auto"/>
              </w:rPr>
              <w:t>Variable Index</w:t>
            </w:r>
          </w:p>
        </w:tc>
        <w:tc>
          <w:tcPr>
            <w:tcW w:w="720" w:type="dxa"/>
            <w:vAlign w:val="bottom"/>
            <w:gridSpan w:val="2"/>
          </w:tcPr>
          <w:p>
            <w:pPr>
              <w:jc w:val="center"/>
              <w:ind w:right="80"/>
              <w:spacing w:after="0"/>
              <w:rPr>
                <w:sz w:val="20"/>
                <w:szCs w:val="20"/>
                <w:color w:val="auto"/>
              </w:rPr>
            </w:pPr>
            <w:r>
              <w:rPr>
                <w:rFonts w:ascii="Times New Roman" w:cs="Times New Roman" w:eastAsia="Times New Roman" w:hAnsi="Times New Roman"/>
                <w:sz w:val="8"/>
                <w:szCs w:val="8"/>
                <w:b w:val="1"/>
                <w:bCs w:val="1"/>
                <w:color w:val="auto"/>
              </w:rPr>
              <w:t>Rate (e)</w:t>
            </w:r>
          </w:p>
        </w:tc>
        <w:tc>
          <w:tcPr>
            <w:tcW w:w="580" w:type="dxa"/>
            <w:vAlign w:val="bottom"/>
            <w:gridSpan w:val="2"/>
          </w:tcPr>
          <w:p>
            <w:pPr>
              <w:jc w:val="center"/>
              <w:ind w:right="100"/>
              <w:spacing w:after="0"/>
              <w:rPr>
                <w:sz w:val="20"/>
                <w:szCs w:val="20"/>
                <w:color w:val="auto"/>
              </w:rPr>
            </w:pPr>
            <w:r>
              <w:rPr>
                <w:rFonts w:ascii="Times New Roman" w:cs="Times New Roman" w:eastAsia="Times New Roman" w:hAnsi="Times New Roman"/>
                <w:sz w:val="8"/>
                <w:szCs w:val="8"/>
                <w:b w:val="1"/>
                <w:bCs w:val="1"/>
                <w:color w:val="auto"/>
              </w:rPr>
              <w:t>Investment</w:t>
            </w: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gridSpan w:val="2"/>
          </w:tcPr>
          <w:p>
            <w:pPr>
              <w:jc w:val="center"/>
              <w:ind w:right="100"/>
              <w:spacing w:after="0"/>
              <w:rPr>
                <w:sz w:val="20"/>
                <w:szCs w:val="20"/>
                <w:color w:val="auto"/>
              </w:rPr>
            </w:pPr>
            <w:r>
              <w:rPr>
                <w:rFonts w:ascii="Times New Roman" w:cs="Times New Roman" w:eastAsia="Times New Roman" w:hAnsi="Times New Roman"/>
                <w:sz w:val="8"/>
                <w:szCs w:val="8"/>
                <w:b w:val="1"/>
                <w:bCs w:val="1"/>
                <w:color w:val="auto"/>
              </w:rPr>
              <w:t>Principal</w:t>
            </w: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gridSpan w:val="2"/>
          </w:tcPr>
          <w:p>
            <w:pPr>
              <w:jc w:val="center"/>
              <w:ind w:right="100"/>
              <w:spacing w:after="0"/>
              <w:rPr>
                <w:sz w:val="20"/>
                <w:szCs w:val="20"/>
                <w:color w:val="auto"/>
              </w:rPr>
            </w:pPr>
            <w:r>
              <w:rPr>
                <w:rFonts w:ascii="Times New Roman" w:cs="Times New Roman" w:eastAsia="Times New Roman" w:hAnsi="Times New Roman"/>
                <w:sz w:val="8"/>
                <w:szCs w:val="8"/>
                <w:b w:val="1"/>
                <w:bCs w:val="1"/>
                <w:color w:val="auto"/>
              </w:rPr>
              <w:t>Fair</w:t>
            </w:r>
          </w:p>
        </w:tc>
        <w:tc>
          <w:tcPr>
            <w:tcW w:w="360" w:type="dxa"/>
            <w:vAlign w:val="bottom"/>
          </w:tcPr>
          <w:p>
            <w:pPr>
              <w:spacing w:after="0"/>
              <w:rPr>
                <w:sz w:val="20"/>
                <w:szCs w:val="20"/>
                <w:color w:val="auto"/>
              </w:rPr>
            </w:pPr>
            <w:r>
              <w:rPr>
                <w:rFonts w:ascii="Times New Roman" w:cs="Times New Roman" w:eastAsia="Times New Roman" w:hAnsi="Times New Roman"/>
                <w:sz w:val="8"/>
                <w:szCs w:val="8"/>
                <w:b w:val="1"/>
                <w:bCs w:val="1"/>
                <w:color w:val="auto"/>
                <w:w w:val="97"/>
              </w:rPr>
              <w:t>Percent of</w:t>
            </w:r>
          </w:p>
        </w:tc>
      </w:tr>
      <w:tr>
        <w:trPr>
          <w:trHeight w:val="115"/>
        </w:trPr>
        <w:tc>
          <w:tcPr>
            <w:tcW w:w="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8"/>
                <w:szCs w:val="8"/>
                <w:b w:val="1"/>
                <w:bCs w:val="1"/>
                <w:color w:val="auto"/>
              </w:rPr>
              <w:t>Class Held (bn)</w:t>
            </w:r>
          </w:p>
        </w:tc>
        <w:tc>
          <w:tcPr>
            <w:tcW w:w="180" w:type="dxa"/>
            <w:vAlign w:val="bottom"/>
          </w:tcPr>
          <w:p>
            <w:pPr>
              <w:spacing w:after="0"/>
              <w:rPr>
                <w:sz w:val="10"/>
                <w:szCs w:val="10"/>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8"/>
                <w:szCs w:val="8"/>
                <w:b w:val="1"/>
                <w:bCs w:val="1"/>
                <w:color w:val="auto"/>
              </w:rPr>
              <w:t>Spread / Floor (d)</w:t>
            </w:r>
          </w:p>
        </w:tc>
        <w:tc>
          <w:tcPr>
            <w:tcW w:w="60" w:type="dxa"/>
            <w:vAlign w:val="bottom"/>
          </w:tcPr>
          <w:p>
            <w:pPr>
              <w:spacing w:after="0"/>
              <w:rPr>
                <w:sz w:val="10"/>
                <w:szCs w:val="10"/>
                <w:color w:val="auto"/>
              </w:rPr>
            </w:pP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8"/>
                <w:szCs w:val="8"/>
                <w:b w:val="1"/>
                <w:bCs w:val="1"/>
                <w:color w:val="auto"/>
              </w:rPr>
              <w:t>Cash/PIK</w:t>
            </w:r>
          </w:p>
        </w:tc>
        <w:tc>
          <w:tcPr>
            <w:tcW w:w="100" w:type="dxa"/>
            <w:vAlign w:val="bottom"/>
          </w:tcPr>
          <w:p>
            <w:pPr>
              <w:spacing w:after="0"/>
              <w:rPr>
                <w:sz w:val="10"/>
                <w:szCs w:val="10"/>
                <w:color w:val="auto"/>
              </w:rPr>
            </w:pPr>
          </w:p>
        </w:tc>
        <w:tc>
          <w:tcPr>
            <w:tcW w:w="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8"/>
                <w:szCs w:val="8"/>
                <w:b w:val="1"/>
                <w:bCs w:val="1"/>
                <w:color w:val="auto"/>
              </w:rPr>
              <w:t>Date (f)</w:t>
            </w:r>
          </w:p>
        </w:tc>
        <w:tc>
          <w:tcPr>
            <w:tcW w:w="100" w:type="dxa"/>
            <w:vAlign w:val="bottom"/>
          </w:tcPr>
          <w:p>
            <w:pPr>
              <w:spacing w:after="0"/>
              <w:rPr>
                <w:sz w:val="10"/>
                <w:szCs w:val="10"/>
                <w:color w:val="auto"/>
              </w:rPr>
            </w:pPr>
          </w:p>
        </w:tc>
        <w:tc>
          <w:tcPr>
            <w:tcW w:w="4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8"/>
                <w:szCs w:val="8"/>
                <w:b w:val="1"/>
                <w:bCs w:val="1"/>
                <w:color w:val="auto"/>
              </w:rPr>
              <w:t>Maturity</w:t>
            </w:r>
          </w:p>
        </w:tc>
        <w:tc>
          <w:tcPr>
            <w:tcW w:w="80" w:type="dxa"/>
            <w:vAlign w:val="bottom"/>
          </w:tcPr>
          <w:p>
            <w:pPr>
              <w:spacing w:after="0"/>
              <w:rPr>
                <w:sz w:val="10"/>
                <w:szCs w:val="10"/>
                <w:color w:val="auto"/>
              </w:rPr>
            </w:pPr>
          </w:p>
        </w:tc>
        <w:tc>
          <w:tcPr>
            <w:tcW w:w="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8"/>
                <w:szCs w:val="8"/>
                <w:b w:val="1"/>
                <w:bCs w:val="1"/>
                <w:color w:val="auto"/>
              </w:rPr>
              <w:t>Amount</w:t>
            </w:r>
          </w:p>
        </w:tc>
        <w:tc>
          <w:tcPr>
            <w:tcW w:w="100" w:type="dxa"/>
            <w:vAlign w:val="bottom"/>
          </w:tcPr>
          <w:p>
            <w:pPr>
              <w:spacing w:after="0"/>
              <w:rPr>
                <w:sz w:val="10"/>
                <w:szCs w:val="10"/>
                <w:color w:val="auto"/>
              </w:rPr>
            </w:pPr>
          </w:p>
        </w:tc>
        <w:tc>
          <w:tcPr>
            <w:tcW w:w="3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8"/>
                <w:szCs w:val="8"/>
                <w:b w:val="1"/>
                <w:bCs w:val="1"/>
                <w:color w:val="auto"/>
              </w:rPr>
              <w:t>Cost</w:t>
            </w:r>
          </w:p>
        </w:tc>
        <w:tc>
          <w:tcPr>
            <w:tcW w:w="100" w:type="dxa"/>
            <w:vAlign w:val="bottom"/>
          </w:tcPr>
          <w:p>
            <w:pPr>
              <w:spacing w:after="0"/>
              <w:rPr>
                <w:sz w:val="10"/>
                <w:szCs w:val="10"/>
                <w:color w:val="auto"/>
              </w:rPr>
            </w:pPr>
          </w:p>
        </w:tc>
        <w:tc>
          <w:tcPr>
            <w:tcW w:w="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8"/>
                <w:szCs w:val="8"/>
                <w:b w:val="1"/>
                <w:bCs w:val="1"/>
                <w:color w:val="auto"/>
              </w:rPr>
              <w:t>Value (g)</w:t>
            </w:r>
          </w:p>
        </w:tc>
        <w:tc>
          <w:tcPr>
            <w:tcW w:w="100" w:type="dxa"/>
            <w:vAlign w:val="bottom"/>
          </w:tcPr>
          <w:p>
            <w:pPr>
              <w:spacing w:after="0"/>
              <w:rPr>
                <w:sz w:val="10"/>
                <w:szCs w:val="10"/>
                <w:color w:val="auto"/>
              </w:rPr>
            </w:pPr>
          </w:p>
        </w:tc>
        <w:tc>
          <w:tcPr>
            <w:tcW w:w="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8"/>
                <w:szCs w:val="8"/>
                <w:b w:val="1"/>
                <w:bCs w:val="1"/>
                <w:color w:val="auto"/>
                <w:w w:val="96"/>
              </w:rPr>
              <w:t>Net Assets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-2968625</wp:posOffset>
            </wp:positionH>
            <wp:positionV relativeFrom="paragraph">
              <wp:posOffset>-557530</wp:posOffset>
            </wp:positionV>
            <wp:extent cx="7201535" cy="3238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88">
                      <a:extLst>
                        <a:ext uri="{28A0092B-C50C-407E-A947-70E740481C1C}"/>
                      </a:extLst>
                    </a:blip>
                    <a:srcRect/>
                    <a:stretch>
                      <a:fillRect/>
                    </a:stretch>
                  </pic:blipFill>
                  <pic:spPr bwMode="auto">
                    <a:xfrm>
                      <a:off x="0" y="0"/>
                      <a:ext cx="7201535" cy="32385"/>
                    </a:xfrm>
                    <a:prstGeom prst="rect">
                      <a:avLst/>
                    </a:prstGeom>
                    <a:noFill/>
                  </pic:spPr>
                </pic:pic>
              </a:graphicData>
            </a:graphic>
          </wp:anchor>
        </w:drawing>
        <w:drawing>
          <wp:anchor simplePos="0" relativeHeight="251657728" behindDoc="1" locked="0" layoutInCell="0" allowOverlap="1">
            <wp:simplePos x="0" y="0"/>
            <wp:positionH relativeFrom="column">
              <wp:posOffset>-2085340</wp:posOffset>
            </wp:positionH>
            <wp:positionV relativeFrom="paragraph">
              <wp:posOffset>-5715</wp:posOffset>
            </wp:positionV>
            <wp:extent cx="5422265" cy="13271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89">
                      <a:extLst>
                        <a:ext uri="{28A0092B-C50C-407E-A947-70E740481C1C}"/>
                      </a:extLst>
                    </a:blip>
                    <a:srcRect/>
                    <a:stretch>
                      <a:fillRect/>
                    </a:stretch>
                  </pic:blipFill>
                  <pic:spPr bwMode="auto">
                    <a:xfrm>
                      <a:off x="0" y="0"/>
                      <a:ext cx="5422265" cy="132715"/>
                    </a:xfrm>
                    <a:prstGeom prst="rect">
                      <a:avLst/>
                    </a:prstGeom>
                    <a:noFill/>
                  </pic:spPr>
                </pic:pic>
              </a:graphicData>
            </a:graphic>
          </wp:anchor>
        </w:drawing>
      </w:r>
    </w:p>
    <w:p>
      <w:pPr>
        <w:spacing w:after="0" w:line="270" w:lineRule="exact"/>
        <w:rPr>
          <w:sz w:val="20"/>
          <w:szCs w:val="20"/>
          <w:color w:val="auto"/>
        </w:rPr>
      </w:pPr>
    </w:p>
    <w:tbl>
      <w:tblPr>
        <w:tblLayout w:type="fixed"/>
        <w:tblInd w:w="440" w:type="dxa"/>
        <w:tblCellMar>
          <w:top w:w="0" w:type="dxa"/>
          <w:left w:w="0" w:type="dxa"/>
          <w:bottom w:w="0" w:type="dxa"/>
          <w:right w:w="0" w:type="dxa"/>
        </w:tblCellMar>
      </w:tblPr>
      <w:tr>
        <w:trPr>
          <w:trHeight w:val="125"/>
        </w:trPr>
        <w:tc>
          <w:tcPr>
            <w:tcW w:w="1220" w:type="dxa"/>
            <w:vAlign w:val="bottom"/>
          </w:tcPr>
          <w:p>
            <w:pPr>
              <w:jc w:val="right"/>
              <w:ind w:right="970"/>
              <w:spacing w:after="0"/>
              <w:rPr>
                <w:sz w:val="20"/>
                <w:szCs w:val="20"/>
                <w:color w:val="auto"/>
              </w:rPr>
            </w:pPr>
            <w:r>
              <w:rPr>
                <w:rFonts w:ascii="Times New Roman" w:cs="Times New Roman" w:eastAsia="Times New Roman" w:hAnsi="Times New Roman"/>
                <w:sz w:val="10"/>
                <w:szCs w:val="10"/>
                <w:color w:val="auto"/>
                <w:w w:val="86"/>
              </w:rPr>
              <w:t>1.5%</w:t>
            </w:r>
          </w:p>
        </w:tc>
        <w:tc>
          <w:tcPr>
            <w:tcW w:w="680" w:type="dxa"/>
            <w:vAlign w:val="bottom"/>
          </w:tcPr>
          <w:p>
            <w:pPr>
              <w:spacing w:after="0"/>
              <w:rPr>
                <w:sz w:val="10"/>
                <w:szCs w:val="10"/>
                <w:color w:val="auto"/>
              </w:rPr>
            </w:pPr>
          </w:p>
        </w:tc>
        <w:tc>
          <w:tcPr>
            <w:tcW w:w="58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6/20/2018</w:t>
            </w:r>
          </w:p>
        </w:tc>
        <w:tc>
          <w:tcPr>
            <w:tcW w:w="6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0" w:type="dxa"/>
            <w:vAlign w:val="bottom"/>
            <w:gridSpan w:val="3"/>
          </w:tcPr>
          <w:p>
            <w:pPr>
              <w:ind w:left="160"/>
              <w:spacing w:after="0"/>
              <w:rPr>
                <w:sz w:val="20"/>
                <w:szCs w:val="20"/>
                <w:color w:val="auto"/>
              </w:rPr>
            </w:pPr>
            <w:r>
              <w:rPr>
                <w:rFonts w:ascii="Times New Roman" w:cs="Times New Roman" w:eastAsia="Times New Roman" w:hAnsi="Times New Roman"/>
                <w:sz w:val="10"/>
                <w:szCs w:val="10"/>
                <w:color w:val="auto"/>
              </w:rPr>
              <w:t>— </w:t>
            </w:r>
          </w:p>
        </w:tc>
        <w:tc>
          <w:tcPr>
            <w:tcW w:w="520" w:type="dxa"/>
            <w:vAlign w:val="bottom"/>
            <w:gridSpan w:val="2"/>
          </w:tcPr>
          <w:p>
            <w:pPr>
              <w:ind w:left="180"/>
              <w:spacing w:after="0"/>
              <w:rPr>
                <w:sz w:val="20"/>
                <w:szCs w:val="20"/>
                <w:color w:val="auto"/>
              </w:rPr>
            </w:pPr>
            <w:r>
              <w:rPr>
                <w:rFonts w:ascii="Times New Roman" w:cs="Times New Roman" w:eastAsia="Times New Roman" w:hAnsi="Times New Roman"/>
                <w:sz w:val="10"/>
                <w:szCs w:val="10"/>
                <w:color w:val="auto"/>
              </w:rPr>
              <w:t>— </w:t>
            </w:r>
          </w:p>
        </w:tc>
        <w:tc>
          <w:tcPr>
            <w:tcW w:w="3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0%</w:t>
            </w:r>
          </w:p>
        </w:tc>
      </w:tr>
      <w:tr>
        <w:trPr>
          <w:trHeight w:val="398"/>
        </w:trPr>
        <w:tc>
          <w:tcPr>
            <w:tcW w:w="1220" w:type="dxa"/>
            <w:vAlign w:val="bottom"/>
          </w:tcPr>
          <w:p>
            <w:pPr>
              <w:jc w:val="right"/>
              <w:ind w:right="10"/>
              <w:spacing w:after="0"/>
              <w:rPr>
                <w:sz w:val="20"/>
                <w:szCs w:val="20"/>
                <w:color w:val="auto"/>
              </w:rPr>
            </w:pPr>
            <w:r>
              <w:rPr>
                <w:rFonts w:ascii="Times New Roman" w:cs="Times New Roman" w:eastAsia="Times New Roman" w:hAnsi="Times New Roman"/>
                <w:sz w:val="10"/>
                <w:szCs w:val="10"/>
                <w:color w:val="auto"/>
              </w:rPr>
              <w:t>(S + 6.75%) / (2.00%)</w:t>
            </w:r>
          </w:p>
        </w:tc>
        <w:tc>
          <w:tcPr>
            <w:tcW w:w="68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10.42%/0.00%</w:t>
            </w:r>
          </w:p>
        </w:tc>
        <w:tc>
          <w:tcPr>
            <w:tcW w:w="58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1/12/2026</w:t>
            </w:r>
          </w:p>
        </w:tc>
        <w:tc>
          <w:tcPr>
            <w:tcW w:w="600" w:type="dxa"/>
            <w:vAlign w:val="bottom"/>
          </w:tcPr>
          <w:p>
            <w:pPr>
              <w:jc w:val="right"/>
              <w:ind w:right="31"/>
              <w:spacing w:after="0"/>
              <w:rPr>
                <w:sz w:val="20"/>
                <w:szCs w:val="20"/>
                <w:color w:val="auto"/>
              </w:rPr>
            </w:pPr>
            <w:r>
              <w:rPr>
                <w:rFonts w:ascii="Times New Roman" w:cs="Times New Roman" w:eastAsia="Times New Roman" w:hAnsi="Times New Roman"/>
                <w:sz w:val="10"/>
                <w:szCs w:val="10"/>
                <w:color w:val="auto"/>
              </w:rPr>
              <w:t>9/20/2028</w:t>
            </w:r>
          </w:p>
        </w:tc>
        <w:tc>
          <w:tcPr>
            <w:tcW w:w="44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35,808</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0"/>
                <w:szCs w:val="10"/>
                <w:color w:val="auto"/>
              </w:rPr>
              <w:t>35,693</w:t>
            </w:r>
          </w:p>
        </w:tc>
        <w:tc>
          <w:tcPr>
            <w:tcW w:w="80" w:type="dxa"/>
            <w:vAlign w:val="bottom"/>
          </w:tcPr>
          <w:p>
            <w:pPr>
              <w:spacing w:after="0"/>
              <w:rPr>
                <w:sz w:val="24"/>
                <w:szCs w:val="24"/>
                <w:color w:val="auto"/>
              </w:rPr>
            </w:pPr>
          </w:p>
        </w:tc>
        <w:tc>
          <w:tcPr>
            <w:tcW w:w="520" w:type="dxa"/>
            <w:vAlign w:val="bottom"/>
            <w:gridSpan w:val="2"/>
          </w:tcPr>
          <w:p>
            <w:pPr>
              <w:jc w:val="right"/>
              <w:ind w:right="200"/>
              <w:spacing w:after="0"/>
              <w:rPr>
                <w:sz w:val="20"/>
                <w:szCs w:val="20"/>
                <w:color w:val="auto"/>
              </w:rPr>
            </w:pPr>
            <w:r>
              <w:rPr>
                <w:rFonts w:ascii="Times New Roman" w:cs="Times New Roman" w:eastAsia="Times New Roman" w:hAnsi="Times New Roman"/>
                <w:sz w:val="10"/>
                <w:szCs w:val="10"/>
                <w:color w:val="auto"/>
              </w:rPr>
              <w:t>35,808</w:t>
            </w:r>
          </w:p>
        </w:tc>
        <w:tc>
          <w:tcPr>
            <w:tcW w:w="340" w:type="dxa"/>
            <w:vAlign w:val="bottom"/>
          </w:tcPr>
          <w:p>
            <w:pPr>
              <w:spacing w:after="0"/>
              <w:rPr>
                <w:sz w:val="24"/>
                <w:szCs w:val="24"/>
                <w:color w:val="auto"/>
              </w:rPr>
            </w:pPr>
          </w:p>
        </w:tc>
      </w:tr>
      <w:tr>
        <w:trPr>
          <w:trHeight w:val="209"/>
        </w:trPr>
        <w:tc>
          <w:tcPr>
            <w:tcW w:w="1220" w:type="dxa"/>
            <w:vAlign w:val="bottom"/>
          </w:tcPr>
          <w:p>
            <w:pPr>
              <w:jc w:val="right"/>
              <w:ind w:right="970"/>
              <w:spacing w:after="0"/>
              <w:rPr>
                <w:sz w:val="20"/>
                <w:szCs w:val="20"/>
                <w:color w:val="auto"/>
              </w:rPr>
            </w:pPr>
            <w:r>
              <w:rPr>
                <w:rFonts w:ascii="Times New Roman" w:cs="Times New Roman" w:eastAsia="Times New Roman" w:hAnsi="Times New Roman"/>
                <w:sz w:val="10"/>
                <w:szCs w:val="10"/>
                <w:color w:val="auto"/>
                <w:w w:val="86"/>
              </w:rPr>
              <w:t>0.0%</w:t>
            </w:r>
          </w:p>
        </w:tc>
        <w:tc>
          <w:tcPr>
            <w:tcW w:w="680" w:type="dxa"/>
            <w:vAlign w:val="bottom"/>
          </w:tcPr>
          <w:p>
            <w:pPr>
              <w:spacing w:after="0"/>
              <w:rPr>
                <w:sz w:val="18"/>
                <w:szCs w:val="18"/>
                <w:color w:val="auto"/>
              </w:rPr>
            </w:pPr>
          </w:p>
        </w:tc>
        <w:tc>
          <w:tcPr>
            <w:tcW w:w="58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9/20/2024</w:t>
            </w: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0"/>
                <w:szCs w:val="10"/>
                <w:color w:val="auto"/>
              </w:rPr>
              <w:t>179</w:t>
            </w:r>
          </w:p>
        </w:tc>
        <w:tc>
          <w:tcPr>
            <w:tcW w:w="80" w:type="dxa"/>
            <w:vAlign w:val="bottom"/>
          </w:tcPr>
          <w:p>
            <w:pPr>
              <w:spacing w:after="0"/>
              <w:rPr>
                <w:sz w:val="18"/>
                <w:szCs w:val="18"/>
                <w:color w:val="auto"/>
              </w:rPr>
            </w:pPr>
          </w:p>
        </w:tc>
        <w:tc>
          <w:tcPr>
            <w:tcW w:w="520" w:type="dxa"/>
            <w:vAlign w:val="bottom"/>
            <w:gridSpan w:val="2"/>
          </w:tcPr>
          <w:p>
            <w:pPr>
              <w:jc w:val="right"/>
              <w:ind w:right="200"/>
              <w:spacing w:after="0"/>
              <w:rPr>
                <w:sz w:val="20"/>
                <w:szCs w:val="20"/>
                <w:color w:val="auto"/>
              </w:rPr>
            </w:pPr>
            <w:r>
              <w:rPr>
                <w:rFonts w:ascii="Times New Roman" w:cs="Times New Roman" w:eastAsia="Times New Roman" w:hAnsi="Times New Roman"/>
                <w:sz w:val="10"/>
                <w:szCs w:val="10"/>
                <w:color w:val="auto"/>
              </w:rPr>
              <w:t>220</w:t>
            </w:r>
          </w:p>
        </w:tc>
        <w:tc>
          <w:tcPr>
            <w:tcW w:w="340" w:type="dxa"/>
            <w:vAlign w:val="bottom"/>
          </w:tcPr>
          <w:p>
            <w:pPr>
              <w:spacing w:after="0"/>
              <w:rPr>
                <w:sz w:val="18"/>
                <w:szCs w:val="18"/>
                <w:color w:val="auto"/>
              </w:rPr>
            </w:pPr>
          </w:p>
        </w:tc>
      </w:tr>
      <w:tr>
        <w:trPr>
          <w:trHeight w:val="202"/>
        </w:trPr>
        <w:tc>
          <w:tcPr>
            <w:tcW w:w="1220" w:type="dxa"/>
            <w:vAlign w:val="bottom"/>
          </w:tcPr>
          <w:p>
            <w:pPr>
              <w:jc w:val="right"/>
              <w:ind w:right="970"/>
              <w:spacing w:after="0"/>
              <w:rPr>
                <w:sz w:val="20"/>
                <w:szCs w:val="20"/>
                <w:color w:val="auto"/>
              </w:rPr>
            </w:pPr>
            <w:r>
              <w:rPr>
                <w:rFonts w:ascii="Times New Roman" w:cs="Times New Roman" w:eastAsia="Times New Roman" w:hAnsi="Times New Roman"/>
                <w:sz w:val="10"/>
                <w:szCs w:val="10"/>
                <w:color w:val="auto"/>
                <w:w w:val="86"/>
              </w:rPr>
              <w:t>0.3%</w:t>
            </w:r>
          </w:p>
        </w:tc>
        <w:tc>
          <w:tcPr>
            <w:tcW w:w="680" w:type="dxa"/>
            <w:vAlign w:val="bottom"/>
          </w:tcPr>
          <w:p>
            <w:pPr>
              <w:spacing w:after="0"/>
              <w:rPr>
                <w:sz w:val="17"/>
                <w:szCs w:val="17"/>
                <w:color w:val="auto"/>
              </w:rPr>
            </w:pPr>
          </w:p>
        </w:tc>
        <w:tc>
          <w:tcPr>
            <w:tcW w:w="58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9/20/2024</w:t>
            </w:r>
          </w:p>
        </w:tc>
        <w:tc>
          <w:tcPr>
            <w:tcW w:w="6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0" w:type="dxa"/>
            <w:vAlign w:val="bottom"/>
            <w:gridSpan w:val="3"/>
          </w:tcPr>
          <w:p>
            <w:pPr>
              <w:ind w:left="160"/>
              <w:spacing w:after="0"/>
              <w:rPr>
                <w:sz w:val="20"/>
                <w:szCs w:val="20"/>
                <w:color w:val="auto"/>
              </w:rPr>
            </w:pPr>
            <w:r>
              <w:rPr>
                <w:rFonts w:ascii="Times New Roman" w:cs="Times New Roman" w:eastAsia="Times New Roman" w:hAnsi="Times New Roman"/>
                <w:sz w:val="10"/>
                <w:szCs w:val="10"/>
                <w:color w:val="auto"/>
              </w:rPr>
              <w:t>— </w:t>
            </w:r>
          </w:p>
        </w:tc>
        <w:tc>
          <w:tcPr>
            <w:tcW w:w="520" w:type="dxa"/>
            <w:vAlign w:val="bottom"/>
            <w:gridSpan w:val="2"/>
          </w:tcPr>
          <w:p>
            <w:pPr>
              <w:ind w:left="180"/>
              <w:spacing w:after="0"/>
              <w:rPr>
                <w:sz w:val="20"/>
                <w:szCs w:val="20"/>
                <w:color w:val="auto"/>
              </w:rPr>
            </w:pPr>
            <w:r>
              <w:rPr>
                <w:rFonts w:ascii="Times New Roman" w:cs="Times New Roman" w:eastAsia="Times New Roman" w:hAnsi="Times New Roman"/>
                <w:sz w:val="10"/>
                <w:szCs w:val="10"/>
                <w:color w:val="auto"/>
              </w:rPr>
              <w:t>— </w:t>
            </w:r>
          </w:p>
        </w:tc>
        <w:tc>
          <w:tcPr>
            <w:tcW w:w="340" w:type="dxa"/>
            <w:vAlign w:val="bottom"/>
          </w:tcPr>
          <w:p>
            <w:pPr>
              <w:spacing w:after="0"/>
              <w:rPr>
                <w:sz w:val="17"/>
                <w:szCs w:val="17"/>
                <w:color w:val="auto"/>
              </w:rPr>
            </w:pPr>
          </w:p>
        </w:tc>
      </w:tr>
      <w:tr>
        <w:trPr>
          <w:trHeight w:val="115"/>
        </w:trPr>
        <w:tc>
          <w:tcPr>
            <w:tcW w:w="1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35,872</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36,028</w:t>
            </w:r>
          </w:p>
        </w:tc>
        <w:tc>
          <w:tcPr>
            <w:tcW w:w="200" w:type="dxa"/>
            <w:vAlign w:val="bottom"/>
          </w:tcPr>
          <w:p>
            <w:pPr>
              <w:spacing w:after="0"/>
              <w:rPr>
                <w:sz w:val="10"/>
                <w:szCs w:val="10"/>
                <w:color w:val="auto"/>
              </w:rPr>
            </w:pPr>
          </w:p>
        </w:tc>
        <w:tc>
          <w:tcPr>
            <w:tcW w:w="34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5%</w:t>
            </w:r>
          </w:p>
        </w:tc>
      </w:tr>
      <w:tr>
        <w:trPr>
          <w:trHeight w:val="416"/>
        </w:trPr>
        <w:tc>
          <w:tcPr>
            <w:tcW w:w="1220" w:type="dxa"/>
            <w:vAlign w:val="bottom"/>
          </w:tcPr>
          <w:p>
            <w:pPr>
              <w:jc w:val="right"/>
              <w:ind w:right="10"/>
              <w:spacing w:after="0"/>
              <w:rPr>
                <w:sz w:val="20"/>
                <w:szCs w:val="20"/>
                <w:color w:val="auto"/>
              </w:rPr>
            </w:pPr>
            <w:r>
              <w:rPr>
                <w:rFonts w:ascii="Times New Roman" w:cs="Times New Roman" w:eastAsia="Times New Roman" w:hAnsi="Times New Roman"/>
                <w:sz w:val="10"/>
                <w:szCs w:val="10"/>
                <w:color w:val="auto"/>
              </w:rPr>
              <w:t>(S + 4.88%) / (2.00%)</w:t>
            </w:r>
          </w:p>
        </w:tc>
        <w:tc>
          <w:tcPr>
            <w:tcW w:w="68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8.56%/0.00%</w:t>
            </w:r>
          </w:p>
        </w:tc>
        <w:tc>
          <w:tcPr>
            <w:tcW w:w="58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3/31/2025</w:t>
            </w:r>
          </w:p>
        </w:tc>
        <w:tc>
          <w:tcPr>
            <w:tcW w:w="600" w:type="dxa"/>
            <w:vAlign w:val="bottom"/>
          </w:tcPr>
          <w:p>
            <w:pPr>
              <w:jc w:val="right"/>
              <w:ind w:right="31"/>
              <w:spacing w:after="0"/>
              <w:rPr>
                <w:sz w:val="20"/>
                <w:szCs w:val="20"/>
                <w:color w:val="auto"/>
              </w:rPr>
            </w:pPr>
            <w:r>
              <w:rPr>
                <w:rFonts w:ascii="Times New Roman" w:cs="Times New Roman" w:eastAsia="Times New Roman" w:hAnsi="Times New Roman"/>
                <w:sz w:val="10"/>
                <w:szCs w:val="10"/>
                <w:color w:val="auto"/>
              </w:rPr>
              <w:t>3/31/2030</w:t>
            </w:r>
          </w:p>
        </w:tc>
        <w:tc>
          <w:tcPr>
            <w:tcW w:w="44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18,000</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0"/>
                <w:szCs w:val="10"/>
                <w:color w:val="auto"/>
              </w:rPr>
              <w:t>17,888</w:t>
            </w:r>
          </w:p>
        </w:tc>
        <w:tc>
          <w:tcPr>
            <w:tcW w:w="80" w:type="dxa"/>
            <w:vAlign w:val="bottom"/>
          </w:tcPr>
          <w:p>
            <w:pPr>
              <w:spacing w:after="0"/>
              <w:rPr>
                <w:sz w:val="24"/>
                <w:szCs w:val="24"/>
                <w:color w:val="auto"/>
              </w:rPr>
            </w:pPr>
          </w:p>
        </w:tc>
        <w:tc>
          <w:tcPr>
            <w:tcW w:w="520" w:type="dxa"/>
            <w:vAlign w:val="bottom"/>
            <w:gridSpan w:val="2"/>
          </w:tcPr>
          <w:p>
            <w:pPr>
              <w:jc w:val="right"/>
              <w:ind w:right="200"/>
              <w:spacing w:after="0"/>
              <w:rPr>
                <w:sz w:val="20"/>
                <w:szCs w:val="20"/>
                <w:color w:val="auto"/>
              </w:rPr>
            </w:pPr>
            <w:r>
              <w:rPr>
                <w:rFonts w:ascii="Times New Roman" w:cs="Times New Roman" w:eastAsia="Times New Roman" w:hAnsi="Times New Roman"/>
                <w:sz w:val="10"/>
                <w:szCs w:val="10"/>
                <w:color w:val="auto"/>
              </w:rPr>
              <w:t>18,000</w:t>
            </w:r>
          </w:p>
        </w:tc>
        <w:tc>
          <w:tcPr>
            <w:tcW w:w="3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w:t>
            </w:r>
          </w:p>
        </w:tc>
      </w:tr>
      <w:tr>
        <w:trPr>
          <w:trHeight w:val="502"/>
        </w:trPr>
        <w:tc>
          <w:tcPr>
            <w:tcW w:w="1220" w:type="dxa"/>
            <w:vAlign w:val="bottom"/>
          </w:tcPr>
          <w:p>
            <w:pPr>
              <w:jc w:val="right"/>
              <w:ind w:right="10"/>
              <w:spacing w:after="0"/>
              <w:rPr>
                <w:sz w:val="20"/>
                <w:szCs w:val="20"/>
                <w:color w:val="auto"/>
              </w:rPr>
            </w:pPr>
            <w:r>
              <w:rPr>
                <w:rFonts w:ascii="Times New Roman" w:cs="Times New Roman" w:eastAsia="Times New Roman" w:hAnsi="Times New Roman"/>
                <w:sz w:val="10"/>
                <w:szCs w:val="10"/>
                <w:color w:val="auto"/>
              </w:rPr>
              <w:t>(S + 7.00%) / (2.50%)</w:t>
            </w:r>
          </w:p>
        </w:tc>
        <w:tc>
          <w:tcPr>
            <w:tcW w:w="68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10.66%/0.00%</w:t>
            </w:r>
          </w:p>
        </w:tc>
        <w:tc>
          <w:tcPr>
            <w:tcW w:w="58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5/1/2024</w:t>
            </w:r>
          </w:p>
        </w:tc>
        <w:tc>
          <w:tcPr>
            <w:tcW w:w="600" w:type="dxa"/>
            <w:vAlign w:val="bottom"/>
          </w:tcPr>
          <w:p>
            <w:pPr>
              <w:jc w:val="right"/>
              <w:ind w:right="31"/>
              <w:spacing w:after="0"/>
              <w:rPr>
                <w:sz w:val="20"/>
                <w:szCs w:val="20"/>
                <w:color w:val="auto"/>
              </w:rPr>
            </w:pPr>
            <w:r>
              <w:rPr>
                <w:rFonts w:ascii="Times New Roman" w:cs="Times New Roman" w:eastAsia="Times New Roman" w:hAnsi="Times New Roman"/>
                <w:sz w:val="10"/>
                <w:szCs w:val="10"/>
                <w:color w:val="auto"/>
              </w:rPr>
              <w:t>3/7/2029</w:t>
            </w:r>
          </w:p>
        </w:tc>
        <w:tc>
          <w:tcPr>
            <w:tcW w:w="44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9,000</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0"/>
                <w:szCs w:val="10"/>
                <w:color w:val="auto"/>
              </w:rPr>
              <w:t>8,990</w:t>
            </w:r>
          </w:p>
        </w:tc>
        <w:tc>
          <w:tcPr>
            <w:tcW w:w="80" w:type="dxa"/>
            <w:vAlign w:val="bottom"/>
          </w:tcPr>
          <w:p>
            <w:pPr>
              <w:spacing w:after="0"/>
              <w:rPr>
                <w:sz w:val="24"/>
                <w:szCs w:val="24"/>
                <w:color w:val="auto"/>
              </w:rPr>
            </w:pPr>
          </w:p>
        </w:tc>
        <w:tc>
          <w:tcPr>
            <w:tcW w:w="520" w:type="dxa"/>
            <w:vAlign w:val="bottom"/>
            <w:gridSpan w:val="2"/>
          </w:tcPr>
          <w:p>
            <w:pPr>
              <w:jc w:val="right"/>
              <w:ind w:right="200"/>
              <w:spacing w:after="0"/>
              <w:rPr>
                <w:sz w:val="20"/>
                <w:szCs w:val="20"/>
                <w:color w:val="auto"/>
              </w:rPr>
            </w:pPr>
            <w:r>
              <w:rPr>
                <w:rFonts w:ascii="Times New Roman" w:cs="Times New Roman" w:eastAsia="Times New Roman" w:hAnsi="Times New Roman"/>
                <w:sz w:val="10"/>
                <w:szCs w:val="10"/>
                <w:color w:val="auto"/>
              </w:rPr>
              <w:t>9,000</w:t>
            </w:r>
          </w:p>
        </w:tc>
        <w:tc>
          <w:tcPr>
            <w:tcW w:w="340" w:type="dxa"/>
            <w:vAlign w:val="bottom"/>
          </w:tcPr>
          <w:p>
            <w:pPr>
              <w:spacing w:after="0"/>
              <w:rPr>
                <w:sz w:val="24"/>
                <w:szCs w:val="24"/>
                <w:color w:val="auto"/>
              </w:rPr>
            </w:pPr>
          </w:p>
        </w:tc>
      </w:tr>
      <w:tr>
        <w:trPr>
          <w:trHeight w:val="202"/>
        </w:trPr>
        <w:tc>
          <w:tcPr>
            <w:tcW w:w="1220" w:type="dxa"/>
            <w:vAlign w:val="bottom"/>
          </w:tcPr>
          <w:p>
            <w:pPr>
              <w:jc w:val="right"/>
              <w:ind w:right="970"/>
              <w:spacing w:after="0"/>
              <w:rPr>
                <w:sz w:val="20"/>
                <w:szCs w:val="20"/>
                <w:color w:val="auto"/>
              </w:rPr>
            </w:pPr>
            <w:r>
              <w:rPr>
                <w:rFonts w:ascii="Times New Roman" w:cs="Times New Roman" w:eastAsia="Times New Roman" w:hAnsi="Times New Roman"/>
                <w:sz w:val="10"/>
                <w:szCs w:val="10"/>
                <w:color w:val="auto"/>
                <w:w w:val="86"/>
              </w:rPr>
              <w:t>3.8%</w:t>
            </w:r>
          </w:p>
        </w:tc>
        <w:tc>
          <w:tcPr>
            <w:tcW w:w="680" w:type="dxa"/>
            <w:vAlign w:val="bottom"/>
          </w:tcPr>
          <w:p>
            <w:pPr>
              <w:spacing w:after="0"/>
              <w:rPr>
                <w:sz w:val="17"/>
                <w:szCs w:val="17"/>
                <w:color w:val="auto"/>
              </w:rPr>
            </w:pPr>
          </w:p>
        </w:tc>
        <w:tc>
          <w:tcPr>
            <w:tcW w:w="58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3/7/2024</w:t>
            </w:r>
          </w:p>
        </w:tc>
        <w:tc>
          <w:tcPr>
            <w:tcW w:w="6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0"/>
                <w:szCs w:val="10"/>
                <w:color w:val="auto"/>
              </w:rPr>
              <w:t>1,000</w:t>
            </w:r>
          </w:p>
        </w:tc>
        <w:tc>
          <w:tcPr>
            <w:tcW w:w="80" w:type="dxa"/>
            <w:vAlign w:val="bottom"/>
          </w:tcPr>
          <w:p>
            <w:pPr>
              <w:spacing w:after="0"/>
              <w:rPr>
                <w:sz w:val="17"/>
                <w:szCs w:val="17"/>
                <w:color w:val="auto"/>
              </w:rPr>
            </w:pPr>
          </w:p>
        </w:tc>
        <w:tc>
          <w:tcPr>
            <w:tcW w:w="520" w:type="dxa"/>
            <w:vAlign w:val="bottom"/>
            <w:gridSpan w:val="2"/>
          </w:tcPr>
          <w:p>
            <w:pPr>
              <w:jc w:val="right"/>
              <w:ind w:right="200"/>
              <w:spacing w:after="0"/>
              <w:rPr>
                <w:sz w:val="20"/>
                <w:szCs w:val="20"/>
                <w:color w:val="auto"/>
              </w:rPr>
            </w:pPr>
            <w:r>
              <w:rPr>
                <w:rFonts w:ascii="Times New Roman" w:cs="Times New Roman" w:eastAsia="Times New Roman" w:hAnsi="Times New Roman"/>
                <w:sz w:val="10"/>
                <w:szCs w:val="10"/>
                <w:color w:val="auto"/>
              </w:rPr>
              <w:t>416</w:t>
            </w:r>
          </w:p>
        </w:tc>
        <w:tc>
          <w:tcPr>
            <w:tcW w:w="340" w:type="dxa"/>
            <w:vAlign w:val="bottom"/>
          </w:tcPr>
          <w:p>
            <w:pPr>
              <w:spacing w:after="0"/>
              <w:rPr>
                <w:sz w:val="17"/>
                <w:szCs w:val="17"/>
                <w:color w:val="auto"/>
              </w:rPr>
            </w:pPr>
          </w:p>
        </w:tc>
      </w:tr>
      <w:tr>
        <w:trPr>
          <w:trHeight w:val="115"/>
        </w:trPr>
        <w:tc>
          <w:tcPr>
            <w:tcW w:w="1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2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0"/>
                <w:szCs w:val="10"/>
                <w:color w:val="auto"/>
              </w:rPr>
              <w:t>9,990</w:t>
            </w:r>
          </w:p>
        </w:tc>
        <w:tc>
          <w:tcPr>
            <w:tcW w:w="80" w:type="dxa"/>
            <w:vAlign w:val="bottom"/>
          </w:tcPr>
          <w:p>
            <w:pPr>
              <w:spacing w:after="0"/>
              <w:rPr>
                <w:sz w:val="10"/>
                <w:szCs w:val="10"/>
                <w:color w:val="auto"/>
              </w:rPr>
            </w:pPr>
          </w:p>
        </w:tc>
        <w:tc>
          <w:tcPr>
            <w:tcW w:w="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9,416</w:t>
            </w:r>
          </w:p>
        </w:tc>
        <w:tc>
          <w:tcPr>
            <w:tcW w:w="200" w:type="dxa"/>
            <w:vAlign w:val="bottom"/>
          </w:tcPr>
          <w:p>
            <w:pPr>
              <w:spacing w:after="0"/>
              <w:rPr>
                <w:sz w:val="10"/>
                <w:szCs w:val="10"/>
                <w:color w:val="auto"/>
              </w:rPr>
            </w:pPr>
          </w:p>
        </w:tc>
        <w:tc>
          <w:tcPr>
            <w:tcW w:w="34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w:t>
            </w:r>
          </w:p>
        </w:tc>
      </w:tr>
      <w:tr>
        <w:trPr>
          <w:trHeight w:val="395"/>
        </w:trPr>
        <w:tc>
          <w:tcPr>
            <w:tcW w:w="1220" w:type="dxa"/>
            <w:vAlign w:val="bottom"/>
          </w:tcPr>
          <w:p>
            <w:pPr>
              <w:jc w:val="right"/>
              <w:ind w:right="10"/>
              <w:spacing w:after="0"/>
              <w:rPr>
                <w:sz w:val="20"/>
                <w:szCs w:val="20"/>
                <w:color w:val="auto"/>
              </w:rPr>
            </w:pPr>
            <w:r>
              <w:rPr>
                <w:rFonts w:ascii="Times New Roman" w:cs="Times New Roman" w:eastAsia="Times New Roman" w:hAnsi="Times New Roman"/>
                <w:sz w:val="10"/>
                <w:szCs w:val="10"/>
                <w:color w:val="auto"/>
              </w:rPr>
              <w:t>(S + 7.50%) / (0.50%)</w:t>
            </w:r>
          </w:p>
        </w:tc>
        <w:tc>
          <w:tcPr>
            <w:tcW w:w="68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11.35%/0.00%</w:t>
            </w:r>
          </w:p>
        </w:tc>
        <w:tc>
          <w:tcPr>
            <w:tcW w:w="58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4/5/2021</w:t>
            </w:r>
          </w:p>
        </w:tc>
        <w:tc>
          <w:tcPr>
            <w:tcW w:w="600" w:type="dxa"/>
            <w:vAlign w:val="bottom"/>
          </w:tcPr>
          <w:p>
            <w:pPr>
              <w:jc w:val="right"/>
              <w:ind w:right="31"/>
              <w:spacing w:after="0"/>
              <w:rPr>
                <w:sz w:val="20"/>
                <w:szCs w:val="20"/>
                <w:color w:val="auto"/>
              </w:rPr>
            </w:pPr>
            <w:r>
              <w:rPr>
                <w:rFonts w:ascii="Times New Roman" w:cs="Times New Roman" w:eastAsia="Times New Roman" w:hAnsi="Times New Roman"/>
                <w:sz w:val="10"/>
                <w:szCs w:val="10"/>
                <w:color w:val="auto"/>
              </w:rPr>
              <w:t>4/5/2026</w:t>
            </w:r>
          </w:p>
        </w:tc>
        <w:tc>
          <w:tcPr>
            <w:tcW w:w="44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9,465</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0"/>
                <w:szCs w:val="10"/>
                <w:color w:val="auto"/>
              </w:rPr>
              <w:t>9,465</w:t>
            </w:r>
          </w:p>
        </w:tc>
        <w:tc>
          <w:tcPr>
            <w:tcW w:w="80" w:type="dxa"/>
            <w:vAlign w:val="bottom"/>
          </w:tcPr>
          <w:p>
            <w:pPr>
              <w:spacing w:after="0"/>
              <w:rPr>
                <w:sz w:val="24"/>
                <w:szCs w:val="24"/>
                <w:color w:val="auto"/>
              </w:rPr>
            </w:pPr>
          </w:p>
        </w:tc>
        <w:tc>
          <w:tcPr>
            <w:tcW w:w="520" w:type="dxa"/>
            <w:vAlign w:val="bottom"/>
            <w:gridSpan w:val="2"/>
          </w:tcPr>
          <w:p>
            <w:pPr>
              <w:jc w:val="right"/>
              <w:ind w:right="200"/>
              <w:spacing w:after="0"/>
              <w:rPr>
                <w:sz w:val="20"/>
                <w:szCs w:val="20"/>
                <w:color w:val="auto"/>
              </w:rPr>
            </w:pPr>
            <w:r>
              <w:rPr>
                <w:rFonts w:ascii="Times New Roman" w:cs="Times New Roman" w:eastAsia="Times New Roman" w:hAnsi="Times New Roman"/>
                <w:sz w:val="10"/>
                <w:szCs w:val="10"/>
                <w:color w:val="auto"/>
              </w:rPr>
              <w:t>9,465</w:t>
            </w:r>
          </w:p>
        </w:tc>
        <w:tc>
          <w:tcPr>
            <w:tcW w:w="340" w:type="dxa"/>
            <w:vAlign w:val="bottom"/>
          </w:tcPr>
          <w:p>
            <w:pPr>
              <w:spacing w:after="0"/>
              <w:rPr>
                <w:sz w:val="24"/>
                <w:szCs w:val="24"/>
                <w:color w:val="auto"/>
              </w:rPr>
            </w:pPr>
          </w:p>
        </w:tc>
      </w:tr>
      <w:tr>
        <w:trPr>
          <w:trHeight w:val="125"/>
        </w:trPr>
        <w:tc>
          <w:tcPr>
            <w:tcW w:w="1220" w:type="dxa"/>
            <w:vAlign w:val="bottom"/>
          </w:tcPr>
          <w:p>
            <w:pPr>
              <w:jc w:val="right"/>
              <w:ind w:right="10"/>
              <w:spacing w:after="0"/>
              <w:rPr>
                <w:sz w:val="20"/>
                <w:szCs w:val="20"/>
                <w:color w:val="auto"/>
              </w:rPr>
            </w:pPr>
            <w:r>
              <w:rPr>
                <w:rFonts w:ascii="Times New Roman" w:cs="Times New Roman" w:eastAsia="Times New Roman" w:hAnsi="Times New Roman"/>
                <w:sz w:val="10"/>
                <w:szCs w:val="10"/>
                <w:color w:val="auto"/>
              </w:rPr>
              <w:t>(S + 7.50%) / (0.50%)</w:t>
            </w:r>
          </w:p>
        </w:tc>
        <w:tc>
          <w:tcPr>
            <w:tcW w:w="68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7.85%/0.00%</w:t>
            </w:r>
          </w:p>
        </w:tc>
        <w:tc>
          <w:tcPr>
            <w:tcW w:w="58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6/30/2021</w:t>
            </w:r>
          </w:p>
        </w:tc>
        <w:tc>
          <w:tcPr>
            <w:tcW w:w="600" w:type="dxa"/>
            <w:vAlign w:val="bottom"/>
          </w:tcPr>
          <w:p>
            <w:pPr>
              <w:jc w:val="right"/>
              <w:ind w:right="31"/>
              <w:spacing w:after="0"/>
              <w:rPr>
                <w:sz w:val="20"/>
                <w:szCs w:val="20"/>
                <w:color w:val="auto"/>
              </w:rPr>
            </w:pPr>
            <w:r>
              <w:rPr>
                <w:rFonts w:ascii="Times New Roman" w:cs="Times New Roman" w:eastAsia="Times New Roman" w:hAnsi="Times New Roman"/>
                <w:sz w:val="10"/>
                <w:szCs w:val="10"/>
                <w:color w:val="auto"/>
              </w:rPr>
              <w:t>4/5/2026</w:t>
            </w:r>
          </w:p>
        </w:tc>
        <w:tc>
          <w:tcPr>
            <w:tcW w:w="44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9,813</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0"/>
                <w:szCs w:val="10"/>
                <w:color w:val="auto"/>
              </w:rPr>
              <w:t>9,813</w:t>
            </w:r>
          </w:p>
        </w:tc>
        <w:tc>
          <w:tcPr>
            <w:tcW w:w="80" w:type="dxa"/>
            <w:vAlign w:val="bottom"/>
          </w:tcPr>
          <w:p>
            <w:pPr>
              <w:spacing w:after="0"/>
              <w:rPr>
                <w:sz w:val="10"/>
                <w:szCs w:val="10"/>
                <w:color w:val="auto"/>
              </w:rPr>
            </w:pPr>
          </w:p>
        </w:tc>
        <w:tc>
          <w:tcPr>
            <w:tcW w:w="520" w:type="dxa"/>
            <w:vAlign w:val="bottom"/>
            <w:gridSpan w:val="2"/>
          </w:tcPr>
          <w:p>
            <w:pPr>
              <w:jc w:val="right"/>
              <w:ind w:right="200"/>
              <w:spacing w:after="0"/>
              <w:rPr>
                <w:sz w:val="20"/>
                <w:szCs w:val="20"/>
                <w:color w:val="auto"/>
              </w:rPr>
            </w:pPr>
            <w:r>
              <w:rPr>
                <w:rFonts w:ascii="Times New Roman" w:cs="Times New Roman" w:eastAsia="Times New Roman" w:hAnsi="Times New Roman"/>
                <w:sz w:val="10"/>
                <w:szCs w:val="10"/>
                <w:color w:val="auto"/>
              </w:rPr>
              <w:t>9,813</w:t>
            </w:r>
          </w:p>
        </w:tc>
        <w:tc>
          <w:tcPr>
            <w:tcW w:w="340" w:type="dxa"/>
            <w:vAlign w:val="bottom"/>
          </w:tcPr>
          <w:p>
            <w:pPr>
              <w:spacing w:after="0"/>
              <w:rPr>
                <w:sz w:val="10"/>
                <w:szCs w:val="10"/>
                <w:color w:val="auto"/>
              </w:rPr>
            </w:pPr>
          </w:p>
        </w:tc>
      </w:tr>
      <w:tr>
        <w:trPr>
          <w:trHeight w:val="202"/>
        </w:trPr>
        <w:tc>
          <w:tcPr>
            <w:tcW w:w="1220" w:type="dxa"/>
            <w:vAlign w:val="bottom"/>
          </w:tcPr>
          <w:p>
            <w:pPr>
              <w:jc w:val="right"/>
              <w:ind w:right="970"/>
              <w:spacing w:after="0"/>
              <w:rPr>
                <w:sz w:val="20"/>
                <w:szCs w:val="20"/>
                <w:color w:val="auto"/>
              </w:rPr>
            </w:pPr>
            <w:r>
              <w:rPr>
                <w:rFonts w:ascii="Times New Roman" w:cs="Times New Roman" w:eastAsia="Times New Roman" w:hAnsi="Times New Roman"/>
                <w:sz w:val="10"/>
                <w:szCs w:val="10"/>
                <w:color w:val="auto"/>
                <w:w w:val="86"/>
              </w:rPr>
              <w:t>1.1%</w:t>
            </w:r>
          </w:p>
        </w:tc>
        <w:tc>
          <w:tcPr>
            <w:tcW w:w="680" w:type="dxa"/>
            <w:vAlign w:val="bottom"/>
          </w:tcPr>
          <w:p>
            <w:pPr>
              <w:spacing w:after="0"/>
              <w:rPr>
                <w:sz w:val="17"/>
                <w:szCs w:val="17"/>
                <w:color w:val="auto"/>
              </w:rPr>
            </w:pPr>
          </w:p>
        </w:tc>
        <w:tc>
          <w:tcPr>
            <w:tcW w:w="58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4/5/2021</w:t>
            </w:r>
          </w:p>
        </w:tc>
        <w:tc>
          <w:tcPr>
            <w:tcW w:w="6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0"/>
                <w:szCs w:val="10"/>
                <w:color w:val="auto"/>
              </w:rPr>
              <w:t>500</w:t>
            </w:r>
          </w:p>
        </w:tc>
        <w:tc>
          <w:tcPr>
            <w:tcW w:w="80" w:type="dxa"/>
            <w:vAlign w:val="bottom"/>
          </w:tcPr>
          <w:p>
            <w:pPr>
              <w:spacing w:after="0"/>
              <w:rPr>
                <w:sz w:val="17"/>
                <w:szCs w:val="17"/>
                <w:color w:val="auto"/>
              </w:rPr>
            </w:pPr>
          </w:p>
        </w:tc>
        <w:tc>
          <w:tcPr>
            <w:tcW w:w="520" w:type="dxa"/>
            <w:vAlign w:val="bottom"/>
            <w:gridSpan w:val="2"/>
          </w:tcPr>
          <w:p>
            <w:pPr>
              <w:jc w:val="right"/>
              <w:ind w:right="200"/>
              <w:spacing w:after="0"/>
              <w:rPr>
                <w:sz w:val="20"/>
                <w:szCs w:val="20"/>
                <w:color w:val="auto"/>
              </w:rPr>
            </w:pPr>
            <w:r>
              <w:rPr>
                <w:rFonts w:ascii="Times New Roman" w:cs="Times New Roman" w:eastAsia="Times New Roman" w:hAnsi="Times New Roman"/>
                <w:sz w:val="10"/>
                <w:szCs w:val="10"/>
                <w:color w:val="auto"/>
              </w:rPr>
              <w:t>149</w:t>
            </w:r>
          </w:p>
        </w:tc>
        <w:tc>
          <w:tcPr>
            <w:tcW w:w="340" w:type="dxa"/>
            <w:vAlign w:val="bottom"/>
          </w:tcPr>
          <w:p>
            <w:pPr>
              <w:spacing w:after="0"/>
              <w:rPr>
                <w:sz w:val="17"/>
                <w:szCs w:val="17"/>
                <w:color w:val="auto"/>
              </w:rPr>
            </w:pPr>
          </w:p>
        </w:tc>
      </w:tr>
      <w:tr>
        <w:trPr>
          <w:trHeight w:val="115"/>
        </w:trPr>
        <w:tc>
          <w:tcPr>
            <w:tcW w:w="1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2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0"/>
                <w:szCs w:val="10"/>
                <w:color w:val="auto"/>
              </w:rPr>
              <w:t>19,778</w:t>
            </w:r>
          </w:p>
        </w:tc>
        <w:tc>
          <w:tcPr>
            <w:tcW w:w="80" w:type="dxa"/>
            <w:vAlign w:val="bottom"/>
          </w:tcPr>
          <w:p>
            <w:pPr>
              <w:spacing w:after="0"/>
              <w:rPr>
                <w:sz w:val="10"/>
                <w:szCs w:val="10"/>
                <w:color w:val="auto"/>
              </w:rPr>
            </w:pPr>
          </w:p>
        </w:tc>
        <w:tc>
          <w:tcPr>
            <w:tcW w:w="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19,427</w:t>
            </w:r>
          </w:p>
        </w:tc>
        <w:tc>
          <w:tcPr>
            <w:tcW w:w="200" w:type="dxa"/>
            <w:vAlign w:val="bottom"/>
          </w:tcPr>
          <w:p>
            <w:pPr>
              <w:spacing w:after="0"/>
              <w:rPr>
                <w:sz w:val="10"/>
                <w:szCs w:val="10"/>
                <w:color w:val="auto"/>
              </w:rPr>
            </w:pPr>
          </w:p>
        </w:tc>
        <w:tc>
          <w:tcPr>
            <w:tcW w:w="34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3%</w:t>
            </w:r>
          </w:p>
        </w:tc>
      </w:tr>
      <w:tr>
        <w:trPr>
          <w:trHeight w:val="416"/>
        </w:trPr>
        <w:tc>
          <w:tcPr>
            <w:tcW w:w="1220" w:type="dxa"/>
            <w:vAlign w:val="bottom"/>
          </w:tcPr>
          <w:p>
            <w:pPr>
              <w:jc w:val="right"/>
              <w:ind w:right="970"/>
              <w:spacing w:after="0"/>
              <w:rPr>
                <w:sz w:val="20"/>
                <w:szCs w:val="20"/>
                <w:color w:val="auto"/>
              </w:rPr>
            </w:pPr>
            <w:r>
              <w:rPr>
                <w:rFonts w:ascii="Times New Roman" w:cs="Times New Roman" w:eastAsia="Times New Roman" w:hAnsi="Times New Roman"/>
                <w:sz w:val="10"/>
                <w:szCs w:val="10"/>
                <w:color w:val="auto"/>
                <w:w w:val="86"/>
              </w:rPr>
              <w:t>0.6%</w:t>
            </w:r>
          </w:p>
        </w:tc>
        <w:tc>
          <w:tcPr>
            <w:tcW w:w="680" w:type="dxa"/>
            <w:vAlign w:val="bottom"/>
          </w:tcPr>
          <w:p>
            <w:pPr>
              <w:spacing w:after="0"/>
              <w:rPr>
                <w:sz w:val="24"/>
                <w:szCs w:val="24"/>
                <w:color w:val="auto"/>
              </w:rPr>
            </w:pPr>
          </w:p>
        </w:tc>
        <w:tc>
          <w:tcPr>
            <w:tcW w:w="58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1/3/2024</w:t>
            </w: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0"/>
                <w:szCs w:val="10"/>
                <w:color w:val="auto"/>
              </w:rPr>
              <w:t>1,500</w:t>
            </w:r>
          </w:p>
        </w:tc>
        <w:tc>
          <w:tcPr>
            <w:tcW w:w="80" w:type="dxa"/>
            <w:vAlign w:val="bottom"/>
          </w:tcPr>
          <w:p>
            <w:pPr>
              <w:spacing w:after="0"/>
              <w:rPr>
                <w:sz w:val="24"/>
                <w:szCs w:val="24"/>
                <w:color w:val="auto"/>
              </w:rPr>
            </w:pPr>
          </w:p>
        </w:tc>
        <w:tc>
          <w:tcPr>
            <w:tcW w:w="520" w:type="dxa"/>
            <w:vAlign w:val="bottom"/>
            <w:gridSpan w:val="2"/>
          </w:tcPr>
          <w:p>
            <w:pPr>
              <w:jc w:val="right"/>
              <w:ind w:right="200"/>
              <w:spacing w:after="0"/>
              <w:rPr>
                <w:sz w:val="20"/>
                <w:szCs w:val="20"/>
                <w:color w:val="auto"/>
              </w:rPr>
            </w:pPr>
            <w:r>
              <w:rPr>
                <w:rFonts w:ascii="Times New Roman" w:cs="Times New Roman" w:eastAsia="Times New Roman" w:hAnsi="Times New Roman"/>
                <w:sz w:val="10"/>
                <w:szCs w:val="10"/>
                <w:color w:val="auto"/>
              </w:rPr>
              <w:t>1,027</w:t>
            </w:r>
          </w:p>
        </w:tc>
        <w:tc>
          <w:tcPr>
            <w:tcW w:w="3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0%</w:t>
            </w:r>
          </w:p>
        </w:tc>
      </w:tr>
      <w:tr>
        <w:trPr>
          <w:trHeight w:val="293"/>
        </w:trPr>
        <w:tc>
          <w:tcPr>
            <w:tcW w:w="1220" w:type="dxa"/>
            <w:vAlign w:val="bottom"/>
          </w:tcPr>
          <w:p>
            <w:pPr>
              <w:jc w:val="right"/>
              <w:ind w:right="10"/>
              <w:spacing w:after="0"/>
              <w:rPr>
                <w:sz w:val="20"/>
                <w:szCs w:val="20"/>
                <w:color w:val="auto"/>
              </w:rPr>
            </w:pPr>
            <w:r>
              <w:rPr>
                <w:rFonts w:ascii="Times New Roman" w:cs="Times New Roman" w:eastAsia="Times New Roman" w:hAnsi="Times New Roman"/>
                <w:sz w:val="10"/>
                <w:szCs w:val="10"/>
                <w:color w:val="auto"/>
              </w:rPr>
              <w:t>(S + 5.50%) / (2.00%)</w:t>
            </w:r>
          </w:p>
        </w:tc>
        <w:tc>
          <w:tcPr>
            <w:tcW w:w="68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9.15%/0.00%</w:t>
            </w:r>
          </w:p>
        </w:tc>
        <w:tc>
          <w:tcPr>
            <w:tcW w:w="58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8/16/2024</w:t>
            </w:r>
          </w:p>
        </w:tc>
        <w:tc>
          <w:tcPr>
            <w:tcW w:w="600" w:type="dxa"/>
            <w:vAlign w:val="bottom"/>
          </w:tcPr>
          <w:p>
            <w:pPr>
              <w:jc w:val="right"/>
              <w:ind w:right="31"/>
              <w:spacing w:after="0"/>
              <w:rPr>
                <w:sz w:val="20"/>
                <w:szCs w:val="20"/>
                <w:color w:val="auto"/>
              </w:rPr>
            </w:pPr>
            <w:r>
              <w:rPr>
                <w:rFonts w:ascii="Times New Roman" w:cs="Times New Roman" w:eastAsia="Times New Roman" w:hAnsi="Times New Roman"/>
                <w:sz w:val="10"/>
                <w:szCs w:val="10"/>
                <w:color w:val="auto"/>
              </w:rPr>
              <w:t>8/16/2029</w:t>
            </w:r>
          </w:p>
        </w:tc>
        <w:tc>
          <w:tcPr>
            <w:tcW w:w="44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5,541</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0"/>
                <w:szCs w:val="10"/>
                <w:color w:val="auto"/>
              </w:rPr>
              <w:t>5,492</w:t>
            </w:r>
          </w:p>
        </w:tc>
        <w:tc>
          <w:tcPr>
            <w:tcW w:w="80" w:type="dxa"/>
            <w:vAlign w:val="bottom"/>
          </w:tcPr>
          <w:p>
            <w:pPr>
              <w:spacing w:after="0"/>
              <w:rPr>
                <w:sz w:val="24"/>
                <w:szCs w:val="24"/>
                <w:color w:val="auto"/>
              </w:rPr>
            </w:pPr>
          </w:p>
        </w:tc>
        <w:tc>
          <w:tcPr>
            <w:tcW w:w="520" w:type="dxa"/>
            <w:vAlign w:val="bottom"/>
            <w:gridSpan w:val="2"/>
          </w:tcPr>
          <w:p>
            <w:pPr>
              <w:jc w:val="right"/>
              <w:ind w:right="200"/>
              <w:spacing w:after="0"/>
              <w:rPr>
                <w:sz w:val="20"/>
                <w:szCs w:val="20"/>
                <w:color w:val="auto"/>
              </w:rPr>
            </w:pPr>
            <w:r>
              <w:rPr>
                <w:rFonts w:ascii="Times New Roman" w:cs="Times New Roman" w:eastAsia="Times New Roman" w:hAnsi="Times New Roman"/>
                <w:sz w:val="10"/>
                <w:szCs w:val="10"/>
                <w:color w:val="auto"/>
              </w:rPr>
              <w:t>5,541</w:t>
            </w:r>
          </w:p>
        </w:tc>
        <w:tc>
          <w:tcPr>
            <w:tcW w:w="340" w:type="dxa"/>
            <w:vAlign w:val="bottom"/>
          </w:tcPr>
          <w:p>
            <w:pPr>
              <w:spacing w:after="0"/>
              <w:rPr>
                <w:sz w:val="24"/>
                <w:szCs w:val="24"/>
                <w:color w:val="auto"/>
              </w:rPr>
            </w:pPr>
          </w:p>
        </w:tc>
      </w:tr>
      <w:tr>
        <w:trPr>
          <w:trHeight w:val="209"/>
        </w:trPr>
        <w:tc>
          <w:tcPr>
            <w:tcW w:w="1220" w:type="dxa"/>
            <w:vAlign w:val="bottom"/>
          </w:tcPr>
          <w:p>
            <w:pPr>
              <w:jc w:val="right"/>
              <w:ind w:right="970"/>
              <w:spacing w:after="0"/>
              <w:rPr>
                <w:sz w:val="20"/>
                <w:szCs w:val="20"/>
                <w:color w:val="auto"/>
              </w:rPr>
            </w:pPr>
            <w:r>
              <w:rPr>
                <w:rFonts w:ascii="Times New Roman" w:cs="Times New Roman" w:eastAsia="Times New Roman" w:hAnsi="Times New Roman"/>
                <w:sz w:val="10"/>
                <w:szCs w:val="10"/>
                <w:color w:val="auto"/>
                <w:w w:val="86"/>
              </w:rPr>
              <w:t>1.2%</w:t>
            </w:r>
          </w:p>
        </w:tc>
        <w:tc>
          <w:tcPr>
            <w:tcW w:w="680" w:type="dxa"/>
            <w:vAlign w:val="bottom"/>
          </w:tcPr>
          <w:p>
            <w:pPr>
              <w:spacing w:after="0"/>
              <w:rPr>
                <w:sz w:val="18"/>
                <w:szCs w:val="18"/>
                <w:color w:val="auto"/>
              </w:rPr>
            </w:pPr>
          </w:p>
        </w:tc>
        <w:tc>
          <w:tcPr>
            <w:tcW w:w="58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8/16/2024</w:t>
            </w: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0" w:type="dxa"/>
            <w:vAlign w:val="bottom"/>
            <w:gridSpan w:val="3"/>
          </w:tcPr>
          <w:p>
            <w:pPr>
              <w:ind w:left="160"/>
              <w:spacing w:after="0"/>
              <w:rPr>
                <w:sz w:val="20"/>
                <w:szCs w:val="20"/>
                <w:color w:val="auto"/>
              </w:rPr>
            </w:pPr>
            <w:r>
              <w:rPr>
                <w:rFonts w:ascii="Times New Roman" w:cs="Times New Roman" w:eastAsia="Times New Roman" w:hAnsi="Times New Roman"/>
                <w:sz w:val="10"/>
                <w:szCs w:val="10"/>
                <w:color w:val="auto"/>
              </w:rPr>
              <w:t>— </w:t>
            </w:r>
          </w:p>
        </w:tc>
        <w:tc>
          <w:tcPr>
            <w:tcW w:w="520" w:type="dxa"/>
            <w:vAlign w:val="bottom"/>
            <w:gridSpan w:val="2"/>
          </w:tcPr>
          <w:p>
            <w:pPr>
              <w:ind w:left="180"/>
              <w:spacing w:after="0"/>
              <w:rPr>
                <w:sz w:val="20"/>
                <w:szCs w:val="20"/>
                <w:color w:val="auto"/>
              </w:rPr>
            </w:pPr>
            <w:r>
              <w:rPr>
                <w:rFonts w:ascii="Times New Roman" w:cs="Times New Roman" w:eastAsia="Times New Roman" w:hAnsi="Times New Roman"/>
                <w:sz w:val="10"/>
                <w:szCs w:val="10"/>
                <w:color w:val="auto"/>
              </w:rPr>
              <w:t>— </w:t>
            </w:r>
          </w:p>
        </w:tc>
        <w:tc>
          <w:tcPr>
            <w:tcW w:w="340" w:type="dxa"/>
            <w:vAlign w:val="bottom"/>
          </w:tcPr>
          <w:p>
            <w:pPr>
              <w:spacing w:after="0"/>
              <w:rPr>
                <w:sz w:val="18"/>
                <w:szCs w:val="18"/>
                <w:color w:val="auto"/>
              </w:rPr>
            </w:pPr>
          </w:p>
        </w:tc>
      </w:tr>
      <w:tr>
        <w:trPr>
          <w:trHeight w:val="202"/>
        </w:trPr>
        <w:tc>
          <w:tcPr>
            <w:tcW w:w="1220" w:type="dxa"/>
            <w:vAlign w:val="bottom"/>
          </w:tcPr>
          <w:p>
            <w:pPr>
              <w:jc w:val="right"/>
              <w:ind w:right="970"/>
              <w:spacing w:after="0"/>
              <w:rPr>
                <w:sz w:val="20"/>
                <w:szCs w:val="20"/>
                <w:color w:val="auto"/>
              </w:rPr>
            </w:pPr>
            <w:r>
              <w:rPr>
                <w:rFonts w:ascii="Times New Roman" w:cs="Times New Roman" w:eastAsia="Times New Roman" w:hAnsi="Times New Roman"/>
                <w:sz w:val="10"/>
                <w:szCs w:val="10"/>
                <w:color w:val="auto"/>
                <w:w w:val="86"/>
              </w:rPr>
              <w:t>0.0%</w:t>
            </w:r>
          </w:p>
        </w:tc>
        <w:tc>
          <w:tcPr>
            <w:tcW w:w="680" w:type="dxa"/>
            <w:vAlign w:val="bottom"/>
          </w:tcPr>
          <w:p>
            <w:pPr>
              <w:spacing w:after="0"/>
              <w:rPr>
                <w:sz w:val="17"/>
                <w:szCs w:val="17"/>
                <w:color w:val="auto"/>
              </w:rPr>
            </w:pPr>
          </w:p>
        </w:tc>
        <w:tc>
          <w:tcPr>
            <w:tcW w:w="58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8/16/2024</w:t>
            </w:r>
          </w:p>
        </w:tc>
        <w:tc>
          <w:tcPr>
            <w:tcW w:w="6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0"/>
                <w:szCs w:val="10"/>
                <w:color w:val="auto"/>
              </w:rPr>
              <w:t>750</w:t>
            </w:r>
          </w:p>
        </w:tc>
        <w:tc>
          <w:tcPr>
            <w:tcW w:w="80" w:type="dxa"/>
            <w:vAlign w:val="bottom"/>
          </w:tcPr>
          <w:p>
            <w:pPr>
              <w:spacing w:after="0"/>
              <w:rPr>
                <w:sz w:val="17"/>
                <w:szCs w:val="17"/>
                <w:color w:val="auto"/>
              </w:rPr>
            </w:pPr>
          </w:p>
        </w:tc>
        <w:tc>
          <w:tcPr>
            <w:tcW w:w="520" w:type="dxa"/>
            <w:vAlign w:val="bottom"/>
            <w:gridSpan w:val="2"/>
          </w:tcPr>
          <w:p>
            <w:pPr>
              <w:jc w:val="right"/>
              <w:ind w:right="200"/>
              <w:spacing w:after="0"/>
              <w:rPr>
                <w:sz w:val="20"/>
                <w:szCs w:val="20"/>
                <w:color w:val="auto"/>
              </w:rPr>
            </w:pPr>
            <w:r>
              <w:rPr>
                <w:rFonts w:ascii="Times New Roman" w:cs="Times New Roman" w:eastAsia="Times New Roman" w:hAnsi="Times New Roman"/>
                <w:sz w:val="10"/>
                <w:szCs w:val="10"/>
                <w:color w:val="auto"/>
              </w:rPr>
              <w:t>277</w:t>
            </w:r>
          </w:p>
        </w:tc>
        <w:tc>
          <w:tcPr>
            <w:tcW w:w="340" w:type="dxa"/>
            <w:vAlign w:val="bottom"/>
          </w:tcPr>
          <w:p>
            <w:pPr>
              <w:spacing w:after="0"/>
              <w:rPr>
                <w:sz w:val="17"/>
                <w:szCs w:val="17"/>
                <w:color w:val="auto"/>
              </w:rPr>
            </w:pPr>
          </w:p>
        </w:tc>
      </w:tr>
      <w:tr>
        <w:trPr>
          <w:trHeight w:val="115"/>
        </w:trPr>
        <w:tc>
          <w:tcPr>
            <w:tcW w:w="1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2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0"/>
                <w:szCs w:val="10"/>
                <w:color w:val="auto"/>
              </w:rPr>
              <w:t>6,242</w:t>
            </w:r>
          </w:p>
        </w:tc>
        <w:tc>
          <w:tcPr>
            <w:tcW w:w="80" w:type="dxa"/>
            <w:vAlign w:val="bottom"/>
          </w:tcPr>
          <w:p>
            <w:pPr>
              <w:spacing w:after="0"/>
              <w:rPr>
                <w:sz w:val="10"/>
                <w:szCs w:val="10"/>
                <w:color w:val="auto"/>
              </w:rPr>
            </w:pPr>
          </w:p>
        </w:tc>
        <w:tc>
          <w:tcPr>
            <w:tcW w:w="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5,818</w:t>
            </w:r>
          </w:p>
        </w:tc>
        <w:tc>
          <w:tcPr>
            <w:tcW w:w="200" w:type="dxa"/>
            <w:vAlign w:val="bottom"/>
          </w:tcPr>
          <w:p>
            <w:pPr>
              <w:spacing w:after="0"/>
              <w:rPr>
                <w:sz w:val="10"/>
                <w:szCs w:val="10"/>
                <w:color w:val="auto"/>
              </w:rPr>
            </w:pPr>
          </w:p>
        </w:tc>
        <w:tc>
          <w:tcPr>
            <w:tcW w:w="34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w:t>
            </w:r>
          </w:p>
        </w:tc>
      </w:tr>
      <w:tr>
        <w:trPr>
          <w:trHeight w:val="311"/>
        </w:trPr>
        <w:tc>
          <w:tcPr>
            <w:tcW w:w="1220" w:type="dxa"/>
            <w:vAlign w:val="bottom"/>
          </w:tcPr>
          <w:p>
            <w:pPr>
              <w:jc w:val="right"/>
              <w:ind w:right="10"/>
              <w:spacing w:after="0"/>
              <w:rPr>
                <w:sz w:val="20"/>
                <w:szCs w:val="20"/>
                <w:color w:val="auto"/>
              </w:rPr>
            </w:pPr>
            <w:r>
              <w:rPr>
                <w:rFonts w:ascii="Times New Roman" w:cs="Times New Roman" w:eastAsia="Times New Roman" w:hAnsi="Times New Roman"/>
                <w:sz w:val="10"/>
                <w:szCs w:val="10"/>
                <w:color w:val="auto"/>
              </w:rPr>
              <w:t>(S + 5.50%) / (2.00%)</w:t>
            </w:r>
          </w:p>
        </w:tc>
        <w:tc>
          <w:tcPr>
            <w:tcW w:w="68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9.17%/0.00%</w:t>
            </w:r>
          </w:p>
        </w:tc>
        <w:tc>
          <w:tcPr>
            <w:tcW w:w="58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1/23/2026</w:t>
            </w:r>
          </w:p>
        </w:tc>
        <w:tc>
          <w:tcPr>
            <w:tcW w:w="600" w:type="dxa"/>
            <w:vAlign w:val="bottom"/>
          </w:tcPr>
          <w:p>
            <w:pPr>
              <w:jc w:val="right"/>
              <w:ind w:right="31"/>
              <w:spacing w:after="0"/>
              <w:rPr>
                <w:sz w:val="20"/>
                <w:szCs w:val="20"/>
                <w:color w:val="auto"/>
              </w:rPr>
            </w:pPr>
            <w:r>
              <w:rPr>
                <w:rFonts w:ascii="Times New Roman" w:cs="Times New Roman" w:eastAsia="Times New Roman" w:hAnsi="Times New Roman"/>
                <w:sz w:val="10"/>
                <w:szCs w:val="10"/>
                <w:color w:val="auto"/>
              </w:rPr>
              <w:t>11/26/2030</w:t>
            </w:r>
          </w:p>
        </w:tc>
        <w:tc>
          <w:tcPr>
            <w:tcW w:w="44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10,000</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0"/>
                <w:szCs w:val="10"/>
                <w:color w:val="auto"/>
              </w:rPr>
              <w:t>9,948</w:t>
            </w:r>
          </w:p>
        </w:tc>
        <w:tc>
          <w:tcPr>
            <w:tcW w:w="80" w:type="dxa"/>
            <w:vAlign w:val="bottom"/>
          </w:tcPr>
          <w:p>
            <w:pPr>
              <w:spacing w:after="0"/>
              <w:rPr>
                <w:sz w:val="24"/>
                <w:szCs w:val="24"/>
                <w:color w:val="auto"/>
              </w:rPr>
            </w:pPr>
          </w:p>
        </w:tc>
        <w:tc>
          <w:tcPr>
            <w:tcW w:w="520" w:type="dxa"/>
            <w:vAlign w:val="bottom"/>
            <w:gridSpan w:val="2"/>
          </w:tcPr>
          <w:p>
            <w:pPr>
              <w:jc w:val="right"/>
              <w:ind w:right="200"/>
              <w:spacing w:after="0"/>
              <w:rPr>
                <w:sz w:val="20"/>
                <w:szCs w:val="20"/>
                <w:color w:val="auto"/>
              </w:rPr>
            </w:pPr>
            <w:r>
              <w:rPr>
                <w:rFonts w:ascii="Times New Roman" w:cs="Times New Roman" w:eastAsia="Times New Roman" w:hAnsi="Times New Roman"/>
                <w:sz w:val="10"/>
                <w:szCs w:val="10"/>
                <w:color w:val="auto"/>
              </w:rPr>
              <w:t>9,948</w:t>
            </w:r>
          </w:p>
        </w:tc>
        <w:tc>
          <w:tcPr>
            <w:tcW w:w="340" w:type="dxa"/>
            <w:vAlign w:val="bottom"/>
          </w:tcPr>
          <w:p>
            <w:pPr>
              <w:spacing w:after="0"/>
              <w:rPr>
                <w:sz w:val="24"/>
                <w:szCs w:val="24"/>
                <w:color w:val="auto"/>
              </w:rPr>
            </w:pPr>
          </w:p>
        </w:tc>
      </w:tr>
      <w:tr>
        <w:trPr>
          <w:trHeight w:val="202"/>
        </w:trPr>
        <w:tc>
          <w:tcPr>
            <w:tcW w:w="1220" w:type="dxa"/>
            <w:vAlign w:val="bottom"/>
          </w:tcPr>
          <w:p>
            <w:pPr>
              <w:jc w:val="right"/>
              <w:ind w:right="970"/>
              <w:spacing w:after="0"/>
              <w:rPr>
                <w:sz w:val="20"/>
                <w:szCs w:val="20"/>
                <w:color w:val="auto"/>
              </w:rPr>
            </w:pPr>
            <w:r>
              <w:rPr>
                <w:rFonts w:ascii="Times New Roman" w:cs="Times New Roman" w:eastAsia="Times New Roman" w:hAnsi="Times New Roman"/>
                <w:sz w:val="10"/>
                <w:szCs w:val="10"/>
                <w:color w:val="auto"/>
                <w:w w:val="86"/>
              </w:rPr>
              <w:t>1.2%</w:t>
            </w:r>
          </w:p>
        </w:tc>
        <w:tc>
          <w:tcPr>
            <w:tcW w:w="680" w:type="dxa"/>
            <w:vAlign w:val="bottom"/>
          </w:tcPr>
          <w:p>
            <w:pPr>
              <w:spacing w:after="0"/>
              <w:rPr>
                <w:sz w:val="17"/>
                <w:szCs w:val="17"/>
                <w:color w:val="auto"/>
              </w:rPr>
            </w:pPr>
          </w:p>
        </w:tc>
        <w:tc>
          <w:tcPr>
            <w:tcW w:w="58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11/26/2025</w:t>
            </w:r>
          </w:p>
        </w:tc>
        <w:tc>
          <w:tcPr>
            <w:tcW w:w="6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0"/>
                <w:szCs w:val="10"/>
                <w:color w:val="auto"/>
              </w:rPr>
              <w:t>616</w:t>
            </w:r>
          </w:p>
        </w:tc>
        <w:tc>
          <w:tcPr>
            <w:tcW w:w="80" w:type="dxa"/>
            <w:vAlign w:val="bottom"/>
          </w:tcPr>
          <w:p>
            <w:pPr>
              <w:spacing w:after="0"/>
              <w:rPr>
                <w:sz w:val="17"/>
                <w:szCs w:val="17"/>
                <w:color w:val="auto"/>
              </w:rPr>
            </w:pPr>
          </w:p>
        </w:tc>
        <w:tc>
          <w:tcPr>
            <w:tcW w:w="520" w:type="dxa"/>
            <w:vAlign w:val="bottom"/>
            <w:gridSpan w:val="2"/>
          </w:tcPr>
          <w:p>
            <w:pPr>
              <w:jc w:val="right"/>
              <w:ind w:right="200"/>
              <w:spacing w:after="0"/>
              <w:rPr>
                <w:sz w:val="20"/>
                <w:szCs w:val="20"/>
                <w:color w:val="auto"/>
              </w:rPr>
            </w:pPr>
            <w:r>
              <w:rPr>
                <w:rFonts w:ascii="Times New Roman" w:cs="Times New Roman" w:eastAsia="Times New Roman" w:hAnsi="Times New Roman"/>
                <w:sz w:val="10"/>
                <w:szCs w:val="10"/>
                <w:color w:val="auto"/>
              </w:rPr>
              <w:t>616</w:t>
            </w:r>
          </w:p>
        </w:tc>
        <w:tc>
          <w:tcPr>
            <w:tcW w:w="340" w:type="dxa"/>
            <w:vAlign w:val="bottom"/>
          </w:tcPr>
          <w:p>
            <w:pPr>
              <w:spacing w:after="0"/>
              <w:rPr>
                <w:sz w:val="17"/>
                <w:szCs w:val="17"/>
                <w:color w:val="auto"/>
              </w:rPr>
            </w:pPr>
          </w:p>
        </w:tc>
      </w:tr>
      <w:tr>
        <w:trPr>
          <w:trHeight w:val="115"/>
        </w:trPr>
        <w:tc>
          <w:tcPr>
            <w:tcW w:w="1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2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0"/>
                <w:szCs w:val="10"/>
                <w:color w:val="auto"/>
              </w:rPr>
              <w:t>10,564</w:t>
            </w:r>
          </w:p>
        </w:tc>
        <w:tc>
          <w:tcPr>
            <w:tcW w:w="80" w:type="dxa"/>
            <w:vAlign w:val="bottom"/>
          </w:tcPr>
          <w:p>
            <w:pPr>
              <w:spacing w:after="0"/>
              <w:rPr>
                <w:sz w:val="10"/>
                <w:szCs w:val="10"/>
                <w:color w:val="auto"/>
              </w:rPr>
            </w:pPr>
          </w:p>
        </w:tc>
        <w:tc>
          <w:tcPr>
            <w:tcW w:w="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10,564</w:t>
            </w:r>
          </w:p>
        </w:tc>
        <w:tc>
          <w:tcPr>
            <w:tcW w:w="200" w:type="dxa"/>
            <w:vAlign w:val="bottom"/>
          </w:tcPr>
          <w:p>
            <w:pPr>
              <w:spacing w:after="0"/>
              <w:rPr>
                <w:sz w:val="10"/>
                <w:szCs w:val="10"/>
                <w:color w:val="auto"/>
              </w:rPr>
            </w:pPr>
          </w:p>
        </w:tc>
        <w:tc>
          <w:tcPr>
            <w:tcW w:w="34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w:t>
            </w:r>
          </w:p>
        </w:tc>
      </w:tr>
      <w:tr>
        <w:trPr>
          <w:trHeight w:val="416"/>
        </w:trPr>
        <w:tc>
          <w:tcPr>
            <w:tcW w:w="1220" w:type="dxa"/>
            <w:vAlign w:val="bottom"/>
          </w:tcPr>
          <w:p>
            <w:pPr>
              <w:jc w:val="right"/>
              <w:ind w:right="970"/>
              <w:spacing w:after="0"/>
              <w:rPr>
                <w:sz w:val="20"/>
                <w:szCs w:val="20"/>
                <w:color w:val="auto"/>
              </w:rPr>
            </w:pPr>
            <w:r>
              <w:rPr>
                <w:rFonts w:ascii="Times New Roman" w:cs="Times New Roman" w:eastAsia="Times New Roman" w:hAnsi="Times New Roman"/>
                <w:sz w:val="10"/>
                <w:szCs w:val="10"/>
                <w:color w:val="auto"/>
                <w:w w:val="86"/>
              </w:rPr>
              <w:t>1.1%</w:t>
            </w:r>
          </w:p>
        </w:tc>
        <w:tc>
          <w:tcPr>
            <w:tcW w:w="680" w:type="dxa"/>
            <w:vAlign w:val="bottom"/>
          </w:tcPr>
          <w:p>
            <w:pPr>
              <w:spacing w:after="0"/>
              <w:rPr>
                <w:sz w:val="24"/>
                <w:szCs w:val="24"/>
                <w:color w:val="auto"/>
              </w:rPr>
            </w:pPr>
          </w:p>
        </w:tc>
        <w:tc>
          <w:tcPr>
            <w:tcW w:w="58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12/8/2017</w:t>
            </w: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0"/>
                <w:szCs w:val="10"/>
                <w:color w:val="auto"/>
              </w:rPr>
              <w:t>933</w:t>
            </w:r>
          </w:p>
        </w:tc>
        <w:tc>
          <w:tcPr>
            <w:tcW w:w="80" w:type="dxa"/>
            <w:vAlign w:val="bottom"/>
          </w:tcPr>
          <w:p>
            <w:pPr>
              <w:spacing w:after="0"/>
              <w:rPr>
                <w:sz w:val="24"/>
                <w:szCs w:val="24"/>
                <w:color w:val="auto"/>
              </w:rPr>
            </w:pPr>
          </w:p>
        </w:tc>
        <w:tc>
          <w:tcPr>
            <w:tcW w:w="520" w:type="dxa"/>
            <w:vAlign w:val="bottom"/>
            <w:gridSpan w:val="2"/>
          </w:tcPr>
          <w:p>
            <w:pPr>
              <w:ind w:left="180"/>
              <w:spacing w:after="0"/>
              <w:rPr>
                <w:sz w:val="20"/>
                <w:szCs w:val="20"/>
                <w:color w:val="auto"/>
              </w:rPr>
            </w:pPr>
            <w:r>
              <w:rPr>
                <w:rFonts w:ascii="Times New Roman" w:cs="Times New Roman" w:eastAsia="Times New Roman" w:hAnsi="Times New Roman"/>
                <w:sz w:val="10"/>
                <w:szCs w:val="10"/>
                <w:color w:val="auto"/>
              </w:rPr>
              <w:t>— </w:t>
            </w:r>
          </w:p>
        </w:tc>
        <w:tc>
          <w:tcPr>
            <w:tcW w:w="3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0%</w:t>
            </w:r>
          </w:p>
        </w:tc>
      </w:tr>
      <w:tr>
        <w:trPr>
          <w:trHeight w:val="293"/>
        </w:trPr>
        <w:tc>
          <w:tcPr>
            <w:tcW w:w="1220" w:type="dxa"/>
            <w:vAlign w:val="bottom"/>
          </w:tcPr>
          <w:p>
            <w:pPr>
              <w:jc w:val="right"/>
              <w:ind w:right="10"/>
              <w:spacing w:after="0"/>
              <w:rPr>
                <w:sz w:val="20"/>
                <w:szCs w:val="20"/>
                <w:color w:val="auto"/>
              </w:rPr>
            </w:pPr>
            <w:r>
              <w:rPr>
                <w:rFonts w:ascii="Times New Roman" w:cs="Times New Roman" w:eastAsia="Times New Roman" w:hAnsi="Times New Roman"/>
                <w:sz w:val="10"/>
                <w:szCs w:val="10"/>
                <w:color w:val="auto"/>
              </w:rPr>
              <w:t>(S + 5.25%) / (2.00%)</w:t>
            </w:r>
          </w:p>
        </w:tc>
        <w:tc>
          <w:tcPr>
            <w:tcW w:w="68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8.91%/0.00%</w:t>
            </w:r>
          </w:p>
        </w:tc>
        <w:tc>
          <w:tcPr>
            <w:tcW w:w="58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4/15/2025</w:t>
            </w:r>
          </w:p>
        </w:tc>
        <w:tc>
          <w:tcPr>
            <w:tcW w:w="600" w:type="dxa"/>
            <w:vAlign w:val="bottom"/>
          </w:tcPr>
          <w:p>
            <w:pPr>
              <w:jc w:val="right"/>
              <w:ind w:right="31"/>
              <w:spacing w:after="0"/>
              <w:rPr>
                <w:sz w:val="20"/>
                <w:szCs w:val="20"/>
                <w:color w:val="auto"/>
              </w:rPr>
            </w:pPr>
            <w:r>
              <w:rPr>
                <w:rFonts w:ascii="Times New Roman" w:cs="Times New Roman" w:eastAsia="Times New Roman" w:hAnsi="Times New Roman"/>
                <w:sz w:val="10"/>
                <w:szCs w:val="10"/>
                <w:color w:val="auto"/>
              </w:rPr>
              <w:t>4/15/2030</w:t>
            </w:r>
          </w:p>
        </w:tc>
        <w:tc>
          <w:tcPr>
            <w:tcW w:w="44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9,570</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0"/>
                <w:szCs w:val="10"/>
                <w:color w:val="auto"/>
              </w:rPr>
              <w:t>9,531</w:t>
            </w:r>
          </w:p>
        </w:tc>
        <w:tc>
          <w:tcPr>
            <w:tcW w:w="80" w:type="dxa"/>
            <w:vAlign w:val="bottom"/>
          </w:tcPr>
          <w:p>
            <w:pPr>
              <w:spacing w:after="0"/>
              <w:rPr>
                <w:sz w:val="24"/>
                <w:szCs w:val="24"/>
                <w:color w:val="auto"/>
              </w:rPr>
            </w:pPr>
          </w:p>
        </w:tc>
        <w:tc>
          <w:tcPr>
            <w:tcW w:w="520" w:type="dxa"/>
            <w:vAlign w:val="bottom"/>
            <w:gridSpan w:val="2"/>
          </w:tcPr>
          <w:p>
            <w:pPr>
              <w:jc w:val="right"/>
              <w:ind w:right="200"/>
              <w:spacing w:after="0"/>
              <w:rPr>
                <w:sz w:val="20"/>
                <w:szCs w:val="20"/>
                <w:color w:val="auto"/>
              </w:rPr>
            </w:pPr>
            <w:r>
              <w:rPr>
                <w:rFonts w:ascii="Times New Roman" w:cs="Times New Roman" w:eastAsia="Times New Roman" w:hAnsi="Times New Roman"/>
                <w:sz w:val="10"/>
                <w:szCs w:val="10"/>
                <w:color w:val="auto"/>
              </w:rPr>
              <w:t>9,570</w:t>
            </w:r>
          </w:p>
        </w:tc>
        <w:tc>
          <w:tcPr>
            <w:tcW w:w="340" w:type="dxa"/>
            <w:vAlign w:val="bottom"/>
          </w:tcPr>
          <w:p>
            <w:pPr>
              <w:spacing w:after="0"/>
              <w:rPr>
                <w:sz w:val="24"/>
                <w:szCs w:val="24"/>
                <w:color w:val="auto"/>
              </w:rPr>
            </w:pPr>
          </w:p>
        </w:tc>
      </w:tr>
      <w:tr>
        <w:trPr>
          <w:trHeight w:val="314"/>
        </w:trPr>
        <w:tc>
          <w:tcPr>
            <w:tcW w:w="1220" w:type="dxa"/>
            <w:vAlign w:val="bottom"/>
          </w:tcPr>
          <w:p>
            <w:pPr>
              <w:jc w:val="right"/>
              <w:ind w:right="10"/>
              <w:spacing w:after="0"/>
              <w:rPr>
                <w:sz w:val="20"/>
                <w:szCs w:val="20"/>
                <w:color w:val="auto"/>
              </w:rPr>
            </w:pPr>
            <w:r>
              <w:rPr>
                <w:rFonts w:ascii="Times New Roman" w:cs="Times New Roman" w:eastAsia="Times New Roman" w:hAnsi="Times New Roman"/>
                <w:sz w:val="10"/>
                <w:szCs w:val="10"/>
                <w:color w:val="auto"/>
              </w:rPr>
              <w:t>(S + 5.25%) / (2.00%)</w:t>
            </w:r>
          </w:p>
        </w:tc>
        <w:tc>
          <w:tcPr>
            <w:tcW w:w="68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8.91%/0.00%</w:t>
            </w:r>
          </w:p>
        </w:tc>
        <w:tc>
          <w:tcPr>
            <w:tcW w:w="58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4/15/2025</w:t>
            </w:r>
          </w:p>
        </w:tc>
        <w:tc>
          <w:tcPr>
            <w:tcW w:w="600" w:type="dxa"/>
            <w:vAlign w:val="bottom"/>
          </w:tcPr>
          <w:p>
            <w:pPr>
              <w:jc w:val="right"/>
              <w:ind w:right="31"/>
              <w:spacing w:after="0"/>
              <w:rPr>
                <w:sz w:val="20"/>
                <w:szCs w:val="20"/>
                <w:color w:val="auto"/>
              </w:rPr>
            </w:pPr>
            <w:r>
              <w:rPr>
                <w:rFonts w:ascii="Times New Roman" w:cs="Times New Roman" w:eastAsia="Times New Roman" w:hAnsi="Times New Roman"/>
                <w:sz w:val="10"/>
                <w:szCs w:val="10"/>
                <w:color w:val="auto"/>
              </w:rPr>
              <w:t>4/15/2030</w:t>
            </w:r>
          </w:p>
        </w:tc>
        <w:tc>
          <w:tcPr>
            <w:tcW w:w="44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573</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0"/>
                <w:szCs w:val="10"/>
                <w:color w:val="auto"/>
              </w:rPr>
              <w:t>559</w:t>
            </w:r>
          </w:p>
        </w:tc>
        <w:tc>
          <w:tcPr>
            <w:tcW w:w="80" w:type="dxa"/>
            <w:vAlign w:val="bottom"/>
          </w:tcPr>
          <w:p>
            <w:pPr>
              <w:spacing w:after="0"/>
              <w:rPr>
                <w:sz w:val="24"/>
                <w:szCs w:val="24"/>
                <w:color w:val="auto"/>
              </w:rPr>
            </w:pPr>
          </w:p>
        </w:tc>
        <w:tc>
          <w:tcPr>
            <w:tcW w:w="520" w:type="dxa"/>
            <w:vAlign w:val="bottom"/>
            <w:gridSpan w:val="2"/>
          </w:tcPr>
          <w:p>
            <w:pPr>
              <w:jc w:val="right"/>
              <w:ind w:right="200"/>
              <w:spacing w:after="0"/>
              <w:rPr>
                <w:sz w:val="20"/>
                <w:szCs w:val="20"/>
                <w:color w:val="auto"/>
              </w:rPr>
            </w:pPr>
            <w:r>
              <w:rPr>
                <w:rFonts w:ascii="Times New Roman" w:cs="Times New Roman" w:eastAsia="Times New Roman" w:hAnsi="Times New Roman"/>
                <w:sz w:val="10"/>
                <w:szCs w:val="10"/>
                <w:color w:val="auto"/>
              </w:rPr>
              <w:t>573</w:t>
            </w:r>
          </w:p>
        </w:tc>
        <w:tc>
          <w:tcPr>
            <w:tcW w:w="340" w:type="dxa"/>
            <w:vAlign w:val="bottom"/>
          </w:tcPr>
          <w:p>
            <w:pPr>
              <w:spacing w:after="0"/>
              <w:rPr>
                <w:sz w:val="24"/>
                <w:szCs w:val="24"/>
                <w:color w:val="auto"/>
              </w:rPr>
            </w:pPr>
          </w:p>
        </w:tc>
      </w:tr>
      <w:tr>
        <w:trPr>
          <w:trHeight w:val="209"/>
        </w:trPr>
        <w:tc>
          <w:tcPr>
            <w:tcW w:w="1220" w:type="dxa"/>
            <w:vAlign w:val="bottom"/>
          </w:tcPr>
          <w:p>
            <w:pPr>
              <w:jc w:val="right"/>
              <w:ind w:right="970"/>
              <w:spacing w:after="0"/>
              <w:rPr>
                <w:sz w:val="20"/>
                <w:szCs w:val="20"/>
                <w:color w:val="auto"/>
              </w:rPr>
            </w:pPr>
            <w:r>
              <w:rPr>
                <w:rFonts w:ascii="Times New Roman" w:cs="Times New Roman" w:eastAsia="Times New Roman" w:hAnsi="Times New Roman"/>
                <w:sz w:val="10"/>
                <w:szCs w:val="10"/>
                <w:color w:val="auto"/>
                <w:w w:val="86"/>
              </w:rPr>
              <w:t>1.1%</w:t>
            </w:r>
          </w:p>
        </w:tc>
        <w:tc>
          <w:tcPr>
            <w:tcW w:w="680" w:type="dxa"/>
            <w:vAlign w:val="bottom"/>
          </w:tcPr>
          <w:p>
            <w:pPr>
              <w:spacing w:after="0"/>
              <w:rPr>
                <w:sz w:val="18"/>
                <w:szCs w:val="18"/>
                <w:color w:val="auto"/>
              </w:rPr>
            </w:pPr>
          </w:p>
        </w:tc>
        <w:tc>
          <w:tcPr>
            <w:tcW w:w="58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4/15/2025</w:t>
            </w: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0"/>
                <w:szCs w:val="10"/>
                <w:color w:val="auto"/>
              </w:rPr>
              <w:t>388</w:t>
            </w:r>
          </w:p>
        </w:tc>
        <w:tc>
          <w:tcPr>
            <w:tcW w:w="80" w:type="dxa"/>
            <w:vAlign w:val="bottom"/>
          </w:tcPr>
          <w:p>
            <w:pPr>
              <w:spacing w:after="0"/>
              <w:rPr>
                <w:sz w:val="18"/>
                <w:szCs w:val="18"/>
                <w:color w:val="auto"/>
              </w:rPr>
            </w:pPr>
          </w:p>
        </w:tc>
        <w:tc>
          <w:tcPr>
            <w:tcW w:w="520" w:type="dxa"/>
            <w:vAlign w:val="bottom"/>
            <w:gridSpan w:val="2"/>
          </w:tcPr>
          <w:p>
            <w:pPr>
              <w:jc w:val="right"/>
              <w:ind w:right="200"/>
              <w:spacing w:after="0"/>
              <w:rPr>
                <w:sz w:val="20"/>
                <w:szCs w:val="20"/>
                <w:color w:val="auto"/>
              </w:rPr>
            </w:pPr>
            <w:r>
              <w:rPr>
                <w:rFonts w:ascii="Times New Roman" w:cs="Times New Roman" w:eastAsia="Times New Roman" w:hAnsi="Times New Roman"/>
                <w:sz w:val="10"/>
                <w:szCs w:val="10"/>
                <w:color w:val="auto"/>
              </w:rPr>
              <w:t>354</w:t>
            </w:r>
          </w:p>
        </w:tc>
        <w:tc>
          <w:tcPr>
            <w:tcW w:w="340" w:type="dxa"/>
            <w:vAlign w:val="bottom"/>
          </w:tcPr>
          <w:p>
            <w:pPr>
              <w:spacing w:after="0"/>
              <w:rPr>
                <w:sz w:val="18"/>
                <w:szCs w:val="18"/>
                <w:color w:val="auto"/>
              </w:rPr>
            </w:pPr>
          </w:p>
        </w:tc>
      </w:tr>
      <w:tr>
        <w:trPr>
          <w:trHeight w:val="202"/>
        </w:trPr>
        <w:tc>
          <w:tcPr>
            <w:tcW w:w="1220" w:type="dxa"/>
            <w:vAlign w:val="bottom"/>
          </w:tcPr>
          <w:p>
            <w:pPr>
              <w:jc w:val="right"/>
              <w:ind w:right="970"/>
              <w:spacing w:after="0"/>
              <w:rPr>
                <w:sz w:val="20"/>
                <w:szCs w:val="20"/>
                <w:color w:val="auto"/>
              </w:rPr>
            </w:pPr>
            <w:r>
              <w:rPr>
                <w:rFonts w:ascii="Times New Roman" w:cs="Times New Roman" w:eastAsia="Times New Roman" w:hAnsi="Times New Roman"/>
                <w:sz w:val="10"/>
                <w:szCs w:val="10"/>
                <w:color w:val="auto"/>
                <w:w w:val="86"/>
              </w:rPr>
              <w:t>1.0%</w:t>
            </w:r>
          </w:p>
        </w:tc>
        <w:tc>
          <w:tcPr>
            <w:tcW w:w="680" w:type="dxa"/>
            <w:vAlign w:val="bottom"/>
          </w:tcPr>
          <w:p>
            <w:pPr>
              <w:spacing w:after="0"/>
              <w:rPr>
                <w:sz w:val="17"/>
                <w:szCs w:val="17"/>
                <w:color w:val="auto"/>
              </w:rPr>
            </w:pPr>
          </w:p>
        </w:tc>
        <w:tc>
          <w:tcPr>
            <w:tcW w:w="58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4/15/2025</w:t>
            </w:r>
          </w:p>
        </w:tc>
        <w:tc>
          <w:tcPr>
            <w:tcW w:w="6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0"/>
                <w:szCs w:val="10"/>
                <w:color w:val="auto"/>
              </w:rPr>
              <w:t>362</w:t>
            </w:r>
          </w:p>
        </w:tc>
        <w:tc>
          <w:tcPr>
            <w:tcW w:w="80" w:type="dxa"/>
            <w:vAlign w:val="bottom"/>
          </w:tcPr>
          <w:p>
            <w:pPr>
              <w:spacing w:after="0"/>
              <w:rPr>
                <w:sz w:val="17"/>
                <w:szCs w:val="17"/>
                <w:color w:val="auto"/>
              </w:rPr>
            </w:pPr>
          </w:p>
        </w:tc>
        <w:tc>
          <w:tcPr>
            <w:tcW w:w="520" w:type="dxa"/>
            <w:vAlign w:val="bottom"/>
            <w:gridSpan w:val="2"/>
          </w:tcPr>
          <w:p>
            <w:pPr>
              <w:jc w:val="right"/>
              <w:ind w:right="200"/>
              <w:spacing w:after="0"/>
              <w:rPr>
                <w:sz w:val="20"/>
                <w:szCs w:val="20"/>
                <w:color w:val="auto"/>
              </w:rPr>
            </w:pPr>
            <w:r>
              <w:rPr>
                <w:rFonts w:ascii="Times New Roman" w:cs="Times New Roman" w:eastAsia="Times New Roman" w:hAnsi="Times New Roman"/>
                <w:sz w:val="10"/>
                <w:szCs w:val="10"/>
                <w:color w:val="auto"/>
              </w:rPr>
              <w:t>630</w:t>
            </w:r>
          </w:p>
        </w:tc>
        <w:tc>
          <w:tcPr>
            <w:tcW w:w="340" w:type="dxa"/>
            <w:vAlign w:val="bottom"/>
          </w:tcPr>
          <w:p>
            <w:pPr>
              <w:spacing w:after="0"/>
              <w:rPr>
                <w:sz w:val="17"/>
                <w:szCs w:val="17"/>
                <w:color w:val="auto"/>
              </w:rPr>
            </w:pPr>
          </w:p>
        </w:tc>
      </w:tr>
      <w:tr>
        <w:trPr>
          <w:trHeight w:val="115"/>
        </w:trPr>
        <w:tc>
          <w:tcPr>
            <w:tcW w:w="1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2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0"/>
                <w:szCs w:val="10"/>
                <w:color w:val="auto"/>
              </w:rPr>
              <w:t>10,840</w:t>
            </w:r>
          </w:p>
        </w:tc>
        <w:tc>
          <w:tcPr>
            <w:tcW w:w="80" w:type="dxa"/>
            <w:vAlign w:val="bottom"/>
          </w:tcPr>
          <w:p>
            <w:pPr>
              <w:spacing w:after="0"/>
              <w:rPr>
                <w:sz w:val="10"/>
                <w:szCs w:val="10"/>
                <w:color w:val="auto"/>
              </w:rPr>
            </w:pPr>
          </w:p>
        </w:tc>
        <w:tc>
          <w:tcPr>
            <w:tcW w:w="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11,127</w:t>
            </w:r>
          </w:p>
        </w:tc>
        <w:tc>
          <w:tcPr>
            <w:tcW w:w="200" w:type="dxa"/>
            <w:vAlign w:val="bottom"/>
          </w:tcPr>
          <w:p>
            <w:pPr>
              <w:spacing w:after="0"/>
              <w:rPr>
                <w:sz w:val="10"/>
                <w:szCs w:val="10"/>
                <w:color w:val="auto"/>
              </w:rPr>
            </w:pPr>
          </w:p>
        </w:tc>
        <w:tc>
          <w:tcPr>
            <w:tcW w:w="34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2%</w:t>
            </w:r>
          </w:p>
        </w:tc>
      </w:tr>
      <w:tr>
        <w:trPr>
          <w:trHeight w:val="273"/>
        </w:trPr>
        <w:tc>
          <w:tcPr>
            <w:tcW w:w="1220" w:type="dxa"/>
            <w:vAlign w:val="bottom"/>
          </w:tcPr>
          <w:p>
            <w:pPr>
              <w:jc w:val="right"/>
              <w:ind w:right="550"/>
              <w:spacing w:after="0"/>
              <w:rPr>
                <w:sz w:val="20"/>
                <w:szCs w:val="20"/>
                <w:color w:val="auto"/>
              </w:rPr>
            </w:pPr>
            <w:r>
              <w:rPr>
                <w:rFonts w:ascii="Times New Roman" w:cs="Times New Roman" w:eastAsia="Times New Roman" w:hAnsi="Times New Roman"/>
                <w:sz w:val="14"/>
                <w:szCs w:val="14"/>
                <w:color w:val="auto"/>
              </w:rPr>
              <w:t>53</w:t>
            </w:r>
          </w:p>
        </w:tc>
        <w:tc>
          <w:tcPr>
            <w:tcW w:w="6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4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-2085340</wp:posOffset>
            </wp:positionH>
            <wp:positionV relativeFrom="paragraph">
              <wp:posOffset>-4272280</wp:posOffset>
            </wp:positionV>
            <wp:extent cx="5422265" cy="13271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90">
                      <a:extLst>
                        <a:ext uri="{28A0092B-C50C-407E-A947-70E740481C1C}"/>
                      </a:extLst>
                    </a:blip>
                    <a:srcRect/>
                    <a:stretch>
                      <a:fillRect/>
                    </a:stretch>
                  </pic:blipFill>
                  <pic:spPr bwMode="auto">
                    <a:xfrm>
                      <a:off x="0" y="0"/>
                      <a:ext cx="5422265" cy="132715"/>
                    </a:xfrm>
                    <a:prstGeom prst="rect">
                      <a:avLst/>
                    </a:prstGeom>
                    <a:noFill/>
                  </pic:spPr>
                </pic:pic>
              </a:graphicData>
            </a:graphic>
          </wp:anchor>
        </w:drawing>
        <w:drawing>
          <wp:anchor simplePos="0" relativeHeight="251657728" behindDoc="1" locked="0" layoutInCell="0" allowOverlap="1">
            <wp:simplePos x="0" y="0"/>
            <wp:positionH relativeFrom="column">
              <wp:posOffset>-2085340</wp:posOffset>
            </wp:positionH>
            <wp:positionV relativeFrom="paragraph">
              <wp:posOffset>-4072890</wp:posOffset>
            </wp:positionV>
            <wp:extent cx="5422265" cy="13271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91">
                      <a:extLst>
                        <a:ext uri="{28A0092B-C50C-407E-A947-70E740481C1C}"/>
                      </a:extLst>
                    </a:blip>
                    <a:srcRect/>
                    <a:stretch>
                      <a:fillRect/>
                    </a:stretch>
                  </pic:blipFill>
                  <pic:spPr bwMode="auto">
                    <a:xfrm>
                      <a:off x="0" y="0"/>
                      <a:ext cx="5422265" cy="132715"/>
                    </a:xfrm>
                    <a:prstGeom prst="rect">
                      <a:avLst/>
                    </a:prstGeom>
                    <a:noFill/>
                  </pic:spPr>
                </pic:pic>
              </a:graphicData>
            </a:graphic>
          </wp:anchor>
        </w:drawing>
        <w:drawing>
          <wp:anchor simplePos="0" relativeHeight="251657728" behindDoc="1" locked="0" layoutInCell="0" allowOverlap="1">
            <wp:simplePos x="0" y="0"/>
            <wp:positionH relativeFrom="column">
              <wp:posOffset>-2085340</wp:posOffset>
            </wp:positionH>
            <wp:positionV relativeFrom="paragraph">
              <wp:posOffset>-3793490</wp:posOffset>
            </wp:positionV>
            <wp:extent cx="5422265" cy="6667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92">
                      <a:extLst>
                        <a:ext uri="{28A0092B-C50C-407E-A947-70E740481C1C}"/>
                      </a:extLst>
                    </a:blip>
                    <a:srcRect/>
                    <a:stretch>
                      <a:fillRect/>
                    </a:stretch>
                  </pic:blipFill>
                  <pic:spPr bwMode="auto">
                    <a:xfrm>
                      <a:off x="0" y="0"/>
                      <a:ext cx="5422265" cy="66675"/>
                    </a:xfrm>
                    <a:prstGeom prst="rect">
                      <a:avLst/>
                    </a:prstGeom>
                    <a:noFill/>
                  </pic:spPr>
                </pic:pic>
              </a:graphicData>
            </a:graphic>
          </wp:anchor>
        </w:drawing>
        <w:drawing>
          <wp:anchor simplePos="0" relativeHeight="251657728" behindDoc="1" locked="0" layoutInCell="0" allowOverlap="1">
            <wp:simplePos x="0" y="0"/>
            <wp:positionH relativeFrom="column">
              <wp:posOffset>-2085340</wp:posOffset>
            </wp:positionH>
            <wp:positionV relativeFrom="paragraph">
              <wp:posOffset>-3594100</wp:posOffset>
            </wp:positionV>
            <wp:extent cx="5422265" cy="13271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93">
                      <a:extLst>
                        <a:ext uri="{28A0092B-C50C-407E-A947-70E740481C1C}"/>
                      </a:extLst>
                    </a:blip>
                    <a:srcRect/>
                    <a:stretch>
                      <a:fillRect/>
                    </a:stretch>
                  </pic:blipFill>
                  <pic:spPr bwMode="auto">
                    <a:xfrm>
                      <a:off x="0" y="0"/>
                      <a:ext cx="5422265" cy="132715"/>
                    </a:xfrm>
                    <a:prstGeom prst="rect">
                      <a:avLst/>
                    </a:prstGeom>
                    <a:noFill/>
                  </pic:spPr>
                </pic:pic>
              </a:graphicData>
            </a:graphic>
          </wp:anchor>
        </w:drawing>
        <w:drawing>
          <wp:anchor simplePos="0" relativeHeight="251657728" behindDoc="1" locked="0" layoutInCell="0" allowOverlap="1">
            <wp:simplePos x="0" y="0"/>
            <wp:positionH relativeFrom="column">
              <wp:posOffset>-2085340</wp:posOffset>
            </wp:positionH>
            <wp:positionV relativeFrom="paragraph">
              <wp:posOffset>-3275330</wp:posOffset>
            </wp:positionV>
            <wp:extent cx="5422265" cy="13271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94">
                      <a:extLst>
                        <a:ext uri="{28A0092B-C50C-407E-A947-70E740481C1C}"/>
                      </a:extLst>
                    </a:blip>
                    <a:srcRect/>
                    <a:stretch>
                      <a:fillRect/>
                    </a:stretch>
                  </pic:blipFill>
                  <pic:spPr bwMode="auto">
                    <a:xfrm>
                      <a:off x="0" y="0"/>
                      <a:ext cx="5422265" cy="132715"/>
                    </a:xfrm>
                    <a:prstGeom prst="rect">
                      <a:avLst/>
                    </a:prstGeom>
                    <a:noFill/>
                  </pic:spPr>
                </pic:pic>
              </a:graphicData>
            </a:graphic>
          </wp:anchor>
        </w:drawing>
        <w:drawing>
          <wp:anchor simplePos="0" relativeHeight="251657728" behindDoc="1" locked="0" layoutInCell="0" allowOverlap="1">
            <wp:simplePos x="0" y="0"/>
            <wp:positionH relativeFrom="column">
              <wp:posOffset>-2085340</wp:posOffset>
            </wp:positionH>
            <wp:positionV relativeFrom="paragraph">
              <wp:posOffset>-2996565</wp:posOffset>
            </wp:positionV>
            <wp:extent cx="5422265" cy="6667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95">
                      <a:extLst>
                        <a:ext uri="{28A0092B-C50C-407E-A947-70E740481C1C}"/>
                      </a:extLst>
                    </a:blip>
                    <a:srcRect/>
                    <a:stretch>
                      <a:fillRect/>
                    </a:stretch>
                  </pic:blipFill>
                  <pic:spPr bwMode="auto">
                    <a:xfrm>
                      <a:off x="0" y="0"/>
                      <a:ext cx="5422265" cy="66675"/>
                    </a:xfrm>
                    <a:prstGeom prst="rect">
                      <a:avLst/>
                    </a:prstGeom>
                    <a:noFill/>
                  </pic:spPr>
                </pic:pic>
              </a:graphicData>
            </a:graphic>
          </wp:anchor>
        </w:drawing>
        <w:drawing>
          <wp:anchor simplePos="0" relativeHeight="251657728" behindDoc="1" locked="0" layoutInCell="0" allowOverlap="1">
            <wp:simplePos x="0" y="0"/>
            <wp:positionH relativeFrom="column">
              <wp:posOffset>-2085340</wp:posOffset>
            </wp:positionH>
            <wp:positionV relativeFrom="paragraph">
              <wp:posOffset>-2797175</wp:posOffset>
            </wp:positionV>
            <wp:extent cx="5422265" cy="13271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96">
                      <a:extLst>
                        <a:ext uri="{28A0092B-C50C-407E-A947-70E740481C1C}"/>
                      </a:extLst>
                    </a:blip>
                    <a:srcRect/>
                    <a:stretch>
                      <a:fillRect/>
                    </a:stretch>
                  </pic:blipFill>
                  <pic:spPr bwMode="auto">
                    <a:xfrm>
                      <a:off x="0" y="0"/>
                      <a:ext cx="5422265" cy="132715"/>
                    </a:xfrm>
                    <a:prstGeom prst="rect">
                      <a:avLst/>
                    </a:prstGeom>
                    <a:noFill/>
                  </pic:spPr>
                </pic:pic>
              </a:graphicData>
            </a:graphic>
          </wp:anchor>
        </w:drawing>
        <w:drawing>
          <wp:anchor simplePos="0" relativeHeight="251657728" behindDoc="1" locked="0" layoutInCell="0" allowOverlap="1">
            <wp:simplePos x="0" y="0"/>
            <wp:positionH relativeFrom="column">
              <wp:posOffset>-2085340</wp:posOffset>
            </wp:positionH>
            <wp:positionV relativeFrom="paragraph">
              <wp:posOffset>-2597785</wp:posOffset>
            </wp:positionV>
            <wp:extent cx="5422265" cy="13271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97">
                      <a:extLst>
                        <a:ext uri="{28A0092B-C50C-407E-A947-70E740481C1C}"/>
                      </a:extLst>
                    </a:blip>
                    <a:srcRect/>
                    <a:stretch>
                      <a:fillRect/>
                    </a:stretch>
                  </pic:blipFill>
                  <pic:spPr bwMode="auto">
                    <a:xfrm>
                      <a:off x="0" y="0"/>
                      <a:ext cx="5422265" cy="132715"/>
                    </a:xfrm>
                    <a:prstGeom prst="rect">
                      <a:avLst/>
                    </a:prstGeom>
                    <a:noFill/>
                  </pic:spPr>
                </pic:pic>
              </a:graphicData>
            </a:graphic>
          </wp:anchor>
        </w:drawing>
        <w:drawing>
          <wp:anchor simplePos="0" relativeHeight="251657728" behindDoc="1" locked="0" layoutInCell="0" allowOverlap="1">
            <wp:simplePos x="0" y="0"/>
            <wp:positionH relativeFrom="column">
              <wp:posOffset>-2085340</wp:posOffset>
            </wp:positionH>
            <wp:positionV relativeFrom="paragraph">
              <wp:posOffset>-2385060</wp:posOffset>
            </wp:positionV>
            <wp:extent cx="5422265" cy="13271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98">
                      <a:extLst>
                        <a:ext uri="{28A0092B-C50C-407E-A947-70E740481C1C}"/>
                      </a:extLst>
                    </a:blip>
                    <a:srcRect/>
                    <a:stretch>
                      <a:fillRect/>
                    </a:stretch>
                  </pic:blipFill>
                  <pic:spPr bwMode="auto">
                    <a:xfrm>
                      <a:off x="0" y="0"/>
                      <a:ext cx="5422265" cy="132715"/>
                    </a:xfrm>
                    <a:prstGeom prst="rect">
                      <a:avLst/>
                    </a:prstGeom>
                    <a:noFill/>
                  </pic:spPr>
                </pic:pic>
              </a:graphicData>
            </a:graphic>
          </wp:anchor>
        </w:drawing>
        <w:drawing>
          <wp:anchor simplePos="0" relativeHeight="251657728" behindDoc="1" locked="0" layoutInCell="0" allowOverlap="1">
            <wp:simplePos x="0" y="0"/>
            <wp:positionH relativeFrom="column">
              <wp:posOffset>-2085340</wp:posOffset>
            </wp:positionH>
            <wp:positionV relativeFrom="paragraph">
              <wp:posOffset>-2066290</wp:posOffset>
            </wp:positionV>
            <wp:extent cx="5422265" cy="6667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99">
                      <a:extLst>
                        <a:ext uri="{28A0092B-C50C-407E-A947-70E740481C1C}"/>
                      </a:extLst>
                    </a:blip>
                    <a:srcRect/>
                    <a:stretch>
                      <a:fillRect/>
                    </a:stretch>
                  </pic:blipFill>
                  <pic:spPr bwMode="auto">
                    <a:xfrm>
                      <a:off x="0" y="0"/>
                      <a:ext cx="5422265" cy="66675"/>
                    </a:xfrm>
                    <a:prstGeom prst="rect">
                      <a:avLst/>
                    </a:prstGeom>
                    <a:noFill/>
                  </pic:spPr>
                </pic:pic>
              </a:graphicData>
            </a:graphic>
          </wp:anchor>
        </w:drawing>
        <w:drawing>
          <wp:anchor simplePos="0" relativeHeight="251657728" behindDoc="1" locked="0" layoutInCell="0" allowOverlap="1">
            <wp:simplePos x="0" y="0"/>
            <wp:positionH relativeFrom="column">
              <wp:posOffset>-2085340</wp:posOffset>
            </wp:positionH>
            <wp:positionV relativeFrom="paragraph">
              <wp:posOffset>-1932940</wp:posOffset>
            </wp:positionV>
            <wp:extent cx="5422265" cy="13271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00">
                      <a:extLst>
                        <a:ext uri="{28A0092B-C50C-407E-A947-70E740481C1C}"/>
                      </a:extLst>
                    </a:blip>
                    <a:srcRect/>
                    <a:stretch>
                      <a:fillRect/>
                    </a:stretch>
                  </pic:blipFill>
                  <pic:spPr bwMode="auto">
                    <a:xfrm>
                      <a:off x="0" y="0"/>
                      <a:ext cx="5422265" cy="132715"/>
                    </a:xfrm>
                    <a:prstGeom prst="rect">
                      <a:avLst/>
                    </a:prstGeom>
                    <a:noFill/>
                  </pic:spPr>
                </pic:pic>
              </a:graphicData>
            </a:graphic>
          </wp:anchor>
        </w:drawing>
        <w:drawing>
          <wp:anchor simplePos="0" relativeHeight="251657728" behindDoc="1" locked="0" layoutInCell="0" allowOverlap="1">
            <wp:simplePos x="0" y="0"/>
            <wp:positionH relativeFrom="column">
              <wp:posOffset>-2085340</wp:posOffset>
            </wp:positionH>
            <wp:positionV relativeFrom="paragraph">
              <wp:posOffset>-1654175</wp:posOffset>
            </wp:positionV>
            <wp:extent cx="5422265" cy="6667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01">
                      <a:extLst>
                        <a:ext uri="{28A0092B-C50C-407E-A947-70E740481C1C}"/>
                      </a:extLst>
                    </a:blip>
                    <a:srcRect/>
                    <a:stretch>
                      <a:fillRect/>
                    </a:stretch>
                  </pic:blipFill>
                  <pic:spPr bwMode="auto">
                    <a:xfrm>
                      <a:off x="0" y="0"/>
                      <a:ext cx="5422265" cy="66675"/>
                    </a:xfrm>
                    <a:prstGeom prst="rect">
                      <a:avLst/>
                    </a:prstGeom>
                    <a:noFill/>
                  </pic:spPr>
                </pic:pic>
              </a:graphicData>
            </a:graphic>
          </wp:anchor>
        </w:drawing>
        <w:drawing>
          <wp:anchor simplePos="0" relativeHeight="251657728" behindDoc="1" locked="0" layoutInCell="0" allowOverlap="1">
            <wp:simplePos x="0" y="0"/>
            <wp:positionH relativeFrom="column">
              <wp:posOffset>-2085340</wp:posOffset>
            </wp:positionH>
            <wp:positionV relativeFrom="paragraph">
              <wp:posOffset>-1454785</wp:posOffset>
            </wp:positionV>
            <wp:extent cx="5422265" cy="6667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02">
                      <a:extLst>
                        <a:ext uri="{28A0092B-C50C-407E-A947-70E740481C1C}"/>
                      </a:extLst>
                    </a:blip>
                    <a:srcRect/>
                    <a:stretch>
                      <a:fillRect/>
                    </a:stretch>
                  </pic:blipFill>
                  <pic:spPr bwMode="auto">
                    <a:xfrm>
                      <a:off x="0" y="0"/>
                      <a:ext cx="5422265" cy="66675"/>
                    </a:xfrm>
                    <a:prstGeom prst="rect">
                      <a:avLst/>
                    </a:prstGeom>
                    <a:noFill/>
                  </pic:spPr>
                </pic:pic>
              </a:graphicData>
            </a:graphic>
          </wp:anchor>
        </w:drawing>
        <w:drawing>
          <wp:anchor simplePos="0" relativeHeight="251657728" behindDoc="1" locked="0" layoutInCell="0" allowOverlap="1">
            <wp:simplePos x="0" y="0"/>
            <wp:positionH relativeFrom="column">
              <wp:posOffset>-2085340</wp:posOffset>
            </wp:positionH>
            <wp:positionV relativeFrom="paragraph">
              <wp:posOffset>-1242060</wp:posOffset>
            </wp:positionV>
            <wp:extent cx="5422265" cy="6667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03">
                      <a:extLst>
                        <a:ext uri="{28A0092B-C50C-407E-A947-70E740481C1C}"/>
                      </a:extLst>
                    </a:blip>
                    <a:srcRect/>
                    <a:stretch>
                      <a:fillRect/>
                    </a:stretch>
                  </pic:blipFill>
                  <pic:spPr bwMode="auto">
                    <a:xfrm>
                      <a:off x="0" y="0"/>
                      <a:ext cx="5422265" cy="66675"/>
                    </a:xfrm>
                    <a:prstGeom prst="rect">
                      <a:avLst/>
                    </a:prstGeom>
                    <a:noFill/>
                  </pic:spPr>
                </pic:pic>
              </a:graphicData>
            </a:graphic>
          </wp:anchor>
        </w:drawing>
        <w:drawing>
          <wp:anchor simplePos="0" relativeHeight="251657728" behindDoc="1" locked="0" layoutInCell="0" allowOverlap="1">
            <wp:simplePos x="0" y="0"/>
            <wp:positionH relativeFrom="column">
              <wp:posOffset>-2085340</wp:posOffset>
            </wp:positionH>
            <wp:positionV relativeFrom="paragraph">
              <wp:posOffset>-1042670</wp:posOffset>
            </wp:positionV>
            <wp:extent cx="5422265" cy="13271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04">
                      <a:extLst>
                        <a:ext uri="{28A0092B-C50C-407E-A947-70E740481C1C}"/>
                      </a:extLst>
                    </a:blip>
                    <a:srcRect/>
                    <a:stretch>
                      <a:fillRect/>
                    </a:stretch>
                  </pic:blipFill>
                  <pic:spPr bwMode="auto">
                    <a:xfrm>
                      <a:off x="0" y="0"/>
                      <a:ext cx="5422265" cy="132715"/>
                    </a:xfrm>
                    <a:prstGeom prst="rect">
                      <a:avLst/>
                    </a:prstGeom>
                    <a:noFill/>
                  </pic:spPr>
                </pic:pic>
              </a:graphicData>
            </a:graphic>
          </wp:anchor>
        </w:drawing>
        <w:drawing>
          <wp:anchor simplePos="0" relativeHeight="251657728" behindDoc="1" locked="0" layoutInCell="0" allowOverlap="1">
            <wp:simplePos x="0" y="0"/>
            <wp:positionH relativeFrom="column">
              <wp:posOffset>-2085340</wp:posOffset>
            </wp:positionH>
            <wp:positionV relativeFrom="paragraph">
              <wp:posOffset>-789940</wp:posOffset>
            </wp:positionV>
            <wp:extent cx="5422265" cy="6667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05">
                      <a:extLst>
                        <a:ext uri="{28A0092B-C50C-407E-A947-70E740481C1C}"/>
                      </a:extLst>
                    </a:blip>
                    <a:srcRect/>
                    <a:stretch>
                      <a:fillRect/>
                    </a:stretch>
                  </pic:blipFill>
                  <pic:spPr bwMode="auto">
                    <a:xfrm>
                      <a:off x="0" y="0"/>
                      <a:ext cx="5422265" cy="66675"/>
                    </a:xfrm>
                    <a:prstGeom prst="rect">
                      <a:avLst/>
                    </a:prstGeom>
                    <a:noFill/>
                  </pic:spPr>
                </pic:pic>
              </a:graphicData>
            </a:graphic>
          </wp:anchor>
        </w:drawing>
        <w:drawing>
          <wp:anchor simplePos="0" relativeHeight="251657728" behindDoc="1" locked="0" layoutInCell="0" allowOverlap="1">
            <wp:simplePos x="0" y="0"/>
            <wp:positionH relativeFrom="column">
              <wp:posOffset>-2085340</wp:posOffset>
            </wp:positionH>
            <wp:positionV relativeFrom="paragraph">
              <wp:posOffset>-524510</wp:posOffset>
            </wp:positionV>
            <wp:extent cx="5422265" cy="13271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06">
                      <a:extLst>
                        <a:ext uri="{28A0092B-C50C-407E-A947-70E740481C1C}"/>
                      </a:extLst>
                    </a:blip>
                    <a:srcRect/>
                    <a:stretch>
                      <a:fillRect/>
                    </a:stretch>
                  </pic:blipFill>
                  <pic:spPr bwMode="auto">
                    <a:xfrm>
                      <a:off x="0" y="0"/>
                      <a:ext cx="5422265" cy="132715"/>
                    </a:xfrm>
                    <a:prstGeom prst="rect">
                      <a:avLst/>
                    </a:prstGeom>
                    <a:noFill/>
                  </pic:spPr>
                </pic:pic>
              </a:graphicData>
            </a:graphic>
          </wp:anchor>
        </w:drawing>
        <w:drawing>
          <wp:anchor simplePos="0" relativeHeight="251657728" behindDoc="1" locked="0" layoutInCell="0" allowOverlap="1">
            <wp:simplePos x="0" y="0"/>
            <wp:positionH relativeFrom="column">
              <wp:posOffset>-2085340</wp:posOffset>
            </wp:positionH>
            <wp:positionV relativeFrom="paragraph">
              <wp:posOffset>-245110</wp:posOffset>
            </wp:positionV>
            <wp:extent cx="5422265" cy="6667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07">
                      <a:extLst>
                        <a:ext uri="{28A0092B-C50C-407E-A947-70E740481C1C}"/>
                      </a:extLst>
                    </a:blip>
                    <a:srcRect/>
                    <a:stretch>
                      <a:fillRect/>
                    </a:stretch>
                  </pic:blipFill>
                  <pic:spPr bwMode="auto">
                    <a:xfrm>
                      <a:off x="0" y="0"/>
                      <a:ext cx="5422265" cy="66675"/>
                    </a:xfrm>
                    <a:prstGeom prst="rect">
                      <a:avLst/>
                    </a:prstGeom>
                    <a:noFill/>
                  </pic:spPr>
                </pic:pic>
              </a:graphicData>
            </a:graphic>
          </wp:anchor>
        </w:drawing>
      </w:r>
    </w:p>
    <w:p>
      <w:pPr>
        <w:sectPr>
          <w:pgSz w:w="11900" w:h="16838" w:orient="portrait"/>
          <w:cols w:equalWidth="0" w:num="2">
            <w:col w:w="4600" w:space="60"/>
            <w:col w:w="5499"/>
          </w:cols>
          <w:pgMar w:left="300" w:top="384" w:right="1440"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08">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ectPr>
          <w:pgSz w:w="11900" w:h="16838" w:orient="portrait"/>
          <w:cols w:equalWidth="0" w:num="1">
            <w:col w:w="10159"/>
          </w:cols>
          <w:pgMar w:left="300" w:top="384" w:right="1440" w:bottom="1440" w:gutter="0" w:footer="0" w:header="0"/>
        </w:sectPr>
      </w:pPr>
    </w:p>
    <w:p>
      <w:pPr>
        <w:spacing w:after="0" w:line="264" w:lineRule="exact"/>
        <w:rPr>
          <w:sz w:val="20"/>
          <w:szCs w:val="20"/>
          <w:color w:val="auto"/>
        </w:rPr>
      </w:pPr>
    </w:p>
    <w:tbl>
      <w:tblPr>
        <w:tblLayout w:type="fixed"/>
        <w:tblInd w:w="1380" w:type="dxa"/>
        <w:tblCellMar>
          <w:top w:w="0" w:type="dxa"/>
          <w:left w:w="0" w:type="dxa"/>
          <w:bottom w:w="0" w:type="dxa"/>
          <w:right w:w="0" w:type="dxa"/>
        </w:tblCellMar>
      </w:tblPr>
      <w:tr>
        <w:trPr>
          <w:trHeight w:val="94"/>
        </w:trPr>
        <w:tc>
          <w:tcPr>
            <w:tcW w:w="1320" w:type="dxa"/>
            <w:vAlign w:val="bottom"/>
            <w:gridSpan w:val="2"/>
          </w:tcPr>
          <w:p>
            <w:pPr>
              <w:spacing w:after="0"/>
              <w:rPr>
                <w:sz w:val="20"/>
                <w:szCs w:val="20"/>
                <w:color w:val="auto"/>
              </w:rPr>
            </w:pPr>
            <w:r>
              <w:rPr>
                <w:rFonts w:ascii="Times New Roman" w:cs="Times New Roman" w:eastAsia="Times New Roman" w:hAnsi="Times New Roman"/>
                <w:sz w:val="8"/>
                <w:szCs w:val="8"/>
                <w:b w:val="1"/>
                <w:bCs w:val="1"/>
                <w:color w:val="auto"/>
              </w:rPr>
              <w:t>Portfolio Company (a)(b)</w:t>
            </w:r>
          </w:p>
        </w:tc>
        <w:tc>
          <w:tcPr>
            <w:tcW w:w="900" w:type="dxa"/>
            <w:vAlign w:val="bottom"/>
          </w:tcPr>
          <w:p>
            <w:pPr>
              <w:spacing w:after="0"/>
              <w:rPr>
                <w:sz w:val="8"/>
                <w:szCs w:val="8"/>
                <w:color w:val="auto"/>
              </w:rPr>
            </w:pPr>
          </w:p>
        </w:tc>
        <w:tc>
          <w:tcPr>
            <w:tcW w:w="60" w:type="dxa"/>
            <w:vAlign w:val="bottom"/>
          </w:tcPr>
          <w:p>
            <w:pPr>
              <w:spacing w:after="0"/>
              <w:rPr>
                <w:sz w:val="8"/>
                <w:szCs w:val="8"/>
                <w:color w:val="auto"/>
              </w:rPr>
            </w:pPr>
          </w:p>
        </w:tc>
        <w:tc>
          <w:tcPr>
            <w:tcW w:w="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1320" w:type="dxa"/>
            <w:vAlign w:val="bottom"/>
            <w:gridSpan w:val="2"/>
          </w:tcPr>
          <w:p>
            <w:pPr>
              <w:spacing w:after="0"/>
              <w:rPr>
                <w:sz w:val="20"/>
                <w:szCs w:val="20"/>
                <w:color w:val="auto"/>
              </w:rPr>
            </w:pPr>
            <w:r>
              <w:rPr>
                <w:rFonts w:ascii="Times New Roman" w:cs="Times New Roman" w:eastAsia="Times New Roman" w:hAnsi="Times New Roman"/>
                <w:sz w:val="8"/>
                <w:szCs w:val="8"/>
                <w:b w:val="1"/>
                <w:bCs w:val="1"/>
                <w:color w:val="auto"/>
              </w:rPr>
              <w:t>Address of Portfolio Company</w:t>
            </w:r>
          </w:p>
        </w:tc>
        <w:tc>
          <w:tcPr>
            <w:tcW w:w="900" w:type="dxa"/>
            <w:vAlign w:val="bottom"/>
          </w:tcPr>
          <w:p>
            <w:pPr>
              <w:ind w:left="100"/>
              <w:spacing w:after="0"/>
              <w:rPr>
                <w:sz w:val="20"/>
                <w:szCs w:val="20"/>
                <w:color w:val="auto"/>
              </w:rPr>
            </w:pPr>
            <w:r>
              <w:rPr>
                <w:rFonts w:ascii="Times New Roman" w:cs="Times New Roman" w:eastAsia="Times New Roman" w:hAnsi="Times New Roman"/>
                <w:sz w:val="8"/>
                <w:szCs w:val="8"/>
                <w:b w:val="1"/>
                <w:bCs w:val="1"/>
                <w:color w:val="auto"/>
              </w:rPr>
              <w:t>Investment Type (c)</w:t>
            </w:r>
          </w:p>
        </w:tc>
        <w:tc>
          <w:tcPr>
            <w:tcW w:w="60" w:type="dxa"/>
            <w:vAlign w:val="bottom"/>
          </w:tcPr>
          <w:p>
            <w:pPr>
              <w:spacing w:after="0"/>
              <w:rPr>
                <w:sz w:val="10"/>
                <w:szCs w:val="10"/>
                <w:color w:val="auto"/>
              </w:rPr>
            </w:pPr>
          </w:p>
        </w:tc>
        <w:tc>
          <w:tcPr>
            <w:tcW w:w="940" w:type="dxa"/>
            <w:vAlign w:val="bottom"/>
          </w:tcPr>
          <w:p>
            <w:pPr>
              <w:ind w:left="320"/>
              <w:spacing w:after="0"/>
              <w:rPr>
                <w:sz w:val="20"/>
                <w:szCs w:val="20"/>
                <w:color w:val="auto"/>
              </w:rPr>
            </w:pPr>
            <w:r>
              <w:rPr>
                <w:rFonts w:ascii="Times New Roman" w:cs="Times New Roman" w:eastAsia="Times New Roman" w:hAnsi="Times New Roman"/>
                <w:sz w:val="8"/>
                <w:szCs w:val="8"/>
                <w:b w:val="1"/>
                <w:bCs w:val="1"/>
                <w:color w:val="auto"/>
              </w:rPr>
              <w:t>Industry</w:t>
            </w:r>
          </w:p>
        </w:tc>
        <w:tc>
          <w:tcPr>
            <w:tcW w:w="0" w:type="dxa"/>
            <w:vAlign w:val="bottom"/>
          </w:tcPr>
          <w:p>
            <w:pPr>
              <w:spacing w:after="0"/>
              <w:rPr>
                <w:sz w:val="1"/>
                <w:szCs w:val="1"/>
                <w:color w:val="auto"/>
              </w:rPr>
            </w:pPr>
          </w:p>
        </w:tc>
      </w:tr>
      <w:tr>
        <w:trPr>
          <w:trHeight w:val="60"/>
        </w:trPr>
        <w:tc>
          <w:tcPr>
            <w:tcW w:w="1100" w:type="dxa"/>
            <w:vAlign w:val="bottom"/>
            <w:tcBorders>
              <w:top w:val="single" w:sz="8" w:color="auto"/>
            </w:tcBorders>
          </w:tcPr>
          <w:p>
            <w:pPr>
              <w:spacing w:after="0" w:line="60" w:lineRule="exact"/>
              <w:rPr>
                <w:sz w:val="20"/>
                <w:szCs w:val="20"/>
                <w:color w:val="auto"/>
              </w:rPr>
            </w:pPr>
            <w:r>
              <w:rPr>
                <w:rFonts w:ascii="Times New Roman" w:cs="Times New Roman" w:eastAsia="Times New Roman" w:hAnsi="Times New Roman"/>
                <w:sz w:val="6"/>
                <w:szCs w:val="6"/>
                <w:i w:val="1"/>
                <w:iCs w:val="1"/>
                <w:color w:val="auto"/>
              </w:rPr>
              <w:t>Level Education Group, LLC</w:t>
            </w:r>
          </w:p>
        </w:tc>
        <w:tc>
          <w:tcPr>
            <w:tcW w:w="220" w:type="dxa"/>
            <w:vAlign w:val="bottom"/>
          </w:tcPr>
          <w:p>
            <w:pPr>
              <w:spacing w:after="0"/>
              <w:rPr>
                <w:sz w:val="5"/>
                <w:szCs w:val="5"/>
                <w:color w:val="auto"/>
              </w:rPr>
            </w:pPr>
          </w:p>
        </w:tc>
        <w:tc>
          <w:tcPr>
            <w:tcW w:w="900" w:type="dxa"/>
            <w:vAlign w:val="bottom"/>
            <w:tcBorders>
              <w:top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940" w:type="dxa"/>
            <w:vAlign w:val="bottom"/>
            <w:tcBorders>
              <w:top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07"/>
        </w:trPr>
        <w:tc>
          <w:tcPr>
            <w:tcW w:w="1320" w:type="dxa"/>
            <w:vAlign w:val="bottom"/>
            <w:gridSpan w:val="2"/>
          </w:tcPr>
          <w:p>
            <w:pPr>
              <w:spacing w:after="0" w:line="107" w:lineRule="exact"/>
              <w:rPr>
                <w:sz w:val="20"/>
                <w:szCs w:val="20"/>
                <w:color w:val="auto"/>
              </w:rPr>
            </w:pPr>
            <w:r>
              <w:rPr>
                <w:rFonts w:ascii="Times New Roman" w:cs="Times New Roman" w:eastAsia="Times New Roman" w:hAnsi="Times New Roman"/>
                <w:sz w:val="10"/>
                <w:szCs w:val="10"/>
                <w:i w:val="1"/>
                <w:iCs w:val="1"/>
                <w:color w:val="auto"/>
              </w:rPr>
              <w:t>(dba CE4Less)</w:t>
            </w:r>
          </w:p>
        </w:tc>
        <w:tc>
          <w:tcPr>
            <w:tcW w:w="900" w:type="dxa"/>
            <w:vAlign w:val="bottom"/>
          </w:tcPr>
          <w:p>
            <w:pPr>
              <w:spacing w:after="0"/>
              <w:rPr>
                <w:sz w:val="9"/>
                <w:szCs w:val="9"/>
                <w:color w:val="auto"/>
              </w:rPr>
            </w:pPr>
          </w:p>
        </w:tc>
        <w:tc>
          <w:tcPr>
            <w:tcW w:w="1000" w:type="dxa"/>
            <w:vAlign w:val="bottom"/>
            <w:gridSpan w:val="2"/>
          </w:tcPr>
          <w:p>
            <w:pPr>
              <w:ind w:left="60"/>
              <w:spacing w:after="0" w:line="107" w:lineRule="exact"/>
              <w:rPr>
                <w:sz w:val="20"/>
                <w:szCs w:val="20"/>
                <w:color w:val="auto"/>
              </w:rPr>
            </w:pPr>
            <w:r>
              <w:rPr>
                <w:rFonts w:ascii="Times New Roman" w:cs="Times New Roman" w:eastAsia="Times New Roman" w:hAnsi="Times New Roman"/>
                <w:sz w:val="10"/>
                <w:szCs w:val="10"/>
                <w:color w:val="auto"/>
              </w:rPr>
              <w:t>Business Services</w:t>
            </w:r>
          </w:p>
        </w:tc>
        <w:tc>
          <w:tcPr>
            <w:tcW w:w="0" w:type="dxa"/>
            <w:vAlign w:val="bottom"/>
          </w:tcPr>
          <w:p>
            <w:pPr>
              <w:spacing w:after="0"/>
              <w:rPr>
                <w:sz w:val="1"/>
                <w:szCs w:val="1"/>
                <w:color w:val="auto"/>
              </w:rPr>
            </w:pPr>
          </w:p>
        </w:tc>
      </w:tr>
      <w:tr>
        <w:trPr>
          <w:trHeight w:val="105"/>
        </w:trPr>
        <w:tc>
          <w:tcPr>
            <w:tcW w:w="1320" w:type="dxa"/>
            <w:vAlign w:val="bottom"/>
            <w:gridSpan w:val="2"/>
          </w:tcPr>
          <w:p>
            <w:pPr>
              <w:ind w:left="100"/>
              <w:spacing w:after="0" w:line="105" w:lineRule="exact"/>
              <w:rPr>
                <w:sz w:val="20"/>
                <w:szCs w:val="20"/>
                <w:color w:val="auto"/>
              </w:rPr>
            </w:pPr>
            <w:r>
              <w:rPr>
                <w:rFonts w:ascii="Times New Roman" w:cs="Times New Roman" w:eastAsia="Times New Roman" w:hAnsi="Times New Roman"/>
                <w:sz w:val="10"/>
                <w:szCs w:val="10"/>
                <w:color w:val="auto"/>
              </w:rPr>
              <w:t>5414 W Daybreak Parkway</w:t>
            </w:r>
          </w:p>
        </w:tc>
        <w:tc>
          <w:tcPr>
            <w:tcW w:w="900" w:type="dxa"/>
            <w:vAlign w:val="bottom"/>
          </w:tcPr>
          <w:p>
            <w:pPr>
              <w:spacing w:after="0"/>
              <w:rPr>
                <w:sz w:val="9"/>
                <w:szCs w:val="9"/>
                <w:color w:val="auto"/>
              </w:rPr>
            </w:pPr>
          </w:p>
        </w:tc>
        <w:tc>
          <w:tcPr>
            <w:tcW w:w="6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320" w:type="dxa"/>
            <w:vAlign w:val="bottom"/>
            <w:gridSpan w:val="2"/>
          </w:tcPr>
          <w:p>
            <w:pPr>
              <w:ind w:left="100"/>
              <w:spacing w:after="0" w:line="105" w:lineRule="exact"/>
              <w:rPr>
                <w:sz w:val="20"/>
                <w:szCs w:val="20"/>
                <w:color w:val="auto"/>
              </w:rPr>
            </w:pPr>
            <w:r>
              <w:rPr>
                <w:rFonts w:ascii="Times New Roman" w:cs="Times New Roman" w:eastAsia="Times New Roman" w:hAnsi="Times New Roman"/>
                <w:sz w:val="10"/>
                <w:szCs w:val="10"/>
                <w:color w:val="auto"/>
              </w:rPr>
              <w:t>C-4 #401</w:t>
            </w:r>
          </w:p>
        </w:tc>
        <w:tc>
          <w:tcPr>
            <w:tcW w:w="900" w:type="dxa"/>
            <w:vAlign w:val="bottom"/>
          </w:tcPr>
          <w:p>
            <w:pPr>
              <w:spacing w:after="0" w:line="105" w:lineRule="exact"/>
              <w:rPr>
                <w:sz w:val="20"/>
                <w:szCs w:val="20"/>
                <w:color w:val="auto"/>
              </w:rPr>
            </w:pPr>
            <w:r>
              <w:rPr>
                <w:rFonts w:ascii="Times New Roman" w:cs="Times New Roman" w:eastAsia="Times New Roman" w:hAnsi="Times New Roman"/>
                <w:sz w:val="10"/>
                <w:szCs w:val="10"/>
                <w:color w:val="auto"/>
              </w:rPr>
              <w:t>First Lien Debt (ak)</w:t>
            </w:r>
          </w:p>
        </w:tc>
        <w:tc>
          <w:tcPr>
            <w:tcW w:w="6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320" w:type="dxa"/>
            <w:vAlign w:val="bottom"/>
            <w:gridSpan w:val="2"/>
          </w:tcPr>
          <w:p>
            <w:pPr>
              <w:ind w:left="100"/>
              <w:spacing w:after="0" w:line="105" w:lineRule="exact"/>
              <w:rPr>
                <w:sz w:val="20"/>
                <w:szCs w:val="20"/>
                <w:color w:val="auto"/>
              </w:rPr>
            </w:pPr>
            <w:r>
              <w:rPr>
                <w:rFonts w:ascii="Times New Roman" w:cs="Times New Roman" w:eastAsia="Times New Roman" w:hAnsi="Times New Roman"/>
                <w:sz w:val="10"/>
                <w:szCs w:val="10"/>
                <w:color w:val="auto"/>
              </w:rPr>
              <w:t>South Jordan, UT 84009</w:t>
            </w:r>
          </w:p>
        </w:tc>
        <w:tc>
          <w:tcPr>
            <w:tcW w:w="900" w:type="dxa"/>
            <w:vAlign w:val="bottom"/>
          </w:tcPr>
          <w:p>
            <w:pPr>
              <w:spacing w:after="0" w:line="105" w:lineRule="exact"/>
              <w:rPr>
                <w:sz w:val="20"/>
                <w:szCs w:val="20"/>
                <w:color w:val="auto"/>
              </w:rPr>
            </w:pPr>
            <w:r>
              <w:rPr>
                <w:rFonts w:ascii="Times New Roman" w:cs="Times New Roman" w:eastAsia="Times New Roman" w:hAnsi="Times New Roman"/>
                <w:sz w:val="10"/>
                <w:szCs w:val="10"/>
                <w:color w:val="auto"/>
              </w:rPr>
              <w:t>Common Equity</w:t>
            </w:r>
          </w:p>
        </w:tc>
        <w:tc>
          <w:tcPr>
            <w:tcW w:w="6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1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0"/>
                <w:szCs w:val="10"/>
                <w:color w:val="auto"/>
              </w:rPr>
              <w:t>(1,000,000 units)</w:t>
            </w:r>
          </w:p>
        </w:tc>
        <w:tc>
          <w:tcPr>
            <w:tcW w:w="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0"/>
        </w:trPr>
        <w:tc>
          <w:tcPr>
            <w:tcW w:w="1320" w:type="dxa"/>
            <w:vAlign w:val="bottom"/>
            <w:gridSpan w:val="2"/>
          </w:tcPr>
          <w:p>
            <w:pPr>
              <w:spacing w:after="0"/>
              <w:rPr>
                <w:sz w:val="20"/>
                <w:szCs w:val="20"/>
                <w:color w:val="auto"/>
              </w:rPr>
            </w:pPr>
            <w:r>
              <w:rPr>
                <w:rFonts w:ascii="Times New Roman" w:cs="Times New Roman" w:eastAsia="Times New Roman" w:hAnsi="Times New Roman"/>
                <w:sz w:val="10"/>
                <w:szCs w:val="10"/>
                <w:i w:val="1"/>
                <w:iCs w:val="1"/>
                <w:color w:val="auto"/>
              </w:rPr>
              <w:t>LifeSpan Biosciences, Inc.</w:t>
            </w:r>
          </w:p>
        </w:tc>
        <w:tc>
          <w:tcPr>
            <w:tcW w:w="900" w:type="dxa"/>
            <w:vAlign w:val="bottom"/>
          </w:tcPr>
          <w:p>
            <w:pPr>
              <w:spacing w:after="0"/>
              <w:rPr>
                <w:sz w:val="18"/>
                <w:szCs w:val="18"/>
                <w:color w:val="auto"/>
              </w:rPr>
            </w:pPr>
          </w:p>
        </w:tc>
        <w:tc>
          <w:tcPr>
            <w:tcW w:w="1000" w:type="dxa"/>
            <w:vAlign w:val="bottom"/>
            <w:gridSpan w:val="2"/>
          </w:tcPr>
          <w:p>
            <w:pPr>
              <w:ind w:left="60"/>
              <w:spacing w:after="0"/>
              <w:rPr>
                <w:sz w:val="20"/>
                <w:szCs w:val="20"/>
                <w:color w:val="auto"/>
              </w:rPr>
            </w:pPr>
            <w:r>
              <w:rPr>
                <w:rFonts w:ascii="Times New Roman" w:cs="Times New Roman" w:eastAsia="Times New Roman" w:hAnsi="Times New Roman"/>
                <w:sz w:val="10"/>
                <w:szCs w:val="10"/>
                <w:color w:val="auto"/>
              </w:rPr>
              <w:t>Healthcare Products</w:t>
            </w:r>
          </w:p>
        </w:tc>
        <w:tc>
          <w:tcPr>
            <w:tcW w:w="0" w:type="dxa"/>
            <w:vAlign w:val="bottom"/>
          </w:tcPr>
          <w:p>
            <w:pPr>
              <w:spacing w:after="0"/>
              <w:rPr>
                <w:sz w:val="1"/>
                <w:szCs w:val="1"/>
                <w:color w:val="auto"/>
              </w:rPr>
            </w:pPr>
          </w:p>
        </w:tc>
      </w:tr>
      <w:tr>
        <w:trPr>
          <w:trHeight w:val="105"/>
        </w:trPr>
        <w:tc>
          <w:tcPr>
            <w:tcW w:w="1320" w:type="dxa"/>
            <w:vAlign w:val="bottom"/>
            <w:gridSpan w:val="2"/>
          </w:tcPr>
          <w:p>
            <w:pPr>
              <w:ind w:left="100"/>
              <w:spacing w:after="0" w:line="105" w:lineRule="exact"/>
              <w:rPr>
                <w:sz w:val="20"/>
                <w:szCs w:val="20"/>
                <w:color w:val="auto"/>
              </w:rPr>
            </w:pPr>
            <w:r>
              <w:rPr>
                <w:rFonts w:ascii="Times New Roman" w:cs="Times New Roman" w:eastAsia="Times New Roman" w:hAnsi="Times New Roman"/>
                <w:sz w:val="10"/>
                <w:szCs w:val="10"/>
                <w:color w:val="auto"/>
              </w:rPr>
              <w:t>2 Shaker Rd Suites</w:t>
            </w:r>
          </w:p>
        </w:tc>
        <w:tc>
          <w:tcPr>
            <w:tcW w:w="900" w:type="dxa"/>
            <w:vAlign w:val="bottom"/>
          </w:tcPr>
          <w:p>
            <w:pPr>
              <w:spacing w:after="0"/>
              <w:rPr>
                <w:sz w:val="9"/>
                <w:szCs w:val="9"/>
                <w:color w:val="auto"/>
              </w:rPr>
            </w:pPr>
          </w:p>
        </w:tc>
        <w:tc>
          <w:tcPr>
            <w:tcW w:w="6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320" w:type="dxa"/>
            <w:vAlign w:val="bottom"/>
            <w:gridSpan w:val="2"/>
          </w:tcPr>
          <w:p>
            <w:pPr>
              <w:ind w:left="100"/>
              <w:spacing w:after="0" w:line="105" w:lineRule="exact"/>
              <w:rPr>
                <w:sz w:val="20"/>
                <w:szCs w:val="20"/>
                <w:color w:val="auto"/>
              </w:rPr>
            </w:pPr>
            <w:r>
              <w:rPr>
                <w:rFonts w:ascii="Times New Roman" w:cs="Times New Roman" w:eastAsia="Times New Roman" w:hAnsi="Times New Roman"/>
                <w:sz w:val="10"/>
                <w:szCs w:val="10"/>
                <w:color w:val="auto"/>
              </w:rPr>
              <w:t>B001/B101</w:t>
            </w:r>
          </w:p>
        </w:tc>
        <w:tc>
          <w:tcPr>
            <w:tcW w:w="900" w:type="dxa"/>
            <w:vAlign w:val="bottom"/>
          </w:tcPr>
          <w:p>
            <w:pPr>
              <w:spacing w:after="0" w:line="105" w:lineRule="exact"/>
              <w:rPr>
                <w:sz w:val="20"/>
                <w:szCs w:val="20"/>
                <w:color w:val="auto"/>
              </w:rPr>
            </w:pPr>
            <w:r>
              <w:rPr>
                <w:rFonts w:ascii="Times New Roman" w:cs="Times New Roman" w:eastAsia="Times New Roman" w:hAnsi="Times New Roman"/>
                <w:sz w:val="10"/>
                <w:szCs w:val="10"/>
                <w:color w:val="auto"/>
              </w:rPr>
              <w:t>Subordinated Debt</w:t>
            </w:r>
          </w:p>
        </w:tc>
        <w:tc>
          <w:tcPr>
            <w:tcW w:w="6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320" w:type="dxa"/>
            <w:vAlign w:val="bottom"/>
            <w:gridSpan w:val="2"/>
          </w:tcPr>
          <w:p>
            <w:pPr>
              <w:ind w:left="100"/>
              <w:spacing w:after="0" w:line="105" w:lineRule="exact"/>
              <w:rPr>
                <w:sz w:val="20"/>
                <w:szCs w:val="20"/>
                <w:color w:val="auto"/>
              </w:rPr>
            </w:pPr>
            <w:r>
              <w:rPr>
                <w:rFonts w:ascii="Times New Roman" w:cs="Times New Roman" w:eastAsia="Times New Roman" w:hAnsi="Times New Roman"/>
                <w:sz w:val="10"/>
                <w:szCs w:val="10"/>
                <w:color w:val="auto"/>
              </w:rPr>
              <w:t>Shirley, MA 01464</w:t>
            </w:r>
          </w:p>
        </w:tc>
        <w:tc>
          <w:tcPr>
            <w:tcW w:w="900" w:type="dxa"/>
            <w:vAlign w:val="bottom"/>
          </w:tcPr>
          <w:p>
            <w:pPr>
              <w:spacing w:after="0" w:line="105" w:lineRule="exact"/>
              <w:rPr>
                <w:sz w:val="20"/>
                <w:szCs w:val="20"/>
                <w:color w:val="auto"/>
              </w:rPr>
            </w:pPr>
            <w:r>
              <w:rPr>
                <w:rFonts w:ascii="Times New Roman" w:cs="Times New Roman" w:eastAsia="Times New Roman" w:hAnsi="Times New Roman"/>
                <w:sz w:val="10"/>
                <w:szCs w:val="10"/>
                <w:color w:val="auto"/>
              </w:rPr>
              <w:t>Common Equity (108</w:t>
            </w:r>
          </w:p>
        </w:tc>
        <w:tc>
          <w:tcPr>
            <w:tcW w:w="6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1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0"/>
                <w:szCs w:val="10"/>
                <w:color w:val="auto"/>
              </w:rPr>
              <w:t>shares)</w:t>
            </w:r>
          </w:p>
        </w:tc>
        <w:tc>
          <w:tcPr>
            <w:tcW w:w="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0"/>
        </w:trPr>
        <w:tc>
          <w:tcPr>
            <w:tcW w:w="1320" w:type="dxa"/>
            <w:vAlign w:val="bottom"/>
            <w:gridSpan w:val="2"/>
          </w:tcPr>
          <w:p>
            <w:pPr>
              <w:spacing w:after="0"/>
              <w:rPr>
                <w:sz w:val="20"/>
                <w:szCs w:val="20"/>
                <w:color w:val="auto"/>
              </w:rPr>
            </w:pPr>
            <w:r>
              <w:rPr>
                <w:rFonts w:ascii="Times New Roman" w:cs="Times New Roman" w:eastAsia="Times New Roman" w:hAnsi="Times New Roman"/>
                <w:sz w:val="10"/>
                <w:szCs w:val="10"/>
                <w:i w:val="1"/>
                <w:iCs w:val="1"/>
                <w:color w:val="auto"/>
              </w:rPr>
              <w:t>Mayesh Wholesale Florist, LLC</w:t>
            </w:r>
          </w:p>
        </w:tc>
        <w:tc>
          <w:tcPr>
            <w:tcW w:w="900" w:type="dxa"/>
            <w:vAlign w:val="bottom"/>
          </w:tcPr>
          <w:p>
            <w:pPr>
              <w:spacing w:after="0"/>
              <w:rPr>
                <w:sz w:val="18"/>
                <w:szCs w:val="18"/>
                <w:color w:val="auto"/>
              </w:rPr>
            </w:pPr>
          </w:p>
        </w:tc>
        <w:tc>
          <w:tcPr>
            <w:tcW w:w="1000" w:type="dxa"/>
            <w:vAlign w:val="bottom"/>
            <w:gridSpan w:val="2"/>
          </w:tcPr>
          <w:p>
            <w:pPr>
              <w:ind w:left="60"/>
              <w:spacing w:after="0"/>
              <w:rPr>
                <w:sz w:val="20"/>
                <w:szCs w:val="20"/>
                <w:color w:val="auto"/>
              </w:rPr>
            </w:pPr>
            <w:r>
              <w:rPr>
                <w:rFonts w:ascii="Times New Roman" w:cs="Times New Roman" w:eastAsia="Times New Roman" w:hAnsi="Times New Roman"/>
                <w:sz w:val="10"/>
                <w:szCs w:val="10"/>
                <w:color w:val="auto"/>
              </w:rPr>
              <w:t>Specialty Distribution</w:t>
            </w:r>
          </w:p>
        </w:tc>
        <w:tc>
          <w:tcPr>
            <w:tcW w:w="0" w:type="dxa"/>
            <w:vAlign w:val="bottom"/>
          </w:tcPr>
          <w:p>
            <w:pPr>
              <w:spacing w:after="0"/>
              <w:rPr>
                <w:sz w:val="1"/>
                <w:szCs w:val="1"/>
                <w:color w:val="auto"/>
              </w:rPr>
            </w:pPr>
          </w:p>
        </w:tc>
      </w:tr>
      <w:tr>
        <w:trPr>
          <w:trHeight w:val="105"/>
        </w:trPr>
        <w:tc>
          <w:tcPr>
            <w:tcW w:w="1320" w:type="dxa"/>
            <w:vAlign w:val="bottom"/>
            <w:gridSpan w:val="2"/>
          </w:tcPr>
          <w:p>
            <w:pPr>
              <w:ind w:left="100"/>
              <w:spacing w:after="0" w:line="105" w:lineRule="exact"/>
              <w:rPr>
                <w:sz w:val="20"/>
                <w:szCs w:val="20"/>
                <w:color w:val="auto"/>
              </w:rPr>
            </w:pPr>
            <w:r>
              <w:rPr>
                <w:rFonts w:ascii="Times New Roman" w:cs="Times New Roman" w:eastAsia="Times New Roman" w:hAnsi="Times New Roman"/>
                <w:sz w:val="10"/>
                <w:szCs w:val="10"/>
                <w:color w:val="auto"/>
              </w:rPr>
              <w:t>5401 W. 104th Street</w:t>
            </w:r>
          </w:p>
        </w:tc>
        <w:tc>
          <w:tcPr>
            <w:tcW w:w="900" w:type="dxa"/>
            <w:vAlign w:val="bottom"/>
          </w:tcPr>
          <w:p>
            <w:pPr>
              <w:spacing w:after="0" w:line="105" w:lineRule="exact"/>
              <w:rPr>
                <w:sz w:val="20"/>
                <w:szCs w:val="20"/>
                <w:color w:val="auto"/>
              </w:rPr>
            </w:pPr>
            <w:r>
              <w:rPr>
                <w:rFonts w:ascii="Times New Roman" w:cs="Times New Roman" w:eastAsia="Times New Roman" w:hAnsi="Times New Roman"/>
                <w:sz w:val="10"/>
                <w:szCs w:val="10"/>
                <w:color w:val="auto"/>
                <w:w w:val="98"/>
              </w:rPr>
              <w:t>First Lien Debt (j)(be)</w:t>
            </w:r>
          </w:p>
        </w:tc>
        <w:tc>
          <w:tcPr>
            <w:tcW w:w="6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320" w:type="dxa"/>
            <w:vAlign w:val="bottom"/>
            <w:gridSpan w:val="2"/>
          </w:tcPr>
          <w:p>
            <w:pPr>
              <w:ind w:left="100"/>
              <w:spacing w:after="0" w:line="105" w:lineRule="exact"/>
              <w:rPr>
                <w:sz w:val="20"/>
                <w:szCs w:val="20"/>
                <w:color w:val="auto"/>
              </w:rPr>
            </w:pPr>
            <w:r>
              <w:rPr>
                <w:rFonts w:ascii="Times New Roman" w:cs="Times New Roman" w:eastAsia="Times New Roman" w:hAnsi="Times New Roman"/>
                <w:sz w:val="10"/>
                <w:szCs w:val="10"/>
                <w:color w:val="auto"/>
              </w:rPr>
              <w:t>Los Angeles, CA 90045</w:t>
            </w:r>
          </w:p>
        </w:tc>
        <w:tc>
          <w:tcPr>
            <w:tcW w:w="900" w:type="dxa"/>
            <w:vAlign w:val="bottom"/>
          </w:tcPr>
          <w:p>
            <w:pPr>
              <w:spacing w:after="0" w:line="105" w:lineRule="exact"/>
              <w:rPr>
                <w:sz w:val="20"/>
                <w:szCs w:val="20"/>
                <w:color w:val="auto"/>
              </w:rPr>
            </w:pPr>
            <w:r>
              <w:rPr>
                <w:rFonts w:ascii="Times New Roman" w:cs="Times New Roman" w:eastAsia="Times New Roman" w:hAnsi="Times New Roman"/>
                <w:sz w:val="10"/>
                <w:szCs w:val="10"/>
                <w:color w:val="auto"/>
              </w:rPr>
              <w:t>First Lien Debt ($500</w:t>
            </w:r>
          </w:p>
        </w:tc>
        <w:tc>
          <w:tcPr>
            <w:tcW w:w="6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tcPr>
          <w:p>
            <w:pPr>
              <w:spacing w:after="0" w:line="105" w:lineRule="exact"/>
              <w:rPr>
                <w:sz w:val="20"/>
                <w:szCs w:val="20"/>
                <w:color w:val="auto"/>
              </w:rPr>
            </w:pPr>
            <w:r>
              <w:rPr>
                <w:rFonts w:ascii="Times New Roman" w:cs="Times New Roman" w:eastAsia="Times New Roman" w:hAnsi="Times New Roman"/>
                <w:sz w:val="10"/>
                <w:szCs w:val="10"/>
                <w:color w:val="auto"/>
              </w:rPr>
              <w:t>unfunded</w:t>
            </w:r>
          </w:p>
        </w:tc>
        <w:tc>
          <w:tcPr>
            <w:tcW w:w="6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tcPr>
          <w:p>
            <w:pPr>
              <w:spacing w:after="0" w:line="105" w:lineRule="exact"/>
              <w:rPr>
                <w:sz w:val="20"/>
                <w:szCs w:val="20"/>
                <w:color w:val="auto"/>
              </w:rPr>
            </w:pPr>
            <w:r>
              <w:rPr>
                <w:rFonts w:ascii="Times New Roman" w:cs="Times New Roman" w:eastAsia="Times New Roman" w:hAnsi="Times New Roman"/>
                <w:sz w:val="10"/>
                <w:szCs w:val="10"/>
                <w:color w:val="auto"/>
              </w:rPr>
              <w:t>commitment) (i)(be)</w:t>
            </w:r>
          </w:p>
        </w:tc>
        <w:tc>
          <w:tcPr>
            <w:tcW w:w="6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tcPr>
          <w:p>
            <w:pPr>
              <w:spacing w:after="0" w:line="105" w:lineRule="exact"/>
              <w:rPr>
                <w:sz w:val="20"/>
                <w:szCs w:val="20"/>
                <w:color w:val="auto"/>
              </w:rPr>
            </w:pPr>
            <w:r>
              <w:rPr>
                <w:rFonts w:ascii="Times New Roman" w:cs="Times New Roman" w:eastAsia="Times New Roman" w:hAnsi="Times New Roman"/>
                <w:sz w:val="10"/>
                <w:szCs w:val="10"/>
                <w:color w:val="auto"/>
              </w:rPr>
              <w:t>Preferred Equity</w:t>
            </w:r>
          </w:p>
        </w:tc>
        <w:tc>
          <w:tcPr>
            <w:tcW w:w="6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1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0"/>
                <w:szCs w:val="10"/>
                <w:color w:val="auto"/>
              </w:rPr>
              <w:t>(500,000 units) (h)</w:t>
            </w:r>
          </w:p>
        </w:tc>
        <w:tc>
          <w:tcPr>
            <w:tcW w:w="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8"/>
        </w:trPr>
        <w:tc>
          <w:tcPr>
            <w:tcW w:w="1320" w:type="dxa"/>
            <w:vAlign w:val="bottom"/>
            <w:gridSpan w:val="2"/>
          </w:tcPr>
          <w:p>
            <w:pPr>
              <w:spacing w:after="0"/>
              <w:rPr>
                <w:sz w:val="20"/>
                <w:szCs w:val="20"/>
                <w:color w:val="auto"/>
              </w:rPr>
            </w:pPr>
            <w:r>
              <w:rPr>
                <w:rFonts w:ascii="Times New Roman" w:cs="Times New Roman" w:eastAsia="Times New Roman" w:hAnsi="Times New Roman"/>
                <w:sz w:val="10"/>
                <w:szCs w:val="10"/>
                <w:i w:val="1"/>
                <w:iCs w:val="1"/>
                <w:color w:val="auto"/>
              </w:rPr>
              <w:t>MBS Opco, LLC (dba</w:t>
            </w:r>
          </w:p>
        </w:tc>
        <w:tc>
          <w:tcPr>
            <w:tcW w:w="900" w:type="dxa"/>
            <w:vAlign w:val="bottom"/>
          </w:tcPr>
          <w:p>
            <w:pPr>
              <w:spacing w:after="0"/>
              <w:rPr>
                <w:sz w:val="18"/>
                <w:szCs w:val="18"/>
                <w:color w:val="auto"/>
              </w:rPr>
            </w:pPr>
          </w:p>
        </w:tc>
        <w:tc>
          <w:tcPr>
            <w:tcW w:w="1000" w:type="dxa"/>
            <w:vAlign w:val="bottom"/>
            <w:gridSpan w:val="2"/>
          </w:tcPr>
          <w:p>
            <w:pPr>
              <w:ind w:left="60"/>
              <w:spacing w:after="0"/>
              <w:rPr>
                <w:sz w:val="20"/>
                <w:szCs w:val="20"/>
                <w:color w:val="auto"/>
              </w:rPr>
            </w:pPr>
            <w:r>
              <w:rPr>
                <w:rFonts w:ascii="Times New Roman" w:cs="Times New Roman" w:eastAsia="Times New Roman" w:hAnsi="Times New Roman"/>
                <w:sz w:val="10"/>
                <w:szCs w:val="10"/>
                <w:color w:val="auto"/>
              </w:rPr>
              <w:t>Information</w:t>
            </w:r>
          </w:p>
        </w:tc>
        <w:tc>
          <w:tcPr>
            <w:tcW w:w="0" w:type="dxa"/>
            <w:vAlign w:val="bottom"/>
          </w:tcPr>
          <w:p>
            <w:pPr>
              <w:spacing w:after="0"/>
              <w:rPr>
                <w:sz w:val="1"/>
                <w:szCs w:val="1"/>
                <w:color w:val="auto"/>
              </w:rPr>
            </w:pPr>
          </w:p>
        </w:tc>
      </w:tr>
      <w:tr>
        <w:trPr>
          <w:trHeight w:val="107"/>
        </w:trPr>
        <w:tc>
          <w:tcPr>
            <w:tcW w:w="1320" w:type="dxa"/>
            <w:vAlign w:val="bottom"/>
            <w:gridSpan w:val="2"/>
          </w:tcPr>
          <w:p>
            <w:pPr>
              <w:spacing w:after="0" w:line="107" w:lineRule="exact"/>
              <w:rPr>
                <w:sz w:val="20"/>
                <w:szCs w:val="20"/>
                <w:color w:val="auto"/>
              </w:rPr>
            </w:pPr>
            <w:r>
              <w:rPr>
                <w:rFonts w:ascii="Times New Roman" w:cs="Times New Roman" w:eastAsia="Times New Roman" w:hAnsi="Times New Roman"/>
                <w:sz w:val="10"/>
                <w:szCs w:val="10"/>
                <w:i w:val="1"/>
                <w:iCs w:val="1"/>
                <w:color w:val="auto"/>
              </w:rPr>
              <w:t>Marketron)</w:t>
            </w:r>
          </w:p>
        </w:tc>
        <w:tc>
          <w:tcPr>
            <w:tcW w:w="900" w:type="dxa"/>
            <w:vAlign w:val="bottom"/>
          </w:tcPr>
          <w:p>
            <w:pPr>
              <w:spacing w:after="0"/>
              <w:rPr>
                <w:sz w:val="9"/>
                <w:szCs w:val="9"/>
                <w:color w:val="auto"/>
              </w:rPr>
            </w:pPr>
          </w:p>
        </w:tc>
        <w:tc>
          <w:tcPr>
            <w:tcW w:w="1000" w:type="dxa"/>
            <w:vAlign w:val="bottom"/>
            <w:gridSpan w:val="2"/>
          </w:tcPr>
          <w:p>
            <w:pPr>
              <w:ind w:left="60"/>
              <w:spacing w:after="0" w:line="107" w:lineRule="exact"/>
              <w:rPr>
                <w:sz w:val="20"/>
                <w:szCs w:val="20"/>
                <w:color w:val="auto"/>
              </w:rPr>
            </w:pPr>
            <w:r>
              <w:rPr>
                <w:rFonts w:ascii="Times New Roman" w:cs="Times New Roman" w:eastAsia="Times New Roman" w:hAnsi="Times New Roman"/>
                <w:sz w:val="10"/>
                <w:szCs w:val="10"/>
                <w:color w:val="auto"/>
              </w:rPr>
              <w:t>Technology Services</w:t>
            </w:r>
          </w:p>
        </w:tc>
        <w:tc>
          <w:tcPr>
            <w:tcW w:w="0" w:type="dxa"/>
            <w:vAlign w:val="bottom"/>
          </w:tcPr>
          <w:p>
            <w:pPr>
              <w:spacing w:after="0"/>
              <w:rPr>
                <w:sz w:val="1"/>
                <w:szCs w:val="1"/>
                <w:color w:val="auto"/>
              </w:rPr>
            </w:pPr>
          </w:p>
        </w:tc>
      </w:tr>
      <w:tr>
        <w:trPr>
          <w:trHeight w:val="105"/>
        </w:trPr>
        <w:tc>
          <w:tcPr>
            <w:tcW w:w="1320" w:type="dxa"/>
            <w:vAlign w:val="bottom"/>
            <w:gridSpan w:val="2"/>
          </w:tcPr>
          <w:p>
            <w:pPr>
              <w:ind w:left="100"/>
              <w:spacing w:after="0" w:line="105" w:lineRule="exact"/>
              <w:rPr>
                <w:sz w:val="20"/>
                <w:szCs w:val="20"/>
                <w:color w:val="auto"/>
              </w:rPr>
            </w:pPr>
            <w:r>
              <w:rPr>
                <w:rFonts w:ascii="Times New Roman" w:cs="Times New Roman" w:eastAsia="Times New Roman" w:hAnsi="Times New Roman"/>
                <w:sz w:val="10"/>
                <w:szCs w:val="10"/>
                <w:color w:val="auto"/>
              </w:rPr>
              <w:t>101 Empty Saddle Trail</w:t>
            </w:r>
          </w:p>
        </w:tc>
        <w:tc>
          <w:tcPr>
            <w:tcW w:w="900" w:type="dxa"/>
            <w:vAlign w:val="bottom"/>
          </w:tcPr>
          <w:p>
            <w:pPr>
              <w:spacing w:after="0"/>
              <w:rPr>
                <w:sz w:val="9"/>
                <w:szCs w:val="9"/>
                <w:color w:val="auto"/>
              </w:rPr>
            </w:pPr>
          </w:p>
        </w:tc>
        <w:tc>
          <w:tcPr>
            <w:tcW w:w="6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1320" w:type="dxa"/>
            <w:vAlign w:val="bottom"/>
            <w:gridSpan w:val="2"/>
          </w:tcPr>
          <w:p>
            <w:pPr>
              <w:ind w:left="100"/>
              <w:spacing w:after="0"/>
              <w:rPr>
                <w:sz w:val="20"/>
                <w:szCs w:val="20"/>
                <w:color w:val="auto"/>
              </w:rPr>
            </w:pPr>
            <w:r>
              <w:rPr>
                <w:rFonts w:ascii="Times New Roman" w:cs="Times New Roman" w:eastAsia="Times New Roman" w:hAnsi="Times New Roman"/>
                <w:sz w:val="10"/>
                <w:szCs w:val="10"/>
                <w:color w:val="auto"/>
              </w:rPr>
              <w:t>Hailey, ID 83333</w:t>
            </w:r>
          </w:p>
        </w:tc>
        <w:tc>
          <w:tcPr>
            <w:tcW w:w="900" w:type="dxa"/>
            <w:vAlign w:val="bottom"/>
          </w:tcPr>
          <w:p>
            <w:pPr>
              <w:spacing w:after="0"/>
              <w:rPr>
                <w:sz w:val="20"/>
                <w:szCs w:val="20"/>
                <w:color w:val="auto"/>
              </w:rPr>
            </w:pPr>
            <w:r>
              <w:rPr>
                <w:rFonts w:ascii="Times New Roman" w:cs="Times New Roman" w:eastAsia="Times New Roman" w:hAnsi="Times New Roman"/>
                <w:sz w:val="10"/>
                <w:szCs w:val="10"/>
                <w:color w:val="auto"/>
              </w:rPr>
              <w:t>First Lien Debt</w:t>
            </w:r>
          </w:p>
        </w:tc>
        <w:tc>
          <w:tcPr>
            <w:tcW w:w="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1320" w:type="dxa"/>
            <w:vAlign w:val="bottom"/>
            <w:gridSpan w:val="2"/>
          </w:tcPr>
          <w:p>
            <w:pPr>
              <w:spacing w:after="0"/>
              <w:rPr>
                <w:sz w:val="20"/>
                <w:szCs w:val="20"/>
                <w:color w:val="auto"/>
              </w:rPr>
            </w:pPr>
            <w:r>
              <w:rPr>
                <w:rFonts w:ascii="Times New Roman" w:cs="Times New Roman" w:eastAsia="Times New Roman" w:hAnsi="Times New Roman"/>
                <w:sz w:val="10"/>
                <w:szCs w:val="10"/>
                <w:i w:val="1"/>
                <w:iCs w:val="1"/>
                <w:color w:val="auto"/>
              </w:rPr>
              <w:t>MDME Holding Corp.</w:t>
            </w:r>
          </w:p>
        </w:tc>
        <w:tc>
          <w:tcPr>
            <w:tcW w:w="900" w:type="dxa"/>
            <w:vAlign w:val="bottom"/>
          </w:tcPr>
          <w:p>
            <w:pPr>
              <w:spacing w:after="0"/>
              <w:rPr>
                <w:sz w:val="14"/>
                <w:szCs w:val="14"/>
                <w:color w:val="auto"/>
              </w:rPr>
            </w:pPr>
          </w:p>
        </w:tc>
        <w:tc>
          <w:tcPr>
            <w:tcW w:w="1000" w:type="dxa"/>
            <w:vAlign w:val="bottom"/>
            <w:gridSpan w:val="2"/>
          </w:tcPr>
          <w:p>
            <w:pPr>
              <w:ind w:left="60"/>
              <w:spacing w:after="0"/>
              <w:rPr>
                <w:sz w:val="20"/>
                <w:szCs w:val="20"/>
                <w:color w:val="auto"/>
              </w:rPr>
            </w:pPr>
            <w:r>
              <w:rPr>
                <w:rFonts w:ascii="Times New Roman" w:cs="Times New Roman" w:eastAsia="Times New Roman" w:hAnsi="Times New Roman"/>
                <w:sz w:val="10"/>
                <w:szCs w:val="10"/>
                <w:color w:val="auto"/>
              </w:rPr>
              <w:t>Healthcare Products</w:t>
            </w:r>
          </w:p>
        </w:tc>
        <w:tc>
          <w:tcPr>
            <w:tcW w:w="0" w:type="dxa"/>
            <w:vAlign w:val="bottom"/>
          </w:tcPr>
          <w:p>
            <w:pPr>
              <w:spacing w:after="0"/>
              <w:rPr>
                <w:sz w:val="1"/>
                <w:szCs w:val="1"/>
                <w:color w:val="auto"/>
              </w:rPr>
            </w:pPr>
          </w:p>
        </w:tc>
      </w:tr>
      <w:tr>
        <w:trPr>
          <w:trHeight w:val="105"/>
        </w:trPr>
        <w:tc>
          <w:tcPr>
            <w:tcW w:w="1320" w:type="dxa"/>
            <w:vAlign w:val="bottom"/>
            <w:gridSpan w:val="2"/>
          </w:tcPr>
          <w:p>
            <w:pPr>
              <w:ind w:left="100"/>
              <w:spacing w:after="0" w:line="105" w:lineRule="exact"/>
              <w:rPr>
                <w:sz w:val="20"/>
                <w:szCs w:val="20"/>
                <w:color w:val="auto"/>
              </w:rPr>
            </w:pPr>
            <w:r>
              <w:rPr>
                <w:rFonts w:ascii="Times New Roman" w:cs="Times New Roman" w:eastAsia="Times New Roman" w:hAnsi="Times New Roman"/>
                <w:sz w:val="10"/>
                <w:szCs w:val="10"/>
                <w:color w:val="auto"/>
              </w:rPr>
              <w:t>14109 Pontlavoy Ave.</w:t>
            </w:r>
          </w:p>
        </w:tc>
        <w:tc>
          <w:tcPr>
            <w:tcW w:w="900" w:type="dxa"/>
            <w:vAlign w:val="bottom"/>
          </w:tcPr>
          <w:p>
            <w:pPr>
              <w:spacing w:after="0" w:line="105" w:lineRule="exact"/>
              <w:rPr>
                <w:sz w:val="20"/>
                <w:szCs w:val="20"/>
                <w:color w:val="auto"/>
              </w:rPr>
            </w:pPr>
            <w:r>
              <w:rPr>
                <w:rFonts w:ascii="Times New Roman" w:cs="Times New Roman" w:eastAsia="Times New Roman" w:hAnsi="Times New Roman"/>
                <w:sz w:val="10"/>
                <w:szCs w:val="10"/>
                <w:color w:val="auto"/>
              </w:rPr>
              <w:t>First Lien Debt</w:t>
            </w:r>
          </w:p>
        </w:tc>
        <w:tc>
          <w:tcPr>
            <w:tcW w:w="6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320" w:type="dxa"/>
            <w:vAlign w:val="bottom"/>
            <w:gridSpan w:val="2"/>
          </w:tcPr>
          <w:p>
            <w:pPr>
              <w:ind w:left="100"/>
              <w:spacing w:after="0" w:line="105" w:lineRule="exact"/>
              <w:rPr>
                <w:sz w:val="20"/>
                <w:szCs w:val="20"/>
                <w:color w:val="auto"/>
              </w:rPr>
            </w:pPr>
            <w:r>
              <w:rPr>
                <w:rFonts w:ascii="Times New Roman" w:cs="Times New Roman" w:eastAsia="Times New Roman" w:hAnsi="Times New Roman"/>
                <w:sz w:val="10"/>
                <w:szCs w:val="10"/>
                <w:color w:val="auto"/>
              </w:rPr>
              <w:t>Santa Fe Springs, CA 90670</w:t>
            </w:r>
          </w:p>
        </w:tc>
        <w:tc>
          <w:tcPr>
            <w:tcW w:w="900" w:type="dxa"/>
            <w:vAlign w:val="bottom"/>
          </w:tcPr>
          <w:p>
            <w:pPr>
              <w:spacing w:after="0" w:line="105" w:lineRule="exact"/>
              <w:rPr>
                <w:sz w:val="20"/>
                <w:szCs w:val="20"/>
                <w:color w:val="auto"/>
              </w:rPr>
            </w:pPr>
            <w:r>
              <w:rPr>
                <w:rFonts w:ascii="Times New Roman" w:cs="Times New Roman" w:eastAsia="Times New Roman" w:hAnsi="Times New Roman"/>
                <w:sz w:val="10"/>
                <w:szCs w:val="10"/>
                <w:color w:val="auto"/>
              </w:rPr>
              <w:t>Common Equity</w:t>
            </w:r>
          </w:p>
        </w:tc>
        <w:tc>
          <w:tcPr>
            <w:tcW w:w="6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tcPr>
          <w:p>
            <w:pPr>
              <w:spacing w:after="0" w:line="105" w:lineRule="exact"/>
              <w:rPr>
                <w:sz w:val="20"/>
                <w:szCs w:val="20"/>
                <w:color w:val="auto"/>
              </w:rPr>
            </w:pPr>
            <w:r>
              <w:rPr>
                <w:rFonts w:ascii="Times New Roman" w:cs="Times New Roman" w:eastAsia="Times New Roman" w:hAnsi="Times New Roman"/>
                <w:sz w:val="10"/>
                <w:szCs w:val="10"/>
                <w:color w:val="auto"/>
              </w:rPr>
              <w:t>(5,149 units)</w:t>
            </w:r>
          </w:p>
        </w:tc>
        <w:tc>
          <w:tcPr>
            <w:tcW w:w="6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tcPr>
          <w:p>
            <w:pPr>
              <w:spacing w:after="0" w:line="105" w:lineRule="exact"/>
              <w:rPr>
                <w:sz w:val="20"/>
                <w:szCs w:val="20"/>
                <w:color w:val="auto"/>
              </w:rPr>
            </w:pPr>
            <w:r>
              <w:rPr>
                <w:rFonts w:ascii="Times New Roman" w:cs="Times New Roman" w:eastAsia="Times New Roman" w:hAnsi="Times New Roman"/>
                <w:sz w:val="10"/>
                <w:szCs w:val="10"/>
                <w:color w:val="auto"/>
              </w:rPr>
              <w:t>Preferred Equity</w:t>
            </w:r>
          </w:p>
        </w:tc>
        <w:tc>
          <w:tcPr>
            <w:tcW w:w="6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tcPr>
          <w:p>
            <w:pPr>
              <w:spacing w:after="0" w:line="105" w:lineRule="exact"/>
              <w:rPr>
                <w:sz w:val="20"/>
                <w:szCs w:val="20"/>
                <w:color w:val="auto"/>
              </w:rPr>
            </w:pPr>
            <w:r>
              <w:rPr>
                <w:rFonts w:ascii="Times New Roman" w:cs="Times New Roman" w:eastAsia="Times New Roman" w:hAnsi="Times New Roman"/>
                <w:sz w:val="10"/>
                <w:szCs w:val="10"/>
                <w:color w:val="auto"/>
              </w:rPr>
              <w:t>(12,500 units)</w:t>
            </w:r>
          </w:p>
        </w:tc>
        <w:tc>
          <w:tcPr>
            <w:tcW w:w="6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tcPr>
          <w:p>
            <w:pPr>
              <w:spacing w:after="0" w:line="105" w:lineRule="exact"/>
              <w:rPr>
                <w:sz w:val="20"/>
                <w:szCs w:val="20"/>
                <w:color w:val="auto"/>
              </w:rPr>
            </w:pPr>
            <w:r>
              <w:rPr>
                <w:rFonts w:ascii="Times New Roman" w:cs="Times New Roman" w:eastAsia="Times New Roman" w:hAnsi="Times New Roman"/>
                <w:sz w:val="10"/>
                <w:szCs w:val="10"/>
                <w:color w:val="auto"/>
              </w:rPr>
              <w:t>Preferred Equity (713</w:t>
            </w:r>
          </w:p>
        </w:tc>
        <w:tc>
          <w:tcPr>
            <w:tcW w:w="6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1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0"/>
                <w:szCs w:val="10"/>
                <w:color w:val="auto"/>
              </w:rPr>
              <w:t>units)</w:t>
            </w:r>
          </w:p>
        </w:tc>
        <w:tc>
          <w:tcPr>
            <w:tcW w:w="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0"/>
        </w:trPr>
        <w:tc>
          <w:tcPr>
            <w:tcW w:w="1320" w:type="dxa"/>
            <w:vAlign w:val="bottom"/>
            <w:gridSpan w:val="2"/>
          </w:tcPr>
          <w:p>
            <w:pPr>
              <w:spacing w:after="0"/>
              <w:rPr>
                <w:sz w:val="20"/>
                <w:szCs w:val="20"/>
                <w:color w:val="auto"/>
              </w:rPr>
            </w:pPr>
            <w:r>
              <w:rPr>
                <w:rFonts w:ascii="Times New Roman" w:cs="Times New Roman" w:eastAsia="Times New Roman" w:hAnsi="Times New Roman"/>
                <w:sz w:val="10"/>
                <w:szCs w:val="10"/>
                <w:i w:val="1"/>
                <w:iCs w:val="1"/>
                <w:color w:val="auto"/>
              </w:rPr>
              <w:t>MRC Drake Buyer LLC</w:t>
            </w:r>
          </w:p>
        </w:tc>
        <w:tc>
          <w:tcPr>
            <w:tcW w:w="900" w:type="dxa"/>
            <w:vAlign w:val="bottom"/>
          </w:tcPr>
          <w:p>
            <w:pPr>
              <w:spacing w:after="0"/>
              <w:rPr>
                <w:sz w:val="18"/>
                <w:szCs w:val="18"/>
                <w:color w:val="auto"/>
              </w:rPr>
            </w:pPr>
          </w:p>
        </w:tc>
        <w:tc>
          <w:tcPr>
            <w:tcW w:w="1000" w:type="dxa"/>
            <w:vAlign w:val="bottom"/>
            <w:gridSpan w:val="2"/>
          </w:tcPr>
          <w:p>
            <w:pPr>
              <w:ind w:left="60"/>
              <w:spacing w:after="0"/>
              <w:rPr>
                <w:sz w:val="20"/>
                <w:szCs w:val="20"/>
                <w:color w:val="auto"/>
              </w:rPr>
            </w:pPr>
            <w:r>
              <w:rPr>
                <w:rFonts w:ascii="Times New Roman" w:cs="Times New Roman" w:eastAsia="Times New Roman" w:hAnsi="Times New Roman"/>
                <w:sz w:val="10"/>
                <w:szCs w:val="10"/>
                <w:color w:val="auto"/>
              </w:rPr>
              <w:t>Component</w:t>
            </w:r>
          </w:p>
        </w:tc>
        <w:tc>
          <w:tcPr>
            <w:tcW w:w="0" w:type="dxa"/>
            <w:vAlign w:val="bottom"/>
          </w:tcPr>
          <w:p>
            <w:pPr>
              <w:spacing w:after="0"/>
              <w:rPr>
                <w:sz w:val="1"/>
                <w:szCs w:val="1"/>
                <w:color w:val="auto"/>
              </w:rPr>
            </w:pPr>
          </w:p>
        </w:tc>
      </w:tr>
      <w:tr>
        <w:trPr>
          <w:trHeight w:val="125"/>
        </w:trPr>
        <w:tc>
          <w:tcPr>
            <w:tcW w:w="13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0"/>
                <w:szCs w:val="10"/>
                <w:color w:val="auto"/>
              </w:rPr>
              <w:t>5 Walkup Drive</w:t>
            </w:r>
          </w:p>
        </w:tc>
        <w:tc>
          <w:tcPr>
            <w:tcW w:w="900" w:type="dxa"/>
            <w:vAlign w:val="bottom"/>
            <w:vMerge w:val="restart"/>
          </w:tcPr>
          <w:p>
            <w:pPr>
              <w:spacing w:after="0"/>
              <w:rPr>
                <w:sz w:val="20"/>
                <w:szCs w:val="20"/>
                <w:color w:val="auto"/>
              </w:rPr>
            </w:pPr>
            <w:r>
              <w:rPr>
                <w:rFonts w:ascii="Times New Roman" w:cs="Times New Roman" w:eastAsia="Times New Roman" w:hAnsi="Times New Roman"/>
                <w:sz w:val="10"/>
                <w:szCs w:val="10"/>
                <w:color w:val="auto"/>
              </w:rPr>
              <w:t>First Lien Debt (j)(p)</w:t>
            </w:r>
          </w:p>
        </w:tc>
        <w:tc>
          <w:tcPr>
            <w:tcW w:w="1000" w:type="dxa"/>
            <w:vAlign w:val="bottom"/>
            <w:gridSpan w:val="2"/>
          </w:tcPr>
          <w:p>
            <w:pPr>
              <w:ind w:left="60"/>
              <w:spacing w:after="0"/>
              <w:rPr>
                <w:sz w:val="20"/>
                <w:szCs w:val="20"/>
                <w:color w:val="auto"/>
              </w:rPr>
            </w:pPr>
            <w:r>
              <w:rPr>
                <w:rFonts w:ascii="Times New Roman" w:cs="Times New Roman" w:eastAsia="Times New Roman" w:hAnsi="Times New Roman"/>
                <w:sz w:val="10"/>
                <w:szCs w:val="10"/>
                <w:color w:val="auto"/>
              </w:rPr>
              <w:t>Manufacturing</w:t>
            </w:r>
          </w:p>
        </w:tc>
        <w:tc>
          <w:tcPr>
            <w:tcW w:w="0" w:type="dxa"/>
            <w:vAlign w:val="bottom"/>
          </w:tcPr>
          <w:p>
            <w:pPr>
              <w:spacing w:after="0"/>
              <w:rPr>
                <w:sz w:val="1"/>
                <w:szCs w:val="1"/>
                <w:color w:val="auto"/>
              </w:rPr>
            </w:pPr>
          </w:p>
        </w:tc>
      </w:tr>
      <w:tr>
        <w:trPr>
          <w:trHeight w:val="84"/>
        </w:trPr>
        <w:tc>
          <w:tcPr>
            <w:tcW w:w="1320" w:type="dxa"/>
            <w:vAlign w:val="bottom"/>
            <w:gridSpan w:val="2"/>
            <w:vMerge w:val="continue"/>
          </w:tcPr>
          <w:p>
            <w:pPr>
              <w:spacing w:after="0"/>
              <w:rPr>
                <w:sz w:val="7"/>
                <w:szCs w:val="7"/>
                <w:color w:val="auto"/>
              </w:rPr>
            </w:pPr>
          </w:p>
        </w:tc>
        <w:tc>
          <w:tcPr>
            <w:tcW w:w="90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9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5"/>
        </w:trPr>
        <w:tc>
          <w:tcPr>
            <w:tcW w:w="1320" w:type="dxa"/>
            <w:vAlign w:val="bottom"/>
            <w:gridSpan w:val="2"/>
          </w:tcPr>
          <w:p>
            <w:pPr>
              <w:ind w:left="100"/>
              <w:spacing w:after="0" w:line="105" w:lineRule="exact"/>
              <w:rPr>
                <w:sz w:val="20"/>
                <w:szCs w:val="20"/>
                <w:color w:val="auto"/>
              </w:rPr>
            </w:pPr>
            <w:r>
              <w:rPr>
                <w:rFonts w:ascii="Times New Roman" w:cs="Times New Roman" w:eastAsia="Times New Roman" w:hAnsi="Times New Roman"/>
                <w:sz w:val="10"/>
                <w:szCs w:val="10"/>
                <w:color w:val="auto"/>
              </w:rPr>
              <w:t>Westborough, MA 05181</w:t>
            </w:r>
          </w:p>
        </w:tc>
        <w:tc>
          <w:tcPr>
            <w:tcW w:w="900" w:type="dxa"/>
            <w:vAlign w:val="bottom"/>
          </w:tcPr>
          <w:p>
            <w:pPr>
              <w:spacing w:after="0" w:line="105" w:lineRule="exact"/>
              <w:rPr>
                <w:sz w:val="20"/>
                <w:szCs w:val="20"/>
                <w:color w:val="auto"/>
              </w:rPr>
            </w:pPr>
            <w:r>
              <w:rPr>
                <w:rFonts w:ascii="Times New Roman" w:cs="Times New Roman" w:eastAsia="Times New Roman" w:hAnsi="Times New Roman"/>
                <w:sz w:val="10"/>
                <w:szCs w:val="10"/>
                <w:color w:val="auto"/>
              </w:rPr>
              <w:t>Common Equity</w:t>
            </w:r>
          </w:p>
        </w:tc>
        <w:tc>
          <w:tcPr>
            <w:tcW w:w="6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tcPr>
          <w:p>
            <w:pPr>
              <w:spacing w:after="0" w:line="105" w:lineRule="exact"/>
              <w:rPr>
                <w:sz w:val="20"/>
                <w:szCs w:val="20"/>
                <w:color w:val="auto"/>
              </w:rPr>
            </w:pPr>
            <w:r>
              <w:rPr>
                <w:rFonts w:ascii="Times New Roman" w:cs="Times New Roman" w:eastAsia="Times New Roman" w:hAnsi="Times New Roman"/>
                <w:sz w:val="10"/>
                <w:szCs w:val="10"/>
                <w:color w:val="auto"/>
              </w:rPr>
              <w:t>(750,000 units)</w:t>
            </w:r>
          </w:p>
        </w:tc>
        <w:tc>
          <w:tcPr>
            <w:tcW w:w="6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tcPr>
          <w:p>
            <w:pPr>
              <w:spacing w:after="0" w:line="105" w:lineRule="exact"/>
              <w:rPr>
                <w:sz w:val="20"/>
                <w:szCs w:val="20"/>
                <w:color w:val="auto"/>
              </w:rPr>
            </w:pPr>
            <w:r>
              <w:rPr>
                <w:rFonts w:ascii="Times New Roman" w:cs="Times New Roman" w:eastAsia="Times New Roman" w:hAnsi="Times New Roman"/>
                <w:sz w:val="10"/>
                <w:szCs w:val="10"/>
                <w:color w:val="auto"/>
              </w:rPr>
              <w:t>Common Equity</w:t>
            </w:r>
          </w:p>
        </w:tc>
        <w:tc>
          <w:tcPr>
            <w:tcW w:w="6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1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0"/>
                <w:szCs w:val="10"/>
                <w:color w:val="auto"/>
              </w:rPr>
              <w:t>(750,000 units)</w:t>
            </w:r>
          </w:p>
        </w:tc>
        <w:tc>
          <w:tcPr>
            <w:tcW w:w="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8"/>
        </w:trPr>
        <w:tc>
          <w:tcPr>
            <w:tcW w:w="1320" w:type="dxa"/>
            <w:vAlign w:val="bottom"/>
            <w:gridSpan w:val="2"/>
          </w:tcPr>
          <w:p>
            <w:pPr>
              <w:spacing w:after="0"/>
              <w:rPr>
                <w:sz w:val="20"/>
                <w:szCs w:val="20"/>
                <w:color w:val="auto"/>
              </w:rPr>
            </w:pPr>
            <w:r>
              <w:rPr>
                <w:rFonts w:ascii="Times New Roman" w:cs="Times New Roman" w:eastAsia="Times New Roman" w:hAnsi="Times New Roman"/>
                <w:sz w:val="10"/>
                <w:szCs w:val="10"/>
                <w:i w:val="1"/>
                <w:iCs w:val="1"/>
                <w:color w:val="auto"/>
              </w:rPr>
              <w:t>Netbase Solutions, Inc. (dba</w:t>
            </w:r>
          </w:p>
        </w:tc>
        <w:tc>
          <w:tcPr>
            <w:tcW w:w="900" w:type="dxa"/>
            <w:vAlign w:val="bottom"/>
          </w:tcPr>
          <w:p>
            <w:pPr>
              <w:spacing w:after="0"/>
              <w:rPr>
                <w:sz w:val="18"/>
                <w:szCs w:val="18"/>
                <w:color w:val="auto"/>
              </w:rPr>
            </w:pPr>
          </w:p>
        </w:tc>
        <w:tc>
          <w:tcPr>
            <w:tcW w:w="1000" w:type="dxa"/>
            <w:vAlign w:val="bottom"/>
            <w:gridSpan w:val="2"/>
          </w:tcPr>
          <w:p>
            <w:pPr>
              <w:ind w:left="60"/>
              <w:spacing w:after="0"/>
              <w:rPr>
                <w:sz w:val="20"/>
                <w:szCs w:val="20"/>
                <w:color w:val="auto"/>
              </w:rPr>
            </w:pPr>
            <w:r>
              <w:rPr>
                <w:rFonts w:ascii="Times New Roman" w:cs="Times New Roman" w:eastAsia="Times New Roman" w:hAnsi="Times New Roman"/>
                <w:sz w:val="10"/>
                <w:szCs w:val="10"/>
                <w:color w:val="auto"/>
              </w:rPr>
              <w:t>Information</w:t>
            </w:r>
          </w:p>
        </w:tc>
        <w:tc>
          <w:tcPr>
            <w:tcW w:w="0" w:type="dxa"/>
            <w:vAlign w:val="bottom"/>
          </w:tcPr>
          <w:p>
            <w:pPr>
              <w:spacing w:after="0"/>
              <w:rPr>
                <w:sz w:val="1"/>
                <w:szCs w:val="1"/>
                <w:color w:val="auto"/>
              </w:rPr>
            </w:pPr>
          </w:p>
        </w:tc>
      </w:tr>
      <w:tr>
        <w:trPr>
          <w:trHeight w:val="107"/>
        </w:trPr>
        <w:tc>
          <w:tcPr>
            <w:tcW w:w="1320" w:type="dxa"/>
            <w:vAlign w:val="bottom"/>
            <w:gridSpan w:val="2"/>
          </w:tcPr>
          <w:p>
            <w:pPr>
              <w:spacing w:after="0" w:line="107" w:lineRule="exact"/>
              <w:rPr>
                <w:sz w:val="20"/>
                <w:szCs w:val="20"/>
                <w:color w:val="auto"/>
              </w:rPr>
            </w:pPr>
            <w:r>
              <w:rPr>
                <w:rFonts w:ascii="Times New Roman" w:cs="Times New Roman" w:eastAsia="Times New Roman" w:hAnsi="Times New Roman"/>
                <w:sz w:val="10"/>
                <w:szCs w:val="10"/>
                <w:i w:val="1"/>
                <w:iCs w:val="1"/>
                <w:color w:val="auto"/>
              </w:rPr>
              <w:t>Netbase Quid)</w:t>
            </w:r>
          </w:p>
        </w:tc>
        <w:tc>
          <w:tcPr>
            <w:tcW w:w="900" w:type="dxa"/>
            <w:vAlign w:val="bottom"/>
          </w:tcPr>
          <w:p>
            <w:pPr>
              <w:spacing w:after="0"/>
              <w:rPr>
                <w:sz w:val="9"/>
                <w:szCs w:val="9"/>
                <w:color w:val="auto"/>
              </w:rPr>
            </w:pPr>
          </w:p>
        </w:tc>
        <w:tc>
          <w:tcPr>
            <w:tcW w:w="1000" w:type="dxa"/>
            <w:vAlign w:val="bottom"/>
            <w:gridSpan w:val="2"/>
          </w:tcPr>
          <w:p>
            <w:pPr>
              <w:ind w:left="60"/>
              <w:spacing w:after="0" w:line="107" w:lineRule="exact"/>
              <w:rPr>
                <w:sz w:val="20"/>
                <w:szCs w:val="20"/>
                <w:color w:val="auto"/>
              </w:rPr>
            </w:pPr>
            <w:r>
              <w:rPr>
                <w:rFonts w:ascii="Times New Roman" w:cs="Times New Roman" w:eastAsia="Times New Roman" w:hAnsi="Times New Roman"/>
                <w:sz w:val="10"/>
                <w:szCs w:val="10"/>
                <w:color w:val="auto"/>
              </w:rPr>
              <w:t>Technology Services</w:t>
            </w:r>
          </w:p>
        </w:tc>
        <w:tc>
          <w:tcPr>
            <w:tcW w:w="0" w:type="dxa"/>
            <w:vAlign w:val="bottom"/>
          </w:tcPr>
          <w:p>
            <w:pPr>
              <w:spacing w:after="0"/>
              <w:rPr>
                <w:sz w:val="1"/>
                <w:szCs w:val="1"/>
                <w:color w:val="auto"/>
              </w:rPr>
            </w:pPr>
          </w:p>
        </w:tc>
      </w:tr>
      <w:tr>
        <w:trPr>
          <w:trHeight w:val="105"/>
        </w:trPr>
        <w:tc>
          <w:tcPr>
            <w:tcW w:w="1320" w:type="dxa"/>
            <w:vAlign w:val="bottom"/>
            <w:gridSpan w:val="2"/>
          </w:tcPr>
          <w:p>
            <w:pPr>
              <w:ind w:left="100"/>
              <w:spacing w:after="0" w:line="105" w:lineRule="exact"/>
              <w:rPr>
                <w:sz w:val="20"/>
                <w:szCs w:val="20"/>
                <w:color w:val="auto"/>
              </w:rPr>
            </w:pPr>
            <w:r>
              <w:rPr>
                <w:rFonts w:ascii="Times New Roman" w:cs="Times New Roman" w:eastAsia="Times New Roman" w:hAnsi="Times New Roman"/>
                <w:sz w:val="10"/>
                <w:szCs w:val="10"/>
                <w:color w:val="auto"/>
              </w:rPr>
              <w:t>3945 Freedom Circle, Suite</w:t>
            </w:r>
          </w:p>
        </w:tc>
        <w:tc>
          <w:tcPr>
            <w:tcW w:w="900" w:type="dxa"/>
            <w:vAlign w:val="bottom"/>
          </w:tcPr>
          <w:p>
            <w:pPr>
              <w:spacing w:after="0"/>
              <w:rPr>
                <w:sz w:val="9"/>
                <w:szCs w:val="9"/>
                <w:color w:val="auto"/>
              </w:rPr>
            </w:pPr>
          </w:p>
        </w:tc>
        <w:tc>
          <w:tcPr>
            <w:tcW w:w="6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1320" w:type="dxa"/>
            <w:vAlign w:val="bottom"/>
            <w:gridSpan w:val="2"/>
          </w:tcPr>
          <w:p>
            <w:pPr>
              <w:ind w:left="100"/>
              <w:spacing w:after="0"/>
              <w:rPr>
                <w:sz w:val="20"/>
                <w:szCs w:val="20"/>
                <w:color w:val="auto"/>
              </w:rPr>
            </w:pPr>
            <w:r>
              <w:rPr>
                <w:rFonts w:ascii="Times New Roman" w:cs="Times New Roman" w:eastAsia="Times New Roman" w:hAnsi="Times New Roman"/>
                <w:sz w:val="10"/>
                <w:szCs w:val="10"/>
                <w:color w:val="auto"/>
              </w:rPr>
              <w:t>730 Santa Clara, CA 95054</w:t>
            </w:r>
          </w:p>
        </w:tc>
        <w:tc>
          <w:tcPr>
            <w:tcW w:w="900" w:type="dxa"/>
            <w:vAlign w:val="bottom"/>
          </w:tcPr>
          <w:p>
            <w:pPr>
              <w:spacing w:after="0"/>
              <w:rPr>
                <w:sz w:val="20"/>
                <w:szCs w:val="20"/>
                <w:color w:val="auto"/>
              </w:rPr>
            </w:pPr>
            <w:r>
              <w:rPr>
                <w:rFonts w:ascii="Times New Roman" w:cs="Times New Roman" w:eastAsia="Times New Roman" w:hAnsi="Times New Roman"/>
                <w:sz w:val="10"/>
                <w:szCs w:val="10"/>
                <w:color w:val="auto"/>
              </w:rPr>
              <w:t>First Lien Debt (ap)</w:t>
            </w:r>
          </w:p>
        </w:tc>
        <w:tc>
          <w:tcPr>
            <w:tcW w:w="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1320" w:type="dxa"/>
            <w:vAlign w:val="bottom"/>
            <w:gridSpan w:val="2"/>
          </w:tcPr>
          <w:p>
            <w:pPr>
              <w:spacing w:after="0"/>
              <w:rPr>
                <w:sz w:val="20"/>
                <w:szCs w:val="20"/>
                <w:color w:val="auto"/>
              </w:rPr>
            </w:pPr>
            <w:r>
              <w:rPr>
                <w:rFonts w:ascii="Times New Roman" w:cs="Times New Roman" w:eastAsia="Times New Roman" w:hAnsi="Times New Roman"/>
                <w:sz w:val="10"/>
                <w:szCs w:val="10"/>
                <w:i w:val="1"/>
                <w:iCs w:val="1"/>
                <w:color w:val="auto"/>
              </w:rPr>
              <w:t>NWS Technologies, LLC</w:t>
            </w:r>
          </w:p>
        </w:tc>
        <w:tc>
          <w:tcPr>
            <w:tcW w:w="900" w:type="dxa"/>
            <w:vAlign w:val="bottom"/>
          </w:tcPr>
          <w:p>
            <w:pPr>
              <w:spacing w:after="0"/>
              <w:rPr>
                <w:sz w:val="14"/>
                <w:szCs w:val="14"/>
                <w:color w:val="auto"/>
              </w:rPr>
            </w:pPr>
          </w:p>
        </w:tc>
        <w:tc>
          <w:tcPr>
            <w:tcW w:w="1000" w:type="dxa"/>
            <w:vAlign w:val="bottom"/>
            <w:gridSpan w:val="2"/>
          </w:tcPr>
          <w:p>
            <w:pPr>
              <w:ind w:left="60"/>
              <w:spacing w:after="0"/>
              <w:rPr>
                <w:sz w:val="20"/>
                <w:szCs w:val="20"/>
                <w:color w:val="auto"/>
              </w:rPr>
            </w:pPr>
            <w:r>
              <w:rPr>
                <w:rFonts w:ascii="Times New Roman" w:cs="Times New Roman" w:eastAsia="Times New Roman" w:hAnsi="Times New Roman"/>
                <w:sz w:val="10"/>
                <w:szCs w:val="10"/>
                <w:color w:val="auto"/>
              </w:rPr>
              <w:t>Utilities: Services</w:t>
            </w:r>
          </w:p>
        </w:tc>
        <w:tc>
          <w:tcPr>
            <w:tcW w:w="0" w:type="dxa"/>
            <w:vAlign w:val="bottom"/>
          </w:tcPr>
          <w:p>
            <w:pPr>
              <w:spacing w:after="0"/>
              <w:rPr>
                <w:sz w:val="1"/>
                <w:szCs w:val="1"/>
                <w:color w:val="auto"/>
              </w:rPr>
            </w:pPr>
          </w:p>
        </w:tc>
      </w:tr>
      <w:tr>
        <w:trPr>
          <w:trHeight w:val="105"/>
        </w:trPr>
        <w:tc>
          <w:tcPr>
            <w:tcW w:w="1320" w:type="dxa"/>
            <w:vAlign w:val="bottom"/>
            <w:gridSpan w:val="2"/>
          </w:tcPr>
          <w:p>
            <w:pPr>
              <w:ind w:left="100"/>
              <w:spacing w:after="0" w:line="105" w:lineRule="exact"/>
              <w:rPr>
                <w:sz w:val="20"/>
                <w:szCs w:val="20"/>
                <w:color w:val="auto"/>
              </w:rPr>
            </w:pPr>
            <w:r>
              <w:rPr>
                <w:rFonts w:ascii="Times New Roman" w:cs="Times New Roman" w:eastAsia="Times New Roman" w:hAnsi="Times New Roman"/>
                <w:sz w:val="10"/>
                <w:szCs w:val="10"/>
                <w:color w:val="auto"/>
              </w:rPr>
              <w:t>131 Venture Boulevard</w:t>
            </w:r>
          </w:p>
        </w:tc>
        <w:tc>
          <w:tcPr>
            <w:tcW w:w="900" w:type="dxa"/>
            <w:vAlign w:val="bottom"/>
          </w:tcPr>
          <w:p>
            <w:pPr>
              <w:spacing w:after="0" w:line="105" w:lineRule="exact"/>
              <w:rPr>
                <w:sz w:val="20"/>
                <w:szCs w:val="20"/>
                <w:color w:val="auto"/>
              </w:rPr>
            </w:pPr>
            <w:r>
              <w:rPr>
                <w:rFonts w:ascii="Times New Roman" w:cs="Times New Roman" w:eastAsia="Times New Roman" w:hAnsi="Times New Roman"/>
                <w:sz w:val="10"/>
                <w:szCs w:val="10"/>
                <w:color w:val="auto"/>
              </w:rPr>
              <w:t>First Lien Debt ($355</w:t>
            </w:r>
          </w:p>
        </w:tc>
        <w:tc>
          <w:tcPr>
            <w:tcW w:w="6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tcPr>
          <w:p>
            <w:pPr>
              <w:spacing w:after="0" w:line="105" w:lineRule="exact"/>
              <w:rPr>
                <w:sz w:val="20"/>
                <w:szCs w:val="20"/>
                <w:color w:val="auto"/>
              </w:rPr>
            </w:pPr>
            <w:r>
              <w:rPr>
                <w:rFonts w:ascii="Times New Roman" w:cs="Times New Roman" w:eastAsia="Times New Roman" w:hAnsi="Times New Roman"/>
                <w:sz w:val="10"/>
                <w:szCs w:val="10"/>
                <w:color w:val="auto"/>
              </w:rPr>
              <w:t>unfunded</w:t>
            </w:r>
          </w:p>
        </w:tc>
        <w:tc>
          <w:tcPr>
            <w:tcW w:w="6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tcPr>
          <w:p>
            <w:pPr>
              <w:spacing w:after="0" w:line="105" w:lineRule="exact"/>
              <w:rPr>
                <w:sz w:val="20"/>
                <w:szCs w:val="20"/>
                <w:color w:val="auto"/>
              </w:rPr>
            </w:pPr>
            <w:r>
              <w:rPr>
                <w:rFonts w:ascii="Times New Roman" w:cs="Times New Roman" w:eastAsia="Times New Roman" w:hAnsi="Times New Roman"/>
                <w:sz w:val="10"/>
                <w:szCs w:val="10"/>
                <w:color w:val="auto"/>
              </w:rPr>
              <w:t>commitment) (u)</w:t>
            </w:r>
          </w:p>
        </w:tc>
        <w:tc>
          <w:tcPr>
            <w:tcW w:w="6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320" w:type="dxa"/>
            <w:vAlign w:val="bottom"/>
            <w:gridSpan w:val="2"/>
          </w:tcPr>
          <w:p>
            <w:pPr>
              <w:ind w:left="100"/>
              <w:spacing w:after="0" w:line="105" w:lineRule="exact"/>
              <w:rPr>
                <w:sz w:val="20"/>
                <w:szCs w:val="20"/>
                <w:color w:val="auto"/>
              </w:rPr>
            </w:pPr>
            <w:r>
              <w:rPr>
                <w:rFonts w:ascii="Times New Roman" w:cs="Times New Roman" w:eastAsia="Times New Roman" w:hAnsi="Times New Roman"/>
                <w:sz w:val="10"/>
                <w:szCs w:val="10"/>
                <w:color w:val="auto"/>
              </w:rPr>
              <w:t>Spartanburg, SC 29306</w:t>
            </w:r>
          </w:p>
        </w:tc>
        <w:tc>
          <w:tcPr>
            <w:tcW w:w="900" w:type="dxa"/>
            <w:vAlign w:val="bottom"/>
          </w:tcPr>
          <w:p>
            <w:pPr>
              <w:spacing w:after="0" w:line="105" w:lineRule="exact"/>
              <w:rPr>
                <w:sz w:val="20"/>
                <w:szCs w:val="20"/>
                <w:color w:val="auto"/>
              </w:rPr>
            </w:pPr>
            <w:r>
              <w:rPr>
                <w:rFonts w:ascii="Times New Roman" w:cs="Times New Roman" w:eastAsia="Times New Roman" w:hAnsi="Times New Roman"/>
                <w:sz w:val="10"/>
                <w:szCs w:val="10"/>
                <w:color w:val="auto"/>
              </w:rPr>
              <w:t>Common Equity (2</w:t>
            </w:r>
          </w:p>
        </w:tc>
        <w:tc>
          <w:tcPr>
            <w:tcW w:w="6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tcPr>
          <w:p>
            <w:pPr>
              <w:spacing w:after="0" w:line="105" w:lineRule="exact"/>
              <w:rPr>
                <w:sz w:val="20"/>
                <w:szCs w:val="20"/>
                <w:color w:val="auto"/>
              </w:rPr>
            </w:pPr>
            <w:r>
              <w:rPr>
                <w:rFonts w:ascii="Times New Roman" w:cs="Times New Roman" w:eastAsia="Times New Roman" w:hAnsi="Times New Roman"/>
                <w:sz w:val="10"/>
                <w:szCs w:val="10"/>
                <w:color w:val="auto"/>
              </w:rPr>
              <w:t>units) (h)</w:t>
            </w:r>
          </w:p>
        </w:tc>
        <w:tc>
          <w:tcPr>
            <w:tcW w:w="6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tcPr>
          <w:p>
            <w:pPr>
              <w:spacing w:after="0" w:line="105" w:lineRule="exact"/>
              <w:rPr>
                <w:sz w:val="20"/>
                <w:szCs w:val="20"/>
                <w:color w:val="auto"/>
              </w:rPr>
            </w:pPr>
            <w:r>
              <w:rPr>
                <w:rFonts w:ascii="Times New Roman" w:cs="Times New Roman" w:eastAsia="Times New Roman" w:hAnsi="Times New Roman"/>
                <w:sz w:val="10"/>
                <w:szCs w:val="10"/>
                <w:color w:val="auto"/>
              </w:rPr>
              <w:t>Preferred Equity</w:t>
            </w:r>
          </w:p>
        </w:tc>
        <w:tc>
          <w:tcPr>
            <w:tcW w:w="6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1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0"/>
                <w:szCs w:val="10"/>
                <w:color w:val="auto"/>
              </w:rPr>
              <w:t>(0.375 units) (h)</w:t>
            </w:r>
          </w:p>
        </w:tc>
        <w:tc>
          <w:tcPr>
            <w:tcW w:w="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4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95"/>
        </w:trPr>
        <w:tc>
          <w:tcPr>
            <w:tcW w:w="740" w:type="dxa"/>
            <w:vAlign w:val="bottom"/>
            <w:gridSpan w:val="2"/>
          </w:tcPr>
          <w:p>
            <w:pPr>
              <w:jc w:val="center"/>
              <w:ind w:right="180"/>
              <w:spacing w:after="0"/>
              <w:rPr>
                <w:sz w:val="20"/>
                <w:szCs w:val="20"/>
                <w:color w:val="auto"/>
              </w:rPr>
            </w:pPr>
            <w:r>
              <w:rPr>
                <w:rFonts w:ascii="Times New Roman" w:cs="Times New Roman" w:eastAsia="Times New Roman" w:hAnsi="Times New Roman"/>
                <w:sz w:val="8"/>
                <w:szCs w:val="8"/>
                <w:b w:val="1"/>
                <w:bCs w:val="1"/>
                <w:color w:val="auto"/>
              </w:rPr>
              <w:t>Percentage of</w:t>
            </w:r>
          </w:p>
        </w:tc>
        <w:tc>
          <w:tcPr>
            <w:tcW w:w="920" w:type="dxa"/>
            <w:vAlign w:val="bottom"/>
            <w:gridSpan w:val="2"/>
          </w:tcPr>
          <w:p>
            <w:pPr>
              <w:jc w:val="center"/>
              <w:ind w:right="60"/>
              <w:spacing w:after="0"/>
              <w:rPr>
                <w:sz w:val="20"/>
                <w:szCs w:val="20"/>
                <w:color w:val="auto"/>
              </w:rPr>
            </w:pPr>
            <w:r>
              <w:rPr>
                <w:rFonts w:ascii="Times New Roman" w:cs="Times New Roman" w:eastAsia="Times New Roman" w:hAnsi="Times New Roman"/>
                <w:sz w:val="8"/>
                <w:szCs w:val="8"/>
                <w:b w:val="1"/>
                <w:bCs w:val="1"/>
                <w:color w:val="auto"/>
              </w:rPr>
              <w:t>Variable Index</w:t>
            </w:r>
          </w:p>
        </w:tc>
        <w:tc>
          <w:tcPr>
            <w:tcW w:w="720" w:type="dxa"/>
            <w:vAlign w:val="bottom"/>
            <w:gridSpan w:val="2"/>
          </w:tcPr>
          <w:p>
            <w:pPr>
              <w:jc w:val="center"/>
              <w:ind w:right="80"/>
              <w:spacing w:after="0"/>
              <w:rPr>
                <w:sz w:val="20"/>
                <w:szCs w:val="20"/>
                <w:color w:val="auto"/>
              </w:rPr>
            </w:pPr>
            <w:r>
              <w:rPr>
                <w:rFonts w:ascii="Times New Roman" w:cs="Times New Roman" w:eastAsia="Times New Roman" w:hAnsi="Times New Roman"/>
                <w:sz w:val="8"/>
                <w:szCs w:val="8"/>
                <w:b w:val="1"/>
                <w:bCs w:val="1"/>
                <w:color w:val="auto"/>
              </w:rPr>
              <w:t>Rate (e)</w:t>
            </w:r>
          </w:p>
        </w:tc>
        <w:tc>
          <w:tcPr>
            <w:tcW w:w="580" w:type="dxa"/>
            <w:vAlign w:val="bottom"/>
            <w:gridSpan w:val="2"/>
          </w:tcPr>
          <w:p>
            <w:pPr>
              <w:jc w:val="center"/>
              <w:ind w:right="100"/>
              <w:spacing w:after="0"/>
              <w:rPr>
                <w:sz w:val="20"/>
                <w:szCs w:val="20"/>
                <w:color w:val="auto"/>
              </w:rPr>
            </w:pPr>
            <w:r>
              <w:rPr>
                <w:rFonts w:ascii="Times New Roman" w:cs="Times New Roman" w:eastAsia="Times New Roman" w:hAnsi="Times New Roman"/>
                <w:sz w:val="8"/>
                <w:szCs w:val="8"/>
                <w:b w:val="1"/>
                <w:bCs w:val="1"/>
                <w:color w:val="auto"/>
              </w:rPr>
              <w:t>Investment</w:t>
            </w: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gridSpan w:val="2"/>
          </w:tcPr>
          <w:p>
            <w:pPr>
              <w:jc w:val="center"/>
              <w:ind w:right="100"/>
              <w:spacing w:after="0"/>
              <w:rPr>
                <w:sz w:val="20"/>
                <w:szCs w:val="20"/>
                <w:color w:val="auto"/>
              </w:rPr>
            </w:pPr>
            <w:r>
              <w:rPr>
                <w:rFonts w:ascii="Times New Roman" w:cs="Times New Roman" w:eastAsia="Times New Roman" w:hAnsi="Times New Roman"/>
                <w:sz w:val="8"/>
                <w:szCs w:val="8"/>
                <w:b w:val="1"/>
                <w:bCs w:val="1"/>
                <w:color w:val="auto"/>
              </w:rPr>
              <w:t>Principal</w:t>
            </w: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gridSpan w:val="2"/>
          </w:tcPr>
          <w:p>
            <w:pPr>
              <w:jc w:val="center"/>
              <w:ind w:right="100"/>
              <w:spacing w:after="0"/>
              <w:rPr>
                <w:sz w:val="20"/>
                <w:szCs w:val="20"/>
                <w:color w:val="auto"/>
              </w:rPr>
            </w:pPr>
            <w:r>
              <w:rPr>
                <w:rFonts w:ascii="Times New Roman" w:cs="Times New Roman" w:eastAsia="Times New Roman" w:hAnsi="Times New Roman"/>
                <w:sz w:val="8"/>
                <w:szCs w:val="8"/>
                <w:b w:val="1"/>
                <w:bCs w:val="1"/>
                <w:color w:val="auto"/>
              </w:rPr>
              <w:t>Fair</w:t>
            </w:r>
          </w:p>
        </w:tc>
        <w:tc>
          <w:tcPr>
            <w:tcW w:w="360" w:type="dxa"/>
            <w:vAlign w:val="bottom"/>
          </w:tcPr>
          <w:p>
            <w:pPr>
              <w:spacing w:after="0"/>
              <w:rPr>
                <w:sz w:val="20"/>
                <w:szCs w:val="20"/>
                <w:color w:val="auto"/>
              </w:rPr>
            </w:pPr>
            <w:r>
              <w:rPr>
                <w:rFonts w:ascii="Times New Roman" w:cs="Times New Roman" w:eastAsia="Times New Roman" w:hAnsi="Times New Roman"/>
                <w:sz w:val="8"/>
                <w:szCs w:val="8"/>
                <w:b w:val="1"/>
                <w:bCs w:val="1"/>
                <w:color w:val="auto"/>
                <w:w w:val="97"/>
              </w:rPr>
              <w:t>Percent of</w:t>
            </w:r>
          </w:p>
        </w:tc>
      </w:tr>
      <w:tr>
        <w:trPr>
          <w:trHeight w:val="115"/>
        </w:trPr>
        <w:tc>
          <w:tcPr>
            <w:tcW w:w="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8"/>
                <w:szCs w:val="8"/>
                <w:b w:val="1"/>
                <w:bCs w:val="1"/>
                <w:color w:val="auto"/>
              </w:rPr>
              <w:t>Class Held (bn)</w:t>
            </w:r>
          </w:p>
        </w:tc>
        <w:tc>
          <w:tcPr>
            <w:tcW w:w="180" w:type="dxa"/>
            <w:vAlign w:val="bottom"/>
          </w:tcPr>
          <w:p>
            <w:pPr>
              <w:spacing w:after="0"/>
              <w:rPr>
                <w:sz w:val="10"/>
                <w:szCs w:val="10"/>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8"/>
                <w:szCs w:val="8"/>
                <w:b w:val="1"/>
                <w:bCs w:val="1"/>
                <w:color w:val="auto"/>
              </w:rPr>
              <w:t>Spread / Floor (d)</w:t>
            </w:r>
          </w:p>
        </w:tc>
        <w:tc>
          <w:tcPr>
            <w:tcW w:w="60" w:type="dxa"/>
            <w:vAlign w:val="bottom"/>
          </w:tcPr>
          <w:p>
            <w:pPr>
              <w:spacing w:after="0"/>
              <w:rPr>
                <w:sz w:val="10"/>
                <w:szCs w:val="10"/>
                <w:color w:val="auto"/>
              </w:rPr>
            </w:pP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8"/>
                <w:szCs w:val="8"/>
                <w:b w:val="1"/>
                <w:bCs w:val="1"/>
                <w:color w:val="auto"/>
              </w:rPr>
              <w:t>Cash/PIK</w:t>
            </w:r>
          </w:p>
        </w:tc>
        <w:tc>
          <w:tcPr>
            <w:tcW w:w="100" w:type="dxa"/>
            <w:vAlign w:val="bottom"/>
          </w:tcPr>
          <w:p>
            <w:pPr>
              <w:spacing w:after="0"/>
              <w:rPr>
                <w:sz w:val="10"/>
                <w:szCs w:val="10"/>
                <w:color w:val="auto"/>
              </w:rPr>
            </w:pPr>
          </w:p>
        </w:tc>
        <w:tc>
          <w:tcPr>
            <w:tcW w:w="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8"/>
                <w:szCs w:val="8"/>
                <w:b w:val="1"/>
                <w:bCs w:val="1"/>
                <w:color w:val="auto"/>
              </w:rPr>
              <w:t>Date (f)</w:t>
            </w:r>
          </w:p>
        </w:tc>
        <w:tc>
          <w:tcPr>
            <w:tcW w:w="100" w:type="dxa"/>
            <w:vAlign w:val="bottom"/>
          </w:tcPr>
          <w:p>
            <w:pPr>
              <w:spacing w:after="0"/>
              <w:rPr>
                <w:sz w:val="10"/>
                <w:szCs w:val="10"/>
                <w:color w:val="auto"/>
              </w:rPr>
            </w:pPr>
          </w:p>
        </w:tc>
        <w:tc>
          <w:tcPr>
            <w:tcW w:w="4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8"/>
                <w:szCs w:val="8"/>
                <w:b w:val="1"/>
                <w:bCs w:val="1"/>
                <w:color w:val="auto"/>
              </w:rPr>
              <w:t>Maturity</w:t>
            </w:r>
          </w:p>
        </w:tc>
        <w:tc>
          <w:tcPr>
            <w:tcW w:w="80" w:type="dxa"/>
            <w:vAlign w:val="bottom"/>
          </w:tcPr>
          <w:p>
            <w:pPr>
              <w:spacing w:after="0"/>
              <w:rPr>
                <w:sz w:val="10"/>
                <w:szCs w:val="10"/>
                <w:color w:val="auto"/>
              </w:rPr>
            </w:pPr>
          </w:p>
        </w:tc>
        <w:tc>
          <w:tcPr>
            <w:tcW w:w="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8"/>
                <w:szCs w:val="8"/>
                <w:b w:val="1"/>
                <w:bCs w:val="1"/>
                <w:color w:val="auto"/>
              </w:rPr>
              <w:t>Amount</w:t>
            </w:r>
          </w:p>
        </w:tc>
        <w:tc>
          <w:tcPr>
            <w:tcW w:w="100" w:type="dxa"/>
            <w:vAlign w:val="bottom"/>
          </w:tcPr>
          <w:p>
            <w:pPr>
              <w:spacing w:after="0"/>
              <w:rPr>
                <w:sz w:val="10"/>
                <w:szCs w:val="10"/>
                <w:color w:val="auto"/>
              </w:rPr>
            </w:pPr>
          </w:p>
        </w:tc>
        <w:tc>
          <w:tcPr>
            <w:tcW w:w="3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8"/>
                <w:szCs w:val="8"/>
                <w:b w:val="1"/>
                <w:bCs w:val="1"/>
                <w:color w:val="auto"/>
              </w:rPr>
              <w:t>Cost</w:t>
            </w:r>
          </w:p>
        </w:tc>
        <w:tc>
          <w:tcPr>
            <w:tcW w:w="100" w:type="dxa"/>
            <w:vAlign w:val="bottom"/>
          </w:tcPr>
          <w:p>
            <w:pPr>
              <w:spacing w:after="0"/>
              <w:rPr>
                <w:sz w:val="10"/>
                <w:szCs w:val="10"/>
                <w:color w:val="auto"/>
              </w:rPr>
            </w:pPr>
          </w:p>
        </w:tc>
        <w:tc>
          <w:tcPr>
            <w:tcW w:w="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8"/>
                <w:szCs w:val="8"/>
                <w:b w:val="1"/>
                <w:bCs w:val="1"/>
                <w:color w:val="auto"/>
              </w:rPr>
              <w:t>Value (g)</w:t>
            </w:r>
          </w:p>
        </w:tc>
        <w:tc>
          <w:tcPr>
            <w:tcW w:w="100" w:type="dxa"/>
            <w:vAlign w:val="bottom"/>
          </w:tcPr>
          <w:p>
            <w:pPr>
              <w:spacing w:after="0"/>
              <w:rPr>
                <w:sz w:val="10"/>
                <w:szCs w:val="10"/>
                <w:color w:val="auto"/>
              </w:rPr>
            </w:pPr>
          </w:p>
        </w:tc>
        <w:tc>
          <w:tcPr>
            <w:tcW w:w="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8"/>
                <w:szCs w:val="8"/>
                <w:b w:val="1"/>
                <w:bCs w:val="1"/>
                <w:color w:val="auto"/>
                <w:w w:val="96"/>
              </w:rPr>
              <w:t>Net Assets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-2085340</wp:posOffset>
            </wp:positionH>
            <wp:positionV relativeFrom="paragraph">
              <wp:posOffset>-5715</wp:posOffset>
            </wp:positionV>
            <wp:extent cx="5422265" cy="13271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09">
                      <a:extLst>
                        <a:ext uri="{28A0092B-C50C-407E-A947-70E740481C1C}"/>
                      </a:extLst>
                    </a:blip>
                    <a:srcRect/>
                    <a:stretch>
                      <a:fillRect/>
                    </a:stretch>
                  </pic:blipFill>
                  <pic:spPr bwMode="auto">
                    <a:xfrm>
                      <a:off x="0" y="0"/>
                      <a:ext cx="5422265" cy="132715"/>
                    </a:xfrm>
                    <a:prstGeom prst="rect">
                      <a:avLst/>
                    </a:prstGeom>
                    <a:noFill/>
                  </pic:spPr>
                </pic:pic>
              </a:graphicData>
            </a:graphic>
          </wp:anchor>
        </w:drawing>
      </w:r>
    </w:p>
    <w:p>
      <w:pPr>
        <w:spacing w:after="0" w:line="270" w:lineRule="exact"/>
        <w:rPr>
          <w:sz w:val="20"/>
          <w:szCs w:val="20"/>
          <w:color w:val="auto"/>
        </w:rPr>
      </w:pPr>
    </w:p>
    <w:tbl>
      <w:tblPr>
        <w:tblLayout w:type="fixed"/>
        <w:tblInd w:w="440" w:type="dxa"/>
        <w:tblCellMar>
          <w:top w:w="0" w:type="dxa"/>
          <w:left w:w="0" w:type="dxa"/>
          <w:bottom w:w="0" w:type="dxa"/>
          <w:right w:w="0" w:type="dxa"/>
        </w:tblCellMar>
      </w:tblPr>
      <w:tr>
        <w:trPr>
          <w:trHeight w:val="125"/>
        </w:trPr>
        <w:tc>
          <w:tcPr>
            <w:tcW w:w="1220" w:type="dxa"/>
            <w:vAlign w:val="bottom"/>
          </w:tcPr>
          <w:p>
            <w:pPr>
              <w:jc w:val="right"/>
              <w:ind w:right="10"/>
              <w:spacing w:after="0"/>
              <w:rPr>
                <w:sz w:val="20"/>
                <w:szCs w:val="20"/>
                <w:color w:val="auto"/>
              </w:rPr>
            </w:pPr>
            <w:r>
              <w:rPr>
                <w:rFonts w:ascii="Times New Roman" w:cs="Times New Roman" w:eastAsia="Times New Roman" w:hAnsi="Times New Roman"/>
                <w:sz w:val="10"/>
                <w:szCs w:val="10"/>
                <w:color w:val="auto"/>
              </w:rPr>
              <w:t>(S + 5.25%) / (2.00%)</w:t>
            </w:r>
          </w:p>
        </w:tc>
        <w:tc>
          <w:tcPr>
            <w:tcW w:w="68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9.16%/0.00%</w:t>
            </w:r>
          </w:p>
        </w:tc>
        <w:tc>
          <w:tcPr>
            <w:tcW w:w="58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4/1/2021</w:t>
            </w:r>
          </w:p>
        </w:tc>
        <w:tc>
          <w:tcPr>
            <w:tcW w:w="600" w:type="dxa"/>
            <w:vAlign w:val="bottom"/>
          </w:tcPr>
          <w:p>
            <w:pPr>
              <w:jc w:val="right"/>
              <w:ind w:right="31"/>
              <w:spacing w:after="0"/>
              <w:rPr>
                <w:sz w:val="20"/>
                <w:szCs w:val="20"/>
                <w:color w:val="auto"/>
              </w:rPr>
            </w:pPr>
            <w:r>
              <w:rPr>
                <w:rFonts w:ascii="Times New Roman" w:cs="Times New Roman" w:eastAsia="Times New Roman" w:hAnsi="Times New Roman"/>
                <w:sz w:val="10"/>
                <w:szCs w:val="10"/>
                <w:color w:val="auto"/>
              </w:rPr>
              <w:t>9/30/2030</w:t>
            </w:r>
          </w:p>
        </w:tc>
        <w:tc>
          <w:tcPr>
            <w:tcW w:w="44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12,407</w:t>
            </w:r>
          </w:p>
        </w:tc>
        <w:tc>
          <w:tcPr>
            <w:tcW w:w="3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12,331</w:t>
            </w:r>
          </w:p>
        </w:tc>
        <w:tc>
          <w:tcPr>
            <w:tcW w:w="620" w:type="dxa"/>
            <w:vAlign w:val="bottom"/>
            <w:gridSpan w:val="3"/>
          </w:tcPr>
          <w:p>
            <w:pPr>
              <w:jc w:val="right"/>
              <w:ind w:right="200"/>
              <w:spacing w:after="0"/>
              <w:rPr>
                <w:sz w:val="20"/>
                <w:szCs w:val="20"/>
                <w:color w:val="auto"/>
              </w:rPr>
            </w:pPr>
            <w:r>
              <w:rPr>
                <w:rFonts w:ascii="Times New Roman" w:cs="Times New Roman" w:eastAsia="Times New Roman" w:hAnsi="Times New Roman"/>
                <w:sz w:val="10"/>
                <w:szCs w:val="10"/>
                <w:color w:val="auto"/>
              </w:rPr>
              <w:t>12,407</w:t>
            </w:r>
          </w:p>
        </w:tc>
        <w:tc>
          <w:tcPr>
            <w:tcW w:w="340" w:type="dxa"/>
            <w:vAlign w:val="bottom"/>
          </w:tcPr>
          <w:p>
            <w:pPr>
              <w:spacing w:after="0"/>
              <w:rPr>
                <w:sz w:val="10"/>
                <w:szCs w:val="10"/>
                <w:color w:val="auto"/>
              </w:rPr>
            </w:pPr>
          </w:p>
        </w:tc>
      </w:tr>
      <w:tr>
        <w:trPr>
          <w:trHeight w:val="202"/>
        </w:trPr>
        <w:tc>
          <w:tcPr>
            <w:tcW w:w="1220" w:type="dxa"/>
            <w:vAlign w:val="bottom"/>
          </w:tcPr>
          <w:p>
            <w:pPr>
              <w:jc w:val="right"/>
              <w:ind w:right="970"/>
              <w:spacing w:after="0"/>
              <w:rPr>
                <w:sz w:val="20"/>
                <w:szCs w:val="20"/>
                <w:color w:val="auto"/>
              </w:rPr>
            </w:pPr>
            <w:r>
              <w:rPr>
                <w:rFonts w:ascii="Times New Roman" w:cs="Times New Roman" w:eastAsia="Times New Roman" w:hAnsi="Times New Roman"/>
                <w:sz w:val="10"/>
                <w:szCs w:val="10"/>
                <w:color w:val="auto"/>
                <w:w w:val="86"/>
              </w:rPr>
              <w:t>4.0%</w:t>
            </w:r>
          </w:p>
        </w:tc>
        <w:tc>
          <w:tcPr>
            <w:tcW w:w="680" w:type="dxa"/>
            <w:vAlign w:val="bottom"/>
          </w:tcPr>
          <w:p>
            <w:pPr>
              <w:spacing w:after="0"/>
              <w:rPr>
                <w:sz w:val="17"/>
                <w:szCs w:val="17"/>
                <w:color w:val="auto"/>
              </w:rPr>
            </w:pPr>
          </w:p>
        </w:tc>
        <w:tc>
          <w:tcPr>
            <w:tcW w:w="58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4/1/2021</w:t>
            </w:r>
          </w:p>
        </w:tc>
        <w:tc>
          <w:tcPr>
            <w:tcW w:w="6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934</w:t>
            </w:r>
          </w:p>
        </w:tc>
        <w:tc>
          <w:tcPr>
            <w:tcW w:w="620" w:type="dxa"/>
            <w:vAlign w:val="bottom"/>
            <w:gridSpan w:val="3"/>
          </w:tcPr>
          <w:p>
            <w:pPr>
              <w:jc w:val="right"/>
              <w:ind w:right="200"/>
              <w:spacing w:after="0"/>
              <w:rPr>
                <w:sz w:val="20"/>
                <w:szCs w:val="20"/>
                <w:color w:val="auto"/>
              </w:rPr>
            </w:pPr>
            <w:r>
              <w:rPr>
                <w:rFonts w:ascii="Times New Roman" w:cs="Times New Roman" w:eastAsia="Times New Roman" w:hAnsi="Times New Roman"/>
                <w:sz w:val="10"/>
                <w:szCs w:val="10"/>
                <w:color w:val="auto"/>
              </w:rPr>
              <w:t>2,881</w:t>
            </w:r>
          </w:p>
        </w:tc>
        <w:tc>
          <w:tcPr>
            <w:tcW w:w="340" w:type="dxa"/>
            <w:vAlign w:val="bottom"/>
          </w:tcPr>
          <w:p>
            <w:pPr>
              <w:spacing w:after="0"/>
              <w:rPr>
                <w:sz w:val="17"/>
                <w:szCs w:val="17"/>
                <w:color w:val="auto"/>
              </w:rPr>
            </w:pPr>
          </w:p>
        </w:tc>
      </w:tr>
      <w:tr>
        <w:trPr>
          <w:trHeight w:val="115"/>
        </w:trPr>
        <w:tc>
          <w:tcPr>
            <w:tcW w:w="1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13,265</w:t>
            </w:r>
          </w:p>
        </w:tc>
        <w:tc>
          <w:tcPr>
            <w:tcW w:w="100" w:type="dxa"/>
            <w:vAlign w:val="bottom"/>
          </w:tcPr>
          <w:p>
            <w:pPr>
              <w:spacing w:after="0"/>
              <w:rPr>
                <w:sz w:val="10"/>
                <w:szCs w:val="10"/>
                <w:color w:val="auto"/>
              </w:rPr>
            </w:pPr>
          </w:p>
        </w:tc>
        <w:tc>
          <w:tcPr>
            <w:tcW w:w="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15,288</w:t>
            </w:r>
          </w:p>
        </w:tc>
        <w:tc>
          <w:tcPr>
            <w:tcW w:w="200" w:type="dxa"/>
            <w:vAlign w:val="bottom"/>
          </w:tcPr>
          <w:p>
            <w:pPr>
              <w:spacing w:after="0"/>
              <w:rPr>
                <w:sz w:val="10"/>
                <w:szCs w:val="10"/>
                <w:color w:val="auto"/>
              </w:rPr>
            </w:pPr>
          </w:p>
        </w:tc>
        <w:tc>
          <w:tcPr>
            <w:tcW w:w="34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2%</w:t>
            </w:r>
          </w:p>
        </w:tc>
      </w:tr>
      <w:tr>
        <w:trPr>
          <w:trHeight w:val="311"/>
        </w:trPr>
        <w:tc>
          <w:tcPr>
            <w:tcW w:w="1220" w:type="dxa"/>
            <w:vAlign w:val="bottom"/>
          </w:tcPr>
          <w:p>
            <w:pPr>
              <w:spacing w:after="0"/>
              <w:rPr>
                <w:sz w:val="24"/>
                <w:szCs w:val="24"/>
                <w:color w:val="auto"/>
              </w:rPr>
            </w:pPr>
          </w:p>
        </w:tc>
        <w:tc>
          <w:tcPr>
            <w:tcW w:w="68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11.50%/0.00%</w:t>
            </w:r>
          </w:p>
        </w:tc>
        <w:tc>
          <w:tcPr>
            <w:tcW w:w="58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3/19/2021</w:t>
            </w:r>
          </w:p>
        </w:tc>
        <w:tc>
          <w:tcPr>
            <w:tcW w:w="600" w:type="dxa"/>
            <w:vAlign w:val="bottom"/>
          </w:tcPr>
          <w:p>
            <w:pPr>
              <w:jc w:val="right"/>
              <w:ind w:right="31"/>
              <w:spacing w:after="0"/>
              <w:rPr>
                <w:sz w:val="20"/>
                <w:szCs w:val="20"/>
                <w:color w:val="auto"/>
              </w:rPr>
            </w:pPr>
            <w:r>
              <w:rPr>
                <w:rFonts w:ascii="Times New Roman" w:cs="Times New Roman" w:eastAsia="Times New Roman" w:hAnsi="Times New Roman"/>
                <w:sz w:val="10"/>
                <w:szCs w:val="10"/>
                <w:color w:val="auto"/>
              </w:rPr>
              <w:t>4/7/2028</w:t>
            </w:r>
          </w:p>
        </w:tc>
        <w:tc>
          <w:tcPr>
            <w:tcW w:w="44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16,000</w:t>
            </w:r>
          </w:p>
        </w:tc>
        <w:tc>
          <w:tcPr>
            <w:tcW w:w="3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15,982</w:t>
            </w:r>
          </w:p>
        </w:tc>
        <w:tc>
          <w:tcPr>
            <w:tcW w:w="620" w:type="dxa"/>
            <w:vAlign w:val="bottom"/>
            <w:gridSpan w:val="3"/>
          </w:tcPr>
          <w:p>
            <w:pPr>
              <w:jc w:val="right"/>
              <w:ind w:right="200"/>
              <w:spacing w:after="0"/>
              <w:rPr>
                <w:sz w:val="20"/>
                <w:szCs w:val="20"/>
                <w:color w:val="auto"/>
              </w:rPr>
            </w:pPr>
            <w:r>
              <w:rPr>
                <w:rFonts w:ascii="Times New Roman" w:cs="Times New Roman" w:eastAsia="Times New Roman" w:hAnsi="Times New Roman"/>
                <w:sz w:val="10"/>
                <w:szCs w:val="10"/>
                <w:color w:val="auto"/>
              </w:rPr>
              <w:t>14,650</w:t>
            </w:r>
          </w:p>
        </w:tc>
        <w:tc>
          <w:tcPr>
            <w:tcW w:w="340" w:type="dxa"/>
            <w:vAlign w:val="bottom"/>
          </w:tcPr>
          <w:p>
            <w:pPr>
              <w:spacing w:after="0"/>
              <w:rPr>
                <w:sz w:val="24"/>
                <w:szCs w:val="24"/>
                <w:color w:val="auto"/>
              </w:rPr>
            </w:pPr>
          </w:p>
        </w:tc>
      </w:tr>
      <w:tr>
        <w:trPr>
          <w:trHeight w:val="202"/>
        </w:trPr>
        <w:tc>
          <w:tcPr>
            <w:tcW w:w="1220" w:type="dxa"/>
            <w:vAlign w:val="bottom"/>
          </w:tcPr>
          <w:p>
            <w:pPr>
              <w:jc w:val="right"/>
              <w:ind w:right="970"/>
              <w:spacing w:after="0"/>
              <w:rPr>
                <w:sz w:val="20"/>
                <w:szCs w:val="20"/>
                <w:color w:val="auto"/>
              </w:rPr>
            </w:pPr>
            <w:r>
              <w:rPr>
                <w:rFonts w:ascii="Times New Roman" w:cs="Times New Roman" w:eastAsia="Times New Roman" w:hAnsi="Times New Roman"/>
                <w:sz w:val="10"/>
                <w:szCs w:val="10"/>
                <w:color w:val="auto"/>
                <w:w w:val="86"/>
              </w:rPr>
              <w:t>0.3%</w:t>
            </w:r>
          </w:p>
        </w:tc>
        <w:tc>
          <w:tcPr>
            <w:tcW w:w="680" w:type="dxa"/>
            <w:vAlign w:val="bottom"/>
          </w:tcPr>
          <w:p>
            <w:pPr>
              <w:spacing w:after="0"/>
              <w:rPr>
                <w:sz w:val="17"/>
                <w:szCs w:val="17"/>
                <w:color w:val="auto"/>
              </w:rPr>
            </w:pPr>
          </w:p>
        </w:tc>
        <w:tc>
          <w:tcPr>
            <w:tcW w:w="58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6/7/2024</w:t>
            </w:r>
          </w:p>
        </w:tc>
        <w:tc>
          <w:tcPr>
            <w:tcW w:w="6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595</w:t>
            </w:r>
          </w:p>
        </w:tc>
        <w:tc>
          <w:tcPr>
            <w:tcW w:w="620" w:type="dxa"/>
            <w:vAlign w:val="bottom"/>
            <w:gridSpan w:val="3"/>
          </w:tcPr>
          <w:p>
            <w:pPr>
              <w:jc w:val="right"/>
              <w:ind w:right="200"/>
              <w:spacing w:after="0"/>
              <w:rPr>
                <w:sz w:val="20"/>
                <w:szCs w:val="20"/>
                <w:color w:val="auto"/>
              </w:rPr>
            </w:pPr>
            <w:r>
              <w:rPr>
                <w:rFonts w:ascii="Times New Roman" w:cs="Times New Roman" w:eastAsia="Times New Roman" w:hAnsi="Times New Roman"/>
                <w:sz w:val="10"/>
                <w:szCs w:val="10"/>
                <w:color w:val="auto"/>
              </w:rPr>
              <w:t>376</w:t>
            </w:r>
          </w:p>
        </w:tc>
        <w:tc>
          <w:tcPr>
            <w:tcW w:w="340" w:type="dxa"/>
            <w:vAlign w:val="bottom"/>
          </w:tcPr>
          <w:p>
            <w:pPr>
              <w:spacing w:after="0"/>
              <w:rPr>
                <w:sz w:val="17"/>
                <w:szCs w:val="17"/>
                <w:color w:val="auto"/>
              </w:rPr>
            </w:pPr>
          </w:p>
        </w:tc>
      </w:tr>
      <w:tr>
        <w:trPr>
          <w:trHeight w:val="115"/>
        </w:trPr>
        <w:tc>
          <w:tcPr>
            <w:tcW w:w="1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16,577</w:t>
            </w:r>
          </w:p>
        </w:tc>
        <w:tc>
          <w:tcPr>
            <w:tcW w:w="100" w:type="dxa"/>
            <w:vAlign w:val="bottom"/>
          </w:tcPr>
          <w:p>
            <w:pPr>
              <w:spacing w:after="0"/>
              <w:rPr>
                <w:sz w:val="10"/>
                <w:szCs w:val="10"/>
                <w:color w:val="auto"/>
              </w:rPr>
            </w:pPr>
          </w:p>
        </w:tc>
        <w:tc>
          <w:tcPr>
            <w:tcW w:w="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15,026</w:t>
            </w:r>
          </w:p>
        </w:tc>
        <w:tc>
          <w:tcPr>
            <w:tcW w:w="200" w:type="dxa"/>
            <w:vAlign w:val="bottom"/>
          </w:tcPr>
          <w:p>
            <w:pPr>
              <w:spacing w:after="0"/>
              <w:rPr>
                <w:sz w:val="10"/>
                <w:szCs w:val="10"/>
                <w:color w:val="auto"/>
              </w:rPr>
            </w:pPr>
          </w:p>
        </w:tc>
        <w:tc>
          <w:tcPr>
            <w:tcW w:w="34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2%</w:t>
            </w:r>
          </w:p>
        </w:tc>
      </w:tr>
      <w:tr>
        <w:trPr>
          <w:trHeight w:val="206"/>
        </w:trPr>
        <w:tc>
          <w:tcPr>
            <w:tcW w:w="1220" w:type="dxa"/>
            <w:vAlign w:val="bottom"/>
          </w:tcPr>
          <w:p>
            <w:pPr>
              <w:jc w:val="right"/>
              <w:ind w:right="10"/>
              <w:spacing w:after="0"/>
              <w:rPr>
                <w:sz w:val="20"/>
                <w:szCs w:val="20"/>
                <w:color w:val="auto"/>
              </w:rPr>
            </w:pPr>
            <w:r>
              <w:rPr>
                <w:rFonts w:ascii="Times New Roman" w:cs="Times New Roman" w:eastAsia="Times New Roman" w:hAnsi="Times New Roman"/>
                <w:sz w:val="10"/>
                <w:szCs w:val="10"/>
                <w:color w:val="auto"/>
              </w:rPr>
              <w:t>(S + 6.00%) / (2.00%)</w:t>
            </w:r>
          </w:p>
        </w:tc>
        <w:tc>
          <w:tcPr>
            <w:tcW w:w="68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9.65%/0.00%</w:t>
            </w:r>
          </w:p>
        </w:tc>
        <w:tc>
          <w:tcPr>
            <w:tcW w:w="58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3/18/2025</w:t>
            </w:r>
          </w:p>
        </w:tc>
        <w:tc>
          <w:tcPr>
            <w:tcW w:w="600" w:type="dxa"/>
            <w:vAlign w:val="bottom"/>
          </w:tcPr>
          <w:p>
            <w:pPr>
              <w:jc w:val="right"/>
              <w:ind w:right="31"/>
              <w:spacing w:after="0"/>
              <w:rPr>
                <w:sz w:val="20"/>
                <w:szCs w:val="20"/>
                <w:color w:val="auto"/>
              </w:rPr>
            </w:pPr>
            <w:r>
              <w:rPr>
                <w:rFonts w:ascii="Times New Roman" w:cs="Times New Roman" w:eastAsia="Times New Roman" w:hAnsi="Times New Roman"/>
                <w:sz w:val="10"/>
                <w:szCs w:val="10"/>
                <w:color w:val="auto"/>
              </w:rPr>
              <w:t>3/18/2030</w:t>
            </w:r>
          </w:p>
        </w:tc>
        <w:tc>
          <w:tcPr>
            <w:tcW w:w="44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10,500</w:t>
            </w:r>
          </w:p>
        </w:tc>
        <w:tc>
          <w:tcPr>
            <w:tcW w:w="3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10,403</w:t>
            </w:r>
          </w:p>
        </w:tc>
        <w:tc>
          <w:tcPr>
            <w:tcW w:w="620" w:type="dxa"/>
            <w:vAlign w:val="bottom"/>
            <w:gridSpan w:val="3"/>
          </w:tcPr>
          <w:p>
            <w:pPr>
              <w:jc w:val="right"/>
              <w:ind w:right="200"/>
              <w:spacing w:after="0"/>
              <w:rPr>
                <w:sz w:val="20"/>
                <w:szCs w:val="20"/>
                <w:color w:val="auto"/>
              </w:rPr>
            </w:pPr>
            <w:r>
              <w:rPr>
                <w:rFonts w:ascii="Times New Roman" w:cs="Times New Roman" w:eastAsia="Times New Roman" w:hAnsi="Times New Roman"/>
                <w:sz w:val="10"/>
                <w:szCs w:val="10"/>
                <w:color w:val="auto"/>
              </w:rPr>
              <w:t>10,500</w:t>
            </w:r>
          </w:p>
        </w:tc>
        <w:tc>
          <w:tcPr>
            <w:tcW w:w="340" w:type="dxa"/>
            <w:vAlign w:val="bottom"/>
          </w:tcPr>
          <w:p>
            <w:pPr>
              <w:spacing w:after="0"/>
              <w:rPr>
                <w:sz w:val="17"/>
                <w:szCs w:val="17"/>
                <w:color w:val="auto"/>
              </w:rPr>
            </w:pPr>
          </w:p>
        </w:tc>
      </w:tr>
      <w:tr>
        <w:trPr>
          <w:trHeight w:val="314"/>
        </w:trPr>
        <w:tc>
          <w:tcPr>
            <w:tcW w:w="1220" w:type="dxa"/>
            <w:vAlign w:val="bottom"/>
          </w:tcPr>
          <w:p>
            <w:pPr>
              <w:jc w:val="right"/>
              <w:ind w:right="10"/>
              <w:spacing w:after="0"/>
              <w:rPr>
                <w:sz w:val="20"/>
                <w:szCs w:val="20"/>
                <w:color w:val="auto"/>
              </w:rPr>
            </w:pPr>
            <w:r>
              <w:rPr>
                <w:rFonts w:ascii="Times New Roman" w:cs="Times New Roman" w:eastAsia="Times New Roman" w:hAnsi="Times New Roman"/>
                <w:sz w:val="10"/>
                <w:szCs w:val="10"/>
                <w:color w:val="auto"/>
              </w:rPr>
              <w:t>(S + 6.00%) / (2.00%)</w:t>
            </w:r>
          </w:p>
        </w:tc>
        <w:tc>
          <w:tcPr>
            <w:tcW w:w="68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9.65%/0.00%</w:t>
            </w:r>
          </w:p>
        </w:tc>
        <w:tc>
          <w:tcPr>
            <w:tcW w:w="58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3/18/2025</w:t>
            </w:r>
          </w:p>
        </w:tc>
        <w:tc>
          <w:tcPr>
            <w:tcW w:w="600" w:type="dxa"/>
            <w:vAlign w:val="bottom"/>
          </w:tcPr>
          <w:p>
            <w:pPr>
              <w:jc w:val="right"/>
              <w:ind w:right="31"/>
              <w:spacing w:after="0"/>
              <w:rPr>
                <w:sz w:val="20"/>
                <w:szCs w:val="20"/>
                <w:color w:val="auto"/>
              </w:rPr>
            </w:pPr>
            <w:r>
              <w:rPr>
                <w:rFonts w:ascii="Times New Roman" w:cs="Times New Roman" w:eastAsia="Times New Roman" w:hAnsi="Times New Roman"/>
                <w:sz w:val="10"/>
                <w:szCs w:val="10"/>
                <w:color w:val="auto"/>
              </w:rPr>
              <w:t>3/18/2030</w:t>
            </w:r>
          </w:p>
        </w:tc>
        <w:tc>
          <w:tcPr>
            <w:tcW w:w="44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1,500</w:t>
            </w:r>
          </w:p>
        </w:tc>
        <w:tc>
          <w:tcPr>
            <w:tcW w:w="3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1,496</w:t>
            </w:r>
          </w:p>
        </w:tc>
        <w:tc>
          <w:tcPr>
            <w:tcW w:w="620" w:type="dxa"/>
            <w:vAlign w:val="bottom"/>
            <w:gridSpan w:val="3"/>
          </w:tcPr>
          <w:p>
            <w:pPr>
              <w:jc w:val="right"/>
              <w:ind w:right="200"/>
              <w:spacing w:after="0"/>
              <w:rPr>
                <w:sz w:val="20"/>
                <w:szCs w:val="20"/>
                <w:color w:val="auto"/>
              </w:rPr>
            </w:pPr>
            <w:r>
              <w:rPr>
                <w:rFonts w:ascii="Times New Roman" w:cs="Times New Roman" w:eastAsia="Times New Roman" w:hAnsi="Times New Roman"/>
                <w:sz w:val="10"/>
                <w:szCs w:val="10"/>
                <w:color w:val="auto"/>
              </w:rPr>
              <w:t>1,500</w:t>
            </w:r>
          </w:p>
        </w:tc>
        <w:tc>
          <w:tcPr>
            <w:tcW w:w="340" w:type="dxa"/>
            <w:vAlign w:val="bottom"/>
          </w:tcPr>
          <w:p>
            <w:pPr>
              <w:spacing w:after="0"/>
              <w:rPr>
                <w:sz w:val="24"/>
                <w:szCs w:val="24"/>
                <w:color w:val="auto"/>
              </w:rPr>
            </w:pPr>
          </w:p>
        </w:tc>
      </w:tr>
      <w:tr>
        <w:trPr>
          <w:trHeight w:val="202"/>
        </w:trPr>
        <w:tc>
          <w:tcPr>
            <w:tcW w:w="1220" w:type="dxa"/>
            <w:vAlign w:val="bottom"/>
          </w:tcPr>
          <w:p>
            <w:pPr>
              <w:jc w:val="right"/>
              <w:ind w:right="970"/>
              <w:spacing w:after="0"/>
              <w:rPr>
                <w:sz w:val="20"/>
                <w:szCs w:val="20"/>
                <w:color w:val="auto"/>
              </w:rPr>
            </w:pPr>
            <w:r>
              <w:rPr>
                <w:rFonts w:ascii="Times New Roman" w:cs="Times New Roman" w:eastAsia="Times New Roman" w:hAnsi="Times New Roman"/>
                <w:sz w:val="10"/>
                <w:szCs w:val="10"/>
                <w:color w:val="auto"/>
                <w:w w:val="86"/>
              </w:rPr>
              <w:t>1.2%</w:t>
            </w:r>
          </w:p>
        </w:tc>
        <w:tc>
          <w:tcPr>
            <w:tcW w:w="680" w:type="dxa"/>
            <w:vAlign w:val="bottom"/>
          </w:tcPr>
          <w:p>
            <w:pPr>
              <w:spacing w:after="0"/>
              <w:rPr>
                <w:sz w:val="17"/>
                <w:szCs w:val="17"/>
                <w:color w:val="auto"/>
              </w:rPr>
            </w:pPr>
          </w:p>
        </w:tc>
        <w:tc>
          <w:tcPr>
            <w:tcW w:w="58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3/18/2025</w:t>
            </w:r>
          </w:p>
        </w:tc>
        <w:tc>
          <w:tcPr>
            <w:tcW w:w="6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500</w:t>
            </w:r>
          </w:p>
        </w:tc>
        <w:tc>
          <w:tcPr>
            <w:tcW w:w="620" w:type="dxa"/>
            <w:vAlign w:val="bottom"/>
            <w:gridSpan w:val="3"/>
          </w:tcPr>
          <w:p>
            <w:pPr>
              <w:jc w:val="right"/>
              <w:ind w:right="200"/>
              <w:spacing w:after="0"/>
              <w:rPr>
                <w:sz w:val="20"/>
                <w:szCs w:val="20"/>
                <w:color w:val="auto"/>
              </w:rPr>
            </w:pPr>
            <w:r>
              <w:rPr>
                <w:rFonts w:ascii="Times New Roman" w:cs="Times New Roman" w:eastAsia="Times New Roman" w:hAnsi="Times New Roman"/>
                <w:sz w:val="10"/>
                <w:szCs w:val="10"/>
                <w:color w:val="auto"/>
              </w:rPr>
              <w:t>725</w:t>
            </w:r>
          </w:p>
        </w:tc>
        <w:tc>
          <w:tcPr>
            <w:tcW w:w="340" w:type="dxa"/>
            <w:vAlign w:val="bottom"/>
          </w:tcPr>
          <w:p>
            <w:pPr>
              <w:spacing w:after="0"/>
              <w:rPr>
                <w:sz w:val="17"/>
                <w:szCs w:val="17"/>
                <w:color w:val="auto"/>
              </w:rPr>
            </w:pPr>
          </w:p>
        </w:tc>
      </w:tr>
      <w:tr>
        <w:trPr>
          <w:trHeight w:val="115"/>
        </w:trPr>
        <w:tc>
          <w:tcPr>
            <w:tcW w:w="1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12,399</w:t>
            </w:r>
          </w:p>
        </w:tc>
        <w:tc>
          <w:tcPr>
            <w:tcW w:w="100" w:type="dxa"/>
            <w:vAlign w:val="bottom"/>
          </w:tcPr>
          <w:p>
            <w:pPr>
              <w:spacing w:after="0"/>
              <w:rPr>
                <w:sz w:val="10"/>
                <w:szCs w:val="10"/>
                <w:color w:val="auto"/>
              </w:rPr>
            </w:pPr>
          </w:p>
        </w:tc>
        <w:tc>
          <w:tcPr>
            <w:tcW w:w="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12,725</w:t>
            </w:r>
          </w:p>
        </w:tc>
        <w:tc>
          <w:tcPr>
            <w:tcW w:w="200" w:type="dxa"/>
            <w:vAlign w:val="bottom"/>
          </w:tcPr>
          <w:p>
            <w:pPr>
              <w:spacing w:after="0"/>
              <w:rPr>
                <w:sz w:val="10"/>
                <w:szCs w:val="10"/>
                <w:color w:val="auto"/>
              </w:rPr>
            </w:pPr>
          </w:p>
        </w:tc>
        <w:tc>
          <w:tcPr>
            <w:tcW w:w="34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2%</w:t>
            </w:r>
          </w:p>
        </w:tc>
      </w:tr>
      <w:tr>
        <w:trPr>
          <w:trHeight w:val="416"/>
        </w:trPr>
        <w:tc>
          <w:tcPr>
            <w:tcW w:w="1220" w:type="dxa"/>
            <w:vAlign w:val="bottom"/>
          </w:tcPr>
          <w:p>
            <w:pPr>
              <w:jc w:val="right"/>
              <w:ind w:right="10"/>
              <w:spacing w:after="0"/>
              <w:rPr>
                <w:sz w:val="20"/>
                <w:szCs w:val="20"/>
                <w:color w:val="auto"/>
              </w:rPr>
            </w:pPr>
            <w:r>
              <w:rPr>
                <w:rFonts w:ascii="Times New Roman" w:cs="Times New Roman" w:eastAsia="Times New Roman" w:hAnsi="Times New Roman"/>
                <w:sz w:val="10"/>
                <w:szCs w:val="10"/>
                <w:color w:val="auto"/>
              </w:rPr>
              <w:t>(S + 8.50%) / (1.50%)</w:t>
            </w:r>
          </w:p>
        </w:tc>
        <w:tc>
          <w:tcPr>
            <w:tcW w:w="68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12.42%/0.00%</w:t>
            </w:r>
          </w:p>
        </w:tc>
        <w:tc>
          <w:tcPr>
            <w:tcW w:w="58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9/29/2022</w:t>
            </w:r>
          </w:p>
        </w:tc>
        <w:tc>
          <w:tcPr>
            <w:tcW w:w="600" w:type="dxa"/>
            <w:vAlign w:val="bottom"/>
          </w:tcPr>
          <w:p>
            <w:pPr>
              <w:jc w:val="right"/>
              <w:ind w:right="31"/>
              <w:spacing w:after="0"/>
              <w:rPr>
                <w:sz w:val="20"/>
                <w:szCs w:val="20"/>
                <w:color w:val="auto"/>
              </w:rPr>
            </w:pPr>
            <w:r>
              <w:rPr>
                <w:rFonts w:ascii="Times New Roman" w:cs="Times New Roman" w:eastAsia="Times New Roman" w:hAnsi="Times New Roman"/>
                <w:sz w:val="10"/>
                <w:szCs w:val="10"/>
                <w:color w:val="auto"/>
              </w:rPr>
              <w:t>9/28/2026</w:t>
            </w:r>
          </w:p>
        </w:tc>
        <w:tc>
          <w:tcPr>
            <w:tcW w:w="44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27,000</w:t>
            </w:r>
          </w:p>
        </w:tc>
        <w:tc>
          <w:tcPr>
            <w:tcW w:w="3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26,983</w:t>
            </w:r>
          </w:p>
        </w:tc>
        <w:tc>
          <w:tcPr>
            <w:tcW w:w="620" w:type="dxa"/>
            <w:vAlign w:val="bottom"/>
            <w:gridSpan w:val="3"/>
          </w:tcPr>
          <w:p>
            <w:pPr>
              <w:jc w:val="right"/>
              <w:ind w:right="200"/>
              <w:spacing w:after="0"/>
              <w:rPr>
                <w:sz w:val="20"/>
                <w:szCs w:val="20"/>
                <w:color w:val="auto"/>
              </w:rPr>
            </w:pPr>
            <w:r>
              <w:rPr>
                <w:rFonts w:ascii="Times New Roman" w:cs="Times New Roman" w:eastAsia="Times New Roman" w:hAnsi="Times New Roman"/>
                <w:sz w:val="10"/>
                <w:szCs w:val="10"/>
                <w:color w:val="auto"/>
              </w:rPr>
              <w:t>27,000</w:t>
            </w:r>
          </w:p>
        </w:tc>
        <w:tc>
          <w:tcPr>
            <w:tcW w:w="3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w:t>
            </w:r>
          </w:p>
        </w:tc>
      </w:tr>
      <w:tr>
        <w:trPr>
          <w:trHeight w:val="293"/>
        </w:trPr>
        <w:tc>
          <w:tcPr>
            <w:tcW w:w="1220" w:type="dxa"/>
            <w:vAlign w:val="bottom"/>
          </w:tcPr>
          <w:p>
            <w:pPr>
              <w:jc w:val="right"/>
              <w:ind w:right="10"/>
              <w:spacing w:after="0"/>
              <w:rPr>
                <w:sz w:val="20"/>
                <w:szCs w:val="20"/>
                <w:color w:val="auto"/>
              </w:rPr>
            </w:pPr>
            <w:r>
              <w:rPr>
                <w:rFonts w:ascii="Times New Roman" w:cs="Times New Roman" w:eastAsia="Times New Roman" w:hAnsi="Times New Roman"/>
                <w:sz w:val="10"/>
                <w:szCs w:val="10"/>
                <w:color w:val="auto"/>
              </w:rPr>
              <w:t>(S + 6.25%) / (1.00%)</w:t>
            </w:r>
          </w:p>
        </w:tc>
        <w:tc>
          <w:tcPr>
            <w:tcW w:w="68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10.10%/0.00%</w:t>
            </w:r>
          </w:p>
        </w:tc>
        <w:tc>
          <w:tcPr>
            <w:tcW w:w="58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8/31/2023</w:t>
            </w:r>
          </w:p>
        </w:tc>
        <w:tc>
          <w:tcPr>
            <w:tcW w:w="600" w:type="dxa"/>
            <w:vAlign w:val="bottom"/>
          </w:tcPr>
          <w:p>
            <w:pPr>
              <w:jc w:val="right"/>
              <w:ind w:right="31"/>
              <w:spacing w:after="0"/>
              <w:rPr>
                <w:sz w:val="20"/>
                <w:szCs w:val="20"/>
                <w:color w:val="auto"/>
              </w:rPr>
            </w:pPr>
            <w:r>
              <w:rPr>
                <w:rFonts w:ascii="Times New Roman" w:cs="Times New Roman" w:eastAsia="Times New Roman" w:hAnsi="Times New Roman"/>
                <w:sz w:val="10"/>
                <w:szCs w:val="10"/>
                <w:color w:val="auto"/>
              </w:rPr>
              <w:t>8/3/2027</w:t>
            </w:r>
          </w:p>
        </w:tc>
        <w:tc>
          <w:tcPr>
            <w:tcW w:w="44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12,202</w:t>
            </w:r>
          </w:p>
        </w:tc>
        <w:tc>
          <w:tcPr>
            <w:tcW w:w="3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12,167</w:t>
            </w:r>
          </w:p>
        </w:tc>
        <w:tc>
          <w:tcPr>
            <w:tcW w:w="620" w:type="dxa"/>
            <w:vAlign w:val="bottom"/>
            <w:gridSpan w:val="3"/>
          </w:tcPr>
          <w:p>
            <w:pPr>
              <w:jc w:val="right"/>
              <w:ind w:right="200"/>
              <w:spacing w:after="0"/>
              <w:rPr>
                <w:sz w:val="20"/>
                <w:szCs w:val="20"/>
                <w:color w:val="auto"/>
              </w:rPr>
            </w:pPr>
            <w:r>
              <w:rPr>
                <w:rFonts w:ascii="Times New Roman" w:cs="Times New Roman" w:eastAsia="Times New Roman" w:hAnsi="Times New Roman"/>
                <w:sz w:val="10"/>
                <w:szCs w:val="10"/>
                <w:color w:val="auto"/>
              </w:rPr>
              <w:t>11,793</w:t>
            </w:r>
          </w:p>
        </w:tc>
        <w:tc>
          <w:tcPr>
            <w:tcW w:w="340" w:type="dxa"/>
            <w:vAlign w:val="bottom"/>
          </w:tcPr>
          <w:p>
            <w:pPr>
              <w:spacing w:after="0"/>
              <w:rPr>
                <w:sz w:val="24"/>
                <w:szCs w:val="24"/>
                <w:color w:val="auto"/>
              </w:rPr>
            </w:pPr>
          </w:p>
        </w:tc>
      </w:tr>
      <w:tr>
        <w:trPr>
          <w:trHeight w:val="209"/>
        </w:trPr>
        <w:tc>
          <w:tcPr>
            <w:tcW w:w="1220" w:type="dxa"/>
            <w:vAlign w:val="bottom"/>
          </w:tcPr>
          <w:p>
            <w:pPr>
              <w:jc w:val="right"/>
              <w:ind w:right="970"/>
              <w:spacing w:after="0"/>
              <w:rPr>
                <w:sz w:val="20"/>
                <w:szCs w:val="20"/>
                <w:color w:val="auto"/>
              </w:rPr>
            </w:pPr>
            <w:r>
              <w:rPr>
                <w:rFonts w:ascii="Times New Roman" w:cs="Times New Roman" w:eastAsia="Times New Roman" w:hAnsi="Times New Roman"/>
                <w:sz w:val="10"/>
                <w:szCs w:val="10"/>
                <w:color w:val="auto"/>
                <w:w w:val="86"/>
              </w:rPr>
              <w:t>2.3%</w:t>
            </w:r>
          </w:p>
        </w:tc>
        <w:tc>
          <w:tcPr>
            <w:tcW w:w="680" w:type="dxa"/>
            <w:vAlign w:val="bottom"/>
          </w:tcPr>
          <w:p>
            <w:pPr>
              <w:spacing w:after="0"/>
              <w:rPr>
                <w:sz w:val="18"/>
                <w:szCs w:val="18"/>
                <w:color w:val="auto"/>
              </w:rPr>
            </w:pPr>
          </w:p>
        </w:tc>
        <w:tc>
          <w:tcPr>
            <w:tcW w:w="58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9/18/2023</w:t>
            </w: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— </w:t>
            </w:r>
          </w:p>
        </w:tc>
        <w:tc>
          <w:tcPr>
            <w:tcW w:w="100" w:type="dxa"/>
            <w:vAlign w:val="bottom"/>
          </w:tcPr>
          <w:p>
            <w:pPr>
              <w:spacing w:after="0"/>
              <w:rPr>
                <w:sz w:val="18"/>
                <w:szCs w:val="18"/>
                <w:color w:val="auto"/>
              </w:rPr>
            </w:pPr>
          </w:p>
        </w:tc>
        <w:tc>
          <w:tcPr>
            <w:tcW w:w="520" w:type="dxa"/>
            <w:vAlign w:val="bottom"/>
            <w:gridSpan w:val="2"/>
          </w:tcPr>
          <w:p>
            <w:pPr>
              <w:ind w:left="180"/>
              <w:spacing w:after="0"/>
              <w:rPr>
                <w:sz w:val="20"/>
                <w:szCs w:val="20"/>
                <w:color w:val="auto"/>
              </w:rPr>
            </w:pPr>
            <w:r>
              <w:rPr>
                <w:rFonts w:ascii="Times New Roman" w:cs="Times New Roman" w:eastAsia="Times New Roman" w:hAnsi="Times New Roman"/>
                <w:sz w:val="10"/>
                <w:szCs w:val="10"/>
                <w:color w:val="auto"/>
              </w:rPr>
              <w:t>— </w:t>
            </w:r>
          </w:p>
        </w:tc>
        <w:tc>
          <w:tcPr>
            <w:tcW w:w="340" w:type="dxa"/>
            <w:vAlign w:val="bottom"/>
          </w:tcPr>
          <w:p>
            <w:pPr>
              <w:spacing w:after="0"/>
              <w:rPr>
                <w:sz w:val="18"/>
                <w:szCs w:val="18"/>
                <w:color w:val="auto"/>
              </w:rPr>
            </w:pPr>
          </w:p>
        </w:tc>
      </w:tr>
      <w:tr>
        <w:trPr>
          <w:trHeight w:val="209"/>
        </w:trPr>
        <w:tc>
          <w:tcPr>
            <w:tcW w:w="1220" w:type="dxa"/>
            <w:vAlign w:val="bottom"/>
          </w:tcPr>
          <w:p>
            <w:pPr>
              <w:jc w:val="right"/>
              <w:ind w:right="970"/>
              <w:spacing w:after="0"/>
              <w:rPr>
                <w:sz w:val="20"/>
                <w:szCs w:val="20"/>
                <w:color w:val="auto"/>
              </w:rPr>
            </w:pPr>
            <w:r>
              <w:rPr>
                <w:rFonts w:ascii="Times New Roman" w:cs="Times New Roman" w:eastAsia="Times New Roman" w:hAnsi="Times New Roman"/>
                <w:sz w:val="10"/>
                <w:szCs w:val="10"/>
                <w:color w:val="auto"/>
                <w:w w:val="86"/>
              </w:rPr>
              <w:t>0.0%</w:t>
            </w:r>
          </w:p>
        </w:tc>
        <w:tc>
          <w:tcPr>
            <w:tcW w:w="680" w:type="dxa"/>
            <w:vAlign w:val="bottom"/>
          </w:tcPr>
          <w:p>
            <w:pPr>
              <w:spacing w:after="0"/>
              <w:rPr>
                <w:sz w:val="18"/>
                <w:szCs w:val="18"/>
                <w:color w:val="auto"/>
              </w:rPr>
            </w:pPr>
          </w:p>
        </w:tc>
        <w:tc>
          <w:tcPr>
            <w:tcW w:w="58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9/18/2023</w:t>
            </w: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1,250</w:t>
            </w:r>
          </w:p>
        </w:tc>
        <w:tc>
          <w:tcPr>
            <w:tcW w:w="620" w:type="dxa"/>
            <w:vAlign w:val="bottom"/>
            <w:gridSpan w:val="3"/>
          </w:tcPr>
          <w:p>
            <w:pPr>
              <w:jc w:val="right"/>
              <w:ind w:right="200"/>
              <w:spacing w:after="0"/>
              <w:rPr>
                <w:sz w:val="20"/>
                <w:szCs w:val="20"/>
                <w:color w:val="auto"/>
              </w:rPr>
            </w:pPr>
            <w:r>
              <w:rPr>
                <w:rFonts w:ascii="Times New Roman" w:cs="Times New Roman" w:eastAsia="Times New Roman" w:hAnsi="Times New Roman"/>
                <w:sz w:val="10"/>
                <w:szCs w:val="10"/>
                <w:color w:val="auto"/>
              </w:rPr>
              <w:t>67</w:t>
            </w:r>
          </w:p>
        </w:tc>
        <w:tc>
          <w:tcPr>
            <w:tcW w:w="340" w:type="dxa"/>
            <w:vAlign w:val="bottom"/>
          </w:tcPr>
          <w:p>
            <w:pPr>
              <w:spacing w:after="0"/>
              <w:rPr>
                <w:sz w:val="18"/>
                <w:szCs w:val="18"/>
                <w:color w:val="auto"/>
              </w:rPr>
            </w:pPr>
          </w:p>
        </w:tc>
      </w:tr>
      <w:tr>
        <w:trPr>
          <w:trHeight w:val="202"/>
        </w:trPr>
        <w:tc>
          <w:tcPr>
            <w:tcW w:w="1220" w:type="dxa"/>
            <w:vAlign w:val="bottom"/>
          </w:tcPr>
          <w:p>
            <w:pPr>
              <w:jc w:val="right"/>
              <w:ind w:right="970"/>
              <w:spacing w:after="0"/>
              <w:rPr>
                <w:sz w:val="20"/>
                <w:szCs w:val="20"/>
                <w:color w:val="auto"/>
              </w:rPr>
            </w:pPr>
            <w:r>
              <w:rPr>
                <w:rFonts w:ascii="Times New Roman" w:cs="Times New Roman" w:eastAsia="Times New Roman" w:hAnsi="Times New Roman"/>
                <w:sz w:val="10"/>
                <w:szCs w:val="10"/>
                <w:color w:val="auto"/>
                <w:w w:val="86"/>
              </w:rPr>
              <w:t>0.0%</w:t>
            </w:r>
          </w:p>
        </w:tc>
        <w:tc>
          <w:tcPr>
            <w:tcW w:w="680" w:type="dxa"/>
            <w:vAlign w:val="bottom"/>
          </w:tcPr>
          <w:p>
            <w:pPr>
              <w:spacing w:after="0"/>
              <w:rPr>
                <w:sz w:val="17"/>
                <w:szCs w:val="17"/>
                <w:color w:val="auto"/>
              </w:rPr>
            </w:pPr>
          </w:p>
        </w:tc>
        <w:tc>
          <w:tcPr>
            <w:tcW w:w="58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7/1/2025</w:t>
            </w:r>
          </w:p>
        </w:tc>
        <w:tc>
          <w:tcPr>
            <w:tcW w:w="6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71</w:t>
            </w:r>
          </w:p>
        </w:tc>
        <w:tc>
          <w:tcPr>
            <w:tcW w:w="620" w:type="dxa"/>
            <w:vAlign w:val="bottom"/>
            <w:gridSpan w:val="3"/>
          </w:tcPr>
          <w:p>
            <w:pPr>
              <w:jc w:val="right"/>
              <w:ind w:right="200"/>
              <w:spacing w:after="0"/>
              <w:rPr>
                <w:sz w:val="20"/>
                <w:szCs w:val="20"/>
                <w:color w:val="auto"/>
              </w:rPr>
            </w:pPr>
            <w:r>
              <w:rPr>
                <w:rFonts w:ascii="Times New Roman" w:cs="Times New Roman" w:eastAsia="Times New Roman" w:hAnsi="Times New Roman"/>
                <w:sz w:val="10"/>
                <w:szCs w:val="10"/>
                <w:color w:val="auto"/>
              </w:rPr>
              <w:t>77</w:t>
            </w:r>
          </w:p>
        </w:tc>
        <w:tc>
          <w:tcPr>
            <w:tcW w:w="340" w:type="dxa"/>
            <w:vAlign w:val="bottom"/>
          </w:tcPr>
          <w:p>
            <w:pPr>
              <w:spacing w:after="0"/>
              <w:rPr>
                <w:sz w:val="17"/>
                <w:szCs w:val="17"/>
                <w:color w:val="auto"/>
              </w:rPr>
            </w:pPr>
          </w:p>
        </w:tc>
      </w:tr>
      <w:tr>
        <w:trPr>
          <w:trHeight w:val="115"/>
        </w:trPr>
        <w:tc>
          <w:tcPr>
            <w:tcW w:w="1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13,488</w:t>
            </w:r>
          </w:p>
        </w:tc>
        <w:tc>
          <w:tcPr>
            <w:tcW w:w="100" w:type="dxa"/>
            <w:vAlign w:val="bottom"/>
          </w:tcPr>
          <w:p>
            <w:pPr>
              <w:spacing w:after="0"/>
              <w:rPr>
                <w:sz w:val="10"/>
                <w:szCs w:val="10"/>
                <w:color w:val="auto"/>
              </w:rPr>
            </w:pPr>
          </w:p>
        </w:tc>
        <w:tc>
          <w:tcPr>
            <w:tcW w:w="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11,937</w:t>
            </w:r>
          </w:p>
        </w:tc>
        <w:tc>
          <w:tcPr>
            <w:tcW w:w="200" w:type="dxa"/>
            <w:vAlign w:val="bottom"/>
          </w:tcPr>
          <w:p>
            <w:pPr>
              <w:spacing w:after="0"/>
              <w:rPr>
                <w:sz w:val="10"/>
                <w:szCs w:val="10"/>
                <w:color w:val="auto"/>
              </w:rPr>
            </w:pPr>
          </w:p>
        </w:tc>
        <w:tc>
          <w:tcPr>
            <w:tcW w:w="34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2%</w:t>
            </w:r>
          </w:p>
        </w:tc>
      </w:tr>
      <w:tr>
        <w:trPr>
          <w:trHeight w:val="311"/>
        </w:trPr>
        <w:tc>
          <w:tcPr>
            <w:tcW w:w="1220" w:type="dxa"/>
            <w:vAlign w:val="bottom"/>
          </w:tcPr>
          <w:p>
            <w:pPr>
              <w:jc w:val="right"/>
              <w:ind w:right="10"/>
              <w:spacing w:after="0"/>
              <w:rPr>
                <w:sz w:val="20"/>
                <w:szCs w:val="20"/>
                <w:color w:val="auto"/>
              </w:rPr>
            </w:pPr>
            <w:r>
              <w:rPr>
                <w:rFonts w:ascii="Times New Roman" w:cs="Times New Roman" w:eastAsia="Times New Roman" w:hAnsi="Times New Roman"/>
                <w:sz w:val="10"/>
                <w:szCs w:val="10"/>
                <w:color w:val="auto"/>
              </w:rPr>
              <w:t>(S + 6.50%) / (2.00%)</w:t>
            </w:r>
          </w:p>
        </w:tc>
        <w:tc>
          <w:tcPr>
            <w:tcW w:w="68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10.17%/0.00%</w:t>
            </w:r>
          </w:p>
        </w:tc>
        <w:tc>
          <w:tcPr>
            <w:tcW w:w="58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3/13/2026</w:t>
            </w:r>
          </w:p>
        </w:tc>
        <w:tc>
          <w:tcPr>
            <w:tcW w:w="600" w:type="dxa"/>
            <w:vAlign w:val="bottom"/>
          </w:tcPr>
          <w:p>
            <w:pPr>
              <w:jc w:val="right"/>
              <w:ind w:right="31"/>
              <w:spacing w:after="0"/>
              <w:rPr>
                <w:sz w:val="20"/>
                <w:szCs w:val="20"/>
                <w:color w:val="auto"/>
              </w:rPr>
            </w:pPr>
            <w:r>
              <w:rPr>
                <w:rFonts w:ascii="Times New Roman" w:cs="Times New Roman" w:eastAsia="Times New Roman" w:hAnsi="Times New Roman"/>
                <w:sz w:val="10"/>
                <w:szCs w:val="10"/>
                <w:color w:val="auto"/>
              </w:rPr>
              <w:t>3/13/2031</w:t>
            </w:r>
          </w:p>
        </w:tc>
        <w:tc>
          <w:tcPr>
            <w:tcW w:w="44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5,625</w:t>
            </w:r>
          </w:p>
        </w:tc>
        <w:tc>
          <w:tcPr>
            <w:tcW w:w="3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5,583</w:t>
            </w:r>
          </w:p>
        </w:tc>
        <w:tc>
          <w:tcPr>
            <w:tcW w:w="620" w:type="dxa"/>
            <w:vAlign w:val="bottom"/>
            <w:gridSpan w:val="3"/>
          </w:tcPr>
          <w:p>
            <w:pPr>
              <w:jc w:val="right"/>
              <w:ind w:right="200"/>
              <w:spacing w:after="0"/>
              <w:rPr>
                <w:sz w:val="20"/>
                <w:szCs w:val="20"/>
                <w:color w:val="auto"/>
              </w:rPr>
            </w:pPr>
            <w:r>
              <w:rPr>
                <w:rFonts w:ascii="Times New Roman" w:cs="Times New Roman" w:eastAsia="Times New Roman" w:hAnsi="Times New Roman"/>
                <w:sz w:val="10"/>
                <w:szCs w:val="10"/>
                <w:color w:val="auto"/>
              </w:rPr>
              <w:t>5,583</w:t>
            </w:r>
          </w:p>
        </w:tc>
        <w:tc>
          <w:tcPr>
            <w:tcW w:w="340" w:type="dxa"/>
            <w:vAlign w:val="bottom"/>
          </w:tcPr>
          <w:p>
            <w:pPr>
              <w:spacing w:after="0"/>
              <w:rPr>
                <w:sz w:val="24"/>
                <w:szCs w:val="24"/>
                <w:color w:val="auto"/>
              </w:rPr>
            </w:pPr>
          </w:p>
        </w:tc>
      </w:tr>
      <w:tr>
        <w:trPr>
          <w:trHeight w:val="209"/>
        </w:trPr>
        <w:tc>
          <w:tcPr>
            <w:tcW w:w="1220" w:type="dxa"/>
            <w:vAlign w:val="bottom"/>
          </w:tcPr>
          <w:p>
            <w:pPr>
              <w:jc w:val="right"/>
              <w:ind w:right="970"/>
              <w:spacing w:after="0"/>
              <w:rPr>
                <w:sz w:val="20"/>
                <w:szCs w:val="20"/>
                <w:color w:val="auto"/>
              </w:rPr>
            </w:pPr>
            <w:r>
              <w:rPr>
                <w:rFonts w:ascii="Times New Roman" w:cs="Times New Roman" w:eastAsia="Times New Roman" w:hAnsi="Times New Roman"/>
                <w:sz w:val="10"/>
                <w:szCs w:val="10"/>
                <w:color w:val="auto"/>
                <w:w w:val="86"/>
              </w:rPr>
              <w:t>0.7%</w:t>
            </w:r>
          </w:p>
        </w:tc>
        <w:tc>
          <w:tcPr>
            <w:tcW w:w="680" w:type="dxa"/>
            <w:vAlign w:val="bottom"/>
          </w:tcPr>
          <w:p>
            <w:pPr>
              <w:spacing w:after="0"/>
              <w:rPr>
                <w:sz w:val="18"/>
                <w:szCs w:val="18"/>
                <w:color w:val="auto"/>
              </w:rPr>
            </w:pPr>
          </w:p>
        </w:tc>
        <w:tc>
          <w:tcPr>
            <w:tcW w:w="58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3/13/2026</w:t>
            </w: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— </w:t>
            </w:r>
          </w:p>
        </w:tc>
        <w:tc>
          <w:tcPr>
            <w:tcW w:w="100" w:type="dxa"/>
            <w:vAlign w:val="bottom"/>
          </w:tcPr>
          <w:p>
            <w:pPr>
              <w:spacing w:after="0"/>
              <w:rPr>
                <w:sz w:val="18"/>
                <w:szCs w:val="18"/>
                <w:color w:val="auto"/>
              </w:rPr>
            </w:pPr>
          </w:p>
        </w:tc>
        <w:tc>
          <w:tcPr>
            <w:tcW w:w="520" w:type="dxa"/>
            <w:vAlign w:val="bottom"/>
            <w:gridSpan w:val="2"/>
          </w:tcPr>
          <w:p>
            <w:pPr>
              <w:ind w:left="180"/>
              <w:spacing w:after="0"/>
              <w:rPr>
                <w:sz w:val="20"/>
                <w:szCs w:val="20"/>
                <w:color w:val="auto"/>
              </w:rPr>
            </w:pPr>
            <w:r>
              <w:rPr>
                <w:rFonts w:ascii="Times New Roman" w:cs="Times New Roman" w:eastAsia="Times New Roman" w:hAnsi="Times New Roman"/>
                <w:sz w:val="10"/>
                <w:szCs w:val="10"/>
                <w:color w:val="auto"/>
              </w:rPr>
              <w:t>— </w:t>
            </w:r>
          </w:p>
        </w:tc>
        <w:tc>
          <w:tcPr>
            <w:tcW w:w="340" w:type="dxa"/>
            <w:vAlign w:val="bottom"/>
          </w:tcPr>
          <w:p>
            <w:pPr>
              <w:spacing w:after="0"/>
              <w:rPr>
                <w:sz w:val="18"/>
                <w:szCs w:val="18"/>
                <w:color w:val="auto"/>
              </w:rPr>
            </w:pPr>
          </w:p>
        </w:tc>
      </w:tr>
      <w:tr>
        <w:trPr>
          <w:trHeight w:val="202"/>
        </w:trPr>
        <w:tc>
          <w:tcPr>
            <w:tcW w:w="1220" w:type="dxa"/>
            <w:vAlign w:val="bottom"/>
          </w:tcPr>
          <w:p>
            <w:pPr>
              <w:jc w:val="right"/>
              <w:ind w:right="970"/>
              <w:spacing w:after="0"/>
              <w:rPr>
                <w:sz w:val="20"/>
                <w:szCs w:val="20"/>
                <w:color w:val="auto"/>
              </w:rPr>
            </w:pPr>
            <w:r>
              <w:rPr>
                <w:rFonts w:ascii="Times New Roman" w:cs="Times New Roman" w:eastAsia="Times New Roman" w:hAnsi="Times New Roman"/>
                <w:sz w:val="10"/>
                <w:szCs w:val="10"/>
                <w:color w:val="auto"/>
                <w:w w:val="86"/>
              </w:rPr>
              <w:t>0.7%</w:t>
            </w:r>
          </w:p>
        </w:tc>
        <w:tc>
          <w:tcPr>
            <w:tcW w:w="680" w:type="dxa"/>
            <w:vAlign w:val="bottom"/>
          </w:tcPr>
          <w:p>
            <w:pPr>
              <w:spacing w:after="0"/>
              <w:rPr>
                <w:sz w:val="17"/>
                <w:szCs w:val="17"/>
                <w:color w:val="auto"/>
              </w:rPr>
            </w:pPr>
          </w:p>
        </w:tc>
        <w:tc>
          <w:tcPr>
            <w:tcW w:w="58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3/13/2026</w:t>
            </w:r>
          </w:p>
        </w:tc>
        <w:tc>
          <w:tcPr>
            <w:tcW w:w="6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750</w:t>
            </w:r>
          </w:p>
        </w:tc>
        <w:tc>
          <w:tcPr>
            <w:tcW w:w="620" w:type="dxa"/>
            <w:vAlign w:val="bottom"/>
            <w:gridSpan w:val="3"/>
          </w:tcPr>
          <w:p>
            <w:pPr>
              <w:jc w:val="right"/>
              <w:ind w:right="200"/>
              <w:spacing w:after="0"/>
              <w:rPr>
                <w:sz w:val="20"/>
                <w:szCs w:val="20"/>
                <w:color w:val="auto"/>
              </w:rPr>
            </w:pPr>
            <w:r>
              <w:rPr>
                <w:rFonts w:ascii="Times New Roman" w:cs="Times New Roman" w:eastAsia="Times New Roman" w:hAnsi="Times New Roman"/>
                <w:sz w:val="10"/>
                <w:szCs w:val="10"/>
                <w:color w:val="auto"/>
              </w:rPr>
              <w:t>750</w:t>
            </w:r>
          </w:p>
        </w:tc>
        <w:tc>
          <w:tcPr>
            <w:tcW w:w="340" w:type="dxa"/>
            <w:vAlign w:val="bottom"/>
          </w:tcPr>
          <w:p>
            <w:pPr>
              <w:spacing w:after="0"/>
              <w:rPr>
                <w:sz w:val="17"/>
                <w:szCs w:val="17"/>
                <w:color w:val="auto"/>
              </w:rPr>
            </w:pPr>
          </w:p>
        </w:tc>
      </w:tr>
      <w:tr>
        <w:trPr>
          <w:trHeight w:val="115"/>
        </w:trPr>
        <w:tc>
          <w:tcPr>
            <w:tcW w:w="1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6,333</w:t>
            </w:r>
          </w:p>
        </w:tc>
        <w:tc>
          <w:tcPr>
            <w:tcW w:w="100" w:type="dxa"/>
            <w:vAlign w:val="bottom"/>
          </w:tcPr>
          <w:p>
            <w:pPr>
              <w:spacing w:after="0"/>
              <w:rPr>
                <w:sz w:val="10"/>
                <w:szCs w:val="10"/>
                <w:color w:val="auto"/>
              </w:rPr>
            </w:pPr>
          </w:p>
        </w:tc>
        <w:tc>
          <w:tcPr>
            <w:tcW w:w="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6,333</w:t>
            </w:r>
          </w:p>
        </w:tc>
        <w:tc>
          <w:tcPr>
            <w:tcW w:w="200" w:type="dxa"/>
            <w:vAlign w:val="bottom"/>
          </w:tcPr>
          <w:p>
            <w:pPr>
              <w:spacing w:after="0"/>
              <w:rPr>
                <w:sz w:val="10"/>
                <w:szCs w:val="10"/>
                <w:color w:val="auto"/>
              </w:rPr>
            </w:pPr>
          </w:p>
        </w:tc>
        <w:tc>
          <w:tcPr>
            <w:tcW w:w="34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w:t>
            </w:r>
          </w:p>
        </w:tc>
      </w:tr>
      <w:tr>
        <w:trPr>
          <w:trHeight w:val="416"/>
        </w:trPr>
        <w:tc>
          <w:tcPr>
            <w:tcW w:w="1220" w:type="dxa"/>
            <w:vAlign w:val="bottom"/>
          </w:tcPr>
          <w:p>
            <w:pPr>
              <w:jc w:val="right"/>
              <w:ind w:right="10"/>
              <w:spacing w:after="0"/>
              <w:rPr>
                <w:sz w:val="20"/>
                <w:szCs w:val="20"/>
                <w:color w:val="auto"/>
              </w:rPr>
            </w:pPr>
            <w:r>
              <w:rPr>
                <w:rFonts w:ascii="Times New Roman" w:cs="Times New Roman" w:eastAsia="Times New Roman" w:hAnsi="Times New Roman"/>
                <w:sz w:val="10"/>
                <w:szCs w:val="10"/>
                <w:color w:val="auto"/>
              </w:rPr>
              <w:t>(P + 2.00%) / (3.25%)</w:t>
            </w:r>
          </w:p>
        </w:tc>
        <w:tc>
          <w:tcPr>
            <w:tcW w:w="68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8.75%/2.00%</w:t>
            </w:r>
          </w:p>
        </w:tc>
        <w:tc>
          <w:tcPr>
            <w:tcW w:w="58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11/18/2021</w:t>
            </w:r>
          </w:p>
        </w:tc>
        <w:tc>
          <w:tcPr>
            <w:tcW w:w="600" w:type="dxa"/>
            <w:vAlign w:val="bottom"/>
          </w:tcPr>
          <w:p>
            <w:pPr>
              <w:jc w:val="right"/>
              <w:ind w:right="31"/>
              <w:spacing w:after="0"/>
              <w:rPr>
                <w:sz w:val="20"/>
                <w:szCs w:val="20"/>
                <w:color w:val="auto"/>
              </w:rPr>
            </w:pPr>
            <w:r>
              <w:rPr>
                <w:rFonts w:ascii="Times New Roman" w:cs="Times New Roman" w:eastAsia="Times New Roman" w:hAnsi="Times New Roman"/>
                <w:sz w:val="10"/>
                <w:szCs w:val="10"/>
                <w:color w:val="auto"/>
              </w:rPr>
              <w:t>11/18/2026</w:t>
            </w:r>
          </w:p>
        </w:tc>
        <w:tc>
          <w:tcPr>
            <w:tcW w:w="44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16,733</w:t>
            </w:r>
          </w:p>
        </w:tc>
        <w:tc>
          <w:tcPr>
            <w:tcW w:w="3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16,725</w:t>
            </w:r>
          </w:p>
        </w:tc>
        <w:tc>
          <w:tcPr>
            <w:tcW w:w="620" w:type="dxa"/>
            <w:vAlign w:val="bottom"/>
            <w:gridSpan w:val="3"/>
          </w:tcPr>
          <w:p>
            <w:pPr>
              <w:jc w:val="right"/>
              <w:ind w:right="200"/>
              <w:spacing w:after="0"/>
              <w:rPr>
                <w:sz w:val="20"/>
                <w:szCs w:val="20"/>
                <w:color w:val="auto"/>
              </w:rPr>
            </w:pPr>
            <w:r>
              <w:rPr>
                <w:rFonts w:ascii="Times New Roman" w:cs="Times New Roman" w:eastAsia="Times New Roman" w:hAnsi="Times New Roman"/>
                <w:sz w:val="10"/>
                <w:szCs w:val="10"/>
                <w:color w:val="auto"/>
              </w:rPr>
              <w:t>16,733</w:t>
            </w:r>
          </w:p>
        </w:tc>
        <w:tc>
          <w:tcPr>
            <w:tcW w:w="3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w:t>
            </w:r>
          </w:p>
        </w:tc>
      </w:tr>
      <w:tr>
        <w:trPr>
          <w:trHeight w:val="502"/>
        </w:trPr>
        <w:tc>
          <w:tcPr>
            <w:tcW w:w="1220" w:type="dxa"/>
            <w:vAlign w:val="bottom"/>
          </w:tcPr>
          <w:p>
            <w:pPr>
              <w:jc w:val="right"/>
              <w:ind w:right="10"/>
              <w:spacing w:after="0"/>
              <w:rPr>
                <w:sz w:val="20"/>
                <w:szCs w:val="20"/>
                <w:color w:val="auto"/>
              </w:rPr>
            </w:pPr>
            <w:r>
              <w:rPr>
                <w:rFonts w:ascii="Times New Roman" w:cs="Times New Roman" w:eastAsia="Times New Roman" w:hAnsi="Times New Roman"/>
                <w:sz w:val="10"/>
                <w:szCs w:val="10"/>
                <w:color w:val="auto"/>
              </w:rPr>
              <w:t>(S + 7.50%) / (2.50%)</w:t>
            </w:r>
          </w:p>
        </w:tc>
        <w:tc>
          <w:tcPr>
            <w:tcW w:w="68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11.16%/0.00%</w:t>
            </w:r>
          </w:p>
        </w:tc>
        <w:tc>
          <w:tcPr>
            <w:tcW w:w="58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6/20/2023</w:t>
            </w:r>
          </w:p>
        </w:tc>
        <w:tc>
          <w:tcPr>
            <w:tcW w:w="600" w:type="dxa"/>
            <w:vAlign w:val="bottom"/>
          </w:tcPr>
          <w:p>
            <w:pPr>
              <w:jc w:val="right"/>
              <w:ind w:right="31"/>
              <w:spacing w:after="0"/>
              <w:rPr>
                <w:sz w:val="20"/>
                <w:szCs w:val="20"/>
                <w:color w:val="auto"/>
              </w:rPr>
            </w:pPr>
            <w:r>
              <w:rPr>
                <w:rFonts w:ascii="Times New Roman" w:cs="Times New Roman" w:eastAsia="Times New Roman" w:hAnsi="Times New Roman"/>
                <w:sz w:val="10"/>
                <w:szCs w:val="10"/>
                <w:color w:val="auto"/>
              </w:rPr>
              <w:t>6/16/2028</w:t>
            </w:r>
          </w:p>
        </w:tc>
        <w:tc>
          <w:tcPr>
            <w:tcW w:w="44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18,545</w:t>
            </w:r>
          </w:p>
        </w:tc>
        <w:tc>
          <w:tcPr>
            <w:tcW w:w="3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18,422</w:t>
            </w:r>
          </w:p>
        </w:tc>
        <w:tc>
          <w:tcPr>
            <w:tcW w:w="620" w:type="dxa"/>
            <w:vAlign w:val="bottom"/>
            <w:gridSpan w:val="3"/>
          </w:tcPr>
          <w:p>
            <w:pPr>
              <w:jc w:val="right"/>
              <w:ind w:right="200"/>
              <w:spacing w:after="0"/>
              <w:rPr>
                <w:sz w:val="20"/>
                <w:szCs w:val="20"/>
                <w:color w:val="auto"/>
              </w:rPr>
            </w:pPr>
            <w:r>
              <w:rPr>
                <w:rFonts w:ascii="Times New Roman" w:cs="Times New Roman" w:eastAsia="Times New Roman" w:hAnsi="Times New Roman"/>
                <w:sz w:val="10"/>
                <w:szCs w:val="10"/>
                <w:color w:val="auto"/>
              </w:rPr>
              <w:t>18,545</w:t>
            </w:r>
          </w:p>
        </w:tc>
        <w:tc>
          <w:tcPr>
            <w:tcW w:w="340" w:type="dxa"/>
            <w:vAlign w:val="bottom"/>
          </w:tcPr>
          <w:p>
            <w:pPr>
              <w:spacing w:after="0"/>
              <w:rPr>
                <w:sz w:val="24"/>
                <w:szCs w:val="24"/>
                <w:color w:val="auto"/>
              </w:rPr>
            </w:pPr>
          </w:p>
        </w:tc>
      </w:tr>
      <w:tr>
        <w:trPr>
          <w:trHeight w:val="209"/>
        </w:trPr>
        <w:tc>
          <w:tcPr>
            <w:tcW w:w="1220" w:type="dxa"/>
            <w:vAlign w:val="bottom"/>
          </w:tcPr>
          <w:p>
            <w:pPr>
              <w:jc w:val="right"/>
              <w:ind w:right="970"/>
              <w:spacing w:after="0"/>
              <w:rPr>
                <w:sz w:val="20"/>
                <w:szCs w:val="20"/>
                <w:color w:val="auto"/>
              </w:rPr>
            </w:pPr>
            <w:r>
              <w:rPr>
                <w:rFonts w:ascii="Times New Roman" w:cs="Times New Roman" w:eastAsia="Times New Roman" w:hAnsi="Times New Roman"/>
                <w:sz w:val="10"/>
                <w:szCs w:val="10"/>
                <w:color w:val="auto"/>
                <w:w w:val="86"/>
              </w:rPr>
              <w:t>2.3%</w:t>
            </w:r>
          </w:p>
        </w:tc>
        <w:tc>
          <w:tcPr>
            <w:tcW w:w="680" w:type="dxa"/>
            <w:vAlign w:val="bottom"/>
          </w:tcPr>
          <w:p>
            <w:pPr>
              <w:spacing w:after="0"/>
              <w:rPr>
                <w:sz w:val="18"/>
                <w:szCs w:val="18"/>
                <w:color w:val="auto"/>
              </w:rPr>
            </w:pPr>
          </w:p>
        </w:tc>
        <w:tc>
          <w:tcPr>
            <w:tcW w:w="58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6/20/2023</w:t>
            </w: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2,446</w:t>
            </w:r>
          </w:p>
        </w:tc>
        <w:tc>
          <w:tcPr>
            <w:tcW w:w="620" w:type="dxa"/>
            <w:vAlign w:val="bottom"/>
            <w:gridSpan w:val="3"/>
          </w:tcPr>
          <w:p>
            <w:pPr>
              <w:jc w:val="right"/>
              <w:ind w:right="200"/>
              <w:spacing w:after="0"/>
              <w:rPr>
                <w:sz w:val="20"/>
                <w:szCs w:val="20"/>
                <w:color w:val="auto"/>
              </w:rPr>
            </w:pPr>
            <w:r>
              <w:rPr>
                <w:rFonts w:ascii="Times New Roman" w:cs="Times New Roman" w:eastAsia="Times New Roman" w:hAnsi="Times New Roman"/>
                <w:sz w:val="10"/>
                <w:szCs w:val="10"/>
                <w:color w:val="auto"/>
              </w:rPr>
              <w:t>2,468</w:t>
            </w:r>
          </w:p>
        </w:tc>
        <w:tc>
          <w:tcPr>
            <w:tcW w:w="340" w:type="dxa"/>
            <w:vAlign w:val="bottom"/>
          </w:tcPr>
          <w:p>
            <w:pPr>
              <w:spacing w:after="0"/>
              <w:rPr>
                <w:sz w:val="18"/>
                <w:szCs w:val="18"/>
                <w:color w:val="auto"/>
              </w:rPr>
            </w:pPr>
          </w:p>
        </w:tc>
      </w:tr>
      <w:tr>
        <w:trPr>
          <w:trHeight w:val="202"/>
        </w:trPr>
        <w:tc>
          <w:tcPr>
            <w:tcW w:w="1220" w:type="dxa"/>
            <w:vAlign w:val="bottom"/>
          </w:tcPr>
          <w:p>
            <w:pPr>
              <w:jc w:val="right"/>
              <w:ind w:right="970"/>
              <w:spacing w:after="0"/>
              <w:rPr>
                <w:sz w:val="20"/>
                <w:szCs w:val="20"/>
                <w:color w:val="auto"/>
              </w:rPr>
            </w:pPr>
            <w:r>
              <w:rPr>
                <w:rFonts w:ascii="Times New Roman" w:cs="Times New Roman" w:eastAsia="Times New Roman" w:hAnsi="Times New Roman"/>
                <w:sz w:val="10"/>
                <w:szCs w:val="10"/>
                <w:color w:val="auto"/>
                <w:w w:val="86"/>
              </w:rPr>
              <w:t>0.0%</w:t>
            </w:r>
          </w:p>
        </w:tc>
        <w:tc>
          <w:tcPr>
            <w:tcW w:w="680" w:type="dxa"/>
            <w:vAlign w:val="bottom"/>
          </w:tcPr>
          <w:p>
            <w:pPr>
              <w:spacing w:after="0"/>
              <w:rPr>
                <w:sz w:val="17"/>
                <w:szCs w:val="17"/>
                <w:color w:val="auto"/>
              </w:rPr>
            </w:pPr>
          </w:p>
        </w:tc>
        <w:tc>
          <w:tcPr>
            <w:tcW w:w="58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6/20/2023</w:t>
            </w:r>
          </w:p>
        </w:tc>
        <w:tc>
          <w:tcPr>
            <w:tcW w:w="6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375</w:t>
            </w:r>
          </w:p>
        </w:tc>
        <w:tc>
          <w:tcPr>
            <w:tcW w:w="620" w:type="dxa"/>
            <w:vAlign w:val="bottom"/>
            <w:gridSpan w:val="3"/>
          </w:tcPr>
          <w:p>
            <w:pPr>
              <w:jc w:val="right"/>
              <w:ind w:right="200"/>
              <w:spacing w:after="0"/>
              <w:rPr>
                <w:sz w:val="20"/>
                <w:szCs w:val="20"/>
                <w:color w:val="auto"/>
              </w:rPr>
            </w:pPr>
            <w:r>
              <w:rPr>
                <w:rFonts w:ascii="Times New Roman" w:cs="Times New Roman" w:eastAsia="Times New Roman" w:hAnsi="Times New Roman"/>
                <w:sz w:val="10"/>
                <w:szCs w:val="10"/>
                <w:color w:val="auto"/>
              </w:rPr>
              <w:t>446</w:t>
            </w:r>
          </w:p>
        </w:tc>
        <w:tc>
          <w:tcPr>
            <w:tcW w:w="340" w:type="dxa"/>
            <w:vAlign w:val="bottom"/>
          </w:tcPr>
          <w:p>
            <w:pPr>
              <w:spacing w:after="0"/>
              <w:rPr>
                <w:sz w:val="17"/>
                <w:szCs w:val="17"/>
                <w:color w:val="auto"/>
              </w:rPr>
            </w:pPr>
          </w:p>
        </w:tc>
      </w:tr>
      <w:tr>
        <w:trPr>
          <w:trHeight w:val="115"/>
        </w:trPr>
        <w:tc>
          <w:tcPr>
            <w:tcW w:w="1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21,243</w:t>
            </w:r>
          </w:p>
        </w:tc>
        <w:tc>
          <w:tcPr>
            <w:tcW w:w="100" w:type="dxa"/>
            <w:vAlign w:val="bottom"/>
          </w:tcPr>
          <w:p>
            <w:pPr>
              <w:spacing w:after="0"/>
              <w:rPr>
                <w:sz w:val="10"/>
                <w:szCs w:val="10"/>
                <w:color w:val="auto"/>
              </w:rPr>
            </w:pPr>
          </w:p>
        </w:tc>
        <w:tc>
          <w:tcPr>
            <w:tcW w:w="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21,459</w:t>
            </w:r>
          </w:p>
        </w:tc>
        <w:tc>
          <w:tcPr>
            <w:tcW w:w="200" w:type="dxa"/>
            <w:vAlign w:val="bottom"/>
          </w:tcPr>
          <w:p>
            <w:pPr>
              <w:spacing w:after="0"/>
              <w:rPr>
                <w:sz w:val="10"/>
                <w:szCs w:val="10"/>
                <w:color w:val="auto"/>
              </w:rPr>
            </w:pPr>
          </w:p>
        </w:tc>
        <w:tc>
          <w:tcPr>
            <w:tcW w:w="34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3%</w:t>
            </w:r>
          </w:p>
        </w:tc>
      </w:tr>
      <w:tr>
        <w:trPr>
          <w:trHeight w:val="273"/>
        </w:trPr>
        <w:tc>
          <w:tcPr>
            <w:tcW w:w="1220" w:type="dxa"/>
            <w:vAlign w:val="bottom"/>
          </w:tcPr>
          <w:p>
            <w:pPr>
              <w:jc w:val="right"/>
              <w:ind w:right="550"/>
              <w:spacing w:after="0"/>
              <w:rPr>
                <w:sz w:val="20"/>
                <w:szCs w:val="20"/>
                <w:color w:val="auto"/>
              </w:rPr>
            </w:pPr>
            <w:r>
              <w:rPr>
                <w:rFonts w:ascii="Times New Roman" w:cs="Times New Roman" w:eastAsia="Times New Roman" w:hAnsi="Times New Roman"/>
                <w:sz w:val="14"/>
                <w:szCs w:val="14"/>
                <w:color w:val="auto"/>
              </w:rPr>
              <w:t>54</w:t>
            </w:r>
          </w:p>
        </w:tc>
        <w:tc>
          <w:tcPr>
            <w:tcW w:w="6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4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-2085340</wp:posOffset>
            </wp:positionH>
            <wp:positionV relativeFrom="paragraph">
              <wp:posOffset>-3754120</wp:posOffset>
            </wp:positionV>
            <wp:extent cx="5422265" cy="13271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10">
                      <a:extLst>
                        <a:ext uri="{28A0092B-C50C-407E-A947-70E740481C1C}"/>
                      </a:extLst>
                    </a:blip>
                    <a:srcRect/>
                    <a:stretch>
                      <a:fillRect/>
                    </a:stretch>
                  </pic:blipFill>
                  <pic:spPr bwMode="auto">
                    <a:xfrm>
                      <a:off x="0" y="0"/>
                      <a:ext cx="5422265" cy="132715"/>
                    </a:xfrm>
                    <a:prstGeom prst="rect">
                      <a:avLst/>
                    </a:prstGeom>
                    <a:noFill/>
                  </pic:spPr>
                </pic:pic>
              </a:graphicData>
            </a:graphic>
          </wp:anchor>
        </w:drawing>
        <w:drawing>
          <wp:anchor simplePos="0" relativeHeight="251657728" behindDoc="1" locked="0" layoutInCell="0" allowOverlap="1">
            <wp:simplePos x="0" y="0"/>
            <wp:positionH relativeFrom="column">
              <wp:posOffset>-2085340</wp:posOffset>
            </wp:positionH>
            <wp:positionV relativeFrom="paragraph">
              <wp:posOffset>-3541395</wp:posOffset>
            </wp:positionV>
            <wp:extent cx="5422265" cy="6667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11">
                      <a:extLst>
                        <a:ext uri="{28A0092B-C50C-407E-A947-70E740481C1C}"/>
                      </a:extLst>
                    </a:blip>
                    <a:srcRect/>
                    <a:stretch>
                      <a:fillRect/>
                    </a:stretch>
                  </pic:blipFill>
                  <pic:spPr bwMode="auto">
                    <a:xfrm>
                      <a:off x="0" y="0"/>
                      <a:ext cx="5422265" cy="66675"/>
                    </a:xfrm>
                    <a:prstGeom prst="rect">
                      <a:avLst/>
                    </a:prstGeom>
                    <a:noFill/>
                  </pic:spPr>
                </pic:pic>
              </a:graphicData>
            </a:graphic>
          </wp:anchor>
        </w:drawing>
        <w:drawing>
          <wp:anchor simplePos="0" relativeHeight="251657728" behindDoc="1" locked="0" layoutInCell="0" allowOverlap="1">
            <wp:simplePos x="0" y="0"/>
            <wp:positionH relativeFrom="column">
              <wp:posOffset>-2085340</wp:posOffset>
            </wp:positionH>
            <wp:positionV relativeFrom="paragraph">
              <wp:posOffset>-3342005</wp:posOffset>
            </wp:positionV>
            <wp:extent cx="5422265" cy="13271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12">
                      <a:extLst>
                        <a:ext uri="{28A0092B-C50C-407E-A947-70E740481C1C}"/>
                      </a:extLst>
                    </a:blip>
                    <a:srcRect/>
                    <a:stretch>
                      <a:fillRect/>
                    </a:stretch>
                  </pic:blipFill>
                  <pic:spPr bwMode="auto">
                    <a:xfrm>
                      <a:off x="0" y="0"/>
                      <a:ext cx="5422265" cy="132715"/>
                    </a:xfrm>
                    <a:prstGeom prst="rect">
                      <a:avLst/>
                    </a:prstGeom>
                    <a:noFill/>
                  </pic:spPr>
                </pic:pic>
              </a:graphicData>
            </a:graphic>
          </wp:anchor>
        </w:drawing>
        <w:drawing>
          <wp:anchor simplePos="0" relativeHeight="251657728" behindDoc="1" locked="0" layoutInCell="0" allowOverlap="1">
            <wp:simplePos x="0" y="0"/>
            <wp:positionH relativeFrom="column">
              <wp:posOffset>-2085340</wp:posOffset>
            </wp:positionH>
            <wp:positionV relativeFrom="paragraph">
              <wp:posOffset>-3129280</wp:posOffset>
            </wp:positionV>
            <wp:extent cx="5422265" cy="6667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13">
                      <a:extLst>
                        <a:ext uri="{28A0092B-C50C-407E-A947-70E740481C1C}"/>
                      </a:extLst>
                    </a:blip>
                    <a:srcRect/>
                    <a:stretch>
                      <a:fillRect/>
                    </a:stretch>
                  </pic:blipFill>
                  <pic:spPr bwMode="auto">
                    <a:xfrm>
                      <a:off x="0" y="0"/>
                      <a:ext cx="5422265" cy="66675"/>
                    </a:xfrm>
                    <a:prstGeom prst="rect">
                      <a:avLst/>
                    </a:prstGeom>
                    <a:noFill/>
                  </pic:spPr>
                </pic:pic>
              </a:graphicData>
            </a:graphic>
          </wp:anchor>
        </w:drawing>
        <w:drawing>
          <wp:anchor simplePos="0" relativeHeight="251657728" behindDoc="1" locked="0" layoutInCell="0" allowOverlap="1">
            <wp:simplePos x="0" y="0"/>
            <wp:positionH relativeFrom="column">
              <wp:posOffset>-2085340</wp:posOffset>
            </wp:positionH>
            <wp:positionV relativeFrom="paragraph">
              <wp:posOffset>-2996565</wp:posOffset>
            </wp:positionV>
            <wp:extent cx="5422265" cy="1993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14">
                      <a:extLst>
                        <a:ext uri="{28A0092B-C50C-407E-A947-70E740481C1C}"/>
                      </a:extLst>
                    </a:blip>
                    <a:srcRect/>
                    <a:stretch>
                      <a:fillRect/>
                    </a:stretch>
                  </pic:blipFill>
                  <pic:spPr bwMode="auto">
                    <a:xfrm>
                      <a:off x="0" y="0"/>
                      <a:ext cx="5422265" cy="199390"/>
                    </a:xfrm>
                    <a:prstGeom prst="rect">
                      <a:avLst/>
                    </a:prstGeom>
                    <a:noFill/>
                  </pic:spPr>
                </pic:pic>
              </a:graphicData>
            </a:graphic>
          </wp:anchor>
        </w:drawing>
        <w:drawing>
          <wp:anchor simplePos="0" relativeHeight="251657728" behindDoc="1" locked="0" layoutInCell="0" allowOverlap="1">
            <wp:simplePos x="0" y="0"/>
            <wp:positionH relativeFrom="column">
              <wp:posOffset>-2085340</wp:posOffset>
            </wp:positionH>
            <wp:positionV relativeFrom="paragraph">
              <wp:posOffset>-2650490</wp:posOffset>
            </wp:positionV>
            <wp:extent cx="5422265" cy="6667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15">
                      <a:extLst>
                        <a:ext uri="{28A0092B-C50C-407E-A947-70E740481C1C}"/>
                      </a:extLst>
                    </a:blip>
                    <a:srcRect/>
                    <a:stretch>
                      <a:fillRect/>
                    </a:stretch>
                  </pic:blipFill>
                  <pic:spPr bwMode="auto">
                    <a:xfrm>
                      <a:off x="0" y="0"/>
                      <a:ext cx="5422265" cy="66675"/>
                    </a:xfrm>
                    <a:prstGeom prst="rect">
                      <a:avLst/>
                    </a:prstGeom>
                    <a:noFill/>
                  </pic:spPr>
                </pic:pic>
              </a:graphicData>
            </a:graphic>
          </wp:anchor>
        </w:drawing>
        <w:drawing>
          <wp:anchor simplePos="0" relativeHeight="251657728" behindDoc="1" locked="0" layoutInCell="0" allowOverlap="1">
            <wp:simplePos x="0" y="0"/>
            <wp:positionH relativeFrom="column">
              <wp:posOffset>-2085340</wp:posOffset>
            </wp:positionH>
            <wp:positionV relativeFrom="paragraph">
              <wp:posOffset>-2451100</wp:posOffset>
            </wp:positionV>
            <wp:extent cx="5422265" cy="13271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16">
                      <a:extLst>
                        <a:ext uri="{28A0092B-C50C-407E-A947-70E740481C1C}"/>
                      </a:extLst>
                    </a:blip>
                    <a:srcRect/>
                    <a:stretch>
                      <a:fillRect/>
                    </a:stretch>
                  </pic:blipFill>
                  <pic:spPr bwMode="auto">
                    <a:xfrm>
                      <a:off x="0" y="0"/>
                      <a:ext cx="5422265" cy="132715"/>
                    </a:xfrm>
                    <a:prstGeom prst="rect">
                      <a:avLst/>
                    </a:prstGeom>
                    <a:noFill/>
                  </pic:spPr>
                </pic:pic>
              </a:graphicData>
            </a:graphic>
          </wp:anchor>
        </w:drawing>
        <w:drawing>
          <wp:anchor simplePos="0" relativeHeight="251657728" behindDoc="1" locked="0" layoutInCell="0" allowOverlap="1">
            <wp:simplePos x="0" y="0"/>
            <wp:positionH relativeFrom="column">
              <wp:posOffset>-2085340</wp:posOffset>
            </wp:positionH>
            <wp:positionV relativeFrom="paragraph">
              <wp:posOffset>-2199005</wp:posOffset>
            </wp:positionV>
            <wp:extent cx="5422265" cy="6667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17">
                      <a:extLst>
                        <a:ext uri="{28A0092B-C50C-407E-A947-70E740481C1C}"/>
                      </a:extLst>
                    </a:blip>
                    <a:srcRect/>
                    <a:stretch>
                      <a:fillRect/>
                    </a:stretch>
                  </pic:blipFill>
                  <pic:spPr bwMode="auto">
                    <a:xfrm>
                      <a:off x="0" y="0"/>
                      <a:ext cx="5422265" cy="66675"/>
                    </a:xfrm>
                    <a:prstGeom prst="rect">
                      <a:avLst/>
                    </a:prstGeom>
                    <a:noFill/>
                  </pic:spPr>
                </pic:pic>
              </a:graphicData>
            </a:graphic>
          </wp:anchor>
        </w:drawing>
        <w:drawing>
          <wp:anchor simplePos="0" relativeHeight="251657728" behindDoc="1" locked="0" layoutInCell="0" allowOverlap="1">
            <wp:simplePos x="0" y="0"/>
            <wp:positionH relativeFrom="column">
              <wp:posOffset>-2085340</wp:posOffset>
            </wp:positionH>
            <wp:positionV relativeFrom="paragraph">
              <wp:posOffset>-1999615</wp:posOffset>
            </wp:positionV>
            <wp:extent cx="5422265" cy="13271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18">
                      <a:extLst>
                        <a:ext uri="{28A0092B-C50C-407E-A947-70E740481C1C}"/>
                      </a:extLst>
                    </a:blip>
                    <a:srcRect/>
                    <a:stretch>
                      <a:fillRect/>
                    </a:stretch>
                  </pic:blipFill>
                  <pic:spPr bwMode="auto">
                    <a:xfrm>
                      <a:off x="0" y="0"/>
                      <a:ext cx="5422265" cy="132715"/>
                    </a:xfrm>
                    <a:prstGeom prst="rect">
                      <a:avLst/>
                    </a:prstGeom>
                    <a:noFill/>
                  </pic:spPr>
                </pic:pic>
              </a:graphicData>
            </a:graphic>
          </wp:anchor>
        </w:drawing>
        <w:drawing>
          <wp:anchor simplePos="0" relativeHeight="251657728" behindDoc="1" locked="0" layoutInCell="0" allowOverlap="1">
            <wp:simplePos x="0" y="0"/>
            <wp:positionH relativeFrom="column">
              <wp:posOffset>-2085340</wp:posOffset>
            </wp:positionH>
            <wp:positionV relativeFrom="paragraph">
              <wp:posOffset>-1720215</wp:posOffset>
            </wp:positionV>
            <wp:extent cx="5422265" cy="6667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19">
                      <a:extLst>
                        <a:ext uri="{28A0092B-C50C-407E-A947-70E740481C1C}"/>
                      </a:extLst>
                    </a:blip>
                    <a:srcRect/>
                    <a:stretch>
                      <a:fillRect/>
                    </a:stretch>
                  </pic:blipFill>
                  <pic:spPr bwMode="auto">
                    <a:xfrm>
                      <a:off x="0" y="0"/>
                      <a:ext cx="5422265" cy="66675"/>
                    </a:xfrm>
                    <a:prstGeom prst="rect">
                      <a:avLst/>
                    </a:prstGeom>
                    <a:noFill/>
                  </pic:spPr>
                </pic:pic>
              </a:graphicData>
            </a:graphic>
          </wp:anchor>
        </w:drawing>
        <w:drawing>
          <wp:anchor simplePos="0" relativeHeight="251657728" behindDoc="1" locked="0" layoutInCell="0" allowOverlap="1">
            <wp:simplePos x="0" y="0"/>
            <wp:positionH relativeFrom="column">
              <wp:posOffset>-2085340</wp:posOffset>
            </wp:positionH>
            <wp:positionV relativeFrom="paragraph">
              <wp:posOffset>-1520825</wp:posOffset>
            </wp:positionV>
            <wp:extent cx="5422265" cy="6667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20">
                      <a:extLst>
                        <a:ext uri="{28A0092B-C50C-407E-A947-70E740481C1C}"/>
                      </a:extLst>
                    </a:blip>
                    <a:srcRect/>
                    <a:stretch>
                      <a:fillRect/>
                    </a:stretch>
                  </pic:blipFill>
                  <pic:spPr bwMode="auto">
                    <a:xfrm>
                      <a:off x="0" y="0"/>
                      <a:ext cx="5422265" cy="66675"/>
                    </a:xfrm>
                    <a:prstGeom prst="rect">
                      <a:avLst/>
                    </a:prstGeom>
                    <a:noFill/>
                  </pic:spPr>
                </pic:pic>
              </a:graphicData>
            </a:graphic>
          </wp:anchor>
        </w:drawing>
        <w:drawing>
          <wp:anchor simplePos="0" relativeHeight="251657728" behindDoc="1" locked="0" layoutInCell="0" allowOverlap="1">
            <wp:simplePos x="0" y="0"/>
            <wp:positionH relativeFrom="column">
              <wp:posOffset>-2085340</wp:posOffset>
            </wp:positionH>
            <wp:positionV relativeFrom="paragraph">
              <wp:posOffset>-1322070</wp:posOffset>
            </wp:positionV>
            <wp:extent cx="5422265" cy="13271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21">
                      <a:extLst>
                        <a:ext uri="{28A0092B-C50C-407E-A947-70E740481C1C}"/>
                      </a:extLst>
                    </a:blip>
                    <a:srcRect/>
                    <a:stretch>
                      <a:fillRect/>
                    </a:stretch>
                  </pic:blipFill>
                  <pic:spPr bwMode="auto">
                    <a:xfrm>
                      <a:off x="0" y="0"/>
                      <a:ext cx="5422265" cy="132715"/>
                    </a:xfrm>
                    <a:prstGeom prst="rect">
                      <a:avLst/>
                    </a:prstGeom>
                    <a:noFill/>
                  </pic:spPr>
                </pic:pic>
              </a:graphicData>
            </a:graphic>
          </wp:anchor>
        </w:drawing>
        <w:drawing>
          <wp:anchor simplePos="0" relativeHeight="251657728" behindDoc="1" locked="0" layoutInCell="0" allowOverlap="1">
            <wp:simplePos x="0" y="0"/>
            <wp:positionH relativeFrom="column">
              <wp:posOffset>-2085340</wp:posOffset>
            </wp:positionH>
            <wp:positionV relativeFrom="paragraph">
              <wp:posOffset>-1109345</wp:posOffset>
            </wp:positionV>
            <wp:extent cx="5422265" cy="13271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22">
                      <a:extLst>
                        <a:ext uri="{28A0092B-C50C-407E-A947-70E740481C1C}"/>
                      </a:extLst>
                    </a:blip>
                    <a:srcRect/>
                    <a:stretch>
                      <a:fillRect/>
                    </a:stretch>
                  </pic:blipFill>
                  <pic:spPr bwMode="auto">
                    <a:xfrm>
                      <a:off x="0" y="0"/>
                      <a:ext cx="5422265" cy="132715"/>
                    </a:xfrm>
                    <a:prstGeom prst="rect">
                      <a:avLst/>
                    </a:prstGeom>
                    <a:noFill/>
                  </pic:spPr>
                </pic:pic>
              </a:graphicData>
            </a:graphic>
          </wp:anchor>
        </w:drawing>
        <w:drawing>
          <wp:anchor simplePos="0" relativeHeight="251657728" behindDoc="1" locked="0" layoutInCell="0" allowOverlap="1">
            <wp:simplePos x="0" y="0"/>
            <wp:positionH relativeFrom="column">
              <wp:posOffset>-2085340</wp:posOffset>
            </wp:positionH>
            <wp:positionV relativeFrom="paragraph">
              <wp:posOffset>-789940</wp:posOffset>
            </wp:positionV>
            <wp:extent cx="5422265" cy="6667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23">
                      <a:extLst>
                        <a:ext uri="{28A0092B-C50C-407E-A947-70E740481C1C}"/>
                      </a:extLst>
                    </a:blip>
                    <a:srcRect/>
                    <a:stretch>
                      <a:fillRect/>
                    </a:stretch>
                  </pic:blipFill>
                  <pic:spPr bwMode="auto">
                    <a:xfrm>
                      <a:off x="0" y="0"/>
                      <a:ext cx="5422265" cy="66675"/>
                    </a:xfrm>
                    <a:prstGeom prst="rect">
                      <a:avLst/>
                    </a:prstGeom>
                    <a:noFill/>
                  </pic:spPr>
                </pic:pic>
              </a:graphicData>
            </a:graphic>
          </wp:anchor>
        </w:drawing>
        <w:drawing>
          <wp:anchor simplePos="0" relativeHeight="251657728" behindDoc="1" locked="0" layoutInCell="0" allowOverlap="1">
            <wp:simplePos x="0" y="0"/>
            <wp:positionH relativeFrom="column">
              <wp:posOffset>-2085340</wp:posOffset>
            </wp:positionH>
            <wp:positionV relativeFrom="paragraph">
              <wp:posOffset>-524510</wp:posOffset>
            </wp:positionV>
            <wp:extent cx="5422265" cy="13271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24">
                      <a:extLst>
                        <a:ext uri="{28A0092B-C50C-407E-A947-70E740481C1C}"/>
                      </a:extLst>
                    </a:blip>
                    <a:srcRect/>
                    <a:stretch>
                      <a:fillRect/>
                    </a:stretch>
                  </pic:blipFill>
                  <pic:spPr bwMode="auto">
                    <a:xfrm>
                      <a:off x="0" y="0"/>
                      <a:ext cx="5422265" cy="132715"/>
                    </a:xfrm>
                    <a:prstGeom prst="rect">
                      <a:avLst/>
                    </a:prstGeom>
                    <a:noFill/>
                  </pic:spPr>
                </pic:pic>
              </a:graphicData>
            </a:graphic>
          </wp:anchor>
        </w:drawing>
        <w:drawing>
          <wp:anchor simplePos="0" relativeHeight="251657728" behindDoc="1" locked="0" layoutInCell="0" allowOverlap="1">
            <wp:simplePos x="0" y="0"/>
            <wp:positionH relativeFrom="column">
              <wp:posOffset>-2085340</wp:posOffset>
            </wp:positionH>
            <wp:positionV relativeFrom="paragraph">
              <wp:posOffset>-245110</wp:posOffset>
            </wp:positionV>
            <wp:extent cx="5422265" cy="6667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25">
                      <a:extLst>
                        <a:ext uri="{28A0092B-C50C-407E-A947-70E740481C1C}"/>
                      </a:extLst>
                    </a:blip>
                    <a:srcRect/>
                    <a:stretch>
                      <a:fillRect/>
                    </a:stretch>
                  </pic:blipFill>
                  <pic:spPr bwMode="auto">
                    <a:xfrm>
                      <a:off x="0" y="0"/>
                      <a:ext cx="5422265" cy="66675"/>
                    </a:xfrm>
                    <a:prstGeom prst="rect">
                      <a:avLst/>
                    </a:prstGeom>
                    <a:noFill/>
                  </pic:spPr>
                </pic:pic>
              </a:graphicData>
            </a:graphic>
          </wp:anchor>
        </w:drawing>
      </w:r>
    </w:p>
    <w:p>
      <w:pPr>
        <w:sectPr>
          <w:pgSz w:w="11900" w:h="16838" w:orient="portrait"/>
          <w:cols w:equalWidth="0" w:num="2">
            <w:col w:w="4600" w:space="60"/>
            <w:col w:w="5499"/>
          </w:cols>
          <w:pgMar w:left="300" w:top="384" w:right="1440" w:bottom="1440" w:gutter="0" w:footer="0" w:header="0"/>
          <w:type w:val="continuous"/>
        </w:sectPr>
      </w:pPr>
    </w:p>
    <w:bookmarkStart w:id="58" w:name="page59"/>
    <w:bookmarkEnd w:id="5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26">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2" w:lineRule="exact"/>
        <w:rPr>
          <w:sz w:val="20"/>
          <w:szCs w:val="20"/>
          <w:color w:val="auto"/>
        </w:rPr>
      </w:pPr>
    </w:p>
    <w:tbl>
      <w:tblPr>
        <w:tblLayout w:type="fixed"/>
        <w:tblInd w:w="1380" w:type="dxa"/>
        <w:tblCellMar>
          <w:top w:w="0" w:type="dxa"/>
          <w:left w:w="0" w:type="dxa"/>
          <w:bottom w:w="0" w:type="dxa"/>
          <w:right w:w="0" w:type="dxa"/>
        </w:tblCellMar>
      </w:tblPr>
      <w:tr>
        <w:trPr>
          <w:trHeight w:val="95"/>
        </w:trPr>
        <w:tc>
          <w:tcPr>
            <w:tcW w:w="1300" w:type="dxa"/>
            <w:vAlign w:val="bottom"/>
            <w:gridSpan w:val="2"/>
          </w:tcPr>
          <w:p>
            <w:pPr>
              <w:spacing w:after="0"/>
              <w:rPr>
                <w:sz w:val="20"/>
                <w:szCs w:val="20"/>
                <w:color w:val="auto"/>
              </w:rPr>
            </w:pPr>
            <w:r>
              <w:rPr>
                <w:rFonts w:ascii="Times New Roman" w:cs="Times New Roman" w:eastAsia="Times New Roman" w:hAnsi="Times New Roman"/>
                <w:sz w:val="8"/>
                <w:szCs w:val="8"/>
                <w:b w:val="1"/>
                <w:bCs w:val="1"/>
                <w:color w:val="auto"/>
              </w:rPr>
              <w:t>Portfolio Company (a)(b)</w:t>
            </w:r>
          </w:p>
        </w:tc>
        <w:tc>
          <w:tcPr>
            <w:tcW w:w="920" w:type="dxa"/>
            <w:vAlign w:val="bottom"/>
          </w:tcPr>
          <w:p>
            <w:pPr>
              <w:spacing w:after="0"/>
              <w:rPr>
                <w:sz w:val="8"/>
                <w:szCs w:val="8"/>
                <w:color w:val="auto"/>
              </w:rPr>
            </w:pPr>
          </w:p>
        </w:tc>
        <w:tc>
          <w:tcPr>
            <w:tcW w:w="60" w:type="dxa"/>
            <w:vAlign w:val="bottom"/>
          </w:tcPr>
          <w:p>
            <w:pPr>
              <w:spacing w:after="0"/>
              <w:rPr>
                <w:sz w:val="8"/>
                <w:szCs w:val="8"/>
                <w:color w:val="auto"/>
              </w:rPr>
            </w:pPr>
          </w:p>
        </w:tc>
        <w:tc>
          <w:tcPr>
            <w:tcW w:w="9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8"/>
                <w:szCs w:val="8"/>
                <w:b w:val="1"/>
                <w:bCs w:val="1"/>
                <w:color w:val="auto"/>
              </w:rPr>
              <w:t>Percentage of</w:t>
            </w:r>
          </w:p>
        </w:tc>
        <w:tc>
          <w:tcPr>
            <w:tcW w:w="920" w:type="dxa"/>
            <w:vAlign w:val="bottom"/>
            <w:gridSpan w:val="2"/>
          </w:tcPr>
          <w:p>
            <w:pPr>
              <w:jc w:val="center"/>
              <w:ind w:right="60"/>
              <w:spacing w:after="0"/>
              <w:rPr>
                <w:sz w:val="20"/>
                <w:szCs w:val="20"/>
                <w:color w:val="auto"/>
              </w:rPr>
            </w:pPr>
            <w:r>
              <w:rPr>
                <w:rFonts w:ascii="Times New Roman" w:cs="Times New Roman" w:eastAsia="Times New Roman" w:hAnsi="Times New Roman"/>
                <w:sz w:val="8"/>
                <w:szCs w:val="8"/>
                <w:b w:val="1"/>
                <w:bCs w:val="1"/>
                <w:color w:val="auto"/>
              </w:rPr>
              <w:t>Variable Index</w:t>
            </w:r>
          </w:p>
        </w:tc>
        <w:tc>
          <w:tcPr>
            <w:tcW w:w="720" w:type="dxa"/>
            <w:vAlign w:val="bottom"/>
            <w:gridSpan w:val="2"/>
          </w:tcPr>
          <w:p>
            <w:pPr>
              <w:jc w:val="right"/>
              <w:ind w:right="260"/>
              <w:spacing w:after="0"/>
              <w:rPr>
                <w:sz w:val="20"/>
                <w:szCs w:val="20"/>
                <w:color w:val="auto"/>
              </w:rPr>
            </w:pPr>
            <w:r>
              <w:rPr>
                <w:rFonts w:ascii="Times New Roman" w:cs="Times New Roman" w:eastAsia="Times New Roman" w:hAnsi="Times New Roman"/>
                <w:sz w:val="8"/>
                <w:szCs w:val="8"/>
                <w:b w:val="1"/>
                <w:bCs w:val="1"/>
                <w:color w:val="auto"/>
              </w:rPr>
              <w:t>Rate (e)</w:t>
            </w:r>
          </w:p>
        </w:tc>
        <w:tc>
          <w:tcPr>
            <w:tcW w:w="580" w:type="dxa"/>
            <w:vAlign w:val="bottom"/>
            <w:gridSpan w:val="2"/>
          </w:tcPr>
          <w:p>
            <w:pPr>
              <w:jc w:val="center"/>
              <w:ind w:right="100"/>
              <w:spacing w:after="0"/>
              <w:rPr>
                <w:sz w:val="20"/>
                <w:szCs w:val="20"/>
                <w:color w:val="auto"/>
              </w:rPr>
            </w:pPr>
            <w:r>
              <w:rPr>
                <w:rFonts w:ascii="Times New Roman" w:cs="Times New Roman" w:eastAsia="Times New Roman" w:hAnsi="Times New Roman"/>
                <w:sz w:val="8"/>
                <w:szCs w:val="8"/>
                <w:b w:val="1"/>
                <w:bCs w:val="1"/>
                <w:color w:val="auto"/>
              </w:rPr>
              <w:t>Investment</w:t>
            </w: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gridSpan w:val="2"/>
          </w:tcPr>
          <w:p>
            <w:pPr>
              <w:spacing w:after="0"/>
              <w:rPr>
                <w:sz w:val="20"/>
                <w:szCs w:val="20"/>
                <w:color w:val="auto"/>
              </w:rPr>
            </w:pPr>
            <w:r>
              <w:rPr>
                <w:rFonts w:ascii="Times New Roman" w:cs="Times New Roman" w:eastAsia="Times New Roman" w:hAnsi="Times New Roman"/>
                <w:sz w:val="8"/>
                <w:szCs w:val="8"/>
                <w:b w:val="1"/>
                <w:bCs w:val="1"/>
                <w:color w:val="auto"/>
              </w:rPr>
              <w:t>Principal</w:t>
            </w: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20" w:type="dxa"/>
            <w:vAlign w:val="bottom"/>
            <w:gridSpan w:val="2"/>
          </w:tcPr>
          <w:p>
            <w:pPr>
              <w:ind w:left="80"/>
              <w:spacing w:after="0"/>
              <w:rPr>
                <w:sz w:val="20"/>
                <w:szCs w:val="20"/>
                <w:color w:val="auto"/>
              </w:rPr>
            </w:pPr>
            <w:r>
              <w:rPr>
                <w:rFonts w:ascii="Times New Roman" w:cs="Times New Roman" w:eastAsia="Times New Roman" w:hAnsi="Times New Roman"/>
                <w:sz w:val="8"/>
                <w:szCs w:val="8"/>
                <w:b w:val="1"/>
                <w:bCs w:val="1"/>
                <w:color w:val="auto"/>
              </w:rPr>
              <w:t>Fair</w:t>
            </w:r>
          </w:p>
        </w:tc>
        <w:tc>
          <w:tcPr>
            <w:tcW w:w="480" w:type="dxa"/>
            <w:vAlign w:val="bottom"/>
            <w:gridSpan w:val="2"/>
          </w:tcPr>
          <w:p>
            <w:pPr>
              <w:jc w:val="right"/>
              <w:ind w:right="120"/>
              <w:spacing w:after="0"/>
              <w:rPr>
                <w:sz w:val="20"/>
                <w:szCs w:val="20"/>
                <w:color w:val="auto"/>
              </w:rPr>
            </w:pPr>
            <w:r>
              <w:rPr>
                <w:rFonts w:ascii="Times New Roman" w:cs="Times New Roman" w:eastAsia="Times New Roman" w:hAnsi="Times New Roman"/>
                <w:sz w:val="8"/>
                <w:szCs w:val="8"/>
                <w:b w:val="1"/>
                <w:bCs w:val="1"/>
                <w:color w:val="auto"/>
                <w:w w:val="97"/>
              </w:rPr>
              <w:t>Percent of</w:t>
            </w:r>
          </w:p>
        </w:tc>
      </w:tr>
      <w:tr>
        <w:trPr>
          <w:trHeight w:val="125"/>
        </w:trPr>
        <w:tc>
          <w:tcPr>
            <w:tcW w:w="1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8"/>
                <w:szCs w:val="8"/>
                <w:b w:val="1"/>
                <w:bCs w:val="1"/>
                <w:color w:val="auto"/>
              </w:rPr>
              <w:t>Address of Portfolio Company</w:t>
            </w:r>
          </w:p>
        </w:tc>
        <w:tc>
          <w:tcPr>
            <w:tcW w:w="200" w:type="dxa"/>
            <w:vAlign w:val="bottom"/>
          </w:tcPr>
          <w:p>
            <w:pPr>
              <w:spacing w:after="0"/>
              <w:rPr>
                <w:sz w:val="10"/>
                <w:szCs w:val="10"/>
                <w:color w:val="auto"/>
              </w:rPr>
            </w:pPr>
          </w:p>
        </w:tc>
        <w:tc>
          <w:tcPr>
            <w:tcW w:w="980" w:type="dxa"/>
            <w:vAlign w:val="bottom"/>
            <w:gridSpan w:val="2"/>
          </w:tcPr>
          <w:p>
            <w:pPr>
              <w:ind w:left="100"/>
              <w:spacing w:after="0"/>
              <w:rPr>
                <w:sz w:val="20"/>
                <w:szCs w:val="20"/>
                <w:color w:val="auto"/>
              </w:rPr>
            </w:pPr>
            <w:r>
              <w:rPr>
                <w:rFonts w:ascii="Times New Roman" w:cs="Times New Roman" w:eastAsia="Times New Roman" w:hAnsi="Times New Roman"/>
                <w:sz w:val="8"/>
                <w:szCs w:val="8"/>
                <w:b w:val="1"/>
                <w:bCs w:val="1"/>
                <w:color w:val="auto"/>
              </w:rPr>
              <w:t>Investment Type (c)</w:t>
            </w:r>
          </w:p>
        </w:tc>
        <w:tc>
          <w:tcPr>
            <w:tcW w:w="1020" w:type="dxa"/>
            <w:vAlign w:val="bottom"/>
            <w:gridSpan w:val="2"/>
          </w:tcPr>
          <w:p>
            <w:pPr>
              <w:ind w:left="320"/>
              <w:spacing w:after="0"/>
              <w:rPr>
                <w:sz w:val="20"/>
                <w:szCs w:val="20"/>
                <w:color w:val="auto"/>
              </w:rPr>
            </w:pPr>
            <w:r>
              <w:rPr>
                <w:rFonts w:ascii="Times New Roman" w:cs="Times New Roman" w:eastAsia="Times New Roman" w:hAnsi="Times New Roman"/>
                <w:sz w:val="8"/>
                <w:szCs w:val="8"/>
                <w:b w:val="1"/>
                <w:bCs w:val="1"/>
                <w:color w:val="auto"/>
              </w:rPr>
              <w:t>Industry</w:t>
            </w: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8"/>
                <w:szCs w:val="8"/>
                <w:b w:val="1"/>
                <w:bCs w:val="1"/>
                <w:color w:val="auto"/>
              </w:rPr>
              <w:t>Class Held (bn)</w:t>
            </w:r>
          </w:p>
        </w:tc>
        <w:tc>
          <w:tcPr>
            <w:tcW w:w="920" w:type="dxa"/>
            <w:vAlign w:val="bottom"/>
            <w:gridSpan w:val="2"/>
          </w:tcPr>
          <w:p>
            <w:pPr>
              <w:jc w:val="center"/>
              <w:ind w:right="80"/>
              <w:spacing w:after="0"/>
              <w:rPr>
                <w:sz w:val="20"/>
                <w:szCs w:val="20"/>
                <w:color w:val="auto"/>
              </w:rPr>
            </w:pPr>
            <w:r>
              <w:rPr>
                <w:rFonts w:ascii="Times New Roman" w:cs="Times New Roman" w:eastAsia="Times New Roman" w:hAnsi="Times New Roman"/>
                <w:sz w:val="8"/>
                <w:szCs w:val="8"/>
                <w:b w:val="1"/>
                <w:bCs w:val="1"/>
                <w:color w:val="auto"/>
              </w:rPr>
              <w:t>Spread / Floor (d)</w:t>
            </w: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8"/>
                <w:szCs w:val="8"/>
                <w:b w:val="1"/>
                <w:bCs w:val="1"/>
                <w:color w:val="auto"/>
              </w:rPr>
              <w:t>Cash/PIK</w:t>
            </w:r>
          </w:p>
        </w:tc>
        <w:tc>
          <w:tcPr>
            <w:tcW w:w="580" w:type="dxa"/>
            <w:vAlign w:val="bottom"/>
            <w:gridSpan w:val="2"/>
          </w:tcPr>
          <w:p>
            <w:pPr>
              <w:jc w:val="center"/>
              <w:ind w:right="100"/>
              <w:spacing w:after="0"/>
              <w:rPr>
                <w:sz w:val="20"/>
                <w:szCs w:val="20"/>
                <w:color w:val="auto"/>
              </w:rPr>
            </w:pPr>
            <w:r>
              <w:rPr>
                <w:rFonts w:ascii="Times New Roman" w:cs="Times New Roman" w:eastAsia="Times New Roman" w:hAnsi="Times New Roman"/>
                <w:sz w:val="8"/>
                <w:szCs w:val="8"/>
                <w:b w:val="1"/>
                <w:bCs w:val="1"/>
                <w:color w:val="auto"/>
              </w:rPr>
              <w:t>Date (f)</w:t>
            </w: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8"/>
                <w:szCs w:val="8"/>
                <w:b w:val="1"/>
                <w:bCs w:val="1"/>
                <w:color w:val="auto"/>
              </w:rPr>
              <w:t>Maturity</w:t>
            </w:r>
          </w:p>
        </w:tc>
        <w:tc>
          <w:tcPr>
            <w:tcW w:w="420" w:type="dxa"/>
            <w:vAlign w:val="bottom"/>
            <w:gridSpan w:val="2"/>
          </w:tcPr>
          <w:p>
            <w:pPr>
              <w:jc w:val="right"/>
              <w:ind w:right="120"/>
              <w:spacing w:after="0"/>
              <w:rPr>
                <w:sz w:val="20"/>
                <w:szCs w:val="20"/>
                <w:color w:val="auto"/>
              </w:rPr>
            </w:pPr>
            <w:r>
              <w:rPr>
                <w:rFonts w:ascii="Times New Roman" w:cs="Times New Roman" w:eastAsia="Times New Roman" w:hAnsi="Times New Roman"/>
                <w:sz w:val="8"/>
                <w:szCs w:val="8"/>
                <w:b w:val="1"/>
                <w:bCs w:val="1"/>
                <w:color w:val="auto"/>
                <w:w w:val="99"/>
              </w:rPr>
              <w:t>Amount</w:t>
            </w:r>
          </w:p>
        </w:tc>
        <w:tc>
          <w:tcPr>
            <w:tcW w:w="440" w:type="dxa"/>
            <w:vAlign w:val="bottom"/>
            <w:gridSpan w:val="2"/>
          </w:tcPr>
          <w:p>
            <w:pPr>
              <w:jc w:val="right"/>
              <w:ind w:right="200"/>
              <w:spacing w:after="0"/>
              <w:rPr>
                <w:sz w:val="20"/>
                <w:szCs w:val="20"/>
                <w:color w:val="auto"/>
              </w:rPr>
            </w:pPr>
            <w:r>
              <w:rPr>
                <w:rFonts w:ascii="Times New Roman" w:cs="Times New Roman" w:eastAsia="Times New Roman" w:hAnsi="Times New Roman"/>
                <w:sz w:val="8"/>
                <w:szCs w:val="8"/>
                <w:b w:val="1"/>
                <w:bCs w:val="1"/>
                <w:color w:val="auto"/>
              </w:rPr>
              <w:t>Cost</w:t>
            </w:r>
          </w:p>
        </w:tc>
        <w:tc>
          <w:tcPr>
            <w:tcW w:w="420" w:type="dxa"/>
            <w:vAlign w:val="bottom"/>
            <w:gridSpan w:val="2"/>
          </w:tcPr>
          <w:p>
            <w:pPr>
              <w:spacing w:after="0"/>
              <w:rPr>
                <w:sz w:val="20"/>
                <w:szCs w:val="20"/>
                <w:color w:val="auto"/>
              </w:rPr>
            </w:pPr>
            <w:r>
              <w:rPr>
                <w:rFonts w:ascii="Times New Roman" w:cs="Times New Roman" w:eastAsia="Times New Roman" w:hAnsi="Times New Roman"/>
                <w:sz w:val="8"/>
                <w:szCs w:val="8"/>
                <w:b w:val="1"/>
                <w:bCs w:val="1"/>
                <w:color w:val="auto"/>
              </w:rPr>
              <w:t>Value (g)</w:t>
            </w:r>
          </w:p>
        </w:tc>
        <w:tc>
          <w:tcPr>
            <w:tcW w:w="480" w:type="dxa"/>
            <w:vAlign w:val="bottom"/>
            <w:gridSpan w:val="2"/>
          </w:tcPr>
          <w:p>
            <w:pPr>
              <w:jc w:val="right"/>
              <w:ind w:right="120"/>
              <w:spacing w:after="0"/>
              <w:rPr>
                <w:sz w:val="20"/>
                <w:szCs w:val="20"/>
                <w:color w:val="auto"/>
              </w:rPr>
            </w:pPr>
            <w:r>
              <w:rPr>
                <w:rFonts w:ascii="Times New Roman" w:cs="Times New Roman" w:eastAsia="Times New Roman" w:hAnsi="Times New Roman"/>
                <w:sz w:val="8"/>
                <w:szCs w:val="8"/>
                <w:b w:val="1"/>
                <w:bCs w:val="1"/>
                <w:color w:val="auto"/>
                <w:w w:val="96"/>
              </w:rPr>
              <w:t>Net Assets</w:t>
            </w:r>
          </w:p>
        </w:tc>
      </w:tr>
      <w:tr>
        <w:trPr>
          <w:trHeight w:val="72"/>
        </w:trPr>
        <w:tc>
          <w:tcPr>
            <w:tcW w:w="1300" w:type="dxa"/>
            <w:vAlign w:val="bottom"/>
            <w:tcBorders>
              <w:top w:val="single" w:sz="8" w:color="CCEEFF"/>
            </w:tcBorders>
            <w:gridSpan w:val="2"/>
            <w:shd w:val="clear" w:color="auto" w:fill="CCEEFF"/>
          </w:tcPr>
          <w:p>
            <w:pPr>
              <w:spacing w:after="0" w:line="73" w:lineRule="exact"/>
              <w:rPr>
                <w:sz w:val="20"/>
                <w:szCs w:val="20"/>
                <w:color w:val="auto"/>
              </w:rPr>
            </w:pPr>
            <w:r>
              <w:rPr>
                <w:rFonts w:ascii="Times New Roman" w:cs="Times New Roman" w:eastAsia="Times New Roman" w:hAnsi="Times New Roman"/>
                <w:sz w:val="7"/>
                <w:szCs w:val="7"/>
                <w:i w:val="1"/>
                <w:iCs w:val="1"/>
                <w:color w:val="auto"/>
              </w:rPr>
              <w:t>OnePath Systems, LLC (n)</w:t>
            </w:r>
          </w:p>
        </w:tc>
        <w:tc>
          <w:tcPr>
            <w:tcW w:w="920" w:type="dxa"/>
            <w:vAlign w:val="bottom"/>
            <w:tcBorders>
              <w:top w:val="single" w:sz="8" w:color="auto"/>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960" w:type="dxa"/>
            <w:vAlign w:val="bottom"/>
            <w:tcBorders>
              <w:top w:val="single" w:sz="8" w:color="auto"/>
            </w:tcBorders>
            <w:shd w:val="clear" w:color="auto" w:fill="CCEEFF"/>
          </w:tcPr>
          <w:p>
            <w:pPr>
              <w:spacing w:after="0" w:line="73" w:lineRule="exact"/>
              <w:rPr>
                <w:sz w:val="20"/>
                <w:szCs w:val="20"/>
                <w:color w:val="auto"/>
              </w:rPr>
            </w:pPr>
            <w:r>
              <w:rPr>
                <w:rFonts w:ascii="Times New Roman" w:cs="Times New Roman" w:eastAsia="Times New Roman" w:hAnsi="Times New Roman"/>
                <w:sz w:val="7"/>
                <w:szCs w:val="7"/>
                <w:color w:val="auto"/>
              </w:rPr>
              <w:t>Information Technology</w:t>
            </w:r>
          </w:p>
        </w:tc>
        <w:tc>
          <w:tcPr>
            <w:tcW w:w="60" w:type="dxa"/>
            <w:vAlign w:val="bottom"/>
            <w:tcBorders>
              <w:top w:val="single" w:sz="8" w:color="CCEEFF"/>
            </w:tcBorders>
            <w:shd w:val="clear" w:color="auto" w:fill="CCEEFF"/>
          </w:tcPr>
          <w:p>
            <w:pPr>
              <w:spacing w:after="0"/>
              <w:rPr>
                <w:sz w:val="6"/>
                <w:szCs w:val="6"/>
                <w:color w:val="auto"/>
              </w:rPr>
            </w:pPr>
          </w:p>
        </w:tc>
        <w:tc>
          <w:tcPr>
            <w:tcW w:w="560" w:type="dxa"/>
            <w:vAlign w:val="bottom"/>
            <w:tcBorders>
              <w:top w:val="single" w:sz="8" w:color="auto"/>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860" w:type="dxa"/>
            <w:vAlign w:val="bottom"/>
            <w:tcBorders>
              <w:top w:val="single" w:sz="8" w:color="auto"/>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620" w:type="dxa"/>
            <w:vAlign w:val="bottom"/>
            <w:tcBorders>
              <w:top w:val="single" w:sz="8" w:color="auto"/>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480" w:type="dxa"/>
            <w:vAlign w:val="bottom"/>
            <w:tcBorders>
              <w:top w:val="single" w:sz="8" w:color="auto"/>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auto"/>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340" w:type="dxa"/>
            <w:vAlign w:val="bottom"/>
            <w:tcBorders>
              <w:top w:val="single" w:sz="8" w:color="auto"/>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auto"/>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auto"/>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auto"/>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r>
      <w:tr>
        <w:trPr>
          <w:trHeight w:val="118"/>
        </w:trPr>
        <w:tc>
          <w:tcPr>
            <w:tcW w:w="1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0"/>
                <w:szCs w:val="10"/>
                <w:color w:val="auto"/>
              </w:rPr>
              <w:t>Services</w:t>
            </w:r>
          </w:p>
        </w:tc>
        <w:tc>
          <w:tcPr>
            <w:tcW w:w="5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r>
      <w:tr>
        <w:trPr>
          <w:trHeight w:val="91"/>
        </w:trPr>
        <w:tc>
          <w:tcPr>
            <w:tcW w:w="1300" w:type="dxa"/>
            <w:vAlign w:val="bottom"/>
            <w:gridSpan w:val="2"/>
          </w:tcPr>
          <w:p>
            <w:pPr>
              <w:ind w:left="100"/>
              <w:spacing w:after="0" w:line="92" w:lineRule="exact"/>
              <w:rPr>
                <w:sz w:val="20"/>
                <w:szCs w:val="20"/>
                <w:color w:val="auto"/>
              </w:rPr>
            </w:pPr>
            <w:r>
              <w:rPr>
                <w:rFonts w:ascii="Times New Roman" w:cs="Times New Roman" w:eastAsia="Times New Roman" w:hAnsi="Times New Roman"/>
                <w:sz w:val="10"/>
                <w:szCs w:val="10"/>
                <w:color w:val="auto"/>
              </w:rPr>
              <w:t>170 Chastain Meadows Ct</w:t>
            </w:r>
          </w:p>
        </w:tc>
        <w:tc>
          <w:tcPr>
            <w:tcW w:w="980" w:type="dxa"/>
            <w:vAlign w:val="bottom"/>
            <w:gridSpan w:val="2"/>
          </w:tcPr>
          <w:p>
            <w:pPr>
              <w:spacing w:after="0" w:line="92" w:lineRule="exact"/>
              <w:rPr>
                <w:sz w:val="20"/>
                <w:szCs w:val="20"/>
                <w:color w:val="auto"/>
              </w:rPr>
            </w:pPr>
            <w:r>
              <w:rPr>
                <w:rFonts w:ascii="Times New Roman" w:cs="Times New Roman" w:eastAsia="Times New Roman" w:hAnsi="Times New Roman"/>
                <w:sz w:val="10"/>
                <w:szCs w:val="10"/>
                <w:color w:val="auto"/>
              </w:rPr>
              <w:t>Common Equity</w:t>
            </w:r>
          </w:p>
        </w:tc>
        <w:tc>
          <w:tcPr>
            <w:tcW w:w="960" w:type="dxa"/>
            <w:vAlign w:val="bottom"/>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0" w:type="dxa"/>
            <w:vAlign w:val="bottom"/>
          </w:tcPr>
          <w:p>
            <w:pPr>
              <w:spacing w:after="0"/>
              <w:rPr>
                <w:sz w:val="7"/>
                <w:szCs w:val="7"/>
                <w:color w:val="auto"/>
              </w:rPr>
            </w:pPr>
          </w:p>
        </w:tc>
        <w:tc>
          <w:tcPr>
            <w:tcW w:w="360" w:type="dxa"/>
            <w:vAlign w:val="bottom"/>
          </w:tcPr>
          <w:p>
            <w:pPr>
              <w:spacing w:after="0"/>
              <w:rPr>
                <w:sz w:val="7"/>
                <w:szCs w:val="7"/>
                <w:color w:val="auto"/>
              </w:rPr>
            </w:pPr>
          </w:p>
        </w:tc>
        <w:tc>
          <w:tcPr>
            <w:tcW w:w="120" w:type="dxa"/>
            <w:vAlign w:val="bottom"/>
          </w:tcPr>
          <w:p>
            <w:pPr>
              <w:spacing w:after="0"/>
              <w:rPr>
                <w:sz w:val="7"/>
                <w:szCs w:val="7"/>
                <w:color w:val="auto"/>
              </w:rPr>
            </w:pPr>
          </w:p>
        </w:tc>
      </w:tr>
      <w:tr>
        <w:trPr>
          <w:trHeight w:val="125"/>
        </w:trPr>
        <w:tc>
          <w:tcPr>
            <w:tcW w:w="1300" w:type="dxa"/>
            <w:vAlign w:val="bottom"/>
            <w:gridSpan w:val="2"/>
          </w:tcPr>
          <w:p>
            <w:pPr>
              <w:ind w:left="100"/>
              <w:spacing w:after="0"/>
              <w:rPr>
                <w:sz w:val="20"/>
                <w:szCs w:val="20"/>
                <w:color w:val="auto"/>
              </w:rPr>
            </w:pPr>
            <w:r>
              <w:rPr>
                <w:rFonts w:ascii="Times New Roman" w:cs="Times New Roman" w:eastAsia="Times New Roman" w:hAnsi="Times New Roman"/>
                <w:sz w:val="10"/>
                <w:szCs w:val="10"/>
                <w:color w:val="auto"/>
              </w:rPr>
              <w:t>Kennesaw, GA 30144</w:t>
            </w:r>
          </w:p>
        </w:tc>
        <w:tc>
          <w:tcPr>
            <w:tcW w:w="98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(732,542 shares)</w:t>
            </w:r>
          </w:p>
        </w:tc>
        <w:tc>
          <w:tcPr>
            <w:tcW w:w="9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2.2%</w:t>
            </w:r>
          </w:p>
        </w:tc>
        <w:tc>
          <w:tcPr>
            <w:tcW w:w="8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9/30/2022</w:t>
            </w: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0"/>
                <w:szCs w:val="10"/>
                <w:color w:val="auto"/>
              </w:rPr>
              <w:t>— </w:t>
            </w:r>
          </w:p>
        </w:tc>
        <w:tc>
          <w:tcPr>
            <w:tcW w:w="420" w:type="dxa"/>
            <w:vAlign w:val="bottom"/>
            <w:gridSpan w:val="2"/>
          </w:tcPr>
          <w:p>
            <w:pPr>
              <w:ind w:left="180"/>
              <w:spacing w:after="0"/>
              <w:rPr>
                <w:sz w:val="20"/>
                <w:szCs w:val="20"/>
                <w:color w:val="auto"/>
              </w:rPr>
            </w:pPr>
            <w:r>
              <w:rPr>
                <w:rFonts w:ascii="Times New Roman" w:cs="Times New Roman" w:eastAsia="Times New Roman" w:hAnsi="Times New Roman"/>
                <w:sz w:val="10"/>
                <w:szCs w:val="10"/>
                <w:color w:val="auto"/>
              </w:rPr>
              <w:t>— </w:t>
            </w: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0"/>
                <w:szCs w:val="10"/>
                <w:color w:val="auto"/>
              </w:rPr>
              <w:t>0%</w:t>
            </w:r>
          </w:p>
        </w:tc>
      </w:tr>
      <w:tr>
        <w:trPr>
          <w:trHeight w:val="77"/>
        </w:trPr>
        <w:tc>
          <w:tcPr>
            <w:tcW w:w="1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920" w:type="dxa"/>
            <w:vAlign w:val="bottom"/>
          </w:tcPr>
          <w:p>
            <w:pPr>
              <w:spacing w:after="0"/>
              <w:rPr>
                <w:sz w:val="6"/>
                <w:szCs w:val="6"/>
                <w:color w:val="auto"/>
              </w:rPr>
            </w:pPr>
          </w:p>
        </w:tc>
        <w:tc>
          <w:tcPr>
            <w:tcW w:w="60" w:type="dxa"/>
            <w:vAlign w:val="bottom"/>
          </w:tcPr>
          <w:p>
            <w:pPr>
              <w:spacing w:after="0"/>
              <w:rPr>
                <w:sz w:val="6"/>
                <w:szCs w:val="6"/>
                <w:color w:val="auto"/>
              </w:rPr>
            </w:pPr>
          </w:p>
        </w:tc>
        <w:tc>
          <w:tcPr>
            <w:tcW w:w="960" w:type="dxa"/>
            <w:vAlign w:val="bottom"/>
          </w:tcPr>
          <w:p>
            <w:pPr>
              <w:spacing w:after="0"/>
              <w:rPr>
                <w:sz w:val="6"/>
                <w:szCs w:val="6"/>
                <w:color w:val="auto"/>
              </w:rPr>
            </w:pPr>
          </w:p>
        </w:tc>
        <w:tc>
          <w:tcPr>
            <w:tcW w:w="60" w:type="dxa"/>
            <w:vAlign w:val="bottom"/>
          </w:tcPr>
          <w:p>
            <w:pPr>
              <w:spacing w:after="0"/>
              <w:rPr>
                <w:sz w:val="6"/>
                <w:szCs w:val="6"/>
                <w:color w:val="auto"/>
              </w:rPr>
            </w:pPr>
          </w:p>
        </w:tc>
        <w:tc>
          <w:tcPr>
            <w:tcW w:w="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100" w:type="dxa"/>
            <w:vAlign w:val="bottom"/>
          </w:tcPr>
          <w:p>
            <w:pPr>
              <w:spacing w:after="0"/>
              <w:rPr>
                <w:sz w:val="6"/>
                <w:szCs w:val="6"/>
                <w:color w:val="auto"/>
              </w:rPr>
            </w:pPr>
          </w:p>
        </w:tc>
        <w:tc>
          <w:tcPr>
            <w:tcW w:w="480" w:type="dxa"/>
            <w:vAlign w:val="bottom"/>
          </w:tcPr>
          <w:p>
            <w:pPr>
              <w:spacing w:after="0"/>
              <w:rPr>
                <w:sz w:val="6"/>
                <w:szCs w:val="6"/>
                <w:color w:val="auto"/>
              </w:rPr>
            </w:pPr>
          </w:p>
        </w:tc>
        <w:tc>
          <w:tcPr>
            <w:tcW w:w="100" w:type="dxa"/>
            <w:vAlign w:val="bottom"/>
          </w:tcPr>
          <w:p>
            <w:pPr>
              <w:spacing w:after="0"/>
              <w:rPr>
                <w:sz w:val="6"/>
                <w:szCs w:val="6"/>
                <w:color w:val="auto"/>
              </w:rPr>
            </w:pPr>
          </w:p>
        </w:tc>
        <w:tc>
          <w:tcPr>
            <w:tcW w:w="4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4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60" w:type="dxa"/>
            <w:vAlign w:val="bottom"/>
          </w:tcPr>
          <w:p>
            <w:pPr>
              <w:spacing w:after="0"/>
              <w:rPr>
                <w:sz w:val="6"/>
                <w:szCs w:val="6"/>
                <w:color w:val="auto"/>
              </w:rPr>
            </w:pPr>
          </w:p>
        </w:tc>
        <w:tc>
          <w:tcPr>
            <w:tcW w:w="120" w:type="dxa"/>
            <w:vAlign w:val="bottom"/>
          </w:tcPr>
          <w:p>
            <w:pPr>
              <w:spacing w:after="0"/>
              <w:rPr>
                <w:sz w:val="6"/>
                <w:szCs w:val="6"/>
                <w:color w:val="auto"/>
              </w:rPr>
            </w:pPr>
          </w:p>
        </w:tc>
      </w:tr>
      <w:tr>
        <w:trPr>
          <w:trHeight w:val="91"/>
        </w:trPr>
        <w:tc>
          <w:tcPr>
            <w:tcW w:w="1300" w:type="dxa"/>
            <w:vAlign w:val="bottom"/>
            <w:gridSpan w:val="2"/>
            <w:shd w:val="clear" w:color="auto" w:fill="CCEEFF"/>
          </w:tcPr>
          <w:p>
            <w:pPr>
              <w:spacing w:after="0" w:line="92" w:lineRule="exact"/>
              <w:rPr>
                <w:sz w:val="20"/>
                <w:szCs w:val="20"/>
                <w:color w:val="auto"/>
              </w:rPr>
            </w:pPr>
            <w:r>
              <w:rPr>
                <w:rFonts w:ascii="Times New Roman" w:cs="Times New Roman" w:eastAsia="Times New Roman" w:hAnsi="Times New Roman"/>
                <w:sz w:val="10"/>
                <w:szCs w:val="10"/>
                <w:i w:val="1"/>
                <w:iCs w:val="1"/>
                <w:color w:val="auto"/>
              </w:rPr>
              <w:t>Onsight Industries, LLC</w:t>
            </w:r>
          </w:p>
        </w:tc>
        <w:tc>
          <w:tcPr>
            <w:tcW w:w="9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1020" w:type="dxa"/>
            <w:vAlign w:val="bottom"/>
            <w:gridSpan w:val="2"/>
            <w:shd w:val="clear" w:color="auto" w:fill="CCEEFF"/>
          </w:tcPr>
          <w:p>
            <w:pPr>
              <w:spacing w:after="0" w:line="92" w:lineRule="exact"/>
              <w:rPr>
                <w:sz w:val="20"/>
                <w:szCs w:val="20"/>
                <w:color w:val="auto"/>
              </w:rPr>
            </w:pPr>
            <w:r>
              <w:rPr>
                <w:rFonts w:ascii="Times New Roman" w:cs="Times New Roman" w:eastAsia="Times New Roman" w:hAnsi="Times New Roman"/>
                <w:sz w:val="10"/>
                <w:szCs w:val="10"/>
                <w:color w:val="auto"/>
              </w:rPr>
              <w:t>Component</w:t>
            </w:r>
          </w:p>
        </w:tc>
        <w:tc>
          <w:tcPr>
            <w:tcW w:w="56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8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r>
      <w:tr>
        <w:trPr>
          <w:trHeight w:val="118"/>
        </w:trPr>
        <w:tc>
          <w:tcPr>
            <w:tcW w:w="1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0"/>
                <w:szCs w:val="10"/>
                <w:color w:val="auto"/>
              </w:rPr>
              <w:t>Manufacturing</w:t>
            </w:r>
          </w:p>
        </w:tc>
        <w:tc>
          <w:tcPr>
            <w:tcW w:w="5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r>
      <w:tr>
        <w:trPr>
          <w:trHeight w:val="105"/>
        </w:trPr>
        <w:tc>
          <w:tcPr>
            <w:tcW w:w="1300" w:type="dxa"/>
            <w:vAlign w:val="bottom"/>
            <w:gridSpan w:val="2"/>
          </w:tcPr>
          <w:p>
            <w:pPr>
              <w:ind w:left="100"/>
              <w:spacing w:after="0" w:line="105" w:lineRule="exact"/>
              <w:rPr>
                <w:sz w:val="20"/>
                <w:szCs w:val="20"/>
                <w:color w:val="auto"/>
              </w:rPr>
            </w:pPr>
            <w:r>
              <w:rPr>
                <w:rFonts w:ascii="Times New Roman" w:cs="Times New Roman" w:eastAsia="Times New Roman" w:hAnsi="Times New Roman"/>
                <w:sz w:val="10"/>
                <w:szCs w:val="10"/>
                <w:color w:val="auto"/>
              </w:rPr>
              <w:t>900 Central Park Dr.</w:t>
            </w:r>
          </w:p>
        </w:tc>
        <w:tc>
          <w:tcPr>
            <w:tcW w:w="980" w:type="dxa"/>
            <w:vAlign w:val="bottom"/>
            <w:gridSpan w:val="2"/>
          </w:tcPr>
          <w:p>
            <w:pPr>
              <w:spacing w:after="0" w:line="105" w:lineRule="exact"/>
              <w:rPr>
                <w:sz w:val="20"/>
                <w:szCs w:val="20"/>
                <w:color w:val="auto"/>
              </w:rPr>
            </w:pPr>
            <w:r>
              <w:rPr>
                <w:rFonts w:ascii="Times New Roman" w:cs="Times New Roman" w:eastAsia="Times New Roman" w:hAnsi="Times New Roman"/>
                <w:sz w:val="10"/>
                <w:szCs w:val="10"/>
                <w:color w:val="auto"/>
              </w:rPr>
              <w:t>First Lien Debt (j)(bf)</w:t>
            </w:r>
          </w:p>
        </w:tc>
        <w:tc>
          <w:tcPr>
            <w:tcW w:w="96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920" w:type="dxa"/>
            <w:vAlign w:val="bottom"/>
            <w:gridSpan w:val="2"/>
          </w:tcPr>
          <w:p>
            <w:pPr>
              <w:jc w:val="center"/>
              <w:ind w:right="60"/>
              <w:spacing w:after="0" w:line="105" w:lineRule="exact"/>
              <w:rPr>
                <w:sz w:val="20"/>
                <w:szCs w:val="20"/>
                <w:color w:val="auto"/>
              </w:rPr>
            </w:pPr>
            <w:r>
              <w:rPr>
                <w:rFonts w:ascii="Times New Roman" w:cs="Times New Roman" w:eastAsia="Times New Roman" w:hAnsi="Times New Roman"/>
                <w:sz w:val="10"/>
                <w:szCs w:val="10"/>
                <w:color w:val="auto"/>
                <w:w w:val="96"/>
              </w:rPr>
              <w:t>(S + 5.50%) / (1.50%)</w:t>
            </w:r>
          </w:p>
        </w:tc>
        <w:tc>
          <w:tcPr>
            <w:tcW w:w="720" w:type="dxa"/>
            <w:vAlign w:val="bottom"/>
            <w:gridSpan w:val="2"/>
          </w:tcPr>
          <w:p>
            <w:pPr>
              <w:jc w:val="right"/>
              <w:ind w:right="100"/>
              <w:spacing w:after="0" w:line="105" w:lineRule="exact"/>
              <w:rPr>
                <w:sz w:val="20"/>
                <w:szCs w:val="20"/>
                <w:color w:val="auto"/>
              </w:rPr>
            </w:pPr>
            <w:r>
              <w:rPr>
                <w:rFonts w:ascii="Times New Roman" w:cs="Times New Roman" w:eastAsia="Times New Roman" w:hAnsi="Times New Roman"/>
                <w:sz w:val="10"/>
                <w:szCs w:val="10"/>
                <w:color w:val="auto"/>
              </w:rPr>
              <w:t>9.17%/0.00%</w:t>
            </w:r>
          </w:p>
        </w:tc>
        <w:tc>
          <w:tcPr>
            <w:tcW w:w="480" w:type="dxa"/>
            <w:vAlign w:val="bottom"/>
          </w:tcPr>
          <w:p>
            <w:pPr>
              <w:jc w:val="right"/>
              <w:spacing w:after="0" w:line="105" w:lineRule="exact"/>
              <w:rPr>
                <w:sz w:val="20"/>
                <w:szCs w:val="20"/>
                <w:color w:val="auto"/>
              </w:rPr>
            </w:pPr>
            <w:r>
              <w:rPr>
                <w:rFonts w:ascii="Times New Roman" w:cs="Times New Roman" w:eastAsia="Times New Roman" w:hAnsi="Times New Roman"/>
                <w:sz w:val="10"/>
                <w:szCs w:val="10"/>
                <w:color w:val="auto"/>
              </w:rPr>
              <w:t>3/27/2025</w:t>
            </w:r>
          </w:p>
        </w:tc>
        <w:tc>
          <w:tcPr>
            <w:tcW w:w="100" w:type="dxa"/>
            <w:vAlign w:val="bottom"/>
          </w:tcPr>
          <w:p>
            <w:pPr>
              <w:spacing w:after="0"/>
              <w:rPr>
                <w:sz w:val="9"/>
                <w:szCs w:val="9"/>
                <w:color w:val="auto"/>
              </w:rPr>
            </w:pPr>
          </w:p>
        </w:tc>
        <w:tc>
          <w:tcPr>
            <w:tcW w:w="520" w:type="dxa"/>
            <w:vAlign w:val="bottom"/>
            <w:gridSpan w:val="2"/>
          </w:tcPr>
          <w:p>
            <w:pPr>
              <w:jc w:val="right"/>
              <w:ind w:right="100"/>
              <w:spacing w:after="0" w:line="105" w:lineRule="exact"/>
              <w:rPr>
                <w:sz w:val="20"/>
                <w:szCs w:val="20"/>
                <w:color w:val="auto"/>
              </w:rPr>
            </w:pPr>
            <w:r>
              <w:rPr>
                <w:rFonts w:ascii="Times New Roman" w:cs="Times New Roman" w:eastAsia="Times New Roman" w:hAnsi="Times New Roman"/>
                <w:sz w:val="10"/>
                <w:szCs w:val="10"/>
                <w:color w:val="auto"/>
              </w:rPr>
              <w:t>1/7/2030</w:t>
            </w:r>
          </w:p>
        </w:tc>
        <w:tc>
          <w:tcPr>
            <w:tcW w:w="420" w:type="dxa"/>
            <w:vAlign w:val="bottom"/>
            <w:gridSpan w:val="2"/>
          </w:tcPr>
          <w:p>
            <w:pPr>
              <w:jc w:val="right"/>
              <w:ind w:right="80"/>
              <w:spacing w:after="0" w:line="105" w:lineRule="exact"/>
              <w:rPr>
                <w:sz w:val="20"/>
                <w:szCs w:val="20"/>
                <w:color w:val="auto"/>
              </w:rPr>
            </w:pPr>
            <w:r>
              <w:rPr>
                <w:rFonts w:ascii="Times New Roman" w:cs="Times New Roman" w:eastAsia="Times New Roman" w:hAnsi="Times New Roman"/>
                <w:sz w:val="10"/>
                <w:szCs w:val="10"/>
                <w:color w:val="auto"/>
              </w:rPr>
              <w:t>9,120</w:t>
            </w:r>
          </w:p>
        </w:tc>
        <w:tc>
          <w:tcPr>
            <w:tcW w:w="440" w:type="dxa"/>
            <w:vAlign w:val="bottom"/>
            <w:gridSpan w:val="2"/>
          </w:tcPr>
          <w:p>
            <w:pPr>
              <w:jc w:val="right"/>
              <w:ind w:right="140"/>
              <w:spacing w:after="0" w:line="105" w:lineRule="exact"/>
              <w:rPr>
                <w:sz w:val="20"/>
                <w:szCs w:val="20"/>
                <w:color w:val="auto"/>
              </w:rPr>
            </w:pPr>
            <w:r>
              <w:rPr>
                <w:rFonts w:ascii="Times New Roman" w:cs="Times New Roman" w:eastAsia="Times New Roman" w:hAnsi="Times New Roman"/>
                <w:sz w:val="10"/>
                <w:szCs w:val="10"/>
                <w:color w:val="auto"/>
              </w:rPr>
              <w:t>9,096</w:t>
            </w:r>
          </w:p>
        </w:tc>
        <w:tc>
          <w:tcPr>
            <w:tcW w:w="420" w:type="dxa"/>
            <w:vAlign w:val="bottom"/>
            <w:gridSpan w:val="2"/>
          </w:tcPr>
          <w:p>
            <w:pPr>
              <w:jc w:val="right"/>
              <w:ind w:right="100"/>
              <w:spacing w:after="0" w:line="105" w:lineRule="exact"/>
              <w:rPr>
                <w:sz w:val="20"/>
                <w:szCs w:val="20"/>
                <w:color w:val="auto"/>
              </w:rPr>
            </w:pPr>
            <w:r>
              <w:rPr>
                <w:rFonts w:ascii="Times New Roman" w:cs="Times New Roman" w:eastAsia="Times New Roman" w:hAnsi="Times New Roman"/>
                <w:sz w:val="10"/>
                <w:szCs w:val="10"/>
                <w:color w:val="auto"/>
              </w:rPr>
              <w:t>9,120</w:t>
            </w: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r>
      <w:tr>
        <w:trPr>
          <w:trHeight w:val="91"/>
        </w:trPr>
        <w:tc>
          <w:tcPr>
            <w:tcW w:w="1300" w:type="dxa"/>
            <w:vAlign w:val="bottom"/>
            <w:gridSpan w:val="2"/>
            <w:shd w:val="clear" w:color="auto" w:fill="CCEEFF"/>
          </w:tcPr>
          <w:p>
            <w:pPr>
              <w:ind w:left="100"/>
              <w:spacing w:after="0" w:line="92" w:lineRule="exact"/>
              <w:rPr>
                <w:sz w:val="20"/>
                <w:szCs w:val="20"/>
                <w:color w:val="auto"/>
              </w:rPr>
            </w:pPr>
            <w:r>
              <w:rPr>
                <w:rFonts w:ascii="Times New Roman" w:cs="Times New Roman" w:eastAsia="Times New Roman" w:hAnsi="Times New Roman"/>
                <w:sz w:val="10"/>
                <w:szCs w:val="10"/>
                <w:color w:val="auto"/>
              </w:rPr>
              <w:t>Sanford, FL 32771</w:t>
            </w:r>
          </w:p>
        </w:tc>
        <w:tc>
          <w:tcPr>
            <w:tcW w:w="980" w:type="dxa"/>
            <w:vAlign w:val="bottom"/>
            <w:gridSpan w:val="2"/>
            <w:shd w:val="clear" w:color="auto" w:fill="CCEEFF"/>
          </w:tcPr>
          <w:p>
            <w:pPr>
              <w:spacing w:after="0" w:line="92" w:lineRule="exact"/>
              <w:rPr>
                <w:sz w:val="20"/>
                <w:szCs w:val="20"/>
                <w:color w:val="auto"/>
              </w:rPr>
            </w:pPr>
            <w:r>
              <w:rPr>
                <w:rFonts w:ascii="Times New Roman" w:cs="Times New Roman" w:eastAsia="Times New Roman" w:hAnsi="Times New Roman"/>
                <w:sz w:val="10"/>
                <w:szCs w:val="10"/>
                <w:color w:val="auto"/>
              </w:rPr>
              <w:t>Common Equity</w:t>
            </w:r>
          </w:p>
        </w:tc>
        <w:tc>
          <w:tcPr>
            <w:tcW w:w="9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8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r>
      <w:tr>
        <w:trPr>
          <w:trHeight w:val="118"/>
        </w:trPr>
        <w:tc>
          <w:tcPr>
            <w:tcW w:w="1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0"/>
                <w:szCs w:val="10"/>
                <w:color w:val="auto"/>
              </w:rPr>
              <w:t>(380,000 units) (h)</w:t>
            </w:r>
          </w:p>
        </w:tc>
        <w:tc>
          <w:tcPr>
            <w:tcW w:w="9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0.5%</w:t>
            </w:r>
          </w:p>
        </w:tc>
        <w:tc>
          <w:tcPr>
            <w:tcW w:w="8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1/7/2025</w:t>
            </w:r>
          </w:p>
        </w:tc>
        <w:tc>
          <w:tcPr>
            <w:tcW w:w="4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380</w:t>
            </w:r>
          </w:p>
        </w:tc>
        <w:tc>
          <w:tcPr>
            <w:tcW w:w="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268</w:t>
            </w:r>
          </w:p>
        </w:tc>
        <w:tc>
          <w:tcPr>
            <w:tcW w:w="3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r>
      <w:tr>
        <w:trPr>
          <w:trHeight w:val="106"/>
        </w:trPr>
        <w:tc>
          <w:tcPr>
            <w:tcW w:w="1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Pr>
          <w:p>
            <w:pPr>
              <w:spacing w:after="0"/>
              <w:rPr>
                <w:sz w:val="9"/>
                <w:szCs w:val="9"/>
                <w:color w:val="auto"/>
              </w:rPr>
            </w:pPr>
          </w:p>
        </w:tc>
        <w:tc>
          <w:tcPr>
            <w:tcW w:w="60" w:type="dxa"/>
            <w:vAlign w:val="bottom"/>
          </w:tcPr>
          <w:p>
            <w:pPr>
              <w:spacing w:after="0"/>
              <w:rPr>
                <w:sz w:val="9"/>
                <w:szCs w:val="9"/>
                <w:color w:val="auto"/>
              </w:rPr>
            </w:pPr>
          </w:p>
        </w:tc>
        <w:tc>
          <w:tcPr>
            <w:tcW w:w="96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Borders>
              <w:top w:val="single" w:sz="8" w:color="auto"/>
            </w:tcBorders>
          </w:tcPr>
          <w:p>
            <w:pPr>
              <w:jc w:val="right"/>
              <w:spacing w:after="0" w:line="106" w:lineRule="exact"/>
              <w:rPr>
                <w:sz w:val="20"/>
                <w:szCs w:val="20"/>
                <w:color w:val="auto"/>
              </w:rPr>
            </w:pPr>
            <w:r>
              <w:rPr>
                <w:rFonts w:ascii="Times New Roman" w:cs="Times New Roman" w:eastAsia="Times New Roman" w:hAnsi="Times New Roman"/>
                <w:sz w:val="10"/>
                <w:szCs w:val="10"/>
                <w:color w:val="auto"/>
              </w:rPr>
              <w:t>9,476</w:t>
            </w:r>
          </w:p>
        </w:tc>
        <w:tc>
          <w:tcPr>
            <w:tcW w:w="140" w:type="dxa"/>
            <w:vAlign w:val="bottom"/>
          </w:tcPr>
          <w:p>
            <w:pPr>
              <w:spacing w:after="0"/>
              <w:rPr>
                <w:sz w:val="9"/>
                <w:szCs w:val="9"/>
                <w:color w:val="auto"/>
              </w:rPr>
            </w:pPr>
          </w:p>
        </w:tc>
        <w:tc>
          <w:tcPr>
            <w:tcW w:w="320" w:type="dxa"/>
            <w:vAlign w:val="bottom"/>
            <w:tcBorders>
              <w:top w:val="single" w:sz="8" w:color="auto"/>
            </w:tcBorders>
          </w:tcPr>
          <w:p>
            <w:pPr>
              <w:jc w:val="right"/>
              <w:spacing w:after="0" w:line="106" w:lineRule="exact"/>
              <w:rPr>
                <w:sz w:val="20"/>
                <w:szCs w:val="20"/>
                <w:color w:val="auto"/>
              </w:rPr>
            </w:pPr>
            <w:r>
              <w:rPr>
                <w:rFonts w:ascii="Times New Roman" w:cs="Times New Roman" w:eastAsia="Times New Roman" w:hAnsi="Times New Roman"/>
                <w:sz w:val="10"/>
                <w:szCs w:val="10"/>
                <w:color w:val="auto"/>
              </w:rPr>
              <w:t>9,388</w:t>
            </w:r>
          </w:p>
        </w:tc>
        <w:tc>
          <w:tcPr>
            <w:tcW w:w="100" w:type="dxa"/>
            <w:vAlign w:val="bottom"/>
          </w:tcPr>
          <w:p>
            <w:pPr>
              <w:spacing w:after="0"/>
              <w:rPr>
                <w:sz w:val="9"/>
                <w:szCs w:val="9"/>
                <w:color w:val="auto"/>
              </w:rPr>
            </w:pPr>
          </w:p>
        </w:tc>
        <w:tc>
          <w:tcPr>
            <w:tcW w:w="480" w:type="dxa"/>
            <w:vAlign w:val="bottom"/>
            <w:gridSpan w:val="2"/>
          </w:tcPr>
          <w:p>
            <w:pPr>
              <w:jc w:val="right"/>
              <w:ind w:right="40"/>
              <w:spacing w:after="0" w:line="106" w:lineRule="exact"/>
              <w:rPr>
                <w:sz w:val="20"/>
                <w:szCs w:val="20"/>
                <w:color w:val="auto"/>
              </w:rPr>
            </w:pPr>
            <w:r>
              <w:rPr>
                <w:rFonts w:ascii="Times New Roman" w:cs="Times New Roman" w:eastAsia="Times New Roman" w:hAnsi="Times New Roman"/>
                <w:sz w:val="10"/>
                <w:szCs w:val="10"/>
                <w:color w:val="auto"/>
              </w:rPr>
              <w:t>1%</w:t>
            </w:r>
          </w:p>
        </w:tc>
      </w:tr>
      <w:tr>
        <w:trPr>
          <w:trHeight w:val="105"/>
        </w:trPr>
        <w:tc>
          <w:tcPr>
            <w:tcW w:w="1300" w:type="dxa"/>
            <w:vAlign w:val="bottom"/>
            <w:gridSpan w:val="2"/>
            <w:shd w:val="clear" w:color="auto" w:fill="CCEEFF"/>
          </w:tcPr>
          <w:p>
            <w:pPr>
              <w:spacing w:after="0" w:line="105" w:lineRule="exact"/>
              <w:rPr>
                <w:sz w:val="20"/>
                <w:szCs w:val="20"/>
                <w:color w:val="auto"/>
              </w:rPr>
            </w:pPr>
            <w:r>
              <w:rPr>
                <w:rFonts w:ascii="Times New Roman" w:cs="Times New Roman" w:eastAsia="Times New Roman" w:hAnsi="Times New Roman"/>
                <w:sz w:val="10"/>
                <w:szCs w:val="10"/>
                <w:i w:val="1"/>
                <w:iCs w:val="1"/>
                <w:color w:val="auto"/>
              </w:rPr>
              <w:t>Palmetto Moon, LLC</w:t>
            </w:r>
          </w:p>
        </w:tc>
        <w:tc>
          <w:tcPr>
            <w:tcW w:w="9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20" w:type="dxa"/>
            <w:vAlign w:val="bottom"/>
            <w:gridSpan w:val="2"/>
            <w:shd w:val="clear" w:color="auto" w:fill="CCEEFF"/>
          </w:tcPr>
          <w:p>
            <w:pPr>
              <w:ind w:left="720"/>
              <w:spacing w:after="0" w:line="105" w:lineRule="exact"/>
              <w:rPr>
                <w:sz w:val="20"/>
                <w:szCs w:val="20"/>
                <w:color w:val="auto"/>
              </w:rPr>
            </w:pPr>
            <w:r>
              <w:rPr>
                <w:rFonts w:ascii="Times New Roman" w:cs="Times New Roman" w:eastAsia="Times New Roman" w:hAnsi="Times New Roman"/>
                <w:sz w:val="10"/>
                <w:szCs w:val="10"/>
                <w:color w:val="auto"/>
              </w:rPr>
              <w:t>Retail</w:t>
            </w:r>
          </w:p>
        </w:tc>
        <w:tc>
          <w:tcPr>
            <w:tcW w:w="5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r>
      <w:tr>
        <w:trPr>
          <w:trHeight w:val="91"/>
        </w:trPr>
        <w:tc>
          <w:tcPr>
            <w:tcW w:w="1300" w:type="dxa"/>
            <w:vAlign w:val="bottom"/>
            <w:gridSpan w:val="2"/>
          </w:tcPr>
          <w:p>
            <w:pPr>
              <w:ind w:left="100"/>
              <w:spacing w:after="0" w:line="92" w:lineRule="exact"/>
              <w:rPr>
                <w:sz w:val="20"/>
                <w:szCs w:val="20"/>
                <w:color w:val="auto"/>
              </w:rPr>
            </w:pPr>
            <w:r>
              <w:rPr>
                <w:rFonts w:ascii="Times New Roman" w:cs="Times New Roman" w:eastAsia="Times New Roman" w:hAnsi="Times New Roman"/>
                <w:sz w:val="10"/>
                <w:szCs w:val="10"/>
                <w:color w:val="auto"/>
              </w:rPr>
              <w:t>1950 Hanahan Road North</w:t>
            </w:r>
          </w:p>
        </w:tc>
        <w:tc>
          <w:tcPr>
            <w:tcW w:w="980" w:type="dxa"/>
            <w:vAlign w:val="bottom"/>
            <w:gridSpan w:val="2"/>
          </w:tcPr>
          <w:p>
            <w:pPr>
              <w:spacing w:after="0" w:line="92" w:lineRule="exact"/>
              <w:rPr>
                <w:sz w:val="20"/>
                <w:szCs w:val="20"/>
                <w:color w:val="auto"/>
              </w:rPr>
            </w:pPr>
            <w:r>
              <w:rPr>
                <w:rFonts w:ascii="Times New Roman" w:cs="Times New Roman" w:eastAsia="Times New Roman" w:hAnsi="Times New Roman"/>
                <w:sz w:val="10"/>
                <w:szCs w:val="10"/>
                <w:color w:val="auto"/>
              </w:rPr>
              <w:t>Common Equity (499</w:t>
            </w:r>
          </w:p>
        </w:tc>
        <w:tc>
          <w:tcPr>
            <w:tcW w:w="960" w:type="dxa"/>
            <w:vAlign w:val="bottom"/>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0" w:type="dxa"/>
            <w:vAlign w:val="bottom"/>
          </w:tcPr>
          <w:p>
            <w:pPr>
              <w:spacing w:after="0"/>
              <w:rPr>
                <w:sz w:val="7"/>
                <w:szCs w:val="7"/>
                <w:color w:val="auto"/>
              </w:rPr>
            </w:pPr>
          </w:p>
        </w:tc>
        <w:tc>
          <w:tcPr>
            <w:tcW w:w="360" w:type="dxa"/>
            <w:vAlign w:val="bottom"/>
          </w:tcPr>
          <w:p>
            <w:pPr>
              <w:spacing w:after="0"/>
              <w:rPr>
                <w:sz w:val="7"/>
                <w:szCs w:val="7"/>
                <w:color w:val="auto"/>
              </w:rPr>
            </w:pPr>
          </w:p>
        </w:tc>
        <w:tc>
          <w:tcPr>
            <w:tcW w:w="120" w:type="dxa"/>
            <w:vAlign w:val="bottom"/>
          </w:tcPr>
          <w:p>
            <w:pPr>
              <w:spacing w:after="0"/>
              <w:rPr>
                <w:sz w:val="7"/>
                <w:szCs w:val="7"/>
                <w:color w:val="auto"/>
              </w:rPr>
            </w:pPr>
          </w:p>
        </w:tc>
      </w:tr>
      <w:tr>
        <w:trPr>
          <w:trHeight w:val="125"/>
        </w:trPr>
        <w:tc>
          <w:tcPr>
            <w:tcW w:w="1300" w:type="dxa"/>
            <w:vAlign w:val="bottom"/>
            <w:gridSpan w:val="2"/>
          </w:tcPr>
          <w:p>
            <w:pPr>
              <w:ind w:left="100"/>
              <w:spacing w:after="0"/>
              <w:rPr>
                <w:sz w:val="20"/>
                <w:szCs w:val="20"/>
                <w:color w:val="auto"/>
              </w:rPr>
            </w:pPr>
            <w:r>
              <w:rPr>
                <w:rFonts w:ascii="Times New Roman" w:cs="Times New Roman" w:eastAsia="Times New Roman" w:hAnsi="Times New Roman"/>
                <w:sz w:val="10"/>
                <w:szCs w:val="10"/>
                <w:color w:val="auto"/>
              </w:rPr>
              <w:t>Charleston, SC 29406</w:t>
            </w:r>
          </w:p>
        </w:tc>
        <w:tc>
          <w:tcPr>
            <w:tcW w:w="98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units)</w:t>
            </w:r>
          </w:p>
        </w:tc>
        <w:tc>
          <w:tcPr>
            <w:tcW w:w="9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1.8%</w:t>
            </w:r>
          </w:p>
        </w:tc>
        <w:tc>
          <w:tcPr>
            <w:tcW w:w="8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11/3/2016</w:t>
            </w: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0"/>
                <w:szCs w:val="10"/>
                <w:color w:val="auto"/>
              </w:rPr>
              <w:t>— </w:t>
            </w: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1,260</w:t>
            </w: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0"/>
                <w:szCs w:val="10"/>
                <w:color w:val="auto"/>
              </w:rPr>
              <w:t>0%</w:t>
            </w:r>
          </w:p>
        </w:tc>
      </w:tr>
      <w:tr>
        <w:trPr>
          <w:trHeight w:val="77"/>
        </w:trPr>
        <w:tc>
          <w:tcPr>
            <w:tcW w:w="1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920" w:type="dxa"/>
            <w:vAlign w:val="bottom"/>
          </w:tcPr>
          <w:p>
            <w:pPr>
              <w:spacing w:after="0"/>
              <w:rPr>
                <w:sz w:val="6"/>
                <w:szCs w:val="6"/>
                <w:color w:val="auto"/>
              </w:rPr>
            </w:pPr>
          </w:p>
        </w:tc>
        <w:tc>
          <w:tcPr>
            <w:tcW w:w="60" w:type="dxa"/>
            <w:vAlign w:val="bottom"/>
          </w:tcPr>
          <w:p>
            <w:pPr>
              <w:spacing w:after="0"/>
              <w:rPr>
                <w:sz w:val="6"/>
                <w:szCs w:val="6"/>
                <w:color w:val="auto"/>
              </w:rPr>
            </w:pPr>
          </w:p>
        </w:tc>
        <w:tc>
          <w:tcPr>
            <w:tcW w:w="960" w:type="dxa"/>
            <w:vAlign w:val="bottom"/>
          </w:tcPr>
          <w:p>
            <w:pPr>
              <w:spacing w:after="0"/>
              <w:rPr>
                <w:sz w:val="6"/>
                <w:szCs w:val="6"/>
                <w:color w:val="auto"/>
              </w:rPr>
            </w:pPr>
          </w:p>
        </w:tc>
        <w:tc>
          <w:tcPr>
            <w:tcW w:w="60" w:type="dxa"/>
            <w:vAlign w:val="bottom"/>
          </w:tcPr>
          <w:p>
            <w:pPr>
              <w:spacing w:after="0"/>
              <w:rPr>
                <w:sz w:val="6"/>
                <w:szCs w:val="6"/>
                <w:color w:val="auto"/>
              </w:rPr>
            </w:pPr>
          </w:p>
        </w:tc>
        <w:tc>
          <w:tcPr>
            <w:tcW w:w="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100" w:type="dxa"/>
            <w:vAlign w:val="bottom"/>
          </w:tcPr>
          <w:p>
            <w:pPr>
              <w:spacing w:after="0"/>
              <w:rPr>
                <w:sz w:val="6"/>
                <w:szCs w:val="6"/>
                <w:color w:val="auto"/>
              </w:rPr>
            </w:pPr>
          </w:p>
        </w:tc>
        <w:tc>
          <w:tcPr>
            <w:tcW w:w="480" w:type="dxa"/>
            <w:vAlign w:val="bottom"/>
          </w:tcPr>
          <w:p>
            <w:pPr>
              <w:spacing w:after="0"/>
              <w:rPr>
                <w:sz w:val="6"/>
                <w:szCs w:val="6"/>
                <w:color w:val="auto"/>
              </w:rPr>
            </w:pPr>
          </w:p>
        </w:tc>
        <w:tc>
          <w:tcPr>
            <w:tcW w:w="100" w:type="dxa"/>
            <w:vAlign w:val="bottom"/>
          </w:tcPr>
          <w:p>
            <w:pPr>
              <w:spacing w:after="0"/>
              <w:rPr>
                <w:sz w:val="6"/>
                <w:szCs w:val="6"/>
                <w:color w:val="auto"/>
              </w:rPr>
            </w:pPr>
          </w:p>
        </w:tc>
        <w:tc>
          <w:tcPr>
            <w:tcW w:w="4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4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60" w:type="dxa"/>
            <w:vAlign w:val="bottom"/>
          </w:tcPr>
          <w:p>
            <w:pPr>
              <w:spacing w:after="0"/>
              <w:rPr>
                <w:sz w:val="6"/>
                <w:szCs w:val="6"/>
                <w:color w:val="auto"/>
              </w:rPr>
            </w:pPr>
          </w:p>
        </w:tc>
        <w:tc>
          <w:tcPr>
            <w:tcW w:w="120" w:type="dxa"/>
            <w:vAlign w:val="bottom"/>
          </w:tcPr>
          <w:p>
            <w:pPr>
              <w:spacing w:after="0"/>
              <w:rPr>
                <w:sz w:val="6"/>
                <w:szCs w:val="6"/>
                <w:color w:val="auto"/>
              </w:rPr>
            </w:pPr>
          </w:p>
        </w:tc>
      </w:tr>
      <w:tr>
        <w:trPr>
          <w:trHeight w:val="89"/>
        </w:trPr>
        <w:tc>
          <w:tcPr>
            <w:tcW w:w="1300" w:type="dxa"/>
            <w:vAlign w:val="bottom"/>
            <w:gridSpan w:val="2"/>
            <w:shd w:val="clear" w:color="auto" w:fill="CCEEFF"/>
          </w:tcPr>
          <w:p>
            <w:pPr>
              <w:spacing w:after="0" w:line="90" w:lineRule="exact"/>
              <w:rPr>
                <w:sz w:val="20"/>
                <w:szCs w:val="20"/>
                <w:color w:val="auto"/>
              </w:rPr>
            </w:pPr>
            <w:r>
              <w:rPr>
                <w:rFonts w:ascii="Times New Roman" w:cs="Times New Roman" w:eastAsia="Times New Roman" w:hAnsi="Times New Roman"/>
                <w:sz w:val="10"/>
                <w:szCs w:val="10"/>
                <w:i w:val="1"/>
                <w:iCs w:val="1"/>
                <w:color w:val="auto"/>
              </w:rPr>
              <w:t>PayEntry Financial Services,</w:t>
            </w:r>
          </w:p>
        </w:tc>
        <w:tc>
          <w:tcPr>
            <w:tcW w:w="9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1020" w:type="dxa"/>
            <w:vAlign w:val="bottom"/>
            <w:gridSpan w:val="2"/>
            <w:shd w:val="clear" w:color="auto" w:fill="CCEEFF"/>
          </w:tcPr>
          <w:p>
            <w:pPr>
              <w:spacing w:after="0" w:line="90" w:lineRule="exact"/>
              <w:rPr>
                <w:sz w:val="20"/>
                <w:szCs w:val="20"/>
                <w:color w:val="auto"/>
              </w:rPr>
            </w:pPr>
            <w:r>
              <w:rPr>
                <w:rFonts w:ascii="Times New Roman" w:cs="Times New Roman" w:eastAsia="Times New Roman" w:hAnsi="Times New Roman"/>
                <w:sz w:val="10"/>
                <w:szCs w:val="10"/>
                <w:color w:val="auto"/>
              </w:rPr>
              <w:t>Information Technology</w:t>
            </w:r>
          </w:p>
        </w:tc>
        <w:tc>
          <w:tcPr>
            <w:tcW w:w="56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8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r>
      <w:tr>
        <w:trPr>
          <w:trHeight w:val="120"/>
        </w:trPr>
        <w:tc>
          <w:tcPr>
            <w:tcW w:w="1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0"/>
                <w:szCs w:val="10"/>
                <w:i w:val="1"/>
                <w:iCs w:val="1"/>
                <w:color w:val="auto"/>
              </w:rPr>
              <w:t>Inc. (dba Payentry)</w:t>
            </w:r>
          </w:p>
        </w:tc>
        <w:tc>
          <w:tcPr>
            <w:tcW w:w="9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0"/>
                <w:szCs w:val="10"/>
                <w:color w:val="auto"/>
              </w:rPr>
              <w:t>Services</w:t>
            </w:r>
          </w:p>
        </w:tc>
        <w:tc>
          <w:tcPr>
            <w:tcW w:w="5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r>
      <w:tr>
        <w:trPr>
          <w:trHeight w:val="91"/>
        </w:trPr>
        <w:tc>
          <w:tcPr>
            <w:tcW w:w="1300" w:type="dxa"/>
            <w:vAlign w:val="bottom"/>
            <w:gridSpan w:val="2"/>
          </w:tcPr>
          <w:p>
            <w:pPr>
              <w:ind w:left="100"/>
              <w:spacing w:after="0" w:line="92" w:lineRule="exact"/>
              <w:rPr>
                <w:sz w:val="20"/>
                <w:szCs w:val="20"/>
                <w:color w:val="auto"/>
              </w:rPr>
            </w:pPr>
            <w:r>
              <w:rPr>
                <w:rFonts w:ascii="Times New Roman" w:cs="Times New Roman" w:eastAsia="Times New Roman" w:hAnsi="Times New Roman"/>
                <w:sz w:val="10"/>
                <w:szCs w:val="10"/>
                <w:color w:val="auto"/>
              </w:rPr>
              <w:t>230 Scientific Drive NW,</w:t>
            </w:r>
          </w:p>
        </w:tc>
        <w:tc>
          <w:tcPr>
            <w:tcW w:w="920" w:type="dxa"/>
            <w:vAlign w:val="bottom"/>
          </w:tcPr>
          <w:p>
            <w:pPr>
              <w:spacing w:after="0"/>
              <w:rPr>
                <w:sz w:val="7"/>
                <w:szCs w:val="7"/>
                <w:color w:val="auto"/>
              </w:rPr>
            </w:pPr>
          </w:p>
        </w:tc>
        <w:tc>
          <w:tcPr>
            <w:tcW w:w="60" w:type="dxa"/>
            <w:vAlign w:val="bottom"/>
          </w:tcPr>
          <w:p>
            <w:pPr>
              <w:spacing w:after="0"/>
              <w:rPr>
                <w:sz w:val="7"/>
                <w:szCs w:val="7"/>
                <w:color w:val="auto"/>
              </w:rPr>
            </w:pPr>
          </w:p>
        </w:tc>
        <w:tc>
          <w:tcPr>
            <w:tcW w:w="960" w:type="dxa"/>
            <w:vAlign w:val="bottom"/>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0" w:type="dxa"/>
            <w:vAlign w:val="bottom"/>
          </w:tcPr>
          <w:p>
            <w:pPr>
              <w:spacing w:after="0"/>
              <w:rPr>
                <w:sz w:val="7"/>
                <w:szCs w:val="7"/>
                <w:color w:val="auto"/>
              </w:rPr>
            </w:pPr>
          </w:p>
        </w:tc>
        <w:tc>
          <w:tcPr>
            <w:tcW w:w="360" w:type="dxa"/>
            <w:vAlign w:val="bottom"/>
          </w:tcPr>
          <w:p>
            <w:pPr>
              <w:spacing w:after="0"/>
              <w:rPr>
                <w:sz w:val="7"/>
                <w:szCs w:val="7"/>
                <w:color w:val="auto"/>
              </w:rPr>
            </w:pPr>
          </w:p>
        </w:tc>
        <w:tc>
          <w:tcPr>
            <w:tcW w:w="120" w:type="dxa"/>
            <w:vAlign w:val="bottom"/>
          </w:tcPr>
          <w:p>
            <w:pPr>
              <w:spacing w:after="0"/>
              <w:rPr>
                <w:sz w:val="7"/>
                <w:szCs w:val="7"/>
                <w:color w:val="auto"/>
              </w:rPr>
            </w:pPr>
          </w:p>
        </w:tc>
      </w:tr>
      <w:tr>
        <w:trPr>
          <w:trHeight w:val="118"/>
        </w:trPr>
        <w:tc>
          <w:tcPr>
            <w:tcW w:w="1300" w:type="dxa"/>
            <w:vAlign w:val="bottom"/>
            <w:gridSpan w:val="2"/>
          </w:tcPr>
          <w:p>
            <w:pPr>
              <w:ind w:left="100"/>
              <w:spacing w:after="0"/>
              <w:rPr>
                <w:sz w:val="20"/>
                <w:szCs w:val="20"/>
                <w:color w:val="auto"/>
              </w:rPr>
            </w:pPr>
            <w:r>
              <w:rPr>
                <w:rFonts w:ascii="Times New Roman" w:cs="Times New Roman" w:eastAsia="Times New Roman" w:hAnsi="Times New Roman"/>
                <w:sz w:val="10"/>
                <w:szCs w:val="10"/>
                <w:color w:val="auto"/>
              </w:rPr>
              <w:t>Suite 100</w:t>
            </w:r>
          </w:p>
        </w:tc>
        <w:tc>
          <w:tcPr>
            <w:tcW w:w="98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Second Lien Debt (bg)</w:t>
            </w:r>
          </w:p>
        </w:tc>
        <w:tc>
          <w:tcPr>
            <w:tcW w:w="9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10.50%/1.75%</w:t>
            </w:r>
          </w:p>
        </w:tc>
        <w:tc>
          <w:tcPr>
            <w:tcW w:w="4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3/28/2025</w:t>
            </w:r>
          </w:p>
        </w:tc>
        <w:tc>
          <w:tcPr>
            <w:tcW w:w="100" w:type="dxa"/>
            <w:vAlign w:val="bottom"/>
          </w:tcPr>
          <w:p>
            <w:pPr>
              <w:spacing w:after="0"/>
              <w:rPr>
                <w:sz w:val="10"/>
                <w:szCs w:val="10"/>
                <w:color w:val="auto"/>
              </w:rPr>
            </w:pP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w w:val="98"/>
              </w:rPr>
              <w:t>9/28/2031</w:t>
            </w:r>
          </w:p>
        </w:tc>
        <w:tc>
          <w:tcPr>
            <w:tcW w:w="42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5,650</w:t>
            </w: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5,605</w:t>
            </w: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5,651</w:t>
            </w: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91"/>
        </w:trPr>
        <w:tc>
          <w:tcPr>
            <w:tcW w:w="1300" w:type="dxa"/>
            <w:vAlign w:val="bottom"/>
            <w:gridSpan w:val="2"/>
            <w:shd w:val="clear" w:color="auto" w:fill="CCEEFF"/>
          </w:tcPr>
          <w:p>
            <w:pPr>
              <w:ind w:left="100"/>
              <w:spacing w:after="0" w:line="92" w:lineRule="exact"/>
              <w:rPr>
                <w:sz w:val="20"/>
                <w:szCs w:val="20"/>
                <w:color w:val="auto"/>
              </w:rPr>
            </w:pPr>
            <w:r>
              <w:rPr>
                <w:rFonts w:ascii="Times New Roman" w:cs="Times New Roman" w:eastAsia="Times New Roman" w:hAnsi="Times New Roman"/>
                <w:sz w:val="10"/>
                <w:szCs w:val="10"/>
                <w:color w:val="auto"/>
              </w:rPr>
              <w:t>Peachtree Corners, Georgia</w:t>
            </w:r>
          </w:p>
        </w:tc>
        <w:tc>
          <w:tcPr>
            <w:tcW w:w="9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9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8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r>
      <w:tr>
        <w:trPr>
          <w:trHeight w:val="118"/>
        </w:trPr>
        <w:tc>
          <w:tcPr>
            <w:tcW w:w="11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0"/>
                <w:szCs w:val="10"/>
                <w:color w:val="auto"/>
              </w:rPr>
              <w:t>30092</w:t>
            </w:r>
          </w:p>
        </w:tc>
        <w:tc>
          <w:tcPr>
            <w:tcW w:w="200" w:type="dxa"/>
            <w:vAlign w:val="bottom"/>
            <w:shd w:val="clear" w:color="auto" w:fill="CCEEFF"/>
          </w:tcPr>
          <w:p>
            <w:pPr>
              <w:spacing w:after="0"/>
              <w:rPr>
                <w:sz w:val="10"/>
                <w:szCs w:val="10"/>
                <w:color w:val="auto"/>
              </w:rPr>
            </w:pPr>
          </w:p>
        </w:tc>
        <w:tc>
          <w:tcPr>
            <w:tcW w:w="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0"/>
                <w:szCs w:val="10"/>
                <w:color w:val="auto"/>
              </w:rPr>
              <w:t>Second Lien Debt</w:t>
            </w:r>
          </w:p>
        </w:tc>
        <w:tc>
          <w:tcPr>
            <w:tcW w:w="9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10.50%/1.75%</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3/28/2025</w:t>
            </w:r>
          </w:p>
        </w:tc>
        <w:tc>
          <w:tcPr>
            <w:tcW w:w="100" w:type="dxa"/>
            <w:vAlign w:val="bottom"/>
            <w:shd w:val="clear" w:color="auto" w:fill="CCEEFF"/>
          </w:tcPr>
          <w:p>
            <w:pPr>
              <w:spacing w:after="0"/>
              <w:rPr>
                <w:sz w:val="10"/>
                <w:szCs w:val="10"/>
                <w:color w:val="auto"/>
              </w:rPr>
            </w:pP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w w:val="98"/>
              </w:rPr>
              <w:t>9/28/2031</w:t>
            </w:r>
          </w:p>
        </w:tc>
        <w:tc>
          <w:tcPr>
            <w:tcW w:w="4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2,892</w:t>
            </w:r>
          </w:p>
        </w:tc>
        <w:tc>
          <w:tcPr>
            <w:tcW w:w="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2,881</w:t>
            </w:r>
          </w:p>
        </w:tc>
        <w:tc>
          <w:tcPr>
            <w:tcW w:w="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2,892</w:t>
            </w:r>
          </w:p>
        </w:tc>
        <w:tc>
          <w:tcPr>
            <w:tcW w:w="3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r>
      <w:tr>
        <w:trPr>
          <w:trHeight w:val="91"/>
        </w:trPr>
        <w:tc>
          <w:tcPr>
            <w:tcW w:w="1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980" w:type="dxa"/>
            <w:vAlign w:val="bottom"/>
            <w:gridSpan w:val="2"/>
          </w:tcPr>
          <w:p>
            <w:pPr>
              <w:spacing w:after="0" w:line="92" w:lineRule="exact"/>
              <w:rPr>
                <w:sz w:val="20"/>
                <w:szCs w:val="20"/>
                <w:color w:val="auto"/>
              </w:rPr>
            </w:pPr>
            <w:r>
              <w:rPr>
                <w:rFonts w:ascii="Times New Roman" w:cs="Times New Roman" w:eastAsia="Times New Roman" w:hAnsi="Times New Roman"/>
                <w:sz w:val="10"/>
                <w:szCs w:val="10"/>
                <w:color w:val="auto"/>
              </w:rPr>
              <w:t>Second Lien Debt</w:t>
            </w:r>
          </w:p>
        </w:tc>
        <w:tc>
          <w:tcPr>
            <w:tcW w:w="960" w:type="dxa"/>
            <w:vAlign w:val="bottom"/>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0" w:type="dxa"/>
            <w:vAlign w:val="bottom"/>
          </w:tcPr>
          <w:p>
            <w:pPr>
              <w:spacing w:after="0"/>
              <w:rPr>
                <w:sz w:val="7"/>
                <w:szCs w:val="7"/>
                <w:color w:val="auto"/>
              </w:rPr>
            </w:pPr>
          </w:p>
        </w:tc>
        <w:tc>
          <w:tcPr>
            <w:tcW w:w="360" w:type="dxa"/>
            <w:vAlign w:val="bottom"/>
          </w:tcPr>
          <w:p>
            <w:pPr>
              <w:spacing w:after="0"/>
              <w:rPr>
                <w:sz w:val="7"/>
                <w:szCs w:val="7"/>
                <w:color w:val="auto"/>
              </w:rPr>
            </w:pPr>
          </w:p>
        </w:tc>
        <w:tc>
          <w:tcPr>
            <w:tcW w:w="120" w:type="dxa"/>
            <w:vAlign w:val="bottom"/>
          </w:tcPr>
          <w:p>
            <w:pPr>
              <w:spacing w:after="0"/>
              <w:rPr>
                <w:sz w:val="7"/>
                <w:szCs w:val="7"/>
                <w:color w:val="auto"/>
              </w:rPr>
            </w:pPr>
          </w:p>
        </w:tc>
      </w:tr>
      <w:tr>
        <w:trPr>
          <w:trHeight w:val="105"/>
        </w:trPr>
        <w:tc>
          <w:tcPr>
            <w:tcW w:w="1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980" w:type="dxa"/>
            <w:vAlign w:val="bottom"/>
            <w:gridSpan w:val="2"/>
          </w:tcPr>
          <w:p>
            <w:pPr>
              <w:spacing w:after="0" w:line="105" w:lineRule="exact"/>
              <w:rPr>
                <w:sz w:val="20"/>
                <w:szCs w:val="20"/>
                <w:color w:val="auto"/>
              </w:rPr>
            </w:pPr>
            <w:r>
              <w:rPr>
                <w:rFonts w:ascii="Times New Roman" w:cs="Times New Roman" w:eastAsia="Times New Roman" w:hAnsi="Times New Roman"/>
                <w:sz w:val="10"/>
                <w:szCs w:val="10"/>
                <w:color w:val="auto"/>
              </w:rPr>
              <w:t>($3,126 unfunded</w:t>
            </w:r>
          </w:p>
        </w:tc>
        <w:tc>
          <w:tcPr>
            <w:tcW w:w="96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r>
      <w:tr>
        <w:trPr>
          <w:trHeight w:val="118"/>
        </w:trPr>
        <w:tc>
          <w:tcPr>
            <w:tcW w:w="1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8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commitment)</w:t>
            </w:r>
          </w:p>
        </w:tc>
        <w:tc>
          <w:tcPr>
            <w:tcW w:w="9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10.50%/1.75%</w:t>
            </w:r>
          </w:p>
        </w:tc>
        <w:tc>
          <w:tcPr>
            <w:tcW w:w="4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3/28/2025</w:t>
            </w:r>
          </w:p>
        </w:tc>
        <w:tc>
          <w:tcPr>
            <w:tcW w:w="100" w:type="dxa"/>
            <w:vAlign w:val="bottom"/>
          </w:tcPr>
          <w:p>
            <w:pPr>
              <w:spacing w:after="0"/>
              <w:rPr>
                <w:sz w:val="10"/>
                <w:szCs w:val="10"/>
                <w:color w:val="auto"/>
              </w:rPr>
            </w:pP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w w:val="98"/>
              </w:rPr>
              <w:t>9/28/2031</w:t>
            </w:r>
          </w:p>
        </w:tc>
        <w:tc>
          <w:tcPr>
            <w:tcW w:w="42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— </w:t>
            </w: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0"/>
                <w:szCs w:val="10"/>
                <w:color w:val="auto"/>
              </w:rPr>
              <w:t>— </w:t>
            </w:r>
          </w:p>
        </w:tc>
        <w:tc>
          <w:tcPr>
            <w:tcW w:w="420" w:type="dxa"/>
            <w:vAlign w:val="bottom"/>
            <w:gridSpan w:val="2"/>
          </w:tcPr>
          <w:p>
            <w:pPr>
              <w:ind w:left="180"/>
              <w:spacing w:after="0"/>
              <w:rPr>
                <w:sz w:val="20"/>
                <w:szCs w:val="20"/>
                <w:color w:val="auto"/>
              </w:rPr>
            </w:pPr>
            <w:r>
              <w:rPr>
                <w:rFonts w:ascii="Times New Roman" w:cs="Times New Roman" w:eastAsia="Times New Roman" w:hAnsi="Times New Roman"/>
                <w:sz w:val="10"/>
                <w:szCs w:val="10"/>
                <w:color w:val="auto"/>
              </w:rPr>
              <w:t>— </w:t>
            </w: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91"/>
        </w:trPr>
        <w:tc>
          <w:tcPr>
            <w:tcW w:w="11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980" w:type="dxa"/>
            <w:vAlign w:val="bottom"/>
            <w:gridSpan w:val="2"/>
            <w:shd w:val="clear" w:color="auto" w:fill="CCEEFF"/>
          </w:tcPr>
          <w:p>
            <w:pPr>
              <w:spacing w:after="0" w:line="92" w:lineRule="exact"/>
              <w:rPr>
                <w:sz w:val="20"/>
                <w:szCs w:val="20"/>
                <w:color w:val="auto"/>
              </w:rPr>
            </w:pPr>
            <w:r>
              <w:rPr>
                <w:rFonts w:ascii="Times New Roman" w:cs="Times New Roman" w:eastAsia="Times New Roman" w:hAnsi="Times New Roman"/>
                <w:sz w:val="10"/>
                <w:szCs w:val="10"/>
                <w:color w:val="auto"/>
              </w:rPr>
              <w:t>Preferred Equity</w:t>
            </w:r>
          </w:p>
        </w:tc>
        <w:tc>
          <w:tcPr>
            <w:tcW w:w="9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8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r>
      <w:tr>
        <w:trPr>
          <w:trHeight w:val="118"/>
        </w:trPr>
        <w:tc>
          <w:tcPr>
            <w:tcW w:w="1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0"/>
                <w:szCs w:val="10"/>
                <w:color w:val="auto"/>
              </w:rPr>
              <w:t>(10,000 units)</w:t>
            </w:r>
          </w:p>
        </w:tc>
        <w:tc>
          <w:tcPr>
            <w:tcW w:w="9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0.9%</w:t>
            </w:r>
          </w:p>
        </w:tc>
        <w:tc>
          <w:tcPr>
            <w:tcW w:w="8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3/28/2025</w:t>
            </w:r>
          </w:p>
        </w:tc>
        <w:tc>
          <w:tcPr>
            <w:tcW w:w="10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1,000</w:t>
            </w:r>
          </w:p>
        </w:tc>
        <w:tc>
          <w:tcPr>
            <w:tcW w:w="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998</w:t>
            </w:r>
          </w:p>
        </w:tc>
        <w:tc>
          <w:tcPr>
            <w:tcW w:w="3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r>
      <w:tr>
        <w:trPr>
          <w:trHeight w:val="106"/>
        </w:trPr>
        <w:tc>
          <w:tcPr>
            <w:tcW w:w="1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Pr>
          <w:p>
            <w:pPr>
              <w:spacing w:after="0"/>
              <w:rPr>
                <w:sz w:val="9"/>
                <w:szCs w:val="9"/>
                <w:color w:val="auto"/>
              </w:rPr>
            </w:pPr>
          </w:p>
        </w:tc>
        <w:tc>
          <w:tcPr>
            <w:tcW w:w="60" w:type="dxa"/>
            <w:vAlign w:val="bottom"/>
          </w:tcPr>
          <w:p>
            <w:pPr>
              <w:spacing w:after="0"/>
              <w:rPr>
                <w:sz w:val="9"/>
                <w:szCs w:val="9"/>
                <w:color w:val="auto"/>
              </w:rPr>
            </w:pPr>
          </w:p>
        </w:tc>
        <w:tc>
          <w:tcPr>
            <w:tcW w:w="96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Borders>
              <w:top w:val="single" w:sz="8" w:color="auto"/>
            </w:tcBorders>
          </w:tcPr>
          <w:p>
            <w:pPr>
              <w:jc w:val="right"/>
              <w:spacing w:after="0" w:line="106" w:lineRule="exact"/>
              <w:rPr>
                <w:sz w:val="20"/>
                <w:szCs w:val="20"/>
                <w:color w:val="auto"/>
              </w:rPr>
            </w:pPr>
            <w:r>
              <w:rPr>
                <w:rFonts w:ascii="Times New Roman" w:cs="Times New Roman" w:eastAsia="Times New Roman" w:hAnsi="Times New Roman"/>
                <w:sz w:val="10"/>
                <w:szCs w:val="10"/>
                <w:color w:val="auto"/>
              </w:rPr>
              <w:t>9,486</w:t>
            </w:r>
          </w:p>
        </w:tc>
        <w:tc>
          <w:tcPr>
            <w:tcW w:w="140" w:type="dxa"/>
            <w:vAlign w:val="bottom"/>
          </w:tcPr>
          <w:p>
            <w:pPr>
              <w:spacing w:after="0"/>
              <w:rPr>
                <w:sz w:val="9"/>
                <w:szCs w:val="9"/>
                <w:color w:val="auto"/>
              </w:rPr>
            </w:pPr>
          </w:p>
        </w:tc>
        <w:tc>
          <w:tcPr>
            <w:tcW w:w="320" w:type="dxa"/>
            <w:vAlign w:val="bottom"/>
            <w:tcBorders>
              <w:top w:val="single" w:sz="8" w:color="auto"/>
            </w:tcBorders>
          </w:tcPr>
          <w:p>
            <w:pPr>
              <w:jc w:val="right"/>
              <w:spacing w:after="0" w:line="106" w:lineRule="exact"/>
              <w:rPr>
                <w:sz w:val="20"/>
                <w:szCs w:val="20"/>
                <w:color w:val="auto"/>
              </w:rPr>
            </w:pPr>
            <w:r>
              <w:rPr>
                <w:rFonts w:ascii="Times New Roman" w:cs="Times New Roman" w:eastAsia="Times New Roman" w:hAnsi="Times New Roman"/>
                <w:sz w:val="10"/>
                <w:szCs w:val="10"/>
                <w:color w:val="auto"/>
              </w:rPr>
              <w:t>9,541</w:t>
            </w:r>
          </w:p>
        </w:tc>
        <w:tc>
          <w:tcPr>
            <w:tcW w:w="100" w:type="dxa"/>
            <w:vAlign w:val="bottom"/>
          </w:tcPr>
          <w:p>
            <w:pPr>
              <w:spacing w:after="0"/>
              <w:rPr>
                <w:sz w:val="9"/>
                <w:szCs w:val="9"/>
                <w:color w:val="auto"/>
              </w:rPr>
            </w:pPr>
          </w:p>
        </w:tc>
        <w:tc>
          <w:tcPr>
            <w:tcW w:w="480" w:type="dxa"/>
            <w:vAlign w:val="bottom"/>
            <w:gridSpan w:val="2"/>
          </w:tcPr>
          <w:p>
            <w:pPr>
              <w:jc w:val="right"/>
              <w:ind w:right="40"/>
              <w:spacing w:after="0" w:line="106" w:lineRule="exact"/>
              <w:rPr>
                <w:sz w:val="20"/>
                <w:szCs w:val="20"/>
                <w:color w:val="auto"/>
              </w:rPr>
            </w:pPr>
            <w:r>
              <w:rPr>
                <w:rFonts w:ascii="Times New Roman" w:cs="Times New Roman" w:eastAsia="Times New Roman" w:hAnsi="Times New Roman"/>
                <w:sz w:val="10"/>
                <w:szCs w:val="10"/>
                <w:color w:val="auto"/>
              </w:rPr>
              <w:t>1%</w:t>
            </w:r>
          </w:p>
        </w:tc>
      </w:tr>
      <w:tr>
        <w:trPr>
          <w:trHeight w:val="105"/>
        </w:trPr>
        <w:tc>
          <w:tcPr>
            <w:tcW w:w="1300" w:type="dxa"/>
            <w:vAlign w:val="bottom"/>
            <w:gridSpan w:val="2"/>
            <w:shd w:val="clear" w:color="auto" w:fill="CCEEFF"/>
          </w:tcPr>
          <w:p>
            <w:pPr>
              <w:spacing w:after="0" w:line="105" w:lineRule="exact"/>
              <w:rPr>
                <w:sz w:val="20"/>
                <w:szCs w:val="20"/>
                <w:color w:val="auto"/>
              </w:rPr>
            </w:pPr>
            <w:r>
              <w:rPr>
                <w:rFonts w:ascii="Times New Roman" w:cs="Times New Roman" w:eastAsia="Times New Roman" w:hAnsi="Times New Roman"/>
                <w:sz w:val="10"/>
                <w:szCs w:val="10"/>
                <w:i w:val="1"/>
                <w:iCs w:val="1"/>
                <w:color w:val="auto"/>
              </w:rPr>
              <w:t>Pinnergy, Ltd.</w:t>
            </w:r>
          </w:p>
        </w:tc>
        <w:tc>
          <w:tcPr>
            <w:tcW w:w="9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20" w:type="dxa"/>
            <w:vAlign w:val="bottom"/>
            <w:gridSpan w:val="2"/>
            <w:shd w:val="clear" w:color="auto" w:fill="CCEEFF"/>
          </w:tcPr>
          <w:p>
            <w:pPr>
              <w:spacing w:after="0" w:line="105" w:lineRule="exact"/>
              <w:rPr>
                <w:sz w:val="20"/>
                <w:szCs w:val="20"/>
                <w:color w:val="auto"/>
              </w:rPr>
            </w:pPr>
            <w:r>
              <w:rPr>
                <w:rFonts w:ascii="Times New Roman" w:cs="Times New Roman" w:eastAsia="Times New Roman" w:hAnsi="Times New Roman"/>
                <w:sz w:val="10"/>
                <w:szCs w:val="10"/>
                <w:color w:val="auto"/>
              </w:rPr>
              <w:t>Oil &amp; Gas Services</w:t>
            </w:r>
          </w:p>
        </w:tc>
        <w:tc>
          <w:tcPr>
            <w:tcW w:w="5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r>
      <w:tr>
        <w:trPr>
          <w:trHeight w:val="91"/>
        </w:trPr>
        <w:tc>
          <w:tcPr>
            <w:tcW w:w="1300" w:type="dxa"/>
            <w:vAlign w:val="bottom"/>
            <w:gridSpan w:val="2"/>
          </w:tcPr>
          <w:p>
            <w:pPr>
              <w:ind w:left="100"/>
              <w:spacing w:after="0" w:line="92" w:lineRule="exact"/>
              <w:rPr>
                <w:sz w:val="20"/>
                <w:szCs w:val="20"/>
                <w:color w:val="auto"/>
              </w:rPr>
            </w:pPr>
            <w:r>
              <w:rPr>
                <w:rFonts w:ascii="Times New Roman" w:cs="Times New Roman" w:eastAsia="Times New Roman" w:hAnsi="Times New Roman"/>
                <w:sz w:val="10"/>
                <w:szCs w:val="10"/>
                <w:color w:val="auto"/>
              </w:rPr>
              <w:t>2801 Via Fortuna, Suite 440</w:t>
            </w:r>
          </w:p>
        </w:tc>
        <w:tc>
          <w:tcPr>
            <w:tcW w:w="920" w:type="dxa"/>
            <w:vAlign w:val="bottom"/>
          </w:tcPr>
          <w:p>
            <w:pPr>
              <w:spacing w:after="0"/>
              <w:rPr>
                <w:sz w:val="7"/>
                <w:szCs w:val="7"/>
                <w:color w:val="auto"/>
              </w:rPr>
            </w:pPr>
          </w:p>
        </w:tc>
        <w:tc>
          <w:tcPr>
            <w:tcW w:w="60" w:type="dxa"/>
            <w:vAlign w:val="bottom"/>
          </w:tcPr>
          <w:p>
            <w:pPr>
              <w:spacing w:after="0"/>
              <w:rPr>
                <w:sz w:val="7"/>
                <w:szCs w:val="7"/>
                <w:color w:val="auto"/>
              </w:rPr>
            </w:pPr>
          </w:p>
        </w:tc>
        <w:tc>
          <w:tcPr>
            <w:tcW w:w="960" w:type="dxa"/>
            <w:vAlign w:val="bottom"/>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0" w:type="dxa"/>
            <w:vAlign w:val="bottom"/>
          </w:tcPr>
          <w:p>
            <w:pPr>
              <w:spacing w:after="0"/>
              <w:rPr>
                <w:sz w:val="7"/>
                <w:szCs w:val="7"/>
                <w:color w:val="auto"/>
              </w:rPr>
            </w:pPr>
          </w:p>
        </w:tc>
        <w:tc>
          <w:tcPr>
            <w:tcW w:w="360" w:type="dxa"/>
            <w:vAlign w:val="bottom"/>
          </w:tcPr>
          <w:p>
            <w:pPr>
              <w:spacing w:after="0"/>
              <w:rPr>
                <w:sz w:val="7"/>
                <w:szCs w:val="7"/>
                <w:color w:val="auto"/>
              </w:rPr>
            </w:pPr>
          </w:p>
        </w:tc>
        <w:tc>
          <w:tcPr>
            <w:tcW w:w="120" w:type="dxa"/>
            <w:vAlign w:val="bottom"/>
          </w:tcPr>
          <w:p>
            <w:pPr>
              <w:spacing w:after="0"/>
              <w:rPr>
                <w:sz w:val="7"/>
                <w:szCs w:val="7"/>
                <w:color w:val="auto"/>
              </w:rPr>
            </w:pPr>
          </w:p>
        </w:tc>
      </w:tr>
      <w:tr>
        <w:trPr>
          <w:trHeight w:val="125"/>
        </w:trPr>
        <w:tc>
          <w:tcPr>
            <w:tcW w:w="1300" w:type="dxa"/>
            <w:vAlign w:val="bottom"/>
            <w:gridSpan w:val="2"/>
          </w:tcPr>
          <w:p>
            <w:pPr>
              <w:ind w:left="100"/>
              <w:spacing w:after="0"/>
              <w:rPr>
                <w:sz w:val="20"/>
                <w:szCs w:val="20"/>
                <w:color w:val="auto"/>
              </w:rPr>
            </w:pPr>
            <w:r>
              <w:rPr>
                <w:rFonts w:ascii="Times New Roman" w:cs="Times New Roman" w:eastAsia="Times New Roman" w:hAnsi="Times New Roman"/>
                <w:sz w:val="10"/>
                <w:szCs w:val="10"/>
                <w:color w:val="auto"/>
              </w:rPr>
              <w:t>Austin, TX 78746</w:t>
            </w:r>
          </w:p>
        </w:tc>
        <w:tc>
          <w:tcPr>
            <w:tcW w:w="98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Subordinated Debt</w:t>
            </w:r>
          </w:p>
        </w:tc>
        <w:tc>
          <w:tcPr>
            <w:tcW w:w="9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10.00%/0.00%</w:t>
            </w:r>
          </w:p>
        </w:tc>
        <w:tc>
          <w:tcPr>
            <w:tcW w:w="4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6/30/2022</w:t>
            </w:r>
          </w:p>
        </w:tc>
        <w:tc>
          <w:tcPr>
            <w:tcW w:w="100" w:type="dxa"/>
            <w:vAlign w:val="bottom"/>
          </w:tcPr>
          <w:p>
            <w:pPr>
              <w:spacing w:after="0"/>
              <w:rPr>
                <w:sz w:val="10"/>
                <w:szCs w:val="10"/>
                <w:color w:val="auto"/>
              </w:rPr>
            </w:pP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w w:val="98"/>
              </w:rPr>
              <w:t>6/30/2027</w:t>
            </w:r>
          </w:p>
        </w:tc>
        <w:tc>
          <w:tcPr>
            <w:tcW w:w="42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10,050</w:t>
            </w: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10,031</w:t>
            </w: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10,050</w:t>
            </w: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0"/>
                <w:szCs w:val="10"/>
                <w:color w:val="auto"/>
              </w:rPr>
              <w:t>1%</w:t>
            </w:r>
          </w:p>
        </w:tc>
      </w:tr>
      <w:tr>
        <w:trPr>
          <w:trHeight w:val="77"/>
        </w:trPr>
        <w:tc>
          <w:tcPr>
            <w:tcW w:w="1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920" w:type="dxa"/>
            <w:vAlign w:val="bottom"/>
          </w:tcPr>
          <w:p>
            <w:pPr>
              <w:spacing w:after="0"/>
              <w:rPr>
                <w:sz w:val="6"/>
                <w:szCs w:val="6"/>
                <w:color w:val="auto"/>
              </w:rPr>
            </w:pPr>
          </w:p>
        </w:tc>
        <w:tc>
          <w:tcPr>
            <w:tcW w:w="60" w:type="dxa"/>
            <w:vAlign w:val="bottom"/>
          </w:tcPr>
          <w:p>
            <w:pPr>
              <w:spacing w:after="0"/>
              <w:rPr>
                <w:sz w:val="6"/>
                <w:szCs w:val="6"/>
                <w:color w:val="auto"/>
              </w:rPr>
            </w:pPr>
          </w:p>
        </w:tc>
        <w:tc>
          <w:tcPr>
            <w:tcW w:w="960" w:type="dxa"/>
            <w:vAlign w:val="bottom"/>
          </w:tcPr>
          <w:p>
            <w:pPr>
              <w:spacing w:after="0"/>
              <w:rPr>
                <w:sz w:val="6"/>
                <w:szCs w:val="6"/>
                <w:color w:val="auto"/>
              </w:rPr>
            </w:pPr>
          </w:p>
        </w:tc>
        <w:tc>
          <w:tcPr>
            <w:tcW w:w="60" w:type="dxa"/>
            <w:vAlign w:val="bottom"/>
          </w:tcPr>
          <w:p>
            <w:pPr>
              <w:spacing w:after="0"/>
              <w:rPr>
                <w:sz w:val="6"/>
                <w:szCs w:val="6"/>
                <w:color w:val="auto"/>
              </w:rPr>
            </w:pPr>
          </w:p>
        </w:tc>
        <w:tc>
          <w:tcPr>
            <w:tcW w:w="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100" w:type="dxa"/>
            <w:vAlign w:val="bottom"/>
          </w:tcPr>
          <w:p>
            <w:pPr>
              <w:spacing w:after="0"/>
              <w:rPr>
                <w:sz w:val="6"/>
                <w:szCs w:val="6"/>
                <w:color w:val="auto"/>
              </w:rPr>
            </w:pPr>
          </w:p>
        </w:tc>
        <w:tc>
          <w:tcPr>
            <w:tcW w:w="480" w:type="dxa"/>
            <w:vAlign w:val="bottom"/>
          </w:tcPr>
          <w:p>
            <w:pPr>
              <w:spacing w:after="0"/>
              <w:rPr>
                <w:sz w:val="6"/>
                <w:szCs w:val="6"/>
                <w:color w:val="auto"/>
              </w:rPr>
            </w:pPr>
          </w:p>
        </w:tc>
        <w:tc>
          <w:tcPr>
            <w:tcW w:w="100" w:type="dxa"/>
            <w:vAlign w:val="bottom"/>
          </w:tcPr>
          <w:p>
            <w:pPr>
              <w:spacing w:after="0"/>
              <w:rPr>
                <w:sz w:val="6"/>
                <w:szCs w:val="6"/>
                <w:color w:val="auto"/>
              </w:rPr>
            </w:pPr>
          </w:p>
        </w:tc>
        <w:tc>
          <w:tcPr>
            <w:tcW w:w="4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4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60" w:type="dxa"/>
            <w:vAlign w:val="bottom"/>
          </w:tcPr>
          <w:p>
            <w:pPr>
              <w:spacing w:after="0"/>
              <w:rPr>
                <w:sz w:val="6"/>
                <w:szCs w:val="6"/>
                <w:color w:val="auto"/>
              </w:rPr>
            </w:pPr>
          </w:p>
        </w:tc>
        <w:tc>
          <w:tcPr>
            <w:tcW w:w="120" w:type="dxa"/>
            <w:vAlign w:val="bottom"/>
          </w:tcPr>
          <w:p>
            <w:pPr>
              <w:spacing w:after="0"/>
              <w:rPr>
                <w:sz w:val="6"/>
                <w:szCs w:val="6"/>
                <w:color w:val="auto"/>
              </w:rPr>
            </w:pPr>
          </w:p>
        </w:tc>
      </w:tr>
      <w:tr>
        <w:trPr>
          <w:trHeight w:val="89"/>
        </w:trPr>
        <w:tc>
          <w:tcPr>
            <w:tcW w:w="1300" w:type="dxa"/>
            <w:vAlign w:val="bottom"/>
            <w:gridSpan w:val="2"/>
            <w:shd w:val="clear" w:color="auto" w:fill="CCEEFF"/>
          </w:tcPr>
          <w:p>
            <w:pPr>
              <w:spacing w:after="0" w:line="90" w:lineRule="exact"/>
              <w:rPr>
                <w:sz w:val="20"/>
                <w:szCs w:val="20"/>
                <w:color w:val="auto"/>
              </w:rPr>
            </w:pPr>
            <w:r>
              <w:rPr>
                <w:rFonts w:ascii="Times New Roman" w:cs="Times New Roman" w:eastAsia="Times New Roman" w:hAnsi="Times New Roman"/>
                <w:sz w:val="10"/>
                <w:szCs w:val="10"/>
                <w:i w:val="1"/>
                <w:iCs w:val="1"/>
                <w:color w:val="auto"/>
              </w:rPr>
              <w:t>PowerGrid Services</w:t>
            </w:r>
          </w:p>
        </w:tc>
        <w:tc>
          <w:tcPr>
            <w:tcW w:w="9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9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8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r>
      <w:tr>
        <w:trPr>
          <w:trHeight w:val="120"/>
        </w:trPr>
        <w:tc>
          <w:tcPr>
            <w:tcW w:w="1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0"/>
                <w:szCs w:val="10"/>
                <w:i w:val="1"/>
                <w:iCs w:val="1"/>
                <w:color w:val="auto"/>
              </w:rPr>
              <w:t>Acquisition, LLC</w:t>
            </w:r>
          </w:p>
        </w:tc>
        <w:tc>
          <w:tcPr>
            <w:tcW w:w="9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0"/>
                <w:szCs w:val="10"/>
                <w:color w:val="auto"/>
              </w:rPr>
              <w:t>Utilities: Services</w:t>
            </w:r>
          </w:p>
        </w:tc>
        <w:tc>
          <w:tcPr>
            <w:tcW w:w="5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r>
      <w:tr>
        <w:trPr>
          <w:trHeight w:val="91"/>
        </w:trPr>
        <w:tc>
          <w:tcPr>
            <w:tcW w:w="1300" w:type="dxa"/>
            <w:vAlign w:val="bottom"/>
            <w:gridSpan w:val="2"/>
          </w:tcPr>
          <w:p>
            <w:pPr>
              <w:ind w:left="100"/>
              <w:spacing w:after="0" w:line="92" w:lineRule="exact"/>
              <w:rPr>
                <w:sz w:val="20"/>
                <w:szCs w:val="20"/>
                <w:color w:val="auto"/>
              </w:rPr>
            </w:pPr>
            <w:r>
              <w:rPr>
                <w:rFonts w:ascii="Times New Roman" w:cs="Times New Roman" w:eastAsia="Times New Roman" w:hAnsi="Times New Roman"/>
                <w:sz w:val="10"/>
                <w:szCs w:val="10"/>
                <w:color w:val="auto"/>
              </w:rPr>
              <w:t>2350 US Highway 31 NW</w:t>
            </w:r>
          </w:p>
        </w:tc>
        <w:tc>
          <w:tcPr>
            <w:tcW w:w="980" w:type="dxa"/>
            <w:vAlign w:val="bottom"/>
            <w:gridSpan w:val="2"/>
          </w:tcPr>
          <w:p>
            <w:pPr>
              <w:spacing w:after="0" w:line="92" w:lineRule="exact"/>
              <w:rPr>
                <w:sz w:val="20"/>
                <w:szCs w:val="20"/>
                <w:color w:val="auto"/>
              </w:rPr>
            </w:pPr>
            <w:r>
              <w:rPr>
                <w:rFonts w:ascii="Times New Roman" w:cs="Times New Roman" w:eastAsia="Times New Roman" w:hAnsi="Times New Roman"/>
                <w:sz w:val="10"/>
                <w:szCs w:val="10"/>
                <w:color w:val="auto"/>
              </w:rPr>
              <w:t>Common Equity</w:t>
            </w:r>
          </w:p>
        </w:tc>
        <w:tc>
          <w:tcPr>
            <w:tcW w:w="960" w:type="dxa"/>
            <w:vAlign w:val="bottom"/>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0" w:type="dxa"/>
            <w:vAlign w:val="bottom"/>
          </w:tcPr>
          <w:p>
            <w:pPr>
              <w:spacing w:after="0"/>
              <w:rPr>
                <w:sz w:val="7"/>
                <w:szCs w:val="7"/>
                <w:color w:val="auto"/>
              </w:rPr>
            </w:pPr>
          </w:p>
        </w:tc>
        <w:tc>
          <w:tcPr>
            <w:tcW w:w="360" w:type="dxa"/>
            <w:vAlign w:val="bottom"/>
          </w:tcPr>
          <w:p>
            <w:pPr>
              <w:spacing w:after="0"/>
              <w:rPr>
                <w:sz w:val="7"/>
                <w:szCs w:val="7"/>
                <w:color w:val="auto"/>
              </w:rPr>
            </w:pPr>
          </w:p>
        </w:tc>
        <w:tc>
          <w:tcPr>
            <w:tcW w:w="120" w:type="dxa"/>
            <w:vAlign w:val="bottom"/>
          </w:tcPr>
          <w:p>
            <w:pPr>
              <w:spacing w:after="0"/>
              <w:rPr>
                <w:sz w:val="7"/>
                <w:szCs w:val="7"/>
                <w:color w:val="auto"/>
              </w:rPr>
            </w:pPr>
          </w:p>
        </w:tc>
      </w:tr>
      <w:tr>
        <w:trPr>
          <w:trHeight w:val="118"/>
        </w:trPr>
        <w:tc>
          <w:tcPr>
            <w:tcW w:w="1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8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(4,490 units) (h)</w:t>
            </w:r>
          </w:p>
        </w:tc>
        <w:tc>
          <w:tcPr>
            <w:tcW w:w="9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0.1%</w:t>
            </w:r>
          </w:p>
        </w:tc>
        <w:tc>
          <w:tcPr>
            <w:tcW w:w="8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9/21/2021</w:t>
            </w: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53</w:t>
            </w:r>
          </w:p>
        </w:tc>
        <w:tc>
          <w:tcPr>
            <w:tcW w:w="420" w:type="dxa"/>
            <w:vAlign w:val="bottom"/>
            <w:gridSpan w:val="2"/>
          </w:tcPr>
          <w:p>
            <w:pPr>
              <w:ind w:left="180"/>
              <w:spacing w:after="0"/>
              <w:rPr>
                <w:sz w:val="20"/>
                <w:szCs w:val="20"/>
                <w:color w:val="auto"/>
              </w:rPr>
            </w:pPr>
            <w:r>
              <w:rPr>
                <w:rFonts w:ascii="Times New Roman" w:cs="Times New Roman" w:eastAsia="Times New Roman" w:hAnsi="Times New Roman"/>
                <w:sz w:val="10"/>
                <w:szCs w:val="10"/>
                <w:color w:val="auto"/>
              </w:rPr>
              <w:t>— </w:t>
            </w: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91"/>
        </w:trPr>
        <w:tc>
          <w:tcPr>
            <w:tcW w:w="1300" w:type="dxa"/>
            <w:vAlign w:val="bottom"/>
            <w:gridSpan w:val="2"/>
            <w:shd w:val="clear" w:color="auto" w:fill="CCEEFF"/>
          </w:tcPr>
          <w:p>
            <w:pPr>
              <w:ind w:left="100"/>
              <w:spacing w:after="0" w:line="92" w:lineRule="exact"/>
              <w:rPr>
                <w:sz w:val="20"/>
                <w:szCs w:val="20"/>
                <w:color w:val="auto"/>
              </w:rPr>
            </w:pPr>
            <w:r>
              <w:rPr>
                <w:rFonts w:ascii="Times New Roman" w:cs="Times New Roman" w:eastAsia="Times New Roman" w:hAnsi="Times New Roman"/>
                <w:sz w:val="10"/>
                <w:szCs w:val="10"/>
                <w:color w:val="auto"/>
              </w:rPr>
              <w:t>Hartselle, AL 35640</w:t>
            </w:r>
          </w:p>
        </w:tc>
        <w:tc>
          <w:tcPr>
            <w:tcW w:w="980" w:type="dxa"/>
            <w:vAlign w:val="bottom"/>
            <w:gridSpan w:val="2"/>
            <w:shd w:val="clear" w:color="auto" w:fill="CCEEFF"/>
          </w:tcPr>
          <w:p>
            <w:pPr>
              <w:spacing w:after="0" w:line="92" w:lineRule="exact"/>
              <w:rPr>
                <w:sz w:val="20"/>
                <w:szCs w:val="20"/>
                <w:color w:val="auto"/>
              </w:rPr>
            </w:pPr>
            <w:r>
              <w:rPr>
                <w:rFonts w:ascii="Times New Roman" w:cs="Times New Roman" w:eastAsia="Times New Roman" w:hAnsi="Times New Roman"/>
                <w:sz w:val="10"/>
                <w:szCs w:val="10"/>
                <w:color w:val="auto"/>
              </w:rPr>
              <w:t>Common Equity (118</w:t>
            </w:r>
          </w:p>
        </w:tc>
        <w:tc>
          <w:tcPr>
            <w:tcW w:w="9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8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r>
      <w:tr>
        <w:trPr>
          <w:trHeight w:val="118"/>
        </w:trPr>
        <w:tc>
          <w:tcPr>
            <w:tcW w:w="1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0"/>
                <w:szCs w:val="10"/>
                <w:color w:val="auto"/>
              </w:rPr>
              <w:t>units) (h)</w:t>
            </w:r>
          </w:p>
        </w:tc>
        <w:tc>
          <w:tcPr>
            <w:tcW w:w="9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0.0%</w:t>
            </w:r>
          </w:p>
        </w:tc>
        <w:tc>
          <w:tcPr>
            <w:tcW w:w="8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7/2/2025</w:t>
            </w:r>
          </w:p>
        </w:tc>
        <w:tc>
          <w:tcPr>
            <w:tcW w:w="4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118</w:t>
            </w:r>
          </w:p>
        </w:tc>
        <w:tc>
          <w:tcPr>
            <w:tcW w:w="4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0"/>
                <w:szCs w:val="10"/>
                <w:color w:val="auto"/>
              </w:rPr>
              <w:t>— </w:t>
            </w:r>
          </w:p>
        </w:tc>
        <w:tc>
          <w:tcPr>
            <w:tcW w:w="3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r>
      <w:tr>
        <w:trPr>
          <w:trHeight w:val="91"/>
        </w:trPr>
        <w:tc>
          <w:tcPr>
            <w:tcW w:w="1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980" w:type="dxa"/>
            <w:vAlign w:val="bottom"/>
            <w:gridSpan w:val="2"/>
          </w:tcPr>
          <w:p>
            <w:pPr>
              <w:spacing w:after="0" w:line="92" w:lineRule="exact"/>
              <w:rPr>
                <w:sz w:val="20"/>
                <w:szCs w:val="20"/>
                <w:color w:val="auto"/>
              </w:rPr>
            </w:pPr>
            <w:r>
              <w:rPr>
                <w:rFonts w:ascii="Times New Roman" w:cs="Times New Roman" w:eastAsia="Times New Roman" w:hAnsi="Times New Roman"/>
                <w:sz w:val="10"/>
                <w:szCs w:val="10"/>
                <w:color w:val="auto"/>
              </w:rPr>
              <w:t>Common Equity (133</w:t>
            </w:r>
          </w:p>
        </w:tc>
        <w:tc>
          <w:tcPr>
            <w:tcW w:w="960" w:type="dxa"/>
            <w:vAlign w:val="bottom"/>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0" w:type="dxa"/>
            <w:vAlign w:val="bottom"/>
          </w:tcPr>
          <w:p>
            <w:pPr>
              <w:spacing w:after="0"/>
              <w:rPr>
                <w:sz w:val="7"/>
                <w:szCs w:val="7"/>
                <w:color w:val="auto"/>
              </w:rPr>
            </w:pPr>
          </w:p>
        </w:tc>
        <w:tc>
          <w:tcPr>
            <w:tcW w:w="360" w:type="dxa"/>
            <w:vAlign w:val="bottom"/>
          </w:tcPr>
          <w:p>
            <w:pPr>
              <w:spacing w:after="0"/>
              <w:rPr>
                <w:sz w:val="7"/>
                <w:szCs w:val="7"/>
                <w:color w:val="auto"/>
              </w:rPr>
            </w:pPr>
          </w:p>
        </w:tc>
        <w:tc>
          <w:tcPr>
            <w:tcW w:w="120" w:type="dxa"/>
            <w:vAlign w:val="bottom"/>
          </w:tcPr>
          <w:p>
            <w:pPr>
              <w:spacing w:after="0"/>
              <w:rPr>
                <w:sz w:val="7"/>
                <w:szCs w:val="7"/>
                <w:color w:val="auto"/>
              </w:rPr>
            </w:pPr>
          </w:p>
        </w:tc>
      </w:tr>
      <w:tr>
        <w:trPr>
          <w:trHeight w:val="118"/>
        </w:trPr>
        <w:tc>
          <w:tcPr>
            <w:tcW w:w="1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8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units) (h)</w:t>
            </w:r>
          </w:p>
        </w:tc>
        <w:tc>
          <w:tcPr>
            <w:tcW w:w="9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0.0%</w:t>
            </w:r>
          </w:p>
        </w:tc>
        <w:tc>
          <w:tcPr>
            <w:tcW w:w="8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7/2/2025</w:t>
            </w: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133</w:t>
            </w:r>
          </w:p>
        </w:tc>
        <w:tc>
          <w:tcPr>
            <w:tcW w:w="420" w:type="dxa"/>
            <w:vAlign w:val="bottom"/>
            <w:gridSpan w:val="2"/>
          </w:tcPr>
          <w:p>
            <w:pPr>
              <w:ind w:left="180"/>
              <w:spacing w:after="0"/>
              <w:rPr>
                <w:sz w:val="20"/>
                <w:szCs w:val="20"/>
                <w:color w:val="auto"/>
              </w:rPr>
            </w:pPr>
            <w:r>
              <w:rPr>
                <w:rFonts w:ascii="Times New Roman" w:cs="Times New Roman" w:eastAsia="Times New Roman" w:hAnsi="Times New Roman"/>
                <w:sz w:val="10"/>
                <w:szCs w:val="10"/>
                <w:color w:val="auto"/>
              </w:rPr>
              <w:t>— </w:t>
            </w: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21"/>
        </w:trPr>
        <w:tc>
          <w:tcPr>
            <w:tcW w:w="1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05"/>
        </w:trPr>
        <w:tc>
          <w:tcPr>
            <w:tcW w:w="11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40" w:type="dxa"/>
            <w:vAlign w:val="bottom"/>
            <w:gridSpan w:val="2"/>
            <w:shd w:val="clear" w:color="auto" w:fill="CCEEFF"/>
          </w:tcPr>
          <w:p>
            <w:pPr>
              <w:jc w:val="right"/>
              <w:ind w:right="140"/>
              <w:spacing w:after="0" w:line="105" w:lineRule="exact"/>
              <w:rPr>
                <w:sz w:val="20"/>
                <w:szCs w:val="20"/>
                <w:color w:val="auto"/>
              </w:rPr>
            </w:pPr>
            <w:r>
              <w:rPr>
                <w:rFonts w:ascii="Times New Roman" w:cs="Times New Roman" w:eastAsia="Times New Roman" w:hAnsi="Times New Roman"/>
                <w:sz w:val="10"/>
                <w:szCs w:val="10"/>
                <w:color w:val="auto"/>
              </w:rPr>
              <w:t>304</w:t>
            </w:r>
          </w:p>
        </w:tc>
        <w:tc>
          <w:tcPr>
            <w:tcW w:w="420" w:type="dxa"/>
            <w:vAlign w:val="bottom"/>
            <w:gridSpan w:val="2"/>
            <w:shd w:val="clear" w:color="auto" w:fill="CCEEFF"/>
          </w:tcPr>
          <w:p>
            <w:pPr>
              <w:ind w:left="180"/>
              <w:spacing w:after="0" w:line="105" w:lineRule="exact"/>
              <w:rPr>
                <w:sz w:val="20"/>
                <w:szCs w:val="20"/>
                <w:color w:val="auto"/>
              </w:rPr>
            </w:pPr>
            <w:r>
              <w:rPr>
                <w:rFonts w:ascii="Times New Roman" w:cs="Times New Roman" w:eastAsia="Times New Roman" w:hAnsi="Times New Roman"/>
                <w:sz w:val="10"/>
                <w:szCs w:val="10"/>
                <w:color w:val="auto"/>
              </w:rPr>
              <w:t>— </w:t>
            </w:r>
          </w:p>
        </w:tc>
        <w:tc>
          <w:tcPr>
            <w:tcW w:w="480" w:type="dxa"/>
            <w:vAlign w:val="bottom"/>
            <w:gridSpan w:val="2"/>
            <w:shd w:val="clear" w:color="auto" w:fill="CCEEFF"/>
          </w:tcPr>
          <w:p>
            <w:pPr>
              <w:jc w:val="right"/>
              <w:ind w:right="40"/>
              <w:spacing w:after="0" w:line="105" w:lineRule="exact"/>
              <w:rPr>
                <w:sz w:val="20"/>
                <w:szCs w:val="20"/>
                <w:color w:val="auto"/>
              </w:rPr>
            </w:pPr>
            <w:r>
              <w:rPr>
                <w:rFonts w:ascii="Times New Roman" w:cs="Times New Roman" w:eastAsia="Times New Roman" w:hAnsi="Times New Roman"/>
                <w:sz w:val="10"/>
                <w:szCs w:val="10"/>
                <w:color w:val="auto"/>
              </w:rPr>
              <w:t>0%</w:t>
            </w:r>
          </w:p>
        </w:tc>
      </w:tr>
      <w:tr>
        <w:trPr>
          <w:trHeight w:val="105"/>
        </w:trPr>
        <w:tc>
          <w:tcPr>
            <w:tcW w:w="1300" w:type="dxa"/>
            <w:vAlign w:val="bottom"/>
            <w:gridSpan w:val="2"/>
          </w:tcPr>
          <w:p>
            <w:pPr>
              <w:spacing w:after="0" w:line="105" w:lineRule="exact"/>
              <w:rPr>
                <w:sz w:val="20"/>
                <w:szCs w:val="20"/>
                <w:color w:val="auto"/>
              </w:rPr>
            </w:pPr>
            <w:r>
              <w:rPr>
                <w:rFonts w:ascii="Times New Roman" w:cs="Times New Roman" w:eastAsia="Times New Roman" w:hAnsi="Times New Roman"/>
                <w:sz w:val="10"/>
                <w:szCs w:val="10"/>
                <w:i w:val="1"/>
                <w:iCs w:val="1"/>
                <w:color w:val="auto"/>
              </w:rPr>
              <w:t>Prime AE Group, Inc.</w:t>
            </w:r>
          </w:p>
        </w:tc>
        <w:tc>
          <w:tcPr>
            <w:tcW w:w="9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20" w:type="dxa"/>
            <w:vAlign w:val="bottom"/>
            <w:gridSpan w:val="2"/>
          </w:tcPr>
          <w:p>
            <w:pPr>
              <w:spacing w:after="0" w:line="105" w:lineRule="exact"/>
              <w:rPr>
                <w:sz w:val="20"/>
                <w:szCs w:val="20"/>
                <w:color w:val="auto"/>
              </w:rPr>
            </w:pPr>
            <w:r>
              <w:rPr>
                <w:rFonts w:ascii="Times New Roman" w:cs="Times New Roman" w:eastAsia="Times New Roman" w:hAnsi="Times New Roman"/>
                <w:sz w:val="10"/>
                <w:szCs w:val="10"/>
                <w:color w:val="auto"/>
              </w:rPr>
              <w:t>Business Services</w:t>
            </w: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r>
      <w:tr>
        <w:trPr>
          <w:trHeight w:val="91"/>
        </w:trPr>
        <w:tc>
          <w:tcPr>
            <w:tcW w:w="1300" w:type="dxa"/>
            <w:vAlign w:val="bottom"/>
            <w:gridSpan w:val="2"/>
            <w:shd w:val="clear" w:color="auto" w:fill="CCEEFF"/>
          </w:tcPr>
          <w:p>
            <w:pPr>
              <w:ind w:left="100"/>
              <w:spacing w:after="0" w:line="92" w:lineRule="exact"/>
              <w:rPr>
                <w:sz w:val="20"/>
                <w:szCs w:val="20"/>
                <w:color w:val="auto"/>
              </w:rPr>
            </w:pPr>
            <w:r>
              <w:rPr>
                <w:rFonts w:ascii="Times New Roman" w:cs="Times New Roman" w:eastAsia="Times New Roman" w:hAnsi="Times New Roman"/>
                <w:sz w:val="10"/>
                <w:szCs w:val="10"/>
                <w:color w:val="auto"/>
              </w:rPr>
              <w:t>5521 Research Park Drive,</w:t>
            </w:r>
          </w:p>
        </w:tc>
        <w:tc>
          <w:tcPr>
            <w:tcW w:w="9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9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8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r>
      <w:tr>
        <w:trPr>
          <w:trHeight w:val="105"/>
        </w:trPr>
        <w:tc>
          <w:tcPr>
            <w:tcW w:w="1300" w:type="dxa"/>
            <w:vAlign w:val="bottom"/>
            <w:gridSpan w:val="2"/>
            <w:shd w:val="clear" w:color="auto" w:fill="CCEEFF"/>
          </w:tcPr>
          <w:p>
            <w:pPr>
              <w:ind w:left="100"/>
              <w:spacing w:after="0" w:line="105" w:lineRule="exact"/>
              <w:rPr>
                <w:sz w:val="20"/>
                <w:szCs w:val="20"/>
                <w:color w:val="auto"/>
              </w:rPr>
            </w:pPr>
            <w:r>
              <w:rPr>
                <w:rFonts w:ascii="Times New Roman" w:cs="Times New Roman" w:eastAsia="Times New Roman" w:hAnsi="Times New Roman"/>
                <w:sz w:val="10"/>
                <w:szCs w:val="10"/>
                <w:color w:val="auto"/>
              </w:rPr>
              <w:t>Suite 300 Baltimore, MD</w:t>
            </w:r>
          </w:p>
        </w:tc>
        <w:tc>
          <w:tcPr>
            <w:tcW w:w="980" w:type="dxa"/>
            <w:vAlign w:val="bottom"/>
            <w:gridSpan w:val="2"/>
            <w:shd w:val="clear" w:color="auto" w:fill="CCEEFF"/>
          </w:tcPr>
          <w:p>
            <w:pPr>
              <w:spacing w:after="0" w:line="105" w:lineRule="exact"/>
              <w:rPr>
                <w:sz w:val="20"/>
                <w:szCs w:val="20"/>
                <w:color w:val="auto"/>
              </w:rPr>
            </w:pPr>
            <w:r>
              <w:rPr>
                <w:rFonts w:ascii="Times New Roman" w:cs="Times New Roman" w:eastAsia="Times New Roman" w:hAnsi="Times New Roman"/>
                <w:sz w:val="10"/>
                <w:szCs w:val="10"/>
                <w:color w:val="auto"/>
              </w:rPr>
              <w:t>Preferred Equity</w:t>
            </w:r>
          </w:p>
        </w:tc>
        <w:tc>
          <w:tcPr>
            <w:tcW w:w="9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r>
      <w:tr>
        <w:trPr>
          <w:trHeight w:val="118"/>
        </w:trPr>
        <w:tc>
          <w:tcPr>
            <w:tcW w:w="11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0"/>
                <w:szCs w:val="10"/>
                <w:color w:val="auto"/>
              </w:rPr>
              <w:t>21228</w:t>
            </w:r>
          </w:p>
        </w:tc>
        <w:tc>
          <w:tcPr>
            <w:tcW w:w="200" w:type="dxa"/>
            <w:vAlign w:val="bottom"/>
            <w:shd w:val="clear" w:color="auto" w:fill="CCEEFF"/>
          </w:tcPr>
          <w:p>
            <w:pPr>
              <w:spacing w:after="0"/>
              <w:rPr>
                <w:sz w:val="10"/>
                <w:szCs w:val="10"/>
                <w:color w:val="auto"/>
              </w:rPr>
            </w:pPr>
          </w:p>
        </w:tc>
        <w:tc>
          <w:tcPr>
            <w:tcW w:w="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0"/>
                <w:szCs w:val="10"/>
                <w:color w:val="auto"/>
              </w:rPr>
              <w:t>(900,000 shares)</w:t>
            </w:r>
          </w:p>
        </w:tc>
        <w:tc>
          <w:tcPr>
            <w:tcW w:w="9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1.0%</w:t>
            </w:r>
          </w:p>
        </w:tc>
        <w:tc>
          <w:tcPr>
            <w:tcW w:w="8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11/25/2019</w:t>
            </w:r>
          </w:p>
        </w:tc>
        <w:tc>
          <w:tcPr>
            <w:tcW w:w="4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900</w:t>
            </w:r>
          </w:p>
        </w:tc>
        <w:tc>
          <w:tcPr>
            <w:tcW w:w="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519</w:t>
            </w:r>
          </w:p>
        </w:tc>
        <w:tc>
          <w:tcPr>
            <w:tcW w:w="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rPr>
              <w:t>0%</w:t>
            </w:r>
          </w:p>
        </w:tc>
      </w:tr>
      <w:tr>
        <w:trPr>
          <w:trHeight w:val="188"/>
        </w:trPr>
        <w:tc>
          <w:tcPr>
            <w:tcW w:w="1300" w:type="dxa"/>
            <w:vAlign w:val="bottom"/>
            <w:gridSpan w:val="2"/>
          </w:tcPr>
          <w:p>
            <w:pPr>
              <w:spacing w:after="0"/>
              <w:rPr>
                <w:sz w:val="20"/>
                <w:szCs w:val="20"/>
                <w:color w:val="auto"/>
              </w:rPr>
            </w:pPr>
            <w:r>
              <w:rPr>
                <w:rFonts w:ascii="Times New Roman" w:cs="Times New Roman" w:eastAsia="Times New Roman" w:hAnsi="Times New Roman"/>
                <w:sz w:val="10"/>
                <w:szCs w:val="10"/>
                <w:i w:val="1"/>
                <w:iCs w:val="1"/>
                <w:color w:val="auto"/>
              </w:rPr>
              <w:t>Pronto Plumbing &amp; Drain, Inc.</w:t>
            </w:r>
          </w:p>
        </w:tc>
        <w:tc>
          <w:tcPr>
            <w:tcW w:w="9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2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Utilities: Services</w:t>
            </w: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05"/>
        </w:trPr>
        <w:tc>
          <w:tcPr>
            <w:tcW w:w="1300" w:type="dxa"/>
            <w:vAlign w:val="bottom"/>
            <w:gridSpan w:val="2"/>
            <w:shd w:val="clear" w:color="auto" w:fill="CCEEFF"/>
          </w:tcPr>
          <w:p>
            <w:pPr>
              <w:ind w:left="100"/>
              <w:spacing w:after="0" w:line="105" w:lineRule="exact"/>
              <w:rPr>
                <w:sz w:val="20"/>
                <w:szCs w:val="20"/>
                <w:color w:val="auto"/>
              </w:rPr>
            </w:pPr>
            <w:r>
              <w:rPr>
                <w:rFonts w:ascii="Times New Roman" w:cs="Times New Roman" w:eastAsia="Times New Roman" w:hAnsi="Times New Roman"/>
                <w:sz w:val="10"/>
                <w:szCs w:val="10"/>
                <w:color w:val="auto"/>
              </w:rPr>
              <w:t>1111 Primrose Ave</w:t>
            </w:r>
          </w:p>
        </w:tc>
        <w:tc>
          <w:tcPr>
            <w:tcW w:w="980" w:type="dxa"/>
            <w:vAlign w:val="bottom"/>
            <w:gridSpan w:val="2"/>
            <w:shd w:val="clear" w:color="auto" w:fill="CCEEFF"/>
          </w:tcPr>
          <w:p>
            <w:pPr>
              <w:spacing w:after="0" w:line="105" w:lineRule="exact"/>
              <w:rPr>
                <w:sz w:val="20"/>
                <w:szCs w:val="20"/>
                <w:color w:val="auto"/>
              </w:rPr>
            </w:pPr>
            <w:r>
              <w:rPr>
                <w:rFonts w:ascii="Times New Roman" w:cs="Times New Roman" w:eastAsia="Times New Roman" w:hAnsi="Times New Roman"/>
                <w:sz w:val="10"/>
                <w:szCs w:val="10"/>
                <w:color w:val="auto"/>
              </w:rPr>
              <w:t>First Lien Debt (i)</w:t>
            </w:r>
          </w:p>
        </w:tc>
        <w:tc>
          <w:tcPr>
            <w:tcW w:w="9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920" w:type="dxa"/>
            <w:vAlign w:val="bottom"/>
            <w:gridSpan w:val="2"/>
            <w:shd w:val="clear" w:color="auto" w:fill="CCEEFF"/>
          </w:tcPr>
          <w:p>
            <w:pPr>
              <w:jc w:val="center"/>
              <w:ind w:right="60"/>
              <w:spacing w:after="0" w:line="105" w:lineRule="exact"/>
              <w:rPr>
                <w:sz w:val="20"/>
                <w:szCs w:val="20"/>
                <w:color w:val="auto"/>
              </w:rPr>
            </w:pPr>
            <w:r>
              <w:rPr>
                <w:rFonts w:ascii="Times New Roman" w:cs="Times New Roman" w:eastAsia="Times New Roman" w:hAnsi="Times New Roman"/>
                <w:sz w:val="10"/>
                <w:szCs w:val="10"/>
                <w:color w:val="auto"/>
                <w:w w:val="96"/>
              </w:rPr>
              <w:t>(S + 7.00%) / (2.00%)</w:t>
            </w:r>
          </w:p>
        </w:tc>
        <w:tc>
          <w:tcPr>
            <w:tcW w:w="720" w:type="dxa"/>
            <w:vAlign w:val="bottom"/>
            <w:gridSpan w:val="2"/>
            <w:shd w:val="clear" w:color="auto" w:fill="CCEEFF"/>
          </w:tcPr>
          <w:p>
            <w:pPr>
              <w:jc w:val="right"/>
              <w:ind w:right="100"/>
              <w:spacing w:after="0" w:line="105" w:lineRule="exact"/>
              <w:rPr>
                <w:sz w:val="20"/>
                <w:szCs w:val="20"/>
                <w:color w:val="auto"/>
              </w:rPr>
            </w:pPr>
            <w:r>
              <w:rPr>
                <w:rFonts w:ascii="Times New Roman" w:cs="Times New Roman" w:eastAsia="Times New Roman" w:hAnsi="Times New Roman"/>
                <w:sz w:val="10"/>
                <w:szCs w:val="10"/>
                <w:color w:val="auto"/>
              </w:rPr>
              <w:t>10.66%/0.00%</w:t>
            </w:r>
          </w:p>
        </w:tc>
        <w:tc>
          <w:tcPr>
            <w:tcW w:w="480" w:type="dxa"/>
            <w:vAlign w:val="bottom"/>
            <w:shd w:val="clear" w:color="auto" w:fill="CCEEFF"/>
          </w:tcPr>
          <w:p>
            <w:pPr>
              <w:jc w:val="right"/>
              <w:spacing w:after="0" w:line="105" w:lineRule="exact"/>
              <w:rPr>
                <w:sz w:val="20"/>
                <w:szCs w:val="20"/>
                <w:color w:val="auto"/>
              </w:rPr>
            </w:pPr>
            <w:r>
              <w:rPr>
                <w:rFonts w:ascii="Times New Roman" w:cs="Times New Roman" w:eastAsia="Times New Roman" w:hAnsi="Times New Roman"/>
                <w:sz w:val="10"/>
                <w:szCs w:val="10"/>
                <w:color w:val="auto"/>
              </w:rPr>
              <w:t>5/22/2025</w:t>
            </w:r>
          </w:p>
        </w:tc>
        <w:tc>
          <w:tcPr>
            <w:tcW w:w="10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100"/>
              <w:spacing w:after="0" w:line="105" w:lineRule="exact"/>
              <w:rPr>
                <w:sz w:val="20"/>
                <w:szCs w:val="20"/>
                <w:color w:val="auto"/>
              </w:rPr>
            </w:pPr>
            <w:r>
              <w:rPr>
                <w:rFonts w:ascii="Times New Roman" w:cs="Times New Roman" w:eastAsia="Times New Roman" w:hAnsi="Times New Roman"/>
                <w:sz w:val="10"/>
                <w:szCs w:val="10"/>
                <w:color w:val="auto"/>
                <w:w w:val="98"/>
              </w:rPr>
              <w:t>5/22/2030</w:t>
            </w:r>
          </w:p>
        </w:tc>
        <w:tc>
          <w:tcPr>
            <w:tcW w:w="420" w:type="dxa"/>
            <w:vAlign w:val="bottom"/>
            <w:gridSpan w:val="2"/>
            <w:shd w:val="clear" w:color="auto" w:fill="CCEEFF"/>
          </w:tcPr>
          <w:p>
            <w:pPr>
              <w:jc w:val="right"/>
              <w:ind w:right="80"/>
              <w:spacing w:after="0" w:line="105" w:lineRule="exact"/>
              <w:rPr>
                <w:sz w:val="20"/>
                <w:szCs w:val="20"/>
                <w:color w:val="auto"/>
              </w:rPr>
            </w:pPr>
            <w:r>
              <w:rPr>
                <w:rFonts w:ascii="Times New Roman" w:cs="Times New Roman" w:eastAsia="Times New Roman" w:hAnsi="Times New Roman"/>
                <w:sz w:val="10"/>
                <w:szCs w:val="10"/>
                <w:color w:val="auto"/>
              </w:rPr>
              <w:t>8,661</w:t>
            </w:r>
          </w:p>
        </w:tc>
        <w:tc>
          <w:tcPr>
            <w:tcW w:w="440" w:type="dxa"/>
            <w:vAlign w:val="bottom"/>
            <w:gridSpan w:val="2"/>
            <w:shd w:val="clear" w:color="auto" w:fill="CCEEFF"/>
          </w:tcPr>
          <w:p>
            <w:pPr>
              <w:jc w:val="right"/>
              <w:ind w:right="140"/>
              <w:spacing w:after="0" w:line="105" w:lineRule="exact"/>
              <w:rPr>
                <w:sz w:val="20"/>
                <w:szCs w:val="20"/>
                <w:color w:val="auto"/>
              </w:rPr>
            </w:pPr>
            <w:r>
              <w:rPr>
                <w:rFonts w:ascii="Times New Roman" w:cs="Times New Roman" w:eastAsia="Times New Roman" w:hAnsi="Times New Roman"/>
                <w:sz w:val="10"/>
                <w:szCs w:val="10"/>
                <w:color w:val="auto"/>
              </w:rPr>
              <w:t>8,581</w:t>
            </w:r>
          </w:p>
        </w:tc>
        <w:tc>
          <w:tcPr>
            <w:tcW w:w="420" w:type="dxa"/>
            <w:vAlign w:val="bottom"/>
            <w:gridSpan w:val="2"/>
            <w:shd w:val="clear" w:color="auto" w:fill="CCEEFF"/>
          </w:tcPr>
          <w:p>
            <w:pPr>
              <w:jc w:val="right"/>
              <w:ind w:right="100"/>
              <w:spacing w:after="0" w:line="105" w:lineRule="exact"/>
              <w:rPr>
                <w:sz w:val="20"/>
                <w:szCs w:val="20"/>
                <w:color w:val="auto"/>
              </w:rPr>
            </w:pPr>
            <w:r>
              <w:rPr>
                <w:rFonts w:ascii="Times New Roman" w:cs="Times New Roman" w:eastAsia="Times New Roman" w:hAnsi="Times New Roman"/>
                <w:sz w:val="10"/>
                <w:szCs w:val="10"/>
                <w:color w:val="auto"/>
              </w:rPr>
              <w:t>8,661</w:t>
            </w:r>
          </w:p>
        </w:tc>
        <w:tc>
          <w:tcPr>
            <w:tcW w:w="3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r>
      <w:tr>
        <w:trPr>
          <w:trHeight w:val="91"/>
        </w:trPr>
        <w:tc>
          <w:tcPr>
            <w:tcW w:w="1300" w:type="dxa"/>
            <w:vAlign w:val="bottom"/>
            <w:gridSpan w:val="2"/>
          </w:tcPr>
          <w:p>
            <w:pPr>
              <w:ind w:left="100"/>
              <w:spacing w:after="0" w:line="92" w:lineRule="exact"/>
              <w:rPr>
                <w:sz w:val="20"/>
                <w:szCs w:val="20"/>
                <w:color w:val="auto"/>
              </w:rPr>
            </w:pPr>
            <w:r>
              <w:rPr>
                <w:rFonts w:ascii="Times New Roman" w:cs="Times New Roman" w:eastAsia="Times New Roman" w:hAnsi="Times New Roman"/>
                <w:sz w:val="10"/>
                <w:szCs w:val="10"/>
                <w:color w:val="auto"/>
              </w:rPr>
              <w:t>Camp Hill, PA 17011</w:t>
            </w:r>
          </w:p>
        </w:tc>
        <w:tc>
          <w:tcPr>
            <w:tcW w:w="980" w:type="dxa"/>
            <w:vAlign w:val="bottom"/>
            <w:gridSpan w:val="2"/>
          </w:tcPr>
          <w:p>
            <w:pPr>
              <w:spacing w:after="0" w:line="92" w:lineRule="exact"/>
              <w:rPr>
                <w:sz w:val="20"/>
                <w:szCs w:val="20"/>
                <w:color w:val="auto"/>
              </w:rPr>
            </w:pPr>
            <w:r>
              <w:rPr>
                <w:rFonts w:ascii="Times New Roman" w:cs="Times New Roman" w:eastAsia="Times New Roman" w:hAnsi="Times New Roman"/>
                <w:sz w:val="10"/>
                <w:szCs w:val="10"/>
                <w:color w:val="auto"/>
              </w:rPr>
              <w:t>Revolving Loan ($500</w:t>
            </w:r>
          </w:p>
        </w:tc>
        <w:tc>
          <w:tcPr>
            <w:tcW w:w="960" w:type="dxa"/>
            <w:vAlign w:val="bottom"/>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0" w:type="dxa"/>
            <w:vAlign w:val="bottom"/>
          </w:tcPr>
          <w:p>
            <w:pPr>
              <w:spacing w:after="0"/>
              <w:rPr>
                <w:sz w:val="7"/>
                <w:szCs w:val="7"/>
                <w:color w:val="auto"/>
              </w:rPr>
            </w:pPr>
          </w:p>
        </w:tc>
        <w:tc>
          <w:tcPr>
            <w:tcW w:w="360" w:type="dxa"/>
            <w:vAlign w:val="bottom"/>
          </w:tcPr>
          <w:p>
            <w:pPr>
              <w:spacing w:after="0"/>
              <w:rPr>
                <w:sz w:val="7"/>
                <w:szCs w:val="7"/>
                <w:color w:val="auto"/>
              </w:rPr>
            </w:pPr>
          </w:p>
        </w:tc>
        <w:tc>
          <w:tcPr>
            <w:tcW w:w="120" w:type="dxa"/>
            <w:vAlign w:val="bottom"/>
          </w:tcPr>
          <w:p>
            <w:pPr>
              <w:spacing w:after="0"/>
              <w:rPr>
                <w:sz w:val="7"/>
                <w:szCs w:val="7"/>
                <w:color w:val="auto"/>
              </w:rPr>
            </w:pPr>
          </w:p>
        </w:tc>
      </w:tr>
      <w:tr>
        <w:trPr>
          <w:trHeight w:val="105"/>
        </w:trPr>
        <w:tc>
          <w:tcPr>
            <w:tcW w:w="1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980" w:type="dxa"/>
            <w:vAlign w:val="bottom"/>
            <w:gridSpan w:val="2"/>
          </w:tcPr>
          <w:p>
            <w:pPr>
              <w:spacing w:after="0" w:line="105" w:lineRule="exact"/>
              <w:rPr>
                <w:sz w:val="20"/>
                <w:szCs w:val="20"/>
                <w:color w:val="auto"/>
              </w:rPr>
            </w:pPr>
            <w:r>
              <w:rPr>
                <w:rFonts w:ascii="Times New Roman" w:cs="Times New Roman" w:eastAsia="Times New Roman" w:hAnsi="Times New Roman"/>
                <w:sz w:val="10"/>
                <w:szCs w:val="10"/>
                <w:color w:val="auto"/>
              </w:rPr>
              <w:t>unfunded</w:t>
            </w:r>
          </w:p>
        </w:tc>
        <w:tc>
          <w:tcPr>
            <w:tcW w:w="96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r>
      <w:tr>
        <w:trPr>
          <w:trHeight w:val="118"/>
        </w:trPr>
        <w:tc>
          <w:tcPr>
            <w:tcW w:w="1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8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commitment) (i)</w:t>
            </w:r>
          </w:p>
        </w:tc>
        <w:tc>
          <w:tcPr>
            <w:tcW w:w="9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gridSpan w:val="2"/>
          </w:tcPr>
          <w:p>
            <w:pPr>
              <w:jc w:val="center"/>
              <w:ind w:right="60"/>
              <w:spacing w:after="0"/>
              <w:rPr>
                <w:sz w:val="20"/>
                <w:szCs w:val="20"/>
                <w:color w:val="auto"/>
              </w:rPr>
            </w:pPr>
            <w:r>
              <w:rPr>
                <w:rFonts w:ascii="Times New Roman" w:cs="Times New Roman" w:eastAsia="Times New Roman" w:hAnsi="Times New Roman"/>
                <w:sz w:val="10"/>
                <w:szCs w:val="10"/>
                <w:color w:val="auto"/>
                <w:w w:val="96"/>
              </w:rPr>
              <w:t>(S + 7.00%) / (2.00%)</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10.66%/0.00%</w:t>
            </w:r>
          </w:p>
        </w:tc>
        <w:tc>
          <w:tcPr>
            <w:tcW w:w="4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5/22/2025</w:t>
            </w:r>
          </w:p>
        </w:tc>
        <w:tc>
          <w:tcPr>
            <w:tcW w:w="100" w:type="dxa"/>
            <w:vAlign w:val="bottom"/>
          </w:tcPr>
          <w:p>
            <w:pPr>
              <w:spacing w:after="0"/>
              <w:rPr>
                <w:sz w:val="10"/>
                <w:szCs w:val="10"/>
                <w:color w:val="auto"/>
              </w:rPr>
            </w:pP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w w:val="98"/>
              </w:rPr>
              <w:t>5/22/2030</w:t>
            </w:r>
          </w:p>
        </w:tc>
        <w:tc>
          <w:tcPr>
            <w:tcW w:w="42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— </w:t>
            </w: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(4)</w:t>
            </w:r>
          </w:p>
        </w:tc>
        <w:tc>
          <w:tcPr>
            <w:tcW w:w="420" w:type="dxa"/>
            <w:vAlign w:val="bottom"/>
            <w:gridSpan w:val="2"/>
          </w:tcPr>
          <w:p>
            <w:pPr>
              <w:ind w:left="180"/>
              <w:spacing w:after="0"/>
              <w:rPr>
                <w:sz w:val="20"/>
                <w:szCs w:val="20"/>
                <w:color w:val="auto"/>
              </w:rPr>
            </w:pPr>
            <w:r>
              <w:rPr>
                <w:rFonts w:ascii="Times New Roman" w:cs="Times New Roman" w:eastAsia="Times New Roman" w:hAnsi="Times New Roman"/>
                <w:sz w:val="10"/>
                <w:szCs w:val="10"/>
                <w:color w:val="auto"/>
              </w:rPr>
              <w:t>— </w:t>
            </w: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91"/>
        </w:trPr>
        <w:tc>
          <w:tcPr>
            <w:tcW w:w="11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980" w:type="dxa"/>
            <w:vAlign w:val="bottom"/>
            <w:gridSpan w:val="2"/>
            <w:shd w:val="clear" w:color="auto" w:fill="CCEEFF"/>
          </w:tcPr>
          <w:p>
            <w:pPr>
              <w:spacing w:after="0" w:line="92" w:lineRule="exact"/>
              <w:rPr>
                <w:sz w:val="20"/>
                <w:szCs w:val="20"/>
                <w:color w:val="auto"/>
              </w:rPr>
            </w:pPr>
            <w:r>
              <w:rPr>
                <w:rFonts w:ascii="Times New Roman" w:cs="Times New Roman" w:eastAsia="Times New Roman" w:hAnsi="Times New Roman"/>
                <w:sz w:val="10"/>
                <w:szCs w:val="10"/>
                <w:color w:val="auto"/>
              </w:rPr>
              <w:t>Common Equity</w:t>
            </w:r>
          </w:p>
        </w:tc>
        <w:tc>
          <w:tcPr>
            <w:tcW w:w="9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8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r>
      <w:tr>
        <w:trPr>
          <w:trHeight w:val="118"/>
        </w:trPr>
        <w:tc>
          <w:tcPr>
            <w:tcW w:w="1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0"/>
                <w:szCs w:val="10"/>
                <w:color w:val="auto"/>
              </w:rPr>
              <w:t>(Units N/A) (h)</w:t>
            </w:r>
          </w:p>
        </w:tc>
        <w:tc>
          <w:tcPr>
            <w:tcW w:w="9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1.6%</w:t>
            </w:r>
          </w:p>
        </w:tc>
        <w:tc>
          <w:tcPr>
            <w:tcW w:w="8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5/22/2025</w:t>
            </w:r>
          </w:p>
        </w:tc>
        <w:tc>
          <w:tcPr>
            <w:tcW w:w="10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913</w:t>
            </w:r>
          </w:p>
        </w:tc>
        <w:tc>
          <w:tcPr>
            <w:tcW w:w="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1,026</w:t>
            </w:r>
          </w:p>
        </w:tc>
        <w:tc>
          <w:tcPr>
            <w:tcW w:w="3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r>
      <w:tr>
        <w:trPr>
          <w:trHeight w:val="106"/>
        </w:trPr>
        <w:tc>
          <w:tcPr>
            <w:tcW w:w="1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Pr>
          <w:p>
            <w:pPr>
              <w:spacing w:after="0"/>
              <w:rPr>
                <w:sz w:val="9"/>
                <w:szCs w:val="9"/>
                <w:color w:val="auto"/>
              </w:rPr>
            </w:pPr>
          </w:p>
        </w:tc>
        <w:tc>
          <w:tcPr>
            <w:tcW w:w="60" w:type="dxa"/>
            <w:vAlign w:val="bottom"/>
          </w:tcPr>
          <w:p>
            <w:pPr>
              <w:spacing w:after="0"/>
              <w:rPr>
                <w:sz w:val="9"/>
                <w:szCs w:val="9"/>
                <w:color w:val="auto"/>
              </w:rPr>
            </w:pPr>
          </w:p>
        </w:tc>
        <w:tc>
          <w:tcPr>
            <w:tcW w:w="96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Borders>
              <w:top w:val="single" w:sz="8" w:color="auto"/>
            </w:tcBorders>
          </w:tcPr>
          <w:p>
            <w:pPr>
              <w:jc w:val="right"/>
              <w:spacing w:after="0" w:line="106" w:lineRule="exact"/>
              <w:rPr>
                <w:sz w:val="20"/>
                <w:szCs w:val="20"/>
                <w:color w:val="auto"/>
              </w:rPr>
            </w:pPr>
            <w:r>
              <w:rPr>
                <w:rFonts w:ascii="Times New Roman" w:cs="Times New Roman" w:eastAsia="Times New Roman" w:hAnsi="Times New Roman"/>
                <w:sz w:val="10"/>
                <w:szCs w:val="10"/>
                <w:color w:val="auto"/>
              </w:rPr>
              <w:t>9,490</w:t>
            </w:r>
          </w:p>
        </w:tc>
        <w:tc>
          <w:tcPr>
            <w:tcW w:w="140" w:type="dxa"/>
            <w:vAlign w:val="bottom"/>
          </w:tcPr>
          <w:p>
            <w:pPr>
              <w:spacing w:after="0"/>
              <w:rPr>
                <w:sz w:val="9"/>
                <w:szCs w:val="9"/>
                <w:color w:val="auto"/>
              </w:rPr>
            </w:pPr>
          </w:p>
        </w:tc>
        <w:tc>
          <w:tcPr>
            <w:tcW w:w="320" w:type="dxa"/>
            <w:vAlign w:val="bottom"/>
            <w:tcBorders>
              <w:top w:val="single" w:sz="8" w:color="auto"/>
            </w:tcBorders>
          </w:tcPr>
          <w:p>
            <w:pPr>
              <w:jc w:val="right"/>
              <w:spacing w:after="0" w:line="106" w:lineRule="exact"/>
              <w:rPr>
                <w:sz w:val="20"/>
                <w:szCs w:val="20"/>
                <w:color w:val="auto"/>
              </w:rPr>
            </w:pPr>
            <w:r>
              <w:rPr>
                <w:rFonts w:ascii="Times New Roman" w:cs="Times New Roman" w:eastAsia="Times New Roman" w:hAnsi="Times New Roman"/>
                <w:sz w:val="10"/>
                <w:szCs w:val="10"/>
                <w:color w:val="auto"/>
              </w:rPr>
              <w:t>9,687</w:t>
            </w:r>
          </w:p>
        </w:tc>
        <w:tc>
          <w:tcPr>
            <w:tcW w:w="100" w:type="dxa"/>
            <w:vAlign w:val="bottom"/>
          </w:tcPr>
          <w:p>
            <w:pPr>
              <w:spacing w:after="0"/>
              <w:rPr>
                <w:sz w:val="9"/>
                <w:szCs w:val="9"/>
                <w:color w:val="auto"/>
              </w:rPr>
            </w:pPr>
          </w:p>
        </w:tc>
        <w:tc>
          <w:tcPr>
            <w:tcW w:w="480" w:type="dxa"/>
            <w:vAlign w:val="bottom"/>
            <w:gridSpan w:val="2"/>
          </w:tcPr>
          <w:p>
            <w:pPr>
              <w:jc w:val="right"/>
              <w:ind w:right="40"/>
              <w:spacing w:after="0" w:line="106" w:lineRule="exact"/>
              <w:rPr>
                <w:sz w:val="20"/>
                <w:szCs w:val="20"/>
                <w:color w:val="auto"/>
              </w:rPr>
            </w:pPr>
            <w:r>
              <w:rPr>
                <w:rFonts w:ascii="Times New Roman" w:cs="Times New Roman" w:eastAsia="Times New Roman" w:hAnsi="Times New Roman"/>
                <w:sz w:val="10"/>
                <w:szCs w:val="10"/>
                <w:color w:val="auto"/>
              </w:rPr>
              <w:t>1%</w:t>
            </w:r>
          </w:p>
        </w:tc>
      </w:tr>
      <w:tr>
        <w:trPr>
          <w:trHeight w:val="105"/>
        </w:trPr>
        <w:tc>
          <w:tcPr>
            <w:tcW w:w="1300" w:type="dxa"/>
            <w:vAlign w:val="bottom"/>
            <w:gridSpan w:val="2"/>
            <w:shd w:val="clear" w:color="auto" w:fill="CCEEFF"/>
          </w:tcPr>
          <w:p>
            <w:pPr>
              <w:spacing w:after="0" w:line="105" w:lineRule="exact"/>
              <w:rPr>
                <w:sz w:val="20"/>
                <w:szCs w:val="20"/>
                <w:color w:val="auto"/>
              </w:rPr>
            </w:pPr>
            <w:r>
              <w:rPr>
                <w:rFonts w:ascii="Times New Roman" w:cs="Times New Roman" w:eastAsia="Times New Roman" w:hAnsi="Times New Roman"/>
                <w:sz w:val="10"/>
                <w:szCs w:val="10"/>
                <w:i w:val="1"/>
                <w:iCs w:val="1"/>
                <w:color w:val="auto"/>
              </w:rPr>
              <w:t>Puget Collision, LLC</w:t>
            </w:r>
          </w:p>
        </w:tc>
        <w:tc>
          <w:tcPr>
            <w:tcW w:w="9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20" w:type="dxa"/>
            <w:vAlign w:val="bottom"/>
            <w:gridSpan w:val="2"/>
            <w:shd w:val="clear" w:color="auto" w:fill="CCEEFF"/>
          </w:tcPr>
          <w:p>
            <w:pPr>
              <w:spacing w:after="0" w:line="105" w:lineRule="exact"/>
              <w:rPr>
                <w:sz w:val="20"/>
                <w:szCs w:val="20"/>
                <w:color w:val="auto"/>
              </w:rPr>
            </w:pPr>
            <w:r>
              <w:rPr>
                <w:rFonts w:ascii="Times New Roman" w:cs="Times New Roman" w:eastAsia="Times New Roman" w:hAnsi="Times New Roman"/>
                <w:sz w:val="10"/>
                <w:szCs w:val="10"/>
                <w:color w:val="auto"/>
              </w:rPr>
              <w:t>Retail</w:t>
            </w:r>
          </w:p>
        </w:tc>
        <w:tc>
          <w:tcPr>
            <w:tcW w:w="5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r>
      <w:tr>
        <w:trPr>
          <w:trHeight w:val="91"/>
        </w:trPr>
        <w:tc>
          <w:tcPr>
            <w:tcW w:w="1300" w:type="dxa"/>
            <w:vAlign w:val="bottom"/>
            <w:gridSpan w:val="2"/>
          </w:tcPr>
          <w:p>
            <w:pPr>
              <w:ind w:left="100"/>
              <w:spacing w:after="0" w:line="92" w:lineRule="exact"/>
              <w:rPr>
                <w:sz w:val="20"/>
                <w:szCs w:val="20"/>
                <w:color w:val="auto"/>
              </w:rPr>
            </w:pPr>
            <w:r>
              <w:rPr>
                <w:rFonts w:ascii="Times New Roman" w:cs="Times New Roman" w:eastAsia="Times New Roman" w:hAnsi="Times New Roman"/>
                <w:sz w:val="10"/>
                <w:szCs w:val="10"/>
                <w:color w:val="auto"/>
              </w:rPr>
              <w:t>6811 South 204th Street</w:t>
            </w:r>
          </w:p>
        </w:tc>
        <w:tc>
          <w:tcPr>
            <w:tcW w:w="920" w:type="dxa"/>
            <w:vAlign w:val="bottom"/>
          </w:tcPr>
          <w:p>
            <w:pPr>
              <w:spacing w:after="0"/>
              <w:rPr>
                <w:sz w:val="7"/>
                <w:szCs w:val="7"/>
                <w:color w:val="auto"/>
              </w:rPr>
            </w:pPr>
          </w:p>
        </w:tc>
        <w:tc>
          <w:tcPr>
            <w:tcW w:w="60" w:type="dxa"/>
            <w:vAlign w:val="bottom"/>
          </w:tcPr>
          <w:p>
            <w:pPr>
              <w:spacing w:after="0"/>
              <w:rPr>
                <w:sz w:val="7"/>
                <w:szCs w:val="7"/>
                <w:color w:val="auto"/>
              </w:rPr>
            </w:pPr>
          </w:p>
        </w:tc>
        <w:tc>
          <w:tcPr>
            <w:tcW w:w="960" w:type="dxa"/>
            <w:vAlign w:val="bottom"/>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0" w:type="dxa"/>
            <w:vAlign w:val="bottom"/>
          </w:tcPr>
          <w:p>
            <w:pPr>
              <w:spacing w:after="0"/>
              <w:rPr>
                <w:sz w:val="7"/>
                <w:szCs w:val="7"/>
                <w:color w:val="auto"/>
              </w:rPr>
            </w:pPr>
          </w:p>
        </w:tc>
        <w:tc>
          <w:tcPr>
            <w:tcW w:w="360" w:type="dxa"/>
            <w:vAlign w:val="bottom"/>
          </w:tcPr>
          <w:p>
            <w:pPr>
              <w:spacing w:after="0"/>
              <w:rPr>
                <w:sz w:val="7"/>
                <w:szCs w:val="7"/>
                <w:color w:val="auto"/>
              </w:rPr>
            </w:pPr>
          </w:p>
        </w:tc>
        <w:tc>
          <w:tcPr>
            <w:tcW w:w="120" w:type="dxa"/>
            <w:vAlign w:val="bottom"/>
          </w:tcPr>
          <w:p>
            <w:pPr>
              <w:spacing w:after="0"/>
              <w:rPr>
                <w:sz w:val="7"/>
                <w:szCs w:val="7"/>
                <w:color w:val="auto"/>
              </w:rPr>
            </w:pPr>
          </w:p>
        </w:tc>
      </w:tr>
      <w:tr>
        <w:trPr>
          <w:trHeight w:val="118"/>
        </w:trPr>
        <w:tc>
          <w:tcPr>
            <w:tcW w:w="1300" w:type="dxa"/>
            <w:vAlign w:val="bottom"/>
            <w:gridSpan w:val="2"/>
          </w:tcPr>
          <w:p>
            <w:pPr>
              <w:ind w:left="100"/>
              <w:spacing w:after="0"/>
              <w:rPr>
                <w:sz w:val="20"/>
                <w:szCs w:val="20"/>
                <w:color w:val="auto"/>
              </w:rPr>
            </w:pPr>
            <w:r>
              <w:rPr>
                <w:rFonts w:ascii="Times New Roman" w:cs="Times New Roman" w:eastAsia="Times New Roman" w:hAnsi="Times New Roman"/>
                <w:sz w:val="10"/>
                <w:szCs w:val="10"/>
                <w:color w:val="auto"/>
              </w:rPr>
              <w:t>Suite 290</w:t>
            </w:r>
          </w:p>
        </w:tc>
        <w:tc>
          <w:tcPr>
            <w:tcW w:w="98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First Lien Debt</w:t>
            </w:r>
          </w:p>
        </w:tc>
        <w:tc>
          <w:tcPr>
            <w:tcW w:w="9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gridSpan w:val="2"/>
          </w:tcPr>
          <w:p>
            <w:pPr>
              <w:jc w:val="center"/>
              <w:ind w:right="60"/>
              <w:spacing w:after="0"/>
              <w:rPr>
                <w:sz w:val="20"/>
                <w:szCs w:val="20"/>
                <w:color w:val="auto"/>
              </w:rPr>
            </w:pPr>
            <w:r>
              <w:rPr>
                <w:rFonts w:ascii="Times New Roman" w:cs="Times New Roman" w:eastAsia="Times New Roman" w:hAnsi="Times New Roman"/>
                <w:sz w:val="10"/>
                <w:szCs w:val="10"/>
                <w:color w:val="auto"/>
                <w:w w:val="96"/>
              </w:rPr>
              <w:t>(S + 4.75%) / (0.75%)</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8.45%/0.00%</w:t>
            </w:r>
          </w:p>
        </w:tc>
        <w:tc>
          <w:tcPr>
            <w:tcW w:w="4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10/3/2025</w:t>
            </w:r>
          </w:p>
        </w:tc>
        <w:tc>
          <w:tcPr>
            <w:tcW w:w="100" w:type="dxa"/>
            <w:vAlign w:val="bottom"/>
          </w:tcPr>
          <w:p>
            <w:pPr>
              <w:spacing w:after="0"/>
              <w:rPr>
                <w:sz w:val="10"/>
                <w:szCs w:val="10"/>
                <w:color w:val="auto"/>
              </w:rPr>
            </w:pP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w w:val="98"/>
              </w:rPr>
              <w:t>10/3/2030</w:t>
            </w:r>
          </w:p>
        </w:tc>
        <w:tc>
          <w:tcPr>
            <w:tcW w:w="42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12,469</w:t>
            </w: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12,398</w:t>
            </w: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12,398</w:t>
            </w: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91"/>
        </w:trPr>
        <w:tc>
          <w:tcPr>
            <w:tcW w:w="1300" w:type="dxa"/>
            <w:vAlign w:val="bottom"/>
            <w:gridSpan w:val="2"/>
            <w:shd w:val="clear" w:color="auto" w:fill="CCEEFF"/>
          </w:tcPr>
          <w:p>
            <w:pPr>
              <w:ind w:left="100"/>
              <w:spacing w:after="0" w:line="92" w:lineRule="exact"/>
              <w:rPr>
                <w:sz w:val="20"/>
                <w:szCs w:val="20"/>
                <w:color w:val="auto"/>
              </w:rPr>
            </w:pPr>
            <w:r>
              <w:rPr>
                <w:rFonts w:ascii="Times New Roman" w:cs="Times New Roman" w:eastAsia="Times New Roman" w:hAnsi="Times New Roman"/>
                <w:sz w:val="10"/>
                <w:szCs w:val="10"/>
                <w:color w:val="auto"/>
              </w:rPr>
              <w:t>Kent, WA 98032</w:t>
            </w:r>
          </w:p>
        </w:tc>
        <w:tc>
          <w:tcPr>
            <w:tcW w:w="980" w:type="dxa"/>
            <w:vAlign w:val="bottom"/>
            <w:gridSpan w:val="2"/>
            <w:shd w:val="clear" w:color="auto" w:fill="CCEEFF"/>
          </w:tcPr>
          <w:p>
            <w:pPr>
              <w:spacing w:after="0" w:line="92" w:lineRule="exact"/>
              <w:rPr>
                <w:sz w:val="20"/>
                <w:szCs w:val="20"/>
                <w:color w:val="auto"/>
              </w:rPr>
            </w:pPr>
            <w:r>
              <w:rPr>
                <w:rFonts w:ascii="Times New Roman" w:cs="Times New Roman" w:eastAsia="Times New Roman" w:hAnsi="Times New Roman"/>
                <w:sz w:val="10"/>
                <w:szCs w:val="10"/>
                <w:color w:val="auto"/>
              </w:rPr>
              <w:t>Common Equity (310</w:t>
            </w:r>
          </w:p>
        </w:tc>
        <w:tc>
          <w:tcPr>
            <w:tcW w:w="9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8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r>
      <w:tr>
        <w:trPr>
          <w:trHeight w:val="118"/>
        </w:trPr>
        <w:tc>
          <w:tcPr>
            <w:tcW w:w="1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0"/>
                <w:szCs w:val="10"/>
                <w:color w:val="auto"/>
              </w:rPr>
              <w:t>units) (h)</w:t>
            </w:r>
          </w:p>
        </w:tc>
        <w:tc>
          <w:tcPr>
            <w:tcW w:w="9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0.9%</w:t>
            </w:r>
          </w:p>
        </w:tc>
        <w:tc>
          <w:tcPr>
            <w:tcW w:w="8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1/4/2024</w:t>
            </w:r>
          </w:p>
        </w:tc>
        <w:tc>
          <w:tcPr>
            <w:tcW w:w="4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810</w:t>
            </w:r>
          </w:p>
        </w:tc>
        <w:tc>
          <w:tcPr>
            <w:tcW w:w="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1,055</w:t>
            </w:r>
          </w:p>
        </w:tc>
        <w:tc>
          <w:tcPr>
            <w:tcW w:w="3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r>
      <w:tr>
        <w:trPr>
          <w:trHeight w:val="106"/>
        </w:trPr>
        <w:tc>
          <w:tcPr>
            <w:tcW w:w="1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Pr>
          <w:p>
            <w:pPr>
              <w:spacing w:after="0"/>
              <w:rPr>
                <w:sz w:val="9"/>
                <w:szCs w:val="9"/>
                <w:color w:val="auto"/>
              </w:rPr>
            </w:pPr>
          </w:p>
        </w:tc>
        <w:tc>
          <w:tcPr>
            <w:tcW w:w="60" w:type="dxa"/>
            <w:vAlign w:val="bottom"/>
          </w:tcPr>
          <w:p>
            <w:pPr>
              <w:spacing w:after="0"/>
              <w:rPr>
                <w:sz w:val="9"/>
                <w:szCs w:val="9"/>
                <w:color w:val="auto"/>
              </w:rPr>
            </w:pPr>
          </w:p>
        </w:tc>
        <w:tc>
          <w:tcPr>
            <w:tcW w:w="96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Borders>
              <w:top w:val="single" w:sz="8" w:color="auto"/>
            </w:tcBorders>
          </w:tcPr>
          <w:p>
            <w:pPr>
              <w:jc w:val="right"/>
              <w:spacing w:after="0" w:line="106" w:lineRule="exact"/>
              <w:rPr>
                <w:sz w:val="20"/>
                <w:szCs w:val="20"/>
                <w:color w:val="auto"/>
              </w:rPr>
            </w:pPr>
            <w:r>
              <w:rPr>
                <w:rFonts w:ascii="Times New Roman" w:cs="Times New Roman" w:eastAsia="Times New Roman" w:hAnsi="Times New Roman"/>
                <w:sz w:val="10"/>
                <w:szCs w:val="10"/>
                <w:color w:val="auto"/>
              </w:rPr>
              <w:t>13,208</w:t>
            </w:r>
          </w:p>
        </w:tc>
        <w:tc>
          <w:tcPr>
            <w:tcW w:w="140" w:type="dxa"/>
            <w:vAlign w:val="bottom"/>
          </w:tcPr>
          <w:p>
            <w:pPr>
              <w:spacing w:after="0"/>
              <w:rPr>
                <w:sz w:val="9"/>
                <w:szCs w:val="9"/>
                <w:color w:val="auto"/>
              </w:rPr>
            </w:pPr>
          </w:p>
        </w:tc>
        <w:tc>
          <w:tcPr>
            <w:tcW w:w="320" w:type="dxa"/>
            <w:vAlign w:val="bottom"/>
            <w:tcBorders>
              <w:top w:val="single" w:sz="8" w:color="auto"/>
            </w:tcBorders>
          </w:tcPr>
          <w:p>
            <w:pPr>
              <w:jc w:val="right"/>
              <w:spacing w:after="0" w:line="106" w:lineRule="exact"/>
              <w:rPr>
                <w:sz w:val="20"/>
                <w:szCs w:val="20"/>
                <w:color w:val="auto"/>
              </w:rPr>
            </w:pPr>
            <w:r>
              <w:rPr>
                <w:rFonts w:ascii="Times New Roman" w:cs="Times New Roman" w:eastAsia="Times New Roman" w:hAnsi="Times New Roman"/>
                <w:sz w:val="10"/>
                <w:szCs w:val="10"/>
                <w:color w:val="auto"/>
              </w:rPr>
              <w:t>13,453</w:t>
            </w:r>
          </w:p>
        </w:tc>
        <w:tc>
          <w:tcPr>
            <w:tcW w:w="100" w:type="dxa"/>
            <w:vAlign w:val="bottom"/>
          </w:tcPr>
          <w:p>
            <w:pPr>
              <w:spacing w:after="0"/>
              <w:rPr>
                <w:sz w:val="9"/>
                <w:szCs w:val="9"/>
                <w:color w:val="auto"/>
              </w:rPr>
            </w:pPr>
          </w:p>
        </w:tc>
        <w:tc>
          <w:tcPr>
            <w:tcW w:w="480" w:type="dxa"/>
            <w:vAlign w:val="bottom"/>
            <w:gridSpan w:val="2"/>
          </w:tcPr>
          <w:p>
            <w:pPr>
              <w:jc w:val="right"/>
              <w:ind w:right="40"/>
              <w:spacing w:after="0" w:line="106" w:lineRule="exact"/>
              <w:rPr>
                <w:sz w:val="20"/>
                <w:szCs w:val="20"/>
                <w:color w:val="auto"/>
              </w:rPr>
            </w:pPr>
            <w:r>
              <w:rPr>
                <w:rFonts w:ascii="Times New Roman" w:cs="Times New Roman" w:eastAsia="Times New Roman" w:hAnsi="Times New Roman"/>
                <w:sz w:val="10"/>
                <w:szCs w:val="10"/>
                <w:color w:val="auto"/>
              </w:rPr>
              <w:t>2%</w:t>
            </w:r>
          </w:p>
        </w:tc>
      </w:tr>
      <w:tr>
        <w:trPr>
          <w:trHeight w:val="89"/>
        </w:trPr>
        <w:tc>
          <w:tcPr>
            <w:tcW w:w="1300" w:type="dxa"/>
            <w:vAlign w:val="bottom"/>
            <w:gridSpan w:val="2"/>
            <w:shd w:val="clear" w:color="auto" w:fill="CCEEFF"/>
          </w:tcPr>
          <w:p>
            <w:pPr>
              <w:spacing w:after="0" w:line="90" w:lineRule="exact"/>
              <w:rPr>
                <w:sz w:val="20"/>
                <w:szCs w:val="20"/>
                <w:color w:val="auto"/>
              </w:rPr>
            </w:pPr>
            <w:r>
              <w:rPr>
                <w:rFonts w:ascii="Times New Roman" w:cs="Times New Roman" w:eastAsia="Times New Roman" w:hAnsi="Times New Roman"/>
                <w:sz w:val="10"/>
                <w:szCs w:val="10"/>
                <w:i w:val="1"/>
                <w:iCs w:val="1"/>
                <w:color w:val="auto"/>
              </w:rPr>
              <w:t>QED Technologies</w:t>
            </w:r>
          </w:p>
        </w:tc>
        <w:tc>
          <w:tcPr>
            <w:tcW w:w="9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1020" w:type="dxa"/>
            <w:vAlign w:val="bottom"/>
            <w:gridSpan w:val="2"/>
            <w:shd w:val="clear" w:color="auto" w:fill="CCEEFF"/>
          </w:tcPr>
          <w:p>
            <w:pPr>
              <w:spacing w:after="0" w:line="90" w:lineRule="exact"/>
              <w:rPr>
                <w:sz w:val="20"/>
                <w:szCs w:val="20"/>
                <w:color w:val="auto"/>
              </w:rPr>
            </w:pPr>
            <w:r>
              <w:rPr>
                <w:rFonts w:ascii="Times New Roman" w:cs="Times New Roman" w:eastAsia="Times New Roman" w:hAnsi="Times New Roman"/>
                <w:sz w:val="10"/>
                <w:szCs w:val="10"/>
                <w:color w:val="auto"/>
              </w:rPr>
              <w:t>Component</w:t>
            </w:r>
          </w:p>
        </w:tc>
        <w:tc>
          <w:tcPr>
            <w:tcW w:w="56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8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r>
      <w:tr>
        <w:trPr>
          <w:trHeight w:val="120"/>
        </w:trPr>
        <w:tc>
          <w:tcPr>
            <w:tcW w:w="1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0"/>
                <w:szCs w:val="10"/>
                <w:i w:val="1"/>
                <w:iCs w:val="1"/>
                <w:color w:val="auto"/>
              </w:rPr>
              <w:t>International, Inc.</w:t>
            </w:r>
          </w:p>
        </w:tc>
        <w:tc>
          <w:tcPr>
            <w:tcW w:w="9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0"/>
                <w:szCs w:val="10"/>
                <w:color w:val="auto"/>
              </w:rPr>
              <w:t>Manufacturing</w:t>
            </w:r>
          </w:p>
        </w:tc>
        <w:tc>
          <w:tcPr>
            <w:tcW w:w="5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r>
      <w:tr>
        <w:trPr>
          <w:trHeight w:val="105"/>
        </w:trPr>
        <w:tc>
          <w:tcPr>
            <w:tcW w:w="1300" w:type="dxa"/>
            <w:vAlign w:val="bottom"/>
            <w:gridSpan w:val="2"/>
          </w:tcPr>
          <w:p>
            <w:pPr>
              <w:ind w:left="100"/>
              <w:spacing w:after="0" w:line="105" w:lineRule="exact"/>
              <w:rPr>
                <w:sz w:val="20"/>
                <w:szCs w:val="20"/>
                <w:color w:val="auto"/>
              </w:rPr>
            </w:pPr>
            <w:r>
              <w:rPr>
                <w:rFonts w:ascii="Times New Roman" w:cs="Times New Roman" w:eastAsia="Times New Roman" w:hAnsi="Times New Roman"/>
                <w:sz w:val="10"/>
                <w:szCs w:val="10"/>
                <w:color w:val="auto"/>
              </w:rPr>
              <w:t>1040 University Ave.</w:t>
            </w:r>
          </w:p>
        </w:tc>
        <w:tc>
          <w:tcPr>
            <w:tcW w:w="980" w:type="dxa"/>
            <w:vAlign w:val="bottom"/>
            <w:gridSpan w:val="2"/>
          </w:tcPr>
          <w:p>
            <w:pPr>
              <w:spacing w:after="0" w:line="105" w:lineRule="exact"/>
              <w:rPr>
                <w:sz w:val="20"/>
                <w:szCs w:val="20"/>
                <w:color w:val="auto"/>
              </w:rPr>
            </w:pPr>
            <w:r>
              <w:rPr>
                <w:rFonts w:ascii="Times New Roman" w:cs="Times New Roman" w:eastAsia="Times New Roman" w:hAnsi="Times New Roman"/>
                <w:sz w:val="10"/>
                <w:szCs w:val="10"/>
                <w:color w:val="auto"/>
              </w:rPr>
              <w:t>First Lien Debt (q)</w:t>
            </w:r>
          </w:p>
        </w:tc>
        <w:tc>
          <w:tcPr>
            <w:tcW w:w="96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920" w:type="dxa"/>
            <w:vAlign w:val="bottom"/>
            <w:gridSpan w:val="2"/>
          </w:tcPr>
          <w:p>
            <w:pPr>
              <w:jc w:val="center"/>
              <w:ind w:right="60"/>
              <w:spacing w:after="0" w:line="105" w:lineRule="exact"/>
              <w:rPr>
                <w:sz w:val="20"/>
                <w:szCs w:val="20"/>
                <w:color w:val="auto"/>
              </w:rPr>
            </w:pPr>
            <w:r>
              <w:rPr>
                <w:rFonts w:ascii="Times New Roman" w:cs="Times New Roman" w:eastAsia="Times New Roman" w:hAnsi="Times New Roman"/>
                <w:sz w:val="10"/>
                <w:szCs w:val="10"/>
                <w:color w:val="auto"/>
                <w:w w:val="96"/>
              </w:rPr>
              <w:t>(S + 4.75%) / (1.50%)</w:t>
            </w:r>
          </w:p>
        </w:tc>
        <w:tc>
          <w:tcPr>
            <w:tcW w:w="720" w:type="dxa"/>
            <w:vAlign w:val="bottom"/>
            <w:gridSpan w:val="2"/>
          </w:tcPr>
          <w:p>
            <w:pPr>
              <w:jc w:val="right"/>
              <w:ind w:right="100"/>
              <w:spacing w:after="0" w:line="105" w:lineRule="exact"/>
              <w:rPr>
                <w:sz w:val="20"/>
                <w:szCs w:val="20"/>
                <w:color w:val="auto"/>
              </w:rPr>
            </w:pPr>
            <w:r>
              <w:rPr>
                <w:rFonts w:ascii="Times New Roman" w:cs="Times New Roman" w:eastAsia="Times New Roman" w:hAnsi="Times New Roman"/>
                <w:sz w:val="10"/>
                <w:szCs w:val="10"/>
                <w:color w:val="auto"/>
              </w:rPr>
              <w:t>8.91%0.00%</w:t>
            </w:r>
          </w:p>
        </w:tc>
        <w:tc>
          <w:tcPr>
            <w:tcW w:w="580" w:type="dxa"/>
            <w:vAlign w:val="bottom"/>
            <w:gridSpan w:val="2"/>
          </w:tcPr>
          <w:p>
            <w:pPr>
              <w:jc w:val="right"/>
              <w:ind w:right="100"/>
              <w:spacing w:after="0" w:line="105" w:lineRule="exact"/>
              <w:rPr>
                <w:sz w:val="20"/>
                <w:szCs w:val="20"/>
                <w:color w:val="auto"/>
              </w:rPr>
            </w:pPr>
            <w:r>
              <w:rPr>
                <w:rFonts w:ascii="Times New Roman" w:cs="Times New Roman" w:eastAsia="Times New Roman" w:hAnsi="Times New Roman"/>
                <w:sz w:val="10"/>
                <w:szCs w:val="10"/>
                <w:color w:val="auto"/>
              </w:rPr>
              <w:t>3/1/2023</w:t>
            </w:r>
          </w:p>
        </w:tc>
        <w:tc>
          <w:tcPr>
            <w:tcW w:w="520" w:type="dxa"/>
            <w:vAlign w:val="bottom"/>
            <w:gridSpan w:val="2"/>
          </w:tcPr>
          <w:p>
            <w:pPr>
              <w:jc w:val="right"/>
              <w:ind w:right="100"/>
              <w:spacing w:after="0" w:line="105" w:lineRule="exact"/>
              <w:rPr>
                <w:sz w:val="20"/>
                <w:szCs w:val="20"/>
                <w:color w:val="auto"/>
              </w:rPr>
            </w:pPr>
            <w:r>
              <w:rPr>
                <w:rFonts w:ascii="Times New Roman" w:cs="Times New Roman" w:eastAsia="Times New Roman" w:hAnsi="Times New Roman"/>
                <w:sz w:val="10"/>
                <w:szCs w:val="10"/>
                <w:color w:val="auto"/>
              </w:rPr>
              <w:t>3/1/2028</w:t>
            </w:r>
          </w:p>
        </w:tc>
        <w:tc>
          <w:tcPr>
            <w:tcW w:w="420" w:type="dxa"/>
            <w:vAlign w:val="bottom"/>
            <w:gridSpan w:val="2"/>
          </w:tcPr>
          <w:p>
            <w:pPr>
              <w:jc w:val="right"/>
              <w:ind w:right="80"/>
              <w:spacing w:after="0" w:line="105" w:lineRule="exact"/>
              <w:rPr>
                <w:sz w:val="20"/>
                <w:szCs w:val="20"/>
                <w:color w:val="auto"/>
              </w:rPr>
            </w:pPr>
            <w:r>
              <w:rPr>
                <w:rFonts w:ascii="Times New Roman" w:cs="Times New Roman" w:eastAsia="Times New Roman" w:hAnsi="Times New Roman"/>
                <w:sz w:val="10"/>
                <w:szCs w:val="10"/>
                <w:color w:val="auto"/>
              </w:rPr>
              <w:t>15,551</w:t>
            </w:r>
          </w:p>
        </w:tc>
        <w:tc>
          <w:tcPr>
            <w:tcW w:w="440" w:type="dxa"/>
            <w:vAlign w:val="bottom"/>
            <w:gridSpan w:val="2"/>
          </w:tcPr>
          <w:p>
            <w:pPr>
              <w:jc w:val="right"/>
              <w:ind w:right="140"/>
              <w:spacing w:after="0" w:line="105" w:lineRule="exact"/>
              <w:rPr>
                <w:sz w:val="20"/>
                <w:szCs w:val="20"/>
                <w:color w:val="auto"/>
              </w:rPr>
            </w:pPr>
            <w:r>
              <w:rPr>
                <w:rFonts w:ascii="Times New Roman" w:cs="Times New Roman" w:eastAsia="Times New Roman" w:hAnsi="Times New Roman"/>
                <w:sz w:val="10"/>
                <w:szCs w:val="10"/>
                <w:color w:val="auto"/>
              </w:rPr>
              <w:t>15,501</w:t>
            </w:r>
          </w:p>
        </w:tc>
        <w:tc>
          <w:tcPr>
            <w:tcW w:w="420" w:type="dxa"/>
            <w:vAlign w:val="bottom"/>
            <w:gridSpan w:val="2"/>
          </w:tcPr>
          <w:p>
            <w:pPr>
              <w:jc w:val="right"/>
              <w:ind w:right="100"/>
              <w:spacing w:after="0" w:line="105" w:lineRule="exact"/>
              <w:rPr>
                <w:sz w:val="20"/>
                <w:szCs w:val="20"/>
                <w:color w:val="auto"/>
              </w:rPr>
            </w:pPr>
            <w:r>
              <w:rPr>
                <w:rFonts w:ascii="Times New Roman" w:cs="Times New Roman" w:eastAsia="Times New Roman" w:hAnsi="Times New Roman"/>
                <w:sz w:val="10"/>
                <w:szCs w:val="10"/>
                <w:color w:val="auto"/>
              </w:rPr>
              <w:t>15,551</w:t>
            </w: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r>
      <w:tr>
        <w:trPr>
          <w:trHeight w:val="105"/>
        </w:trPr>
        <w:tc>
          <w:tcPr>
            <w:tcW w:w="1300" w:type="dxa"/>
            <w:vAlign w:val="bottom"/>
            <w:gridSpan w:val="2"/>
            <w:shd w:val="clear" w:color="auto" w:fill="CCEEFF"/>
          </w:tcPr>
          <w:p>
            <w:pPr>
              <w:ind w:left="100"/>
              <w:spacing w:after="0" w:line="105" w:lineRule="exact"/>
              <w:rPr>
                <w:sz w:val="20"/>
                <w:szCs w:val="20"/>
                <w:color w:val="auto"/>
              </w:rPr>
            </w:pPr>
            <w:r>
              <w:rPr>
                <w:rFonts w:ascii="Times New Roman" w:cs="Times New Roman" w:eastAsia="Times New Roman" w:hAnsi="Times New Roman"/>
                <w:sz w:val="10"/>
                <w:szCs w:val="10"/>
                <w:color w:val="auto"/>
              </w:rPr>
              <w:t>Rochester, NY 14607</w:t>
            </w:r>
          </w:p>
        </w:tc>
        <w:tc>
          <w:tcPr>
            <w:tcW w:w="980" w:type="dxa"/>
            <w:vAlign w:val="bottom"/>
            <w:gridSpan w:val="2"/>
            <w:shd w:val="clear" w:color="auto" w:fill="CCEEFF"/>
          </w:tcPr>
          <w:p>
            <w:pPr>
              <w:spacing w:after="0" w:line="105" w:lineRule="exact"/>
              <w:rPr>
                <w:sz w:val="20"/>
                <w:szCs w:val="20"/>
                <w:color w:val="auto"/>
              </w:rPr>
            </w:pPr>
            <w:r>
              <w:rPr>
                <w:rFonts w:ascii="Times New Roman" w:cs="Times New Roman" w:eastAsia="Times New Roman" w:hAnsi="Times New Roman"/>
                <w:sz w:val="10"/>
                <w:szCs w:val="10"/>
                <w:color w:val="auto"/>
              </w:rPr>
              <w:t>First Lien Debt (j)(q)</w:t>
            </w:r>
          </w:p>
        </w:tc>
        <w:tc>
          <w:tcPr>
            <w:tcW w:w="9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920" w:type="dxa"/>
            <w:vAlign w:val="bottom"/>
            <w:gridSpan w:val="2"/>
            <w:shd w:val="clear" w:color="auto" w:fill="CCEEFF"/>
          </w:tcPr>
          <w:p>
            <w:pPr>
              <w:jc w:val="center"/>
              <w:ind w:right="60"/>
              <w:spacing w:after="0" w:line="105" w:lineRule="exact"/>
              <w:rPr>
                <w:sz w:val="20"/>
                <w:szCs w:val="20"/>
                <w:color w:val="auto"/>
              </w:rPr>
            </w:pPr>
            <w:r>
              <w:rPr>
                <w:rFonts w:ascii="Times New Roman" w:cs="Times New Roman" w:eastAsia="Times New Roman" w:hAnsi="Times New Roman"/>
                <w:sz w:val="10"/>
                <w:szCs w:val="10"/>
                <w:color w:val="auto"/>
                <w:w w:val="96"/>
              </w:rPr>
              <w:t>(S + 4.75%) / (1.50%)</w:t>
            </w:r>
          </w:p>
        </w:tc>
        <w:tc>
          <w:tcPr>
            <w:tcW w:w="720" w:type="dxa"/>
            <w:vAlign w:val="bottom"/>
            <w:gridSpan w:val="2"/>
            <w:shd w:val="clear" w:color="auto" w:fill="CCEEFF"/>
          </w:tcPr>
          <w:p>
            <w:pPr>
              <w:jc w:val="right"/>
              <w:ind w:right="100"/>
              <w:spacing w:after="0" w:line="105" w:lineRule="exact"/>
              <w:rPr>
                <w:sz w:val="20"/>
                <w:szCs w:val="20"/>
                <w:color w:val="auto"/>
              </w:rPr>
            </w:pPr>
            <w:r>
              <w:rPr>
                <w:rFonts w:ascii="Times New Roman" w:cs="Times New Roman" w:eastAsia="Times New Roman" w:hAnsi="Times New Roman"/>
                <w:sz w:val="10"/>
                <w:szCs w:val="10"/>
                <w:color w:val="auto"/>
              </w:rPr>
              <w:t>8.91%0.00%</w:t>
            </w:r>
          </w:p>
        </w:tc>
        <w:tc>
          <w:tcPr>
            <w:tcW w:w="480" w:type="dxa"/>
            <w:vAlign w:val="bottom"/>
            <w:shd w:val="clear" w:color="auto" w:fill="CCEEFF"/>
          </w:tcPr>
          <w:p>
            <w:pPr>
              <w:jc w:val="right"/>
              <w:spacing w:after="0" w:line="105" w:lineRule="exact"/>
              <w:rPr>
                <w:sz w:val="20"/>
                <w:szCs w:val="20"/>
                <w:color w:val="auto"/>
              </w:rPr>
            </w:pPr>
            <w:r>
              <w:rPr>
                <w:rFonts w:ascii="Times New Roman" w:cs="Times New Roman" w:eastAsia="Times New Roman" w:hAnsi="Times New Roman"/>
                <w:sz w:val="10"/>
                <w:szCs w:val="10"/>
                <w:color w:val="auto"/>
              </w:rPr>
              <w:t>5/30/2025</w:t>
            </w:r>
          </w:p>
        </w:tc>
        <w:tc>
          <w:tcPr>
            <w:tcW w:w="10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100"/>
              <w:spacing w:after="0" w:line="105" w:lineRule="exact"/>
              <w:rPr>
                <w:sz w:val="20"/>
                <w:szCs w:val="20"/>
                <w:color w:val="auto"/>
              </w:rPr>
            </w:pPr>
            <w:r>
              <w:rPr>
                <w:rFonts w:ascii="Times New Roman" w:cs="Times New Roman" w:eastAsia="Times New Roman" w:hAnsi="Times New Roman"/>
                <w:sz w:val="10"/>
                <w:szCs w:val="10"/>
                <w:color w:val="auto"/>
              </w:rPr>
              <w:t>3/1/2028</w:t>
            </w:r>
          </w:p>
        </w:tc>
        <w:tc>
          <w:tcPr>
            <w:tcW w:w="420" w:type="dxa"/>
            <w:vAlign w:val="bottom"/>
            <w:gridSpan w:val="2"/>
            <w:shd w:val="clear" w:color="auto" w:fill="CCEEFF"/>
          </w:tcPr>
          <w:p>
            <w:pPr>
              <w:jc w:val="right"/>
              <w:ind w:right="80"/>
              <w:spacing w:after="0" w:line="105" w:lineRule="exact"/>
              <w:rPr>
                <w:sz w:val="20"/>
                <w:szCs w:val="20"/>
                <w:color w:val="auto"/>
              </w:rPr>
            </w:pPr>
            <w:r>
              <w:rPr>
                <w:rFonts w:ascii="Times New Roman" w:cs="Times New Roman" w:eastAsia="Times New Roman" w:hAnsi="Times New Roman"/>
                <w:sz w:val="10"/>
                <w:szCs w:val="10"/>
                <w:color w:val="auto"/>
              </w:rPr>
              <w:t>2,103</w:t>
            </w:r>
          </w:p>
        </w:tc>
        <w:tc>
          <w:tcPr>
            <w:tcW w:w="440" w:type="dxa"/>
            <w:vAlign w:val="bottom"/>
            <w:gridSpan w:val="2"/>
            <w:shd w:val="clear" w:color="auto" w:fill="CCEEFF"/>
          </w:tcPr>
          <w:p>
            <w:pPr>
              <w:jc w:val="right"/>
              <w:ind w:right="140"/>
              <w:spacing w:after="0" w:line="105" w:lineRule="exact"/>
              <w:rPr>
                <w:sz w:val="20"/>
                <w:szCs w:val="20"/>
                <w:color w:val="auto"/>
              </w:rPr>
            </w:pPr>
            <w:r>
              <w:rPr>
                <w:rFonts w:ascii="Times New Roman" w:cs="Times New Roman" w:eastAsia="Times New Roman" w:hAnsi="Times New Roman"/>
                <w:sz w:val="10"/>
                <w:szCs w:val="10"/>
                <w:color w:val="auto"/>
              </w:rPr>
              <w:t>2,058</w:t>
            </w:r>
          </w:p>
        </w:tc>
        <w:tc>
          <w:tcPr>
            <w:tcW w:w="420" w:type="dxa"/>
            <w:vAlign w:val="bottom"/>
            <w:gridSpan w:val="2"/>
            <w:shd w:val="clear" w:color="auto" w:fill="CCEEFF"/>
          </w:tcPr>
          <w:p>
            <w:pPr>
              <w:jc w:val="right"/>
              <w:ind w:right="100"/>
              <w:spacing w:after="0" w:line="105" w:lineRule="exact"/>
              <w:rPr>
                <w:sz w:val="20"/>
                <w:szCs w:val="20"/>
                <w:color w:val="auto"/>
              </w:rPr>
            </w:pPr>
            <w:r>
              <w:rPr>
                <w:rFonts w:ascii="Times New Roman" w:cs="Times New Roman" w:eastAsia="Times New Roman" w:hAnsi="Times New Roman"/>
                <w:sz w:val="10"/>
                <w:szCs w:val="10"/>
                <w:color w:val="auto"/>
              </w:rPr>
              <w:t>2,103</w:t>
            </w:r>
          </w:p>
        </w:tc>
        <w:tc>
          <w:tcPr>
            <w:tcW w:w="3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r>
      <w:tr>
        <w:trPr>
          <w:trHeight w:val="91"/>
        </w:trPr>
        <w:tc>
          <w:tcPr>
            <w:tcW w:w="1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980" w:type="dxa"/>
            <w:vAlign w:val="bottom"/>
            <w:gridSpan w:val="2"/>
          </w:tcPr>
          <w:p>
            <w:pPr>
              <w:spacing w:after="0" w:line="92" w:lineRule="exact"/>
              <w:rPr>
                <w:sz w:val="20"/>
                <w:szCs w:val="20"/>
                <w:color w:val="auto"/>
              </w:rPr>
            </w:pPr>
            <w:r>
              <w:rPr>
                <w:rFonts w:ascii="Times New Roman" w:cs="Times New Roman" w:eastAsia="Times New Roman" w:hAnsi="Times New Roman"/>
                <w:sz w:val="10"/>
                <w:szCs w:val="10"/>
                <w:color w:val="auto"/>
              </w:rPr>
              <w:t>Common Equity (140</w:t>
            </w:r>
          </w:p>
        </w:tc>
        <w:tc>
          <w:tcPr>
            <w:tcW w:w="960" w:type="dxa"/>
            <w:vAlign w:val="bottom"/>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0" w:type="dxa"/>
            <w:vAlign w:val="bottom"/>
          </w:tcPr>
          <w:p>
            <w:pPr>
              <w:spacing w:after="0"/>
              <w:rPr>
                <w:sz w:val="7"/>
                <w:szCs w:val="7"/>
                <w:color w:val="auto"/>
              </w:rPr>
            </w:pPr>
          </w:p>
        </w:tc>
        <w:tc>
          <w:tcPr>
            <w:tcW w:w="360" w:type="dxa"/>
            <w:vAlign w:val="bottom"/>
          </w:tcPr>
          <w:p>
            <w:pPr>
              <w:spacing w:after="0"/>
              <w:rPr>
                <w:sz w:val="7"/>
                <w:szCs w:val="7"/>
                <w:color w:val="auto"/>
              </w:rPr>
            </w:pPr>
          </w:p>
        </w:tc>
        <w:tc>
          <w:tcPr>
            <w:tcW w:w="120" w:type="dxa"/>
            <w:vAlign w:val="bottom"/>
          </w:tcPr>
          <w:p>
            <w:pPr>
              <w:spacing w:after="0"/>
              <w:rPr>
                <w:sz w:val="7"/>
                <w:szCs w:val="7"/>
                <w:color w:val="auto"/>
              </w:rPr>
            </w:pPr>
          </w:p>
        </w:tc>
      </w:tr>
      <w:tr>
        <w:trPr>
          <w:trHeight w:val="118"/>
        </w:trPr>
        <w:tc>
          <w:tcPr>
            <w:tcW w:w="1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8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shares)</w:t>
            </w:r>
          </w:p>
        </w:tc>
        <w:tc>
          <w:tcPr>
            <w:tcW w:w="9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1.3%</w:t>
            </w:r>
          </w:p>
        </w:tc>
        <w:tc>
          <w:tcPr>
            <w:tcW w:w="8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2/28/2023</w:t>
            </w: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1,402</w:t>
            </w: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4,274</w:t>
            </w: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21"/>
        </w:trPr>
        <w:tc>
          <w:tcPr>
            <w:tcW w:w="1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05"/>
        </w:trPr>
        <w:tc>
          <w:tcPr>
            <w:tcW w:w="11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40" w:type="dxa"/>
            <w:vAlign w:val="bottom"/>
            <w:gridSpan w:val="2"/>
            <w:shd w:val="clear" w:color="auto" w:fill="CCEEFF"/>
          </w:tcPr>
          <w:p>
            <w:pPr>
              <w:jc w:val="right"/>
              <w:ind w:right="140"/>
              <w:spacing w:after="0" w:line="105" w:lineRule="exact"/>
              <w:rPr>
                <w:sz w:val="20"/>
                <w:szCs w:val="20"/>
                <w:color w:val="auto"/>
              </w:rPr>
            </w:pPr>
            <w:r>
              <w:rPr>
                <w:rFonts w:ascii="Times New Roman" w:cs="Times New Roman" w:eastAsia="Times New Roman" w:hAnsi="Times New Roman"/>
                <w:sz w:val="10"/>
                <w:szCs w:val="10"/>
                <w:color w:val="auto"/>
              </w:rPr>
              <w:t>18,961</w:t>
            </w:r>
          </w:p>
        </w:tc>
        <w:tc>
          <w:tcPr>
            <w:tcW w:w="420" w:type="dxa"/>
            <w:vAlign w:val="bottom"/>
            <w:gridSpan w:val="2"/>
            <w:shd w:val="clear" w:color="auto" w:fill="CCEEFF"/>
          </w:tcPr>
          <w:p>
            <w:pPr>
              <w:jc w:val="right"/>
              <w:ind w:right="100"/>
              <w:spacing w:after="0" w:line="105" w:lineRule="exact"/>
              <w:rPr>
                <w:sz w:val="20"/>
                <w:szCs w:val="20"/>
                <w:color w:val="auto"/>
              </w:rPr>
            </w:pPr>
            <w:r>
              <w:rPr>
                <w:rFonts w:ascii="Times New Roman" w:cs="Times New Roman" w:eastAsia="Times New Roman" w:hAnsi="Times New Roman"/>
                <w:sz w:val="10"/>
                <w:szCs w:val="10"/>
                <w:color w:val="auto"/>
              </w:rPr>
              <w:t>21,928</w:t>
            </w:r>
          </w:p>
        </w:tc>
        <w:tc>
          <w:tcPr>
            <w:tcW w:w="480" w:type="dxa"/>
            <w:vAlign w:val="bottom"/>
            <w:gridSpan w:val="2"/>
            <w:shd w:val="clear" w:color="auto" w:fill="CCEEFF"/>
          </w:tcPr>
          <w:p>
            <w:pPr>
              <w:jc w:val="right"/>
              <w:ind w:right="40"/>
              <w:spacing w:after="0" w:line="105" w:lineRule="exact"/>
              <w:rPr>
                <w:sz w:val="20"/>
                <w:szCs w:val="20"/>
                <w:color w:val="auto"/>
              </w:rPr>
            </w:pPr>
            <w:r>
              <w:rPr>
                <w:rFonts w:ascii="Times New Roman" w:cs="Times New Roman" w:eastAsia="Times New Roman" w:hAnsi="Times New Roman"/>
                <w:sz w:val="10"/>
                <w:szCs w:val="10"/>
                <w:color w:val="auto"/>
              </w:rPr>
              <w:t>3%</w:t>
            </w:r>
          </w:p>
        </w:tc>
      </w:tr>
    </w:tbl>
    <w:p>
      <w:pPr>
        <w:spacing w:after="0" w:line="10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55</w:t>
      </w:r>
    </w:p>
    <w:p>
      <w:pPr>
        <w:sectPr>
          <w:pgSz w:w="11900" w:h="16838" w:orient="portrait"/>
          <w:cols w:equalWidth="0" w:num="1">
            <w:col w:w="10159"/>
          </w:cols>
          <w:pgMar w:left="300" w:top="384" w:right="1440"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27">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ectPr>
          <w:pgSz w:w="11900" w:h="16838" w:orient="portrait"/>
          <w:cols w:equalWidth="0" w:num="1">
            <w:col w:w="10159"/>
          </w:cols>
          <w:pgMar w:left="300" w:top="384" w:right="1440" w:bottom="1440" w:gutter="0" w:footer="0" w:header="0"/>
        </w:sectPr>
      </w:pPr>
    </w:p>
    <w:p>
      <w:pPr>
        <w:spacing w:after="0" w:line="264" w:lineRule="exact"/>
        <w:rPr>
          <w:sz w:val="20"/>
          <w:szCs w:val="20"/>
          <w:color w:val="auto"/>
        </w:rPr>
      </w:pPr>
    </w:p>
    <w:tbl>
      <w:tblPr>
        <w:tblLayout w:type="fixed"/>
        <w:tblInd w:w="1380" w:type="dxa"/>
        <w:tblCellMar>
          <w:top w:w="0" w:type="dxa"/>
          <w:left w:w="0" w:type="dxa"/>
          <w:bottom w:w="0" w:type="dxa"/>
          <w:right w:w="0" w:type="dxa"/>
        </w:tblCellMar>
      </w:tblPr>
      <w:tr>
        <w:trPr>
          <w:trHeight w:val="94"/>
        </w:trPr>
        <w:tc>
          <w:tcPr>
            <w:tcW w:w="1300" w:type="dxa"/>
            <w:vAlign w:val="bottom"/>
            <w:gridSpan w:val="2"/>
          </w:tcPr>
          <w:p>
            <w:pPr>
              <w:spacing w:after="0"/>
              <w:rPr>
                <w:sz w:val="20"/>
                <w:szCs w:val="20"/>
                <w:color w:val="auto"/>
              </w:rPr>
            </w:pPr>
            <w:r>
              <w:rPr>
                <w:rFonts w:ascii="Times New Roman" w:cs="Times New Roman" w:eastAsia="Times New Roman" w:hAnsi="Times New Roman"/>
                <w:sz w:val="8"/>
                <w:szCs w:val="8"/>
                <w:b w:val="1"/>
                <w:bCs w:val="1"/>
                <w:color w:val="auto"/>
              </w:rPr>
              <w:t>Portfolio Company (a)(b)</w:t>
            </w:r>
          </w:p>
        </w:tc>
        <w:tc>
          <w:tcPr>
            <w:tcW w:w="4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9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1300" w:type="dxa"/>
            <w:vAlign w:val="bottom"/>
            <w:gridSpan w:val="2"/>
          </w:tcPr>
          <w:p>
            <w:pPr>
              <w:spacing w:after="0"/>
              <w:rPr>
                <w:sz w:val="20"/>
                <w:szCs w:val="20"/>
                <w:color w:val="auto"/>
              </w:rPr>
            </w:pPr>
            <w:r>
              <w:rPr>
                <w:rFonts w:ascii="Times New Roman" w:cs="Times New Roman" w:eastAsia="Times New Roman" w:hAnsi="Times New Roman"/>
                <w:sz w:val="8"/>
                <w:szCs w:val="8"/>
                <w:b w:val="1"/>
                <w:bCs w:val="1"/>
                <w:color w:val="auto"/>
              </w:rPr>
              <w:t>Address of Portfolio Company</w:t>
            </w:r>
          </w:p>
        </w:tc>
        <w:tc>
          <w:tcPr>
            <w:tcW w:w="40" w:type="dxa"/>
            <w:vAlign w:val="bottom"/>
          </w:tcPr>
          <w:p>
            <w:pPr>
              <w:spacing w:after="0"/>
              <w:rPr>
                <w:sz w:val="10"/>
                <w:szCs w:val="10"/>
                <w:color w:val="auto"/>
              </w:rPr>
            </w:pPr>
          </w:p>
        </w:tc>
        <w:tc>
          <w:tcPr>
            <w:tcW w:w="860" w:type="dxa"/>
            <w:vAlign w:val="bottom"/>
          </w:tcPr>
          <w:p>
            <w:pPr>
              <w:ind w:left="80"/>
              <w:spacing w:after="0"/>
              <w:rPr>
                <w:sz w:val="20"/>
                <w:szCs w:val="20"/>
                <w:color w:val="auto"/>
              </w:rPr>
            </w:pPr>
            <w:r>
              <w:rPr>
                <w:rFonts w:ascii="Times New Roman" w:cs="Times New Roman" w:eastAsia="Times New Roman" w:hAnsi="Times New Roman"/>
                <w:sz w:val="8"/>
                <w:szCs w:val="8"/>
                <w:b w:val="1"/>
                <w:bCs w:val="1"/>
                <w:color w:val="auto"/>
              </w:rPr>
              <w:t>Investment Type (c)</w:t>
            </w:r>
          </w:p>
        </w:tc>
        <w:tc>
          <w:tcPr>
            <w:tcW w:w="60" w:type="dxa"/>
            <w:vAlign w:val="bottom"/>
          </w:tcPr>
          <w:p>
            <w:pPr>
              <w:spacing w:after="0"/>
              <w:rPr>
                <w:sz w:val="10"/>
                <w:szCs w:val="10"/>
                <w:color w:val="auto"/>
              </w:rPr>
            </w:pPr>
          </w:p>
        </w:tc>
        <w:tc>
          <w:tcPr>
            <w:tcW w:w="960" w:type="dxa"/>
            <w:vAlign w:val="bottom"/>
          </w:tcPr>
          <w:p>
            <w:pPr>
              <w:ind w:left="320"/>
              <w:spacing w:after="0"/>
              <w:rPr>
                <w:sz w:val="20"/>
                <w:szCs w:val="20"/>
                <w:color w:val="auto"/>
              </w:rPr>
            </w:pPr>
            <w:r>
              <w:rPr>
                <w:rFonts w:ascii="Times New Roman" w:cs="Times New Roman" w:eastAsia="Times New Roman" w:hAnsi="Times New Roman"/>
                <w:sz w:val="8"/>
                <w:szCs w:val="8"/>
                <w:b w:val="1"/>
                <w:bCs w:val="1"/>
                <w:color w:val="auto"/>
              </w:rPr>
              <w:t>Industry</w:t>
            </w:r>
          </w:p>
        </w:tc>
        <w:tc>
          <w:tcPr>
            <w:tcW w:w="0" w:type="dxa"/>
            <w:vAlign w:val="bottom"/>
          </w:tcPr>
          <w:p>
            <w:pPr>
              <w:spacing w:after="0"/>
              <w:rPr>
                <w:sz w:val="1"/>
                <w:szCs w:val="1"/>
                <w:color w:val="auto"/>
              </w:rPr>
            </w:pPr>
          </w:p>
        </w:tc>
      </w:tr>
      <w:tr>
        <w:trPr>
          <w:trHeight w:val="65"/>
        </w:trPr>
        <w:tc>
          <w:tcPr>
            <w:tcW w:w="1100" w:type="dxa"/>
            <w:vAlign w:val="bottom"/>
            <w:tcBorders>
              <w:top w:val="single" w:sz="8" w:color="auto"/>
            </w:tcBorders>
          </w:tcPr>
          <w:p>
            <w:pPr>
              <w:spacing w:after="0" w:line="65" w:lineRule="exact"/>
              <w:rPr>
                <w:sz w:val="20"/>
                <w:szCs w:val="20"/>
                <w:color w:val="auto"/>
              </w:rPr>
            </w:pPr>
            <w:r>
              <w:rPr>
                <w:rFonts w:ascii="Times New Roman" w:cs="Times New Roman" w:eastAsia="Times New Roman" w:hAnsi="Times New Roman"/>
                <w:sz w:val="7"/>
                <w:szCs w:val="7"/>
                <w:i w:val="1"/>
                <w:iCs w:val="1"/>
                <w:color w:val="auto"/>
              </w:rPr>
              <w:t>Quest Software US Holdings</w:t>
            </w:r>
          </w:p>
        </w:tc>
        <w:tc>
          <w:tcPr>
            <w:tcW w:w="200" w:type="dxa"/>
            <w:vAlign w:val="bottom"/>
          </w:tcPr>
          <w:p>
            <w:pPr>
              <w:spacing w:after="0"/>
              <w:rPr>
                <w:sz w:val="5"/>
                <w:szCs w:val="5"/>
                <w:color w:val="auto"/>
              </w:rPr>
            </w:pPr>
          </w:p>
        </w:tc>
        <w:tc>
          <w:tcPr>
            <w:tcW w:w="40" w:type="dxa"/>
            <w:vAlign w:val="bottom"/>
          </w:tcPr>
          <w:p>
            <w:pPr>
              <w:spacing w:after="0"/>
              <w:rPr>
                <w:sz w:val="5"/>
                <w:szCs w:val="5"/>
                <w:color w:val="auto"/>
              </w:rPr>
            </w:pPr>
          </w:p>
        </w:tc>
        <w:tc>
          <w:tcPr>
            <w:tcW w:w="860" w:type="dxa"/>
            <w:vAlign w:val="bottom"/>
            <w:tcBorders>
              <w:top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960" w:type="dxa"/>
            <w:vAlign w:val="bottom"/>
            <w:tcBorders>
              <w:top w:val="single" w:sz="8" w:color="auto"/>
            </w:tcBorders>
          </w:tcPr>
          <w:p>
            <w:pPr>
              <w:spacing w:after="0" w:line="65" w:lineRule="exact"/>
              <w:rPr>
                <w:sz w:val="20"/>
                <w:szCs w:val="20"/>
                <w:color w:val="auto"/>
              </w:rPr>
            </w:pPr>
            <w:r>
              <w:rPr>
                <w:rFonts w:ascii="Times New Roman" w:cs="Times New Roman" w:eastAsia="Times New Roman" w:hAnsi="Times New Roman"/>
                <w:sz w:val="7"/>
                <w:szCs w:val="7"/>
                <w:color w:val="auto"/>
              </w:rPr>
              <w:t>Information Technology</w:t>
            </w:r>
          </w:p>
        </w:tc>
        <w:tc>
          <w:tcPr>
            <w:tcW w:w="0" w:type="dxa"/>
            <w:vAlign w:val="bottom"/>
          </w:tcPr>
          <w:p>
            <w:pPr>
              <w:spacing w:after="0"/>
              <w:rPr>
                <w:sz w:val="1"/>
                <w:szCs w:val="1"/>
                <w:color w:val="auto"/>
              </w:rPr>
            </w:pPr>
          </w:p>
        </w:tc>
      </w:tr>
      <w:tr>
        <w:trPr>
          <w:trHeight w:val="112"/>
        </w:trPr>
        <w:tc>
          <w:tcPr>
            <w:tcW w:w="1300" w:type="dxa"/>
            <w:vAlign w:val="bottom"/>
            <w:gridSpan w:val="2"/>
          </w:tcPr>
          <w:p>
            <w:pPr>
              <w:spacing w:after="0" w:line="113" w:lineRule="exact"/>
              <w:rPr>
                <w:sz w:val="20"/>
                <w:szCs w:val="20"/>
                <w:color w:val="auto"/>
              </w:rPr>
            </w:pPr>
            <w:r>
              <w:rPr>
                <w:rFonts w:ascii="Times New Roman" w:cs="Times New Roman" w:eastAsia="Times New Roman" w:hAnsi="Times New Roman"/>
                <w:sz w:val="10"/>
                <w:szCs w:val="10"/>
                <w:i w:val="1"/>
                <w:iCs w:val="1"/>
                <w:color w:val="auto"/>
              </w:rPr>
              <w:t>Inc.</w:t>
            </w:r>
          </w:p>
        </w:tc>
        <w:tc>
          <w:tcPr>
            <w:tcW w:w="4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20" w:type="dxa"/>
            <w:vAlign w:val="bottom"/>
            <w:gridSpan w:val="2"/>
          </w:tcPr>
          <w:p>
            <w:pPr>
              <w:ind w:left="60"/>
              <w:spacing w:after="0" w:line="113" w:lineRule="exact"/>
              <w:rPr>
                <w:sz w:val="20"/>
                <w:szCs w:val="20"/>
                <w:color w:val="auto"/>
              </w:rPr>
            </w:pPr>
            <w:r>
              <w:rPr>
                <w:rFonts w:ascii="Times New Roman" w:cs="Times New Roman" w:eastAsia="Times New Roman" w:hAnsi="Times New Roman"/>
                <w:sz w:val="10"/>
                <w:szCs w:val="10"/>
                <w:color w:val="auto"/>
              </w:rPr>
              <w:t>Services</w:t>
            </w:r>
          </w:p>
        </w:tc>
        <w:tc>
          <w:tcPr>
            <w:tcW w:w="0" w:type="dxa"/>
            <w:vAlign w:val="bottom"/>
          </w:tcPr>
          <w:p>
            <w:pPr>
              <w:spacing w:after="0"/>
              <w:rPr>
                <w:sz w:val="1"/>
                <w:szCs w:val="1"/>
                <w:color w:val="auto"/>
              </w:rPr>
            </w:pPr>
          </w:p>
        </w:tc>
      </w:tr>
      <w:tr>
        <w:trPr>
          <w:trHeight w:val="105"/>
        </w:trPr>
        <w:tc>
          <w:tcPr>
            <w:tcW w:w="1300" w:type="dxa"/>
            <w:vAlign w:val="bottom"/>
            <w:gridSpan w:val="2"/>
          </w:tcPr>
          <w:p>
            <w:pPr>
              <w:ind w:left="100"/>
              <w:spacing w:after="0" w:line="105" w:lineRule="exact"/>
              <w:rPr>
                <w:sz w:val="20"/>
                <w:szCs w:val="20"/>
                <w:color w:val="auto"/>
              </w:rPr>
            </w:pPr>
            <w:r>
              <w:rPr>
                <w:rFonts w:ascii="Times New Roman" w:cs="Times New Roman" w:eastAsia="Times New Roman" w:hAnsi="Times New Roman"/>
                <w:sz w:val="10"/>
                <w:szCs w:val="10"/>
                <w:color w:val="auto"/>
              </w:rPr>
              <w:t>4 Polaris Way</w:t>
            </w:r>
          </w:p>
        </w:tc>
        <w:tc>
          <w:tcPr>
            <w:tcW w:w="900" w:type="dxa"/>
            <w:vAlign w:val="bottom"/>
            <w:gridSpan w:val="2"/>
          </w:tcPr>
          <w:p>
            <w:pPr>
              <w:ind w:left="40"/>
              <w:spacing w:after="0" w:line="105" w:lineRule="exact"/>
              <w:rPr>
                <w:sz w:val="20"/>
                <w:szCs w:val="20"/>
                <w:color w:val="auto"/>
              </w:rPr>
            </w:pPr>
            <w:r>
              <w:rPr>
                <w:rFonts w:ascii="Times New Roman" w:cs="Times New Roman" w:eastAsia="Times New Roman" w:hAnsi="Times New Roman"/>
                <w:sz w:val="10"/>
                <w:szCs w:val="10"/>
                <w:color w:val="auto"/>
              </w:rPr>
              <w:t>First Lien Debt</w:t>
            </w:r>
          </w:p>
        </w:tc>
        <w:tc>
          <w:tcPr>
            <w:tcW w:w="60" w:type="dxa"/>
            <w:vAlign w:val="bottom"/>
          </w:tcPr>
          <w:p>
            <w:pPr>
              <w:spacing w:after="0"/>
              <w:rPr>
                <w:sz w:val="9"/>
                <w:szCs w:val="9"/>
                <w:color w:val="auto"/>
              </w:rPr>
            </w:pP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1300" w:type="dxa"/>
            <w:vAlign w:val="bottom"/>
            <w:gridSpan w:val="2"/>
          </w:tcPr>
          <w:p>
            <w:pPr>
              <w:ind w:left="100"/>
              <w:spacing w:after="0"/>
              <w:rPr>
                <w:sz w:val="20"/>
                <w:szCs w:val="20"/>
                <w:color w:val="auto"/>
              </w:rPr>
            </w:pPr>
            <w:r>
              <w:rPr>
                <w:rFonts w:ascii="Times New Roman" w:cs="Times New Roman" w:eastAsia="Times New Roman" w:hAnsi="Times New Roman"/>
                <w:sz w:val="10"/>
                <w:szCs w:val="10"/>
                <w:color w:val="auto"/>
              </w:rPr>
              <w:t>Aliso Viejo, CA 92656</w:t>
            </w:r>
          </w:p>
        </w:tc>
        <w:tc>
          <w:tcPr>
            <w:tcW w:w="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6"/>
        </w:trPr>
        <w:tc>
          <w:tcPr>
            <w:tcW w:w="1300" w:type="dxa"/>
            <w:vAlign w:val="bottom"/>
            <w:gridSpan w:val="2"/>
          </w:tcPr>
          <w:p>
            <w:pPr>
              <w:spacing w:after="0"/>
              <w:rPr>
                <w:sz w:val="20"/>
                <w:szCs w:val="20"/>
                <w:color w:val="auto"/>
              </w:rPr>
            </w:pPr>
            <w:r>
              <w:rPr>
                <w:rFonts w:ascii="Times New Roman" w:cs="Times New Roman" w:eastAsia="Times New Roman" w:hAnsi="Times New Roman"/>
                <w:sz w:val="10"/>
                <w:szCs w:val="10"/>
                <w:i w:val="1"/>
                <w:iCs w:val="1"/>
                <w:color w:val="auto"/>
              </w:rPr>
              <w:t>R1 Holdings, LLC (dba</w:t>
            </w:r>
          </w:p>
        </w:tc>
        <w:tc>
          <w:tcPr>
            <w:tcW w:w="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1300" w:type="dxa"/>
            <w:vAlign w:val="bottom"/>
            <w:gridSpan w:val="2"/>
          </w:tcPr>
          <w:p>
            <w:pPr>
              <w:spacing w:after="0" w:line="107" w:lineRule="exact"/>
              <w:rPr>
                <w:sz w:val="20"/>
                <w:szCs w:val="20"/>
                <w:color w:val="auto"/>
              </w:rPr>
            </w:pPr>
            <w:r>
              <w:rPr>
                <w:rFonts w:ascii="Times New Roman" w:cs="Times New Roman" w:eastAsia="Times New Roman" w:hAnsi="Times New Roman"/>
                <w:sz w:val="10"/>
                <w:szCs w:val="10"/>
                <w:i w:val="1"/>
                <w:iCs w:val="1"/>
                <w:color w:val="auto"/>
              </w:rPr>
              <w:t>RoadOne IntermodaLogistics)</w:t>
            </w:r>
          </w:p>
        </w:tc>
        <w:tc>
          <w:tcPr>
            <w:tcW w:w="4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20" w:type="dxa"/>
            <w:vAlign w:val="bottom"/>
            <w:gridSpan w:val="2"/>
          </w:tcPr>
          <w:p>
            <w:pPr>
              <w:ind w:left="60"/>
              <w:spacing w:after="0" w:line="107" w:lineRule="exact"/>
              <w:rPr>
                <w:sz w:val="20"/>
                <w:szCs w:val="20"/>
                <w:color w:val="auto"/>
              </w:rPr>
            </w:pPr>
            <w:r>
              <w:rPr>
                <w:rFonts w:ascii="Times New Roman" w:cs="Times New Roman" w:eastAsia="Times New Roman" w:hAnsi="Times New Roman"/>
                <w:sz w:val="10"/>
                <w:szCs w:val="10"/>
                <w:color w:val="auto"/>
              </w:rPr>
              <w:t>Transportation services</w:t>
            </w:r>
          </w:p>
        </w:tc>
        <w:tc>
          <w:tcPr>
            <w:tcW w:w="0" w:type="dxa"/>
            <w:vAlign w:val="bottom"/>
          </w:tcPr>
          <w:p>
            <w:pPr>
              <w:spacing w:after="0"/>
              <w:rPr>
                <w:sz w:val="1"/>
                <w:szCs w:val="1"/>
                <w:color w:val="auto"/>
              </w:rPr>
            </w:pPr>
          </w:p>
        </w:tc>
      </w:tr>
      <w:tr>
        <w:trPr>
          <w:trHeight w:val="105"/>
        </w:trPr>
        <w:tc>
          <w:tcPr>
            <w:tcW w:w="1300" w:type="dxa"/>
            <w:vAlign w:val="bottom"/>
            <w:gridSpan w:val="2"/>
          </w:tcPr>
          <w:p>
            <w:pPr>
              <w:ind w:left="100"/>
              <w:spacing w:after="0" w:line="105" w:lineRule="exact"/>
              <w:rPr>
                <w:sz w:val="20"/>
                <w:szCs w:val="20"/>
                <w:color w:val="auto"/>
              </w:rPr>
            </w:pPr>
            <w:r>
              <w:rPr>
                <w:rFonts w:ascii="Times New Roman" w:cs="Times New Roman" w:eastAsia="Times New Roman" w:hAnsi="Times New Roman"/>
                <w:sz w:val="10"/>
                <w:szCs w:val="10"/>
                <w:color w:val="auto"/>
              </w:rPr>
              <w:t>1 Kellaway Drive</w:t>
            </w:r>
          </w:p>
        </w:tc>
        <w:tc>
          <w:tcPr>
            <w:tcW w:w="900" w:type="dxa"/>
            <w:vAlign w:val="bottom"/>
            <w:gridSpan w:val="2"/>
          </w:tcPr>
          <w:p>
            <w:pPr>
              <w:ind w:left="40"/>
              <w:spacing w:after="0" w:line="105" w:lineRule="exact"/>
              <w:rPr>
                <w:sz w:val="20"/>
                <w:szCs w:val="20"/>
                <w:color w:val="auto"/>
              </w:rPr>
            </w:pPr>
            <w:r>
              <w:rPr>
                <w:rFonts w:ascii="Times New Roman" w:cs="Times New Roman" w:eastAsia="Times New Roman" w:hAnsi="Times New Roman"/>
                <w:sz w:val="10"/>
                <w:szCs w:val="10"/>
                <w:color w:val="auto"/>
              </w:rPr>
              <w:t>First Lien Debt (j)</w:t>
            </w:r>
          </w:p>
        </w:tc>
        <w:tc>
          <w:tcPr>
            <w:tcW w:w="60" w:type="dxa"/>
            <w:vAlign w:val="bottom"/>
          </w:tcPr>
          <w:p>
            <w:pPr>
              <w:spacing w:after="0"/>
              <w:rPr>
                <w:sz w:val="9"/>
                <w:szCs w:val="9"/>
                <w:color w:val="auto"/>
              </w:rPr>
            </w:pP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300" w:type="dxa"/>
            <w:vAlign w:val="bottom"/>
            <w:gridSpan w:val="2"/>
          </w:tcPr>
          <w:p>
            <w:pPr>
              <w:ind w:left="100"/>
              <w:spacing w:after="0" w:line="105" w:lineRule="exact"/>
              <w:rPr>
                <w:sz w:val="20"/>
                <w:szCs w:val="20"/>
                <w:color w:val="auto"/>
              </w:rPr>
            </w:pPr>
            <w:r>
              <w:rPr>
                <w:rFonts w:ascii="Times New Roman" w:cs="Times New Roman" w:eastAsia="Times New Roman" w:hAnsi="Times New Roman"/>
                <w:sz w:val="10"/>
                <w:szCs w:val="10"/>
                <w:color w:val="auto"/>
              </w:rPr>
              <w:t>Randolph, MA 02368</w:t>
            </w:r>
          </w:p>
        </w:tc>
        <w:tc>
          <w:tcPr>
            <w:tcW w:w="900" w:type="dxa"/>
            <w:vAlign w:val="bottom"/>
            <w:gridSpan w:val="2"/>
          </w:tcPr>
          <w:p>
            <w:pPr>
              <w:ind w:left="40"/>
              <w:spacing w:after="0" w:line="105" w:lineRule="exact"/>
              <w:rPr>
                <w:sz w:val="20"/>
                <w:szCs w:val="20"/>
                <w:color w:val="auto"/>
              </w:rPr>
            </w:pPr>
            <w:r>
              <w:rPr>
                <w:rFonts w:ascii="Times New Roman" w:cs="Times New Roman" w:eastAsia="Times New Roman" w:hAnsi="Times New Roman"/>
                <w:sz w:val="10"/>
                <w:szCs w:val="10"/>
                <w:color w:val="auto"/>
              </w:rPr>
              <w:t>Subordinated Debt</w:t>
            </w:r>
          </w:p>
        </w:tc>
        <w:tc>
          <w:tcPr>
            <w:tcW w:w="60" w:type="dxa"/>
            <w:vAlign w:val="bottom"/>
          </w:tcPr>
          <w:p>
            <w:pPr>
              <w:spacing w:after="0"/>
              <w:rPr>
                <w:sz w:val="9"/>
                <w:szCs w:val="9"/>
                <w:color w:val="auto"/>
              </w:rPr>
            </w:pP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900" w:type="dxa"/>
            <w:vAlign w:val="bottom"/>
            <w:gridSpan w:val="2"/>
          </w:tcPr>
          <w:p>
            <w:pPr>
              <w:ind w:left="40"/>
              <w:spacing w:after="0" w:line="105" w:lineRule="exact"/>
              <w:rPr>
                <w:sz w:val="20"/>
                <w:szCs w:val="20"/>
                <w:color w:val="auto"/>
              </w:rPr>
            </w:pPr>
            <w:r>
              <w:rPr>
                <w:rFonts w:ascii="Times New Roman" w:cs="Times New Roman" w:eastAsia="Times New Roman" w:hAnsi="Times New Roman"/>
                <w:sz w:val="10"/>
                <w:szCs w:val="10"/>
                <w:color w:val="auto"/>
              </w:rPr>
              <w:t>Common Equity</w:t>
            </w:r>
          </w:p>
        </w:tc>
        <w:tc>
          <w:tcPr>
            <w:tcW w:w="60" w:type="dxa"/>
            <w:vAlign w:val="bottom"/>
          </w:tcPr>
          <w:p>
            <w:pPr>
              <w:spacing w:after="0"/>
              <w:rPr>
                <w:sz w:val="9"/>
                <w:szCs w:val="9"/>
                <w:color w:val="auto"/>
              </w:rPr>
            </w:pP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1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00" w:type="dxa"/>
            <w:vAlign w:val="bottom"/>
            <w:gridSpan w:val="2"/>
          </w:tcPr>
          <w:p>
            <w:pPr>
              <w:ind w:left="40"/>
              <w:spacing w:after="0"/>
              <w:rPr>
                <w:sz w:val="20"/>
                <w:szCs w:val="20"/>
                <w:color w:val="auto"/>
              </w:rPr>
            </w:pPr>
            <w:r>
              <w:rPr>
                <w:rFonts w:ascii="Times New Roman" w:cs="Times New Roman" w:eastAsia="Times New Roman" w:hAnsi="Times New Roman"/>
                <w:sz w:val="10"/>
                <w:szCs w:val="10"/>
                <w:color w:val="auto"/>
              </w:rPr>
              <w:t>(280,000 units)</w:t>
            </w:r>
          </w:p>
        </w:tc>
        <w:tc>
          <w:tcPr>
            <w:tcW w:w="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0"/>
        </w:trPr>
        <w:tc>
          <w:tcPr>
            <w:tcW w:w="1300" w:type="dxa"/>
            <w:vAlign w:val="bottom"/>
            <w:gridSpan w:val="2"/>
          </w:tcPr>
          <w:p>
            <w:pPr>
              <w:spacing w:after="0"/>
              <w:rPr>
                <w:sz w:val="20"/>
                <w:szCs w:val="20"/>
                <w:color w:val="auto"/>
              </w:rPr>
            </w:pPr>
            <w:r>
              <w:rPr>
                <w:rFonts w:ascii="Times New Roman" w:cs="Times New Roman" w:eastAsia="Times New Roman" w:hAnsi="Times New Roman"/>
                <w:sz w:val="10"/>
                <w:szCs w:val="10"/>
                <w:i w:val="1"/>
                <w:iCs w:val="1"/>
                <w:color w:val="auto"/>
              </w:rPr>
              <w:t>R.F. Fager Company LLC</w:t>
            </w:r>
          </w:p>
        </w:tc>
        <w:tc>
          <w:tcPr>
            <w:tcW w:w="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20" w:type="dxa"/>
            <w:vAlign w:val="bottom"/>
            <w:gridSpan w:val="2"/>
          </w:tcPr>
          <w:p>
            <w:pPr>
              <w:ind w:left="60"/>
              <w:spacing w:after="0"/>
              <w:rPr>
                <w:sz w:val="20"/>
                <w:szCs w:val="20"/>
                <w:color w:val="auto"/>
              </w:rPr>
            </w:pPr>
            <w:r>
              <w:rPr>
                <w:rFonts w:ascii="Times New Roman" w:cs="Times New Roman" w:eastAsia="Times New Roman" w:hAnsi="Times New Roman"/>
                <w:sz w:val="10"/>
                <w:szCs w:val="10"/>
                <w:color w:val="auto"/>
              </w:rPr>
              <w:t>Specialty Distribution</w:t>
            </w:r>
          </w:p>
        </w:tc>
        <w:tc>
          <w:tcPr>
            <w:tcW w:w="0" w:type="dxa"/>
            <w:vAlign w:val="bottom"/>
          </w:tcPr>
          <w:p>
            <w:pPr>
              <w:spacing w:after="0"/>
              <w:rPr>
                <w:sz w:val="1"/>
                <w:szCs w:val="1"/>
                <w:color w:val="auto"/>
              </w:rPr>
            </w:pPr>
          </w:p>
        </w:tc>
      </w:tr>
      <w:tr>
        <w:trPr>
          <w:trHeight w:val="105"/>
        </w:trPr>
        <w:tc>
          <w:tcPr>
            <w:tcW w:w="1300" w:type="dxa"/>
            <w:vAlign w:val="bottom"/>
            <w:gridSpan w:val="2"/>
          </w:tcPr>
          <w:p>
            <w:pPr>
              <w:ind w:left="100"/>
              <w:spacing w:after="0" w:line="105" w:lineRule="exact"/>
              <w:rPr>
                <w:sz w:val="20"/>
                <w:szCs w:val="20"/>
                <w:color w:val="auto"/>
              </w:rPr>
            </w:pPr>
            <w:r>
              <w:rPr>
                <w:rFonts w:ascii="Times New Roman" w:cs="Times New Roman" w:eastAsia="Times New Roman" w:hAnsi="Times New Roman"/>
                <w:sz w:val="10"/>
                <w:szCs w:val="10"/>
                <w:color w:val="auto"/>
              </w:rPr>
              <w:t>2058 State Road</w:t>
            </w:r>
          </w:p>
        </w:tc>
        <w:tc>
          <w:tcPr>
            <w:tcW w:w="900" w:type="dxa"/>
            <w:vAlign w:val="bottom"/>
            <w:gridSpan w:val="2"/>
          </w:tcPr>
          <w:p>
            <w:pPr>
              <w:ind w:left="40"/>
              <w:spacing w:after="0" w:line="105" w:lineRule="exact"/>
              <w:rPr>
                <w:sz w:val="20"/>
                <w:szCs w:val="20"/>
                <w:color w:val="auto"/>
              </w:rPr>
            </w:pPr>
            <w:r>
              <w:rPr>
                <w:rFonts w:ascii="Times New Roman" w:cs="Times New Roman" w:eastAsia="Times New Roman" w:hAnsi="Times New Roman"/>
                <w:sz w:val="10"/>
                <w:szCs w:val="10"/>
                <w:color w:val="auto"/>
              </w:rPr>
              <w:t>Second Lien Debt</w:t>
            </w:r>
          </w:p>
        </w:tc>
        <w:tc>
          <w:tcPr>
            <w:tcW w:w="60" w:type="dxa"/>
            <w:vAlign w:val="bottom"/>
          </w:tcPr>
          <w:p>
            <w:pPr>
              <w:spacing w:after="0"/>
              <w:rPr>
                <w:sz w:val="9"/>
                <w:szCs w:val="9"/>
                <w:color w:val="auto"/>
              </w:rPr>
            </w:pP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300" w:type="dxa"/>
            <w:vAlign w:val="bottom"/>
            <w:gridSpan w:val="2"/>
          </w:tcPr>
          <w:p>
            <w:pPr>
              <w:ind w:left="100"/>
              <w:spacing w:after="0" w:line="105" w:lineRule="exact"/>
              <w:rPr>
                <w:sz w:val="20"/>
                <w:szCs w:val="20"/>
                <w:color w:val="auto"/>
              </w:rPr>
            </w:pPr>
            <w:r>
              <w:rPr>
                <w:rFonts w:ascii="Times New Roman" w:cs="Times New Roman" w:eastAsia="Times New Roman" w:hAnsi="Times New Roman"/>
                <w:sz w:val="10"/>
                <w:szCs w:val="10"/>
                <w:color w:val="auto"/>
              </w:rPr>
              <w:t>Camp Hill, PA 17011</w:t>
            </w:r>
          </w:p>
        </w:tc>
        <w:tc>
          <w:tcPr>
            <w:tcW w:w="900" w:type="dxa"/>
            <w:vAlign w:val="bottom"/>
            <w:gridSpan w:val="2"/>
          </w:tcPr>
          <w:p>
            <w:pPr>
              <w:ind w:left="40"/>
              <w:spacing w:after="0" w:line="105" w:lineRule="exact"/>
              <w:rPr>
                <w:sz w:val="20"/>
                <w:szCs w:val="20"/>
                <w:color w:val="auto"/>
              </w:rPr>
            </w:pPr>
            <w:r>
              <w:rPr>
                <w:rFonts w:ascii="Times New Roman" w:cs="Times New Roman" w:eastAsia="Times New Roman" w:hAnsi="Times New Roman"/>
                <w:sz w:val="10"/>
                <w:szCs w:val="10"/>
                <w:color w:val="auto"/>
              </w:rPr>
              <w:t>Common Equity</w:t>
            </w:r>
          </w:p>
        </w:tc>
        <w:tc>
          <w:tcPr>
            <w:tcW w:w="60" w:type="dxa"/>
            <w:vAlign w:val="bottom"/>
          </w:tcPr>
          <w:p>
            <w:pPr>
              <w:spacing w:after="0"/>
              <w:rPr>
                <w:sz w:val="9"/>
                <w:szCs w:val="9"/>
                <w:color w:val="auto"/>
              </w:rPr>
            </w:pP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1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00" w:type="dxa"/>
            <w:vAlign w:val="bottom"/>
            <w:gridSpan w:val="2"/>
          </w:tcPr>
          <w:p>
            <w:pPr>
              <w:ind w:left="40"/>
              <w:spacing w:after="0"/>
              <w:rPr>
                <w:sz w:val="20"/>
                <w:szCs w:val="20"/>
                <w:color w:val="auto"/>
              </w:rPr>
            </w:pPr>
            <w:r>
              <w:rPr>
                <w:rFonts w:ascii="Times New Roman" w:cs="Times New Roman" w:eastAsia="Times New Roman" w:hAnsi="Times New Roman"/>
                <w:sz w:val="10"/>
                <w:szCs w:val="10"/>
                <w:color w:val="auto"/>
              </w:rPr>
              <w:t>(12,500 units) (h)</w:t>
            </w:r>
          </w:p>
        </w:tc>
        <w:tc>
          <w:tcPr>
            <w:tcW w:w="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0"/>
        </w:trPr>
        <w:tc>
          <w:tcPr>
            <w:tcW w:w="1300" w:type="dxa"/>
            <w:vAlign w:val="bottom"/>
            <w:gridSpan w:val="2"/>
          </w:tcPr>
          <w:p>
            <w:pPr>
              <w:spacing w:after="0"/>
              <w:rPr>
                <w:sz w:val="20"/>
                <w:szCs w:val="20"/>
                <w:color w:val="auto"/>
              </w:rPr>
            </w:pPr>
            <w:r>
              <w:rPr>
                <w:rFonts w:ascii="Times New Roman" w:cs="Times New Roman" w:eastAsia="Times New Roman" w:hAnsi="Times New Roman"/>
                <w:sz w:val="10"/>
                <w:szCs w:val="10"/>
                <w:i w:val="1"/>
                <w:iCs w:val="1"/>
                <w:color w:val="auto"/>
              </w:rPr>
              <w:t>Sales Rabbit, Inc.</w:t>
            </w:r>
          </w:p>
        </w:tc>
        <w:tc>
          <w:tcPr>
            <w:tcW w:w="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20" w:type="dxa"/>
            <w:vAlign w:val="bottom"/>
            <w:gridSpan w:val="2"/>
          </w:tcPr>
          <w:p>
            <w:pPr>
              <w:ind w:left="60"/>
              <w:spacing w:after="0"/>
              <w:rPr>
                <w:sz w:val="20"/>
                <w:szCs w:val="20"/>
                <w:color w:val="auto"/>
              </w:rPr>
            </w:pPr>
            <w:r>
              <w:rPr>
                <w:rFonts w:ascii="Times New Roman" w:cs="Times New Roman" w:eastAsia="Times New Roman" w:hAnsi="Times New Roman"/>
                <w:sz w:val="10"/>
                <w:szCs w:val="10"/>
                <w:color w:val="auto"/>
                <w:w w:val="95"/>
              </w:rPr>
              <w:t>Information Technology</w:t>
            </w:r>
          </w:p>
        </w:tc>
        <w:tc>
          <w:tcPr>
            <w:tcW w:w="0" w:type="dxa"/>
            <w:vAlign w:val="bottom"/>
          </w:tcPr>
          <w:p>
            <w:pPr>
              <w:spacing w:after="0"/>
              <w:rPr>
                <w:sz w:val="1"/>
                <w:szCs w:val="1"/>
                <w:color w:val="auto"/>
              </w:rPr>
            </w:pPr>
          </w:p>
        </w:tc>
      </w:tr>
      <w:tr>
        <w:trPr>
          <w:trHeight w:val="125"/>
        </w:trPr>
        <w:tc>
          <w:tcPr>
            <w:tcW w:w="13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0"/>
                <w:szCs w:val="10"/>
                <w:color w:val="auto"/>
              </w:rPr>
              <w:t>2000 Ashton Blvd, Suite 450</w:t>
            </w:r>
          </w:p>
        </w:tc>
        <w:tc>
          <w:tcPr>
            <w:tcW w:w="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20" w:type="dxa"/>
            <w:vAlign w:val="bottom"/>
            <w:gridSpan w:val="2"/>
          </w:tcPr>
          <w:p>
            <w:pPr>
              <w:ind w:left="60"/>
              <w:spacing w:after="0"/>
              <w:rPr>
                <w:sz w:val="20"/>
                <w:szCs w:val="20"/>
                <w:color w:val="auto"/>
              </w:rPr>
            </w:pPr>
            <w:r>
              <w:rPr>
                <w:rFonts w:ascii="Times New Roman" w:cs="Times New Roman" w:eastAsia="Times New Roman" w:hAnsi="Times New Roman"/>
                <w:sz w:val="10"/>
                <w:szCs w:val="10"/>
                <w:color w:val="auto"/>
              </w:rPr>
              <w:t>Services</w:t>
            </w:r>
          </w:p>
        </w:tc>
        <w:tc>
          <w:tcPr>
            <w:tcW w:w="0" w:type="dxa"/>
            <w:vAlign w:val="bottom"/>
          </w:tcPr>
          <w:p>
            <w:pPr>
              <w:spacing w:after="0"/>
              <w:rPr>
                <w:sz w:val="1"/>
                <w:szCs w:val="1"/>
                <w:color w:val="auto"/>
              </w:rPr>
            </w:pPr>
          </w:p>
        </w:tc>
      </w:tr>
      <w:tr>
        <w:trPr>
          <w:trHeight w:val="84"/>
        </w:trPr>
        <w:tc>
          <w:tcPr>
            <w:tcW w:w="1300" w:type="dxa"/>
            <w:vAlign w:val="bottom"/>
            <w:gridSpan w:val="2"/>
            <w:vMerge w:val="continue"/>
          </w:tcPr>
          <w:p>
            <w:pPr>
              <w:spacing w:after="0"/>
              <w:rPr>
                <w:sz w:val="7"/>
                <w:szCs w:val="7"/>
                <w:color w:val="auto"/>
              </w:rPr>
            </w:pPr>
          </w:p>
        </w:tc>
        <w:tc>
          <w:tcPr>
            <w:tcW w:w="40" w:type="dxa"/>
            <w:vAlign w:val="bottom"/>
          </w:tcPr>
          <w:p>
            <w:pPr>
              <w:spacing w:after="0"/>
              <w:rPr>
                <w:sz w:val="7"/>
                <w:szCs w:val="7"/>
                <w:color w:val="auto"/>
              </w:rPr>
            </w:pPr>
          </w:p>
        </w:tc>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9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1300" w:type="dxa"/>
            <w:vAlign w:val="bottom"/>
            <w:gridSpan w:val="2"/>
          </w:tcPr>
          <w:p>
            <w:pPr>
              <w:ind w:left="100"/>
              <w:spacing w:after="0"/>
              <w:rPr>
                <w:sz w:val="20"/>
                <w:szCs w:val="20"/>
                <w:color w:val="auto"/>
              </w:rPr>
            </w:pPr>
            <w:r>
              <w:rPr>
                <w:rFonts w:ascii="Times New Roman" w:cs="Times New Roman" w:eastAsia="Times New Roman" w:hAnsi="Times New Roman"/>
                <w:sz w:val="10"/>
                <w:szCs w:val="10"/>
                <w:color w:val="auto"/>
              </w:rPr>
              <w:t>Lehi, UT 84043</w:t>
            </w:r>
          </w:p>
        </w:tc>
        <w:tc>
          <w:tcPr>
            <w:tcW w:w="900" w:type="dxa"/>
            <w:vAlign w:val="bottom"/>
            <w:gridSpan w:val="2"/>
          </w:tcPr>
          <w:p>
            <w:pPr>
              <w:ind w:left="40"/>
              <w:spacing w:after="0"/>
              <w:rPr>
                <w:sz w:val="20"/>
                <w:szCs w:val="20"/>
                <w:color w:val="auto"/>
              </w:rPr>
            </w:pPr>
            <w:r>
              <w:rPr>
                <w:rFonts w:ascii="Times New Roman" w:cs="Times New Roman" w:eastAsia="Times New Roman" w:hAnsi="Times New Roman"/>
                <w:sz w:val="10"/>
                <w:szCs w:val="10"/>
                <w:color w:val="auto"/>
              </w:rPr>
              <w:t>First Lien Debt</w:t>
            </w:r>
          </w:p>
        </w:tc>
        <w:tc>
          <w:tcPr>
            <w:tcW w:w="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1300" w:type="dxa"/>
            <w:vAlign w:val="bottom"/>
            <w:gridSpan w:val="2"/>
          </w:tcPr>
          <w:p>
            <w:pPr>
              <w:spacing w:after="0"/>
              <w:rPr>
                <w:sz w:val="20"/>
                <w:szCs w:val="20"/>
                <w:color w:val="auto"/>
              </w:rPr>
            </w:pPr>
            <w:r>
              <w:rPr>
                <w:rFonts w:ascii="Times New Roman" w:cs="Times New Roman" w:eastAsia="Times New Roman" w:hAnsi="Times New Roman"/>
                <w:sz w:val="10"/>
                <w:szCs w:val="10"/>
                <w:i w:val="1"/>
                <w:iCs w:val="1"/>
                <w:color w:val="auto"/>
              </w:rPr>
              <w:t>ServicePower, Inc.</w:t>
            </w:r>
          </w:p>
        </w:tc>
        <w:tc>
          <w:tcPr>
            <w:tcW w:w="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20" w:type="dxa"/>
            <w:vAlign w:val="bottom"/>
            <w:gridSpan w:val="2"/>
          </w:tcPr>
          <w:p>
            <w:pPr>
              <w:ind w:left="60"/>
              <w:spacing w:after="0"/>
              <w:rPr>
                <w:sz w:val="20"/>
                <w:szCs w:val="20"/>
                <w:color w:val="auto"/>
              </w:rPr>
            </w:pPr>
            <w:r>
              <w:rPr>
                <w:rFonts w:ascii="Times New Roman" w:cs="Times New Roman" w:eastAsia="Times New Roman" w:hAnsi="Times New Roman"/>
                <w:sz w:val="10"/>
                <w:szCs w:val="10"/>
                <w:color w:val="auto"/>
                <w:w w:val="95"/>
              </w:rPr>
              <w:t>Information Technology</w:t>
            </w:r>
          </w:p>
        </w:tc>
        <w:tc>
          <w:tcPr>
            <w:tcW w:w="0" w:type="dxa"/>
            <w:vAlign w:val="bottom"/>
          </w:tcPr>
          <w:p>
            <w:pPr>
              <w:spacing w:after="0"/>
              <w:rPr>
                <w:sz w:val="1"/>
                <w:szCs w:val="1"/>
                <w:color w:val="auto"/>
              </w:rPr>
            </w:pPr>
          </w:p>
        </w:tc>
      </w:tr>
      <w:tr>
        <w:trPr>
          <w:trHeight w:val="125"/>
        </w:trPr>
        <w:tc>
          <w:tcPr>
            <w:tcW w:w="13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0"/>
                <w:szCs w:val="10"/>
                <w:color w:val="auto"/>
                <w:w w:val="98"/>
              </w:rPr>
              <w:t>8180 Greensboro Drive, Suite</w:t>
            </w:r>
          </w:p>
        </w:tc>
        <w:tc>
          <w:tcPr>
            <w:tcW w:w="900" w:type="dxa"/>
            <w:vAlign w:val="bottom"/>
            <w:gridSpan w:val="2"/>
            <w:vMerge w:val="restart"/>
          </w:tcPr>
          <w:p>
            <w:pPr>
              <w:ind w:left="40"/>
              <w:spacing w:after="0"/>
              <w:rPr>
                <w:sz w:val="20"/>
                <w:szCs w:val="20"/>
                <w:color w:val="auto"/>
              </w:rPr>
            </w:pPr>
            <w:r>
              <w:rPr>
                <w:rFonts w:ascii="Times New Roman" w:cs="Times New Roman" w:eastAsia="Times New Roman" w:hAnsi="Times New Roman"/>
                <w:sz w:val="10"/>
                <w:szCs w:val="10"/>
                <w:color w:val="auto"/>
              </w:rPr>
              <w:t>First Lien Debt (k)</w:t>
            </w:r>
          </w:p>
        </w:tc>
        <w:tc>
          <w:tcPr>
            <w:tcW w:w="1020" w:type="dxa"/>
            <w:vAlign w:val="bottom"/>
            <w:gridSpan w:val="2"/>
          </w:tcPr>
          <w:p>
            <w:pPr>
              <w:ind w:left="60"/>
              <w:spacing w:after="0"/>
              <w:rPr>
                <w:sz w:val="20"/>
                <w:szCs w:val="20"/>
                <w:color w:val="auto"/>
              </w:rPr>
            </w:pPr>
            <w:r>
              <w:rPr>
                <w:rFonts w:ascii="Times New Roman" w:cs="Times New Roman" w:eastAsia="Times New Roman" w:hAnsi="Times New Roman"/>
                <w:sz w:val="10"/>
                <w:szCs w:val="10"/>
                <w:color w:val="auto"/>
              </w:rPr>
              <w:t>Services</w:t>
            </w:r>
          </w:p>
        </w:tc>
        <w:tc>
          <w:tcPr>
            <w:tcW w:w="0" w:type="dxa"/>
            <w:vAlign w:val="bottom"/>
          </w:tcPr>
          <w:p>
            <w:pPr>
              <w:spacing w:after="0"/>
              <w:rPr>
                <w:sz w:val="1"/>
                <w:szCs w:val="1"/>
                <w:color w:val="auto"/>
              </w:rPr>
            </w:pPr>
          </w:p>
        </w:tc>
      </w:tr>
      <w:tr>
        <w:trPr>
          <w:trHeight w:val="84"/>
        </w:trPr>
        <w:tc>
          <w:tcPr>
            <w:tcW w:w="1300" w:type="dxa"/>
            <w:vAlign w:val="bottom"/>
            <w:gridSpan w:val="2"/>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9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5"/>
        </w:trPr>
        <w:tc>
          <w:tcPr>
            <w:tcW w:w="1100" w:type="dxa"/>
            <w:vAlign w:val="bottom"/>
          </w:tcPr>
          <w:p>
            <w:pPr>
              <w:ind w:left="100"/>
              <w:spacing w:after="0" w:line="105" w:lineRule="exact"/>
              <w:rPr>
                <w:sz w:val="20"/>
                <w:szCs w:val="20"/>
                <w:color w:val="auto"/>
              </w:rPr>
            </w:pPr>
            <w:r>
              <w:rPr>
                <w:rFonts w:ascii="Times New Roman" w:cs="Times New Roman" w:eastAsia="Times New Roman" w:hAnsi="Times New Roman"/>
                <w:sz w:val="10"/>
                <w:szCs w:val="10"/>
                <w:color w:val="auto"/>
              </w:rPr>
              <w:t>600</w:t>
            </w:r>
          </w:p>
        </w:tc>
        <w:tc>
          <w:tcPr>
            <w:tcW w:w="200" w:type="dxa"/>
            <w:vAlign w:val="bottom"/>
          </w:tcPr>
          <w:p>
            <w:pPr>
              <w:spacing w:after="0"/>
              <w:rPr>
                <w:sz w:val="9"/>
                <w:szCs w:val="9"/>
                <w:color w:val="auto"/>
              </w:rPr>
            </w:pPr>
          </w:p>
        </w:tc>
        <w:tc>
          <w:tcPr>
            <w:tcW w:w="900" w:type="dxa"/>
            <w:vAlign w:val="bottom"/>
            <w:gridSpan w:val="2"/>
          </w:tcPr>
          <w:p>
            <w:pPr>
              <w:ind w:left="40"/>
              <w:spacing w:after="0" w:line="105" w:lineRule="exact"/>
              <w:rPr>
                <w:sz w:val="20"/>
                <w:szCs w:val="20"/>
                <w:color w:val="auto"/>
              </w:rPr>
            </w:pPr>
            <w:r>
              <w:rPr>
                <w:rFonts w:ascii="Times New Roman" w:cs="Times New Roman" w:eastAsia="Times New Roman" w:hAnsi="Times New Roman"/>
                <w:sz w:val="10"/>
                <w:szCs w:val="10"/>
                <w:color w:val="auto"/>
              </w:rPr>
              <w:t>(as)</w:t>
            </w:r>
          </w:p>
        </w:tc>
        <w:tc>
          <w:tcPr>
            <w:tcW w:w="60" w:type="dxa"/>
            <w:vAlign w:val="bottom"/>
          </w:tcPr>
          <w:p>
            <w:pPr>
              <w:spacing w:after="0"/>
              <w:rPr>
                <w:sz w:val="9"/>
                <w:szCs w:val="9"/>
                <w:color w:val="auto"/>
              </w:rPr>
            </w:pP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1300" w:type="dxa"/>
            <w:vAlign w:val="bottom"/>
            <w:gridSpan w:val="2"/>
          </w:tcPr>
          <w:p>
            <w:pPr>
              <w:ind w:left="100"/>
              <w:spacing w:after="0"/>
              <w:rPr>
                <w:sz w:val="20"/>
                <w:szCs w:val="20"/>
                <w:color w:val="auto"/>
              </w:rPr>
            </w:pPr>
            <w:r>
              <w:rPr>
                <w:rFonts w:ascii="Times New Roman" w:cs="Times New Roman" w:eastAsia="Times New Roman" w:hAnsi="Times New Roman"/>
                <w:sz w:val="10"/>
                <w:szCs w:val="10"/>
                <w:color w:val="auto"/>
              </w:rPr>
              <w:t>McLean, VA 22102</w:t>
            </w:r>
          </w:p>
        </w:tc>
        <w:tc>
          <w:tcPr>
            <w:tcW w:w="900" w:type="dxa"/>
            <w:vAlign w:val="bottom"/>
            <w:gridSpan w:val="2"/>
          </w:tcPr>
          <w:p>
            <w:pPr>
              <w:ind w:left="40"/>
              <w:spacing w:after="0"/>
              <w:rPr>
                <w:sz w:val="20"/>
                <w:szCs w:val="20"/>
                <w:color w:val="auto"/>
              </w:rPr>
            </w:pPr>
            <w:r>
              <w:rPr>
                <w:rFonts w:ascii="Times New Roman" w:cs="Times New Roman" w:eastAsia="Times New Roman" w:hAnsi="Times New Roman"/>
                <w:sz w:val="10"/>
                <w:szCs w:val="10"/>
                <w:color w:val="auto"/>
              </w:rPr>
              <w:t>First Lien Debt (ba)</w:t>
            </w:r>
          </w:p>
        </w:tc>
        <w:tc>
          <w:tcPr>
            <w:tcW w:w="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8"/>
        </w:trPr>
        <w:tc>
          <w:tcPr>
            <w:tcW w:w="1300" w:type="dxa"/>
            <w:vAlign w:val="bottom"/>
            <w:gridSpan w:val="2"/>
          </w:tcPr>
          <w:p>
            <w:pPr>
              <w:spacing w:after="0"/>
              <w:rPr>
                <w:sz w:val="20"/>
                <w:szCs w:val="20"/>
                <w:color w:val="auto"/>
              </w:rPr>
            </w:pPr>
            <w:r>
              <w:rPr>
                <w:rFonts w:ascii="Times New Roman" w:cs="Times New Roman" w:eastAsia="Times New Roman" w:hAnsi="Times New Roman"/>
                <w:sz w:val="10"/>
                <w:szCs w:val="10"/>
                <w:i w:val="1"/>
                <w:iCs w:val="1"/>
                <w:color w:val="auto"/>
              </w:rPr>
              <w:t>SES Investors, LLC (dba SES</w:t>
            </w:r>
          </w:p>
        </w:tc>
        <w:tc>
          <w:tcPr>
            <w:tcW w:w="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20" w:type="dxa"/>
            <w:vAlign w:val="bottom"/>
            <w:gridSpan w:val="2"/>
          </w:tcPr>
          <w:p>
            <w:pPr>
              <w:ind w:left="60"/>
              <w:spacing w:after="0"/>
              <w:rPr>
                <w:sz w:val="20"/>
                <w:szCs w:val="20"/>
                <w:color w:val="auto"/>
              </w:rPr>
            </w:pPr>
            <w:r>
              <w:rPr>
                <w:rFonts w:ascii="Times New Roman" w:cs="Times New Roman" w:eastAsia="Times New Roman" w:hAnsi="Times New Roman"/>
                <w:sz w:val="10"/>
                <w:szCs w:val="10"/>
                <w:color w:val="auto"/>
              </w:rPr>
              <w:t>Building Products</w:t>
            </w:r>
          </w:p>
        </w:tc>
        <w:tc>
          <w:tcPr>
            <w:tcW w:w="0" w:type="dxa"/>
            <w:vAlign w:val="bottom"/>
          </w:tcPr>
          <w:p>
            <w:pPr>
              <w:spacing w:after="0"/>
              <w:rPr>
                <w:sz w:val="1"/>
                <w:szCs w:val="1"/>
                <w:color w:val="auto"/>
              </w:rPr>
            </w:pPr>
          </w:p>
        </w:tc>
      </w:tr>
      <w:tr>
        <w:trPr>
          <w:trHeight w:val="107"/>
        </w:trPr>
        <w:tc>
          <w:tcPr>
            <w:tcW w:w="1300" w:type="dxa"/>
            <w:vAlign w:val="bottom"/>
            <w:gridSpan w:val="2"/>
          </w:tcPr>
          <w:p>
            <w:pPr>
              <w:spacing w:after="0" w:line="107" w:lineRule="exact"/>
              <w:rPr>
                <w:sz w:val="20"/>
                <w:szCs w:val="20"/>
                <w:color w:val="auto"/>
              </w:rPr>
            </w:pPr>
            <w:r>
              <w:rPr>
                <w:rFonts w:ascii="Times New Roman" w:cs="Times New Roman" w:eastAsia="Times New Roman" w:hAnsi="Times New Roman"/>
                <w:sz w:val="10"/>
                <w:szCs w:val="10"/>
                <w:i w:val="1"/>
                <w:iCs w:val="1"/>
                <w:color w:val="auto"/>
              </w:rPr>
              <w:t>Foam) (n)</w:t>
            </w:r>
          </w:p>
        </w:tc>
        <w:tc>
          <w:tcPr>
            <w:tcW w:w="4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20" w:type="dxa"/>
            <w:vAlign w:val="bottom"/>
            <w:gridSpan w:val="2"/>
          </w:tcPr>
          <w:p>
            <w:pPr>
              <w:ind w:left="60"/>
              <w:spacing w:after="0" w:line="107" w:lineRule="exact"/>
              <w:rPr>
                <w:sz w:val="20"/>
                <w:szCs w:val="20"/>
                <w:color w:val="auto"/>
              </w:rPr>
            </w:pPr>
            <w:r>
              <w:rPr>
                <w:rFonts w:ascii="Times New Roman" w:cs="Times New Roman" w:eastAsia="Times New Roman" w:hAnsi="Times New Roman"/>
                <w:sz w:val="10"/>
                <w:szCs w:val="10"/>
                <w:color w:val="auto"/>
              </w:rPr>
              <w:t>Manufacturing</w:t>
            </w:r>
          </w:p>
        </w:tc>
        <w:tc>
          <w:tcPr>
            <w:tcW w:w="0" w:type="dxa"/>
            <w:vAlign w:val="bottom"/>
          </w:tcPr>
          <w:p>
            <w:pPr>
              <w:spacing w:after="0"/>
              <w:rPr>
                <w:sz w:val="1"/>
                <w:szCs w:val="1"/>
                <w:color w:val="auto"/>
              </w:rPr>
            </w:pPr>
          </w:p>
        </w:tc>
      </w:tr>
      <w:tr>
        <w:trPr>
          <w:trHeight w:val="105"/>
        </w:trPr>
        <w:tc>
          <w:tcPr>
            <w:tcW w:w="1300" w:type="dxa"/>
            <w:vAlign w:val="bottom"/>
            <w:gridSpan w:val="2"/>
          </w:tcPr>
          <w:p>
            <w:pPr>
              <w:ind w:left="100"/>
              <w:spacing w:after="0" w:line="105" w:lineRule="exact"/>
              <w:rPr>
                <w:sz w:val="20"/>
                <w:szCs w:val="20"/>
                <w:color w:val="auto"/>
              </w:rPr>
            </w:pPr>
            <w:r>
              <w:rPr>
                <w:rFonts w:ascii="Times New Roman" w:cs="Times New Roman" w:eastAsia="Times New Roman" w:hAnsi="Times New Roman"/>
                <w:sz w:val="10"/>
                <w:szCs w:val="10"/>
                <w:color w:val="auto"/>
              </w:rPr>
              <w:t>2400 Spring Stuebner Rd.</w:t>
            </w:r>
          </w:p>
        </w:tc>
        <w:tc>
          <w:tcPr>
            <w:tcW w:w="900" w:type="dxa"/>
            <w:vAlign w:val="bottom"/>
            <w:gridSpan w:val="2"/>
          </w:tcPr>
          <w:p>
            <w:pPr>
              <w:ind w:left="40"/>
              <w:spacing w:after="0" w:line="105" w:lineRule="exact"/>
              <w:rPr>
                <w:sz w:val="20"/>
                <w:szCs w:val="20"/>
                <w:color w:val="auto"/>
              </w:rPr>
            </w:pPr>
            <w:r>
              <w:rPr>
                <w:rFonts w:ascii="Times New Roman" w:cs="Times New Roman" w:eastAsia="Times New Roman" w:hAnsi="Times New Roman"/>
                <w:sz w:val="10"/>
                <w:szCs w:val="10"/>
                <w:color w:val="auto"/>
              </w:rPr>
              <w:t>Common Equity</w:t>
            </w:r>
          </w:p>
        </w:tc>
        <w:tc>
          <w:tcPr>
            <w:tcW w:w="60" w:type="dxa"/>
            <w:vAlign w:val="bottom"/>
          </w:tcPr>
          <w:p>
            <w:pPr>
              <w:spacing w:after="0"/>
              <w:rPr>
                <w:sz w:val="9"/>
                <w:szCs w:val="9"/>
                <w:color w:val="auto"/>
              </w:rPr>
            </w:pP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1300" w:type="dxa"/>
            <w:vAlign w:val="bottom"/>
            <w:gridSpan w:val="2"/>
          </w:tcPr>
          <w:p>
            <w:pPr>
              <w:ind w:left="100"/>
              <w:spacing w:after="0"/>
              <w:rPr>
                <w:sz w:val="20"/>
                <w:szCs w:val="20"/>
                <w:color w:val="auto"/>
              </w:rPr>
            </w:pPr>
            <w:r>
              <w:rPr>
                <w:rFonts w:ascii="Times New Roman" w:cs="Times New Roman" w:eastAsia="Times New Roman" w:hAnsi="Times New Roman"/>
                <w:sz w:val="10"/>
                <w:szCs w:val="10"/>
                <w:color w:val="auto"/>
              </w:rPr>
              <w:t>Spring, TX 77389</w:t>
            </w:r>
          </w:p>
        </w:tc>
        <w:tc>
          <w:tcPr>
            <w:tcW w:w="900" w:type="dxa"/>
            <w:vAlign w:val="bottom"/>
            <w:gridSpan w:val="2"/>
          </w:tcPr>
          <w:p>
            <w:pPr>
              <w:ind w:left="40"/>
              <w:spacing w:after="0"/>
              <w:rPr>
                <w:sz w:val="20"/>
                <w:szCs w:val="20"/>
                <w:color w:val="auto"/>
              </w:rPr>
            </w:pPr>
            <w:r>
              <w:rPr>
                <w:rFonts w:ascii="Times New Roman" w:cs="Times New Roman" w:eastAsia="Times New Roman" w:hAnsi="Times New Roman"/>
                <w:sz w:val="10"/>
                <w:szCs w:val="10"/>
                <w:color w:val="auto"/>
              </w:rPr>
              <w:t>(6,000 units) (h)</w:t>
            </w:r>
          </w:p>
        </w:tc>
        <w:tc>
          <w:tcPr>
            <w:tcW w:w="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1300" w:type="dxa"/>
            <w:vAlign w:val="bottom"/>
            <w:gridSpan w:val="2"/>
          </w:tcPr>
          <w:p>
            <w:pPr>
              <w:spacing w:after="0"/>
              <w:rPr>
                <w:sz w:val="20"/>
                <w:szCs w:val="20"/>
                <w:color w:val="auto"/>
              </w:rPr>
            </w:pPr>
            <w:r>
              <w:rPr>
                <w:rFonts w:ascii="Times New Roman" w:cs="Times New Roman" w:eastAsia="Times New Roman" w:hAnsi="Times New Roman"/>
                <w:sz w:val="10"/>
                <w:szCs w:val="10"/>
                <w:i w:val="1"/>
                <w:iCs w:val="1"/>
                <w:color w:val="auto"/>
              </w:rPr>
              <w:t>Sogno Toscano LLC</w:t>
            </w:r>
          </w:p>
        </w:tc>
        <w:tc>
          <w:tcPr>
            <w:tcW w:w="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20" w:type="dxa"/>
            <w:vAlign w:val="bottom"/>
            <w:gridSpan w:val="2"/>
          </w:tcPr>
          <w:p>
            <w:pPr>
              <w:ind w:left="60"/>
              <w:spacing w:after="0"/>
              <w:rPr>
                <w:sz w:val="20"/>
                <w:szCs w:val="20"/>
                <w:color w:val="auto"/>
              </w:rPr>
            </w:pPr>
            <w:r>
              <w:rPr>
                <w:rFonts w:ascii="Times New Roman" w:cs="Times New Roman" w:eastAsia="Times New Roman" w:hAnsi="Times New Roman"/>
                <w:sz w:val="10"/>
                <w:szCs w:val="10"/>
                <w:color w:val="auto"/>
              </w:rPr>
              <w:t>Specialty Distribution</w:t>
            </w:r>
          </w:p>
        </w:tc>
        <w:tc>
          <w:tcPr>
            <w:tcW w:w="0" w:type="dxa"/>
            <w:vAlign w:val="bottom"/>
          </w:tcPr>
          <w:p>
            <w:pPr>
              <w:spacing w:after="0"/>
              <w:rPr>
                <w:sz w:val="1"/>
                <w:szCs w:val="1"/>
                <w:color w:val="auto"/>
              </w:rPr>
            </w:pPr>
          </w:p>
        </w:tc>
      </w:tr>
      <w:tr>
        <w:trPr>
          <w:trHeight w:val="105"/>
        </w:trPr>
        <w:tc>
          <w:tcPr>
            <w:tcW w:w="1300" w:type="dxa"/>
            <w:vAlign w:val="bottom"/>
            <w:gridSpan w:val="2"/>
          </w:tcPr>
          <w:p>
            <w:pPr>
              <w:ind w:left="100"/>
              <w:spacing w:after="0" w:line="105" w:lineRule="exact"/>
              <w:rPr>
                <w:sz w:val="20"/>
                <w:szCs w:val="20"/>
                <w:color w:val="auto"/>
              </w:rPr>
            </w:pPr>
            <w:r>
              <w:rPr>
                <w:rFonts w:ascii="Times New Roman" w:cs="Times New Roman" w:eastAsia="Times New Roman" w:hAnsi="Times New Roman"/>
                <w:sz w:val="10"/>
                <w:szCs w:val="10"/>
                <w:color w:val="auto"/>
                <w:w w:val="98"/>
              </w:rPr>
              <w:t>1445 W 12th Place, Suite 101</w:t>
            </w:r>
          </w:p>
        </w:tc>
        <w:tc>
          <w:tcPr>
            <w:tcW w:w="900" w:type="dxa"/>
            <w:vAlign w:val="bottom"/>
            <w:gridSpan w:val="2"/>
          </w:tcPr>
          <w:p>
            <w:pPr>
              <w:ind w:left="40"/>
              <w:spacing w:after="0" w:line="105" w:lineRule="exact"/>
              <w:rPr>
                <w:sz w:val="20"/>
                <w:szCs w:val="20"/>
                <w:color w:val="auto"/>
              </w:rPr>
            </w:pPr>
            <w:r>
              <w:rPr>
                <w:rFonts w:ascii="Times New Roman" w:cs="Times New Roman" w:eastAsia="Times New Roman" w:hAnsi="Times New Roman"/>
                <w:sz w:val="10"/>
                <w:szCs w:val="10"/>
                <w:color w:val="auto"/>
              </w:rPr>
              <w:t>First Lien Debt (bi)</w:t>
            </w:r>
          </w:p>
        </w:tc>
        <w:tc>
          <w:tcPr>
            <w:tcW w:w="60" w:type="dxa"/>
            <w:vAlign w:val="bottom"/>
          </w:tcPr>
          <w:p>
            <w:pPr>
              <w:spacing w:after="0"/>
              <w:rPr>
                <w:sz w:val="9"/>
                <w:szCs w:val="9"/>
                <w:color w:val="auto"/>
              </w:rPr>
            </w:pP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300" w:type="dxa"/>
            <w:vAlign w:val="bottom"/>
            <w:gridSpan w:val="2"/>
          </w:tcPr>
          <w:p>
            <w:pPr>
              <w:ind w:left="100"/>
              <w:spacing w:after="0" w:line="105" w:lineRule="exact"/>
              <w:rPr>
                <w:sz w:val="20"/>
                <w:szCs w:val="20"/>
                <w:color w:val="auto"/>
              </w:rPr>
            </w:pPr>
            <w:r>
              <w:rPr>
                <w:rFonts w:ascii="Times New Roman" w:cs="Times New Roman" w:eastAsia="Times New Roman" w:hAnsi="Times New Roman"/>
                <w:sz w:val="10"/>
                <w:szCs w:val="10"/>
                <w:color w:val="auto"/>
              </w:rPr>
              <w:t>Tempe, AZ 85281</w:t>
            </w:r>
          </w:p>
        </w:tc>
        <w:tc>
          <w:tcPr>
            <w:tcW w:w="900" w:type="dxa"/>
            <w:vAlign w:val="bottom"/>
            <w:gridSpan w:val="2"/>
          </w:tcPr>
          <w:p>
            <w:pPr>
              <w:ind w:left="40"/>
              <w:spacing w:after="0" w:line="105" w:lineRule="exact"/>
              <w:rPr>
                <w:sz w:val="20"/>
                <w:szCs w:val="20"/>
                <w:color w:val="auto"/>
              </w:rPr>
            </w:pPr>
            <w:r>
              <w:rPr>
                <w:rFonts w:ascii="Times New Roman" w:cs="Times New Roman" w:eastAsia="Times New Roman" w:hAnsi="Times New Roman"/>
                <w:sz w:val="10"/>
                <w:szCs w:val="10"/>
                <w:color w:val="auto"/>
              </w:rPr>
              <w:t>Preferred Equity (6</w:t>
            </w:r>
          </w:p>
        </w:tc>
        <w:tc>
          <w:tcPr>
            <w:tcW w:w="60" w:type="dxa"/>
            <w:vAlign w:val="bottom"/>
          </w:tcPr>
          <w:p>
            <w:pPr>
              <w:spacing w:after="0"/>
              <w:rPr>
                <w:sz w:val="9"/>
                <w:szCs w:val="9"/>
                <w:color w:val="auto"/>
              </w:rPr>
            </w:pP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1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00" w:type="dxa"/>
            <w:vAlign w:val="bottom"/>
            <w:gridSpan w:val="2"/>
          </w:tcPr>
          <w:p>
            <w:pPr>
              <w:ind w:left="40"/>
              <w:spacing w:after="0"/>
              <w:rPr>
                <w:sz w:val="20"/>
                <w:szCs w:val="20"/>
                <w:color w:val="auto"/>
              </w:rPr>
            </w:pPr>
            <w:r>
              <w:rPr>
                <w:rFonts w:ascii="Times New Roman" w:cs="Times New Roman" w:eastAsia="Times New Roman" w:hAnsi="Times New Roman"/>
                <w:sz w:val="10"/>
                <w:szCs w:val="10"/>
                <w:color w:val="auto"/>
              </w:rPr>
              <w:t>units)</w:t>
            </w:r>
          </w:p>
        </w:tc>
        <w:tc>
          <w:tcPr>
            <w:tcW w:w="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0"/>
        </w:trPr>
        <w:tc>
          <w:tcPr>
            <w:tcW w:w="1300" w:type="dxa"/>
            <w:vAlign w:val="bottom"/>
            <w:gridSpan w:val="2"/>
          </w:tcPr>
          <w:p>
            <w:pPr>
              <w:spacing w:after="0"/>
              <w:rPr>
                <w:sz w:val="20"/>
                <w:szCs w:val="20"/>
                <w:color w:val="auto"/>
              </w:rPr>
            </w:pPr>
            <w:r>
              <w:rPr>
                <w:rFonts w:ascii="Times New Roman" w:cs="Times New Roman" w:eastAsia="Times New Roman" w:hAnsi="Times New Roman"/>
                <w:sz w:val="10"/>
                <w:szCs w:val="10"/>
                <w:i w:val="1"/>
                <w:iCs w:val="1"/>
                <w:color w:val="auto"/>
              </w:rPr>
              <w:t>Tedia Company, LLC</w:t>
            </w:r>
          </w:p>
        </w:tc>
        <w:tc>
          <w:tcPr>
            <w:tcW w:w="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20" w:type="dxa"/>
            <w:vAlign w:val="bottom"/>
            <w:gridSpan w:val="2"/>
          </w:tcPr>
          <w:p>
            <w:pPr>
              <w:ind w:left="60"/>
              <w:spacing w:after="0"/>
              <w:rPr>
                <w:sz w:val="20"/>
                <w:szCs w:val="20"/>
                <w:color w:val="auto"/>
              </w:rPr>
            </w:pPr>
            <w:r>
              <w:rPr>
                <w:rFonts w:ascii="Times New Roman" w:cs="Times New Roman" w:eastAsia="Times New Roman" w:hAnsi="Times New Roman"/>
                <w:sz w:val="10"/>
                <w:szCs w:val="10"/>
                <w:color w:val="auto"/>
              </w:rPr>
              <w:t>Healthcare Products</w:t>
            </w:r>
          </w:p>
        </w:tc>
        <w:tc>
          <w:tcPr>
            <w:tcW w:w="0" w:type="dxa"/>
            <w:vAlign w:val="bottom"/>
          </w:tcPr>
          <w:p>
            <w:pPr>
              <w:spacing w:after="0"/>
              <w:rPr>
                <w:sz w:val="1"/>
                <w:szCs w:val="1"/>
                <w:color w:val="auto"/>
              </w:rPr>
            </w:pPr>
          </w:p>
        </w:tc>
      </w:tr>
      <w:tr>
        <w:trPr>
          <w:trHeight w:val="105"/>
        </w:trPr>
        <w:tc>
          <w:tcPr>
            <w:tcW w:w="1300" w:type="dxa"/>
            <w:vAlign w:val="bottom"/>
            <w:gridSpan w:val="2"/>
          </w:tcPr>
          <w:p>
            <w:pPr>
              <w:ind w:left="100"/>
              <w:spacing w:after="0" w:line="105" w:lineRule="exact"/>
              <w:rPr>
                <w:sz w:val="20"/>
                <w:szCs w:val="20"/>
                <w:color w:val="auto"/>
              </w:rPr>
            </w:pPr>
            <w:r>
              <w:rPr>
                <w:rFonts w:ascii="Times New Roman" w:cs="Times New Roman" w:eastAsia="Times New Roman" w:hAnsi="Times New Roman"/>
                <w:sz w:val="10"/>
                <w:szCs w:val="10"/>
                <w:color w:val="auto"/>
              </w:rPr>
              <w:t>1000 Tedia Way</w:t>
            </w:r>
          </w:p>
        </w:tc>
        <w:tc>
          <w:tcPr>
            <w:tcW w:w="900" w:type="dxa"/>
            <w:vAlign w:val="bottom"/>
            <w:gridSpan w:val="2"/>
          </w:tcPr>
          <w:p>
            <w:pPr>
              <w:ind w:left="40"/>
              <w:spacing w:after="0" w:line="105" w:lineRule="exact"/>
              <w:rPr>
                <w:sz w:val="20"/>
                <w:szCs w:val="20"/>
                <w:color w:val="auto"/>
              </w:rPr>
            </w:pPr>
            <w:r>
              <w:rPr>
                <w:rFonts w:ascii="Times New Roman" w:cs="Times New Roman" w:eastAsia="Times New Roman" w:hAnsi="Times New Roman"/>
                <w:sz w:val="10"/>
                <w:szCs w:val="10"/>
                <w:color w:val="auto"/>
              </w:rPr>
              <w:t>First Lien Debt (j)</w:t>
            </w:r>
          </w:p>
        </w:tc>
        <w:tc>
          <w:tcPr>
            <w:tcW w:w="60" w:type="dxa"/>
            <w:vAlign w:val="bottom"/>
          </w:tcPr>
          <w:p>
            <w:pPr>
              <w:spacing w:after="0"/>
              <w:rPr>
                <w:sz w:val="9"/>
                <w:szCs w:val="9"/>
                <w:color w:val="auto"/>
              </w:rPr>
            </w:pP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300" w:type="dxa"/>
            <w:vAlign w:val="bottom"/>
            <w:gridSpan w:val="2"/>
          </w:tcPr>
          <w:p>
            <w:pPr>
              <w:ind w:left="100"/>
              <w:spacing w:after="0" w:line="105" w:lineRule="exact"/>
              <w:rPr>
                <w:sz w:val="20"/>
                <w:szCs w:val="20"/>
                <w:color w:val="auto"/>
              </w:rPr>
            </w:pPr>
            <w:r>
              <w:rPr>
                <w:rFonts w:ascii="Times New Roman" w:cs="Times New Roman" w:eastAsia="Times New Roman" w:hAnsi="Times New Roman"/>
                <w:sz w:val="10"/>
                <w:szCs w:val="10"/>
                <w:color w:val="auto"/>
              </w:rPr>
              <w:t>Fairfield, OH 45014</w:t>
            </w:r>
          </w:p>
        </w:tc>
        <w:tc>
          <w:tcPr>
            <w:tcW w:w="900" w:type="dxa"/>
            <w:vAlign w:val="bottom"/>
            <w:gridSpan w:val="2"/>
          </w:tcPr>
          <w:p>
            <w:pPr>
              <w:ind w:left="40"/>
              <w:spacing w:after="0" w:line="105" w:lineRule="exact"/>
              <w:rPr>
                <w:sz w:val="20"/>
                <w:szCs w:val="20"/>
                <w:color w:val="auto"/>
              </w:rPr>
            </w:pPr>
            <w:r>
              <w:rPr>
                <w:rFonts w:ascii="Times New Roman" w:cs="Times New Roman" w:eastAsia="Times New Roman" w:hAnsi="Times New Roman"/>
                <w:sz w:val="10"/>
                <w:szCs w:val="10"/>
                <w:color w:val="auto"/>
              </w:rPr>
              <w:t>Revolving Loan</w:t>
            </w:r>
          </w:p>
        </w:tc>
        <w:tc>
          <w:tcPr>
            <w:tcW w:w="60" w:type="dxa"/>
            <w:vAlign w:val="bottom"/>
          </w:tcPr>
          <w:p>
            <w:pPr>
              <w:spacing w:after="0"/>
              <w:rPr>
                <w:sz w:val="9"/>
                <w:szCs w:val="9"/>
                <w:color w:val="auto"/>
              </w:rPr>
            </w:pP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900" w:type="dxa"/>
            <w:vAlign w:val="bottom"/>
            <w:gridSpan w:val="2"/>
          </w:tcPr>
          <w:p>
            <w:pPr>
              <w:ind w:left="40"/>
              <w:spacing w:after="0" w:line="105" w:lineRule="exact"/>
              <w:rPr>
                <w:sz w:val="20"/>
                <w:szCs w:val="20"/>
                <w:color w:val="auto"/>
              </w:rPr>
            </w:pPr>
            <w:r>
              <w:rPr>
                <w:rFonts w:ascii="Times New Roman" w:cs="Times New Roman" w:eastAsia="Times New Roman" w:hAnsi="Times New Roman"/>
                <w:sz w:val="10"/>
                <w:szCs w:val="10"/>
                <w:color w:val="auto"/>
              </w:rPr>
              <w:t>($1,750 unfunded</w:t>
            </w:r>
          </w:p>
        </w:tc>
        <w:tc>
          <w:tcPr>
            <w:tcW w:w="60" w:type="dxa"/>
            <w:vAlign w:val="bottom"/>
          </w:tcPr>
          <w:p>
            <w:pPr>
              <w:spacing w:after="0"/>
              <w:rPr>
                <w:sz w:val="9"/>
                <w:szCs w:val="9"/>
                <w:color w:val="auto"/>
              </w:rPr>
            </w:pP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900" w:type="dxa"/>
            <w:vAlign w:val="bottom"/>
            <w:gridSpan w:val="2"/>
          </w:tcPr>
          <w:p>
            <w:pPr>
              <w:ind w:left="40"/>
              <w:spacing w:after="0" w:line="105" w:lineRule="exact"/>
              <w:rPr>
                <w:sz w:val="20"/>
                <w:szCs w:val="20"/>
                <w:color w:val="auto"/>
              </w:rPr>
            </w:pPr>
            <w:r>
              <w:rPr>
                <w:rFonts w:ascii="Times New Roman" w:cs="Times New Roman" w:eastAsia="Times New Roman" w:hAnsi="Times New Roman"/>
                <w:sz w:val="10"/>
                <w:szCs w:val="10"/>
                <w:color w:val="auto"/>
              </w:rPr>
              <w:t>commitment) (i)</w:t>
            </w:r>
          </w:p>
        </w:tc>
        <w:tc>
          <w:tcPr>
            <w:tcW w:w="60" w:type="dxa"/>
            <w:vAlign w:val="bottom"/>
          </w:tcPr>
          <w:p>
            <w:pPr>
              <w:spacing w:after="0"/>
              <w:rPr>
                <w:sz w:val="9"/>
                <w:szCs w:val="9"/>
                <w:color w:val="auto"/>
              </w:rPr>
            </w:pP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900" w:type="dxa"/>
            <w:vAlign w:val="bottom"/>
            <w:gridSpan w:val="2"/>
          </w:tcPr>
          <w:p>
            <w:pPr>
              <w:ind w:left="40"/>
              <w:spacing w:after="0" w:line="105" w:lineRule="exact"/>
              <w:rPr>
                <w:sz w:val="20"/>
                <w:szCs w:val="20"/>
                <w:color w:val="auto"/>
              </w:rPr>
            </w:pPr>
            <w:r>
              <w:rPr>
                <w:rFonts w:ascii="Times New Roman" w:cs="Times New Roman" w:eastAsia="Times New Roman" w:hAnsi="Times New Roman"/>
                <w:sz w:val="10"/>
                <w:szCs w:val="10"/>
                <w:color w:val="auto"/>
              </w:rPr>
              <w:t>Subordinated Debt</w:t>
            </w:r>
          </w:p>
        </w:tc>
        <w:tc>
          <w:tcPr>
            <w:tcW w:w="60" w:type="dxa"/>
            <w:vAlign w:val="bottom"/>
          </w:tcPr>
          <w:p>
            <w:pPr>
              <w:spacing w:after="0"/>
              <w:rPr>
                <w:sz w:val="9"/>
                <w:szCs w:val="9"/>
                <w:color w:val="auto"/>
              </w:rPr>
            </w:pP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900" w:type="dxa"/>
            <w:vAlign w:val="bottom"/>
            <w:gridSpan w:val="2"/>
          </w:tcPr>
          <w:p>
            <w:pPr>
              <w:ind w:left="40"/>
              <w:spacing w:after="0" w:line="105" w:lineRule="exact"/>
              <w:rPr>
                <w:sz w:val="20"/>
                <w:szCs w:val="20"/>
                <w:color w:val="auto"/>
              </w:rPr>
            </w:pPr>
            <w:r>
              <w:rPr>
                <w:rFonts w:ascii="Times New Roman" w:cs="Times New Roman" w:eastAsia="Times New Roman" w:hAnsi="Times New Roman"/>
                <w:sz w:val="10"/>
                <w:szCs w:val="10"/>
                <w:color w:val="auto"/>
              </w:rPr>
              <w:t>Preferred Equity</w:t>
            </w:r>
          </w:p>
        </w:tc>
        <w:tc>
          <w:tcPr>
            <w:tcW w:w="60" w:type="dxa"/>
            <w:vAlign w:val="bottom"/>
          </w:tcPr>
          <w:p>
            <w:pPr>
              <w:spacing w:after="0"/>
              <w:rPr>
                <w:sz w:val="9"/>
                <w:szCs w:val="9"/>
                <w:color w:val="auto"/>
              </w:rPr>
            </w:pP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1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00" w:type="dxa"/>
            <w:vAlign w:val="bottom"/>
            <w:gridSpan w:val="2"/>
          </w:tcPr>
          <w:p>
            <w:pPr>
              <w:ind w:left="40"/>
              <w:spacing w:after="0"/>
              <w:rPr>
                <w:sz w:val="20"/>
                <w:szCs w:val="20"/>
                <w:color w:val="auto"/>
              </w:rPr>
            </w:pPr>
            <w:r>
              <w:rPr>
                <w:rFonts w:ascii="Times New Roman" w:cs="Times New Roman" w:eastAsia="Times New Roman" w:hAnsi="Times New Roman"/>
                <w:sz w:val="10"/>
                <w:szCs w:val="10"/>
                <w:color w:val="auto"/>
              </w:rPr>
              <w:t>(1,000 units) (h)</w:t>
            </w:r>
          </w:p>
        </w:tc>
        <w:tc>
          <w:tcPr>
            <w:tcW w:w="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1300" w:type="dxa"/>
            <w:vAlign w:val="bottom"/>
            <w:gridSpan w:val="2"/>
          </w:tcPr>
          <w:p>
            <w:pPr>
              <w:spacing w:after="0"/>
              <w:rPr>
                <w:sz w:val="20"/>
                <w:szCs w:val="20"/>
                <w:color w:val="auto"/>
              </w:rPr>
            </w:pPr>
            <w:r>
              <w:rPr>
                <w:rFonts w:ascii="Times New Roman" w:cs="Times New Roman" w:eastAsia="Times New Roman" w:hAnsi="Times New Roman"/>
                <w:sz w:val="10"/>
                <w:szCs w:val="10"/>
                <w:i w:val="1"/>
                <w:iCs w:val="1"/>
                <w:color w:val="auto"/>
              </w:rPr>
              <w:t>Thrust Flight LLC</w:t>
            </w:r>
          </w:p>
        </w:tc>
        <w:tc>
          <w:tcPr>
            <w:tcW w:w="900" w:type="dxa"/>
            <w:vAlign w:val="bottom"/>
            <w:gridSpan w:val="2"/>
            <w:vMerge w:val="restart"/>
          </w:tcPr>
          <w:p>
            <w:pPr>
              <w:ind w:left="40"/>
              <w:spacing w:after="0"/>
              <w:rPr>
                <w:sz w:val="20"/>
                <w:szCs w:val="20"/>
                <w:color w:val="auto"/>
              </w:rPr>
            </w:pPr>
            <w:r>
              <w:rPr>
                <w:rFonts w:ascii="Times New Roman" w:cs="Times New Roman" w:eastAsia="Times New Roman" w:hAnsi="Times New Roman"/>
                <w:sz w:val="10"/>
                <w:szCs w:val="10"/>
                <w:color w:val="auto"/>
              </w:rPr>
              <w:t>First Lien Debt (j)</w:t>
            </w:r>
          </w:p>
        </w:tc>
        <w:tc>
          <w:tcPr>
            <w:tcW w:w="1020" w:type="dxa"/>
            <w:vAlign w:val="bottom"/>
            <w:gridSpan w:val="2"/>
          </w:tcPr>
          <w:p>
            <w:pPr>
              <w:ind w:left="60"/>
              <w:spacing w:after="0"/>
              <w:rPr>
                <w:sz w:val="20"/>
                <w:szCs w:val="20"/>
                <w:color w:val="auto"/>
              </w:rPr>
            </w:pPr>
            <w:r>
              <w:rPr>
                <w:rFonts w:ascii="Times New Roman" w:cs="Times New Roman" w:eastAsia="Times New Roman" w:hAnsi="Times New Roman"/>
                <w:sz w:val="10"/>
                <w:szCs w:val="10"/>
                <w:color w:val="auto"/>
              </w:rPr>
              <w:t>Business Services</w:t>
            </w:r>
          </w:p>
        </w:tc>
        <w:tc>
          <w:tcPr>
            <w:tcW w:w="0" w:type="dxa"/>
            <w:vAlign w:val="bottom"/>
          </w:tcPr>
          <w:p>
            <w:pPr>
              <w:spacing w:after="0"/>
              <w:rPr>
                <w:sz w:val="1"/>
                <w:szCs w:val="1"/>
                <w:color w:val="auto"/>
              </w:rPr>
            </w:pPr>
          </w:p>
        </w:tc>
      </w:tr>
      <w:tr>
        <w:trPr>
          <w:trHeight w:val="84"/>
        </w:trPr>
        <w:tc>
          <w:tcPr>
            <w:tcW w:w="1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9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5"/>
        </w:trPr>
        <w:tc>
          <w:tcPr>
            <w:tcW w:w="1300" w:type="dxa"/>
            <w:vAlign w:val="bottom"/>
            <w:gridSpan w:val="2"/>
          </w:tcPr>
          <w:p>
            <w:pPr>
              <w:ind w:left="100"/>
              <w:spacing w:after="0" w:line="105" w:lineRule="exact"/>
              <w:rPr>
                <w:sz w:val="20"/>
                <w:szCs w:val="20"/>
                <w:color w:val="auto"/>
              </w:rPr>
            </w:pPr>
            <w:r>
              <w:rPr>
                <w:rFonts w:ascii="Times New Roman" w:cs="Times New Roman" w:eastAsia="Times New Roman" w:hAnsi="Times New Roman"/>
                <w:sz w:val="10"/>
                <w:szCs w:val="10"/>
                <w:color w:val="auto"/>
              </w:rPr>
              <w:t>4700 Airport Pkwy</w:t>
            </w:r>
          </w:p>
        </w:tc>
        <w:tc>
          <w:tcPr>
            <w:tcW w:w="900" w:type="dxa"/>
            <w:vAlign w:val="bottom"/>
            <w:gridSpan w:val="2"/>
          </w:tcPr>
          <w:p>
            <w:pPr>
              <w:ind w:left="40"/>
              <w:spacing w:after="0" w:line="105" w:lineRule="exact"/>
              <w:rPr>
                <w:sz w:val="20"/>
                <w:szCs w:val="20"/>
                <w:color w:val="auto"/>
              </w:rPr>
            </w:pPr>
            <w:r>
              <w:rPr>
                <w:rFonts w:ascii="Times New Roman" w:cs="Times New Roman" w:eastAsia="Times New Roman" w:hAnsi="Times New Roman"/>
                <w:sz w:val="10"/>
                <w:szCs w:val="10"/>
                <w:color w:val="auto"/>
              </w:rPr>
              <w:t>(au)</w:t>
            </w:r>
          </w:p>
        </w:tc>
        <w:tc>
          <w:tcPr>
            <w:tcW w:w="60" w:type="dxa"/>
            <w:vAlign w:val="bottom"/>
          </w:tcPr>
          <w:p>
            <w:pPr>
              <w:spacing w:after="0"/>
              <w:rPr>
                <w:sz w:val="9"/>
                <w:szCs w:val="9"/>
                <w:color w:val="auto"/>
              </w:rPr>
            </w:pP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300" w:type="dxa"/>
            <w:vAlign w:val="bottom"/>
            <w:gridSpan w:val="2"/>
          </w:tcPr>
          <w:p>
            <w:pPr>
              <w:ind w:left="100"/>
              <w:spacing w:after="0" w:line="105" w:lineRule="exact"/>
              <w:rPr>
                <w:sz w:val="20"/>
                <w:szCs w:val="20"/>
                <w:color w:val="auto"/>
              </w:rPr>
            </w:pPr>
            <w:r>
              <w:rPr>
                <w:rFonts w:ascii="Times New Roman" w:cs="Times New Roman" w:eastAsia="Times New Roman" w:hAnsi="Times New Roman"/>
                <w:sz w:val="10"/>
                <w:szCs w:val="10"/>
                <w:color w:val="auto"/>
              </w:rPr>
              <w:t>Addison, TX 75001</w:t>
            </w:r>
          </w:p>
        </w:tc>
        <w:tc>
          <w:tcPr>
            <w:tcW w:w="900" w:type="dxa"/>
            <w:vAlign w:val="bottom"/>
            <w:gridSpan w:val="2"/>
          </w:tcPr>
          <w:p>
            <w:pPr>
              <w:ind w:left="40"/>
              <w:spacing w:after="0" w:line="105" w:lineRule="exact"/>
              <w:rPr>
                <w:sz w:val="20"/>
                <w:szCs w:val="20"/>
                <w:color w:val="auto"/>
              </w:rPr>
            </w:pPr>
            <w:r>
              <w:rPr>
                <w:rFonts w:ascii="Times New Roman" w:cs="Times New Roman" w:eastAsia="Times New Roman" w:hAnsi="Times New Roman"/>
                <w:sz w:val="10"/>
                <w:szCs w:val="10"/>
                <w:color w:val="auto"/>
              </w:rPr>
              <w:t>First Lien Debt</w:t>
            </w:r>
          </w:p>
        </w:tc>
        <w:tc>
          <w:tcPr>
            <w:tcW w:w="60" w:type="dxa"/>
            <w:vAlign w:val="bottom"/>
          </w:tcPr>
          <w:p>
            <w:pPr>
              <w:spacing w:after="0"/>
              <w:rPr>
                <w:sz w:val="9"/>
                <w:szCs w:val="9"/>
                <w:color w:val="auto"/>
              </w:rPr>
            </w:pP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900" w:type="dxa"/>
            <w:vAlign w:val="bottom"/>
            <w:gridSpan w:val="2"/>
          </w:tcPr>
          <w:p>
            <w:pPr>
              <w:ind w:left="40"/>
              <w:spacing w:after="0" w:line="105" w:lineRule="exact"/>
              <w:rPr>
                <w:sz w:val="20"/>
                <w:szCs w:val="20"/>
                <w:color w:val="auto"/>
              </w:rPr>
            </w:pPr>
            <w:r>
              <w:rPr>
                <w:rFonts w:ascii="Times New Roman" w:cs="Times New Roman" w:eastAsia="Times New Roman" w:hAnsi="Times New Roman"/>
                <w:sz w:val="10"/>
                <w:szCs w:val="10"/>
                <w:color w:val="auto"/>
              </w:rPr>
              <w:t>($1,818 unfunded</w:t>
            </w:r>
          </w:p>
        </w:tc>
        <w:tc>
          <w:tcPr>
            <w:tcW w:w="60" w:type="dxa"/>
            <w:vAlign w:val="bottom"/>
          </w:tcPr>
          <w:p>
            <w:pPr>
              <w:spacing w:after="0"/>
              <w:rPr>
                <w:sz w:val="9"/>
                <w:szCs w:val="9"/>
                <w:color w:val="auto"/>
              </w:rPr>
            </w:pP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900" w:type="dxa"/>
            <w:vAlign w:val="bottom"/>
            <w:gridSpan w:val="2"/>
          </w:tcPr>
          <w:p>
            <w:pPr>
              <w:ind w:left="40"/>
              <w:spacing w:after="0" w:line="105" w:lineRule="exact"/>
              <w:rPr>
                <w:sz w:val="20"/>
                <w:szCs w:val="20"/>
                <w:color w:val="auto"/>
              </w:rPr>
            </w:pPr>
            <w:r>
              <w:rPr>
                <w:rFonts w:ascii="Times New Roman" w:cs="Times New Roman" w:eastAsia="Times New Roman" w:hAnsi="Times New Roman"/>
                <w:sz w:val="10"/>
                <w:szCs w:val="10"/>
                <w:color w:val="auto"/>
              </w:rPr>
              <w:t>commitment) (i)(au)</w:t>
            </w:r>
          </w:p>
        </w:tc>
        <w:tc>
          <w:tcPr>
            <w:tcW w:w="60" w:type="dxa"/>
            <w:vAlign w:val="bottom"/>
          </w:tcPr>
          <w:p>
            <w:pPr>
              <w:spacing w:after="0"/>
              <w:rPr>
                <w:sz w:val="9"/>
                <w:szCs w:val="9"/>
                <w:color w:val="auto"/>
              </w:rPr>
            </w:pP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900" w:type="dxa"/>
            <w:vAlign w:val="bottom"/>
            <w:gridSpan w:val="2"/>
          </w:tcPr>
          <w:p>
            <w:pPr>
              <w:ind w:left="40"/>
              <w:spacing w:after="0" w:line="105" w:lineRule="exact"/>
              <w:rPr>
                <w:sz w:val="20"/>
                <w:szCs w:val="20"/>
                <w:color w:val="auto"/>
              </w:rPr>
            </w:pPr>
            <w:r>
              <w:rPr>
                <w:rFonts w:ascii="Times New Roman" w:cs="Times New Roman" w:eastAsia="Times New Roman" w:hAnsi="Times New Roman"/>
                <w:sz w:val="10"/>
                <w:szCs w:val="10"/>
                <w:color w:val="auto"/>
              </w:rPr>
              <w:t>Subordinated Debt</w:t>
            </w:r>
          </w:p>
        </w:tc>
        <w:tc>
          <w:tcPr>
            <w:tcW w:w="60" w:type="dxa"/>
            <w:vAlign w:val="bottom"/>
          </w:tcPr>
          <w:p>
            <w:pPr>
              <w:spacing w:after="0"/>
              <w:rPr>
                <w:sz w:val="9"/>
                <w:szCs w:val="9"/>
                <w:color w:val="auto"/>
              </w:rPr>
            </w:pP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900" w:type="dxa"/>
            <w:vAlign w:val="bottom"/>
            <w:gridSpan w:val="2"/>
          </w:tcPr>
          <w:p>
            <w:pPr>
              <w:ind w:left="40"/>
              <w:spacing w:after="0" w:line="105" w:lineRule="exact"/>
              <w:rPr>
                <w:sz w:val="20"/>
                <w:szCs w:val="20"/>
                <w:color w:val="auto"/>
              </w:rPr>
            </w:pPr>
            <w:r>
              <w:rPr>
                <w:rFonts w:ascii="Times New Roman" w:cs="Times New Roman" w:eastAsia="Times New Roman" w:hAnsi="Times New Roman"/>
                <w:sz w:val="10"/>
                <w:szCs w:val="10"/>
                <w:color w:val="auto"/>
              </w:rPr>
              <w:t>(j)</w:t>
            </w:r>
          </w:p>
        </w:tc>
        <w:tc>
          <w:tcPr>
            <w:tcW w:w="60" w:type="dxa"/>
            <w:vAlign w:val="bottom"/>
          </w:tcPr>
          <w:p>
            <w:pPr>
              <w:spacing w:after="0"/>
              <w:rPr>
                <w:sz w:val="9"/>
                <w:szCs w:val="9"/>
                <w:color w:val="auto"/>
              </w:rPr>
            </w:pP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900" w:type="dxa"/>
            <w:vAlign w:val="bottom"/>
            <w:gridSpan w:val="2"/>
          </w:tcPr>
          <w:p>
            <w:pPr>
              <w:ind w:left="40"/>
              <w:spacing w:after="0" w:line="105" w:lineRule="exact"/>
              <w:rPr>
                <w:sz w:val="20"/>
                <w:szCs w:val="20"/>
                <w:color w:val="auto"/>
              </w:rPr>
            </w:pPr>
            <w:r>
              <w:rPr>
                <w:rFonts w:ascii="Times New Roman" w:cs="Times New Roman" w:eastAsia="Times New Roman" w:hAnsi="Times New Roman"/>
                <w:sz w:val="10"/>
                <w:szCs w:val="10"/>
                <w:color w:val="auto"/>
              </w:rPr>
              <w:t>Common Equity</w:t>
            </w:r>
          </w:p>
        </w:tc>
        <w:tc>
          <w:tcPr>
            <w:tcW w:w="60" w:type="dxa"/>
            <w:vAlign w:val="bottom"/>
          </w:tcPr>
          <w:p>
            <w:pPr>
              <w:spacing w:after="0"/>
              <w:rPr>
                <w:sz w:val="9"/>
                <w:szCs w:val="9"/>
                <w:color w:val="auto"/>
              </w:rPr>
            </w:pP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1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00" w:type="dxa"/>
            <w:vAlign w:val="bottom"/>
            <w:gridSpan w:val="2"/>
          </w:tcPr>
          <w:p>
            <w:pPr>
              <w:ind w:left="40"/>
              <w:spacing w:after="0"/>
              <w:rPr>
                <w:sz w:val="20"/>
                <w:szCs w:val="20"/>
                <w:color w:val="auto"/>
              </w:rPr>
            </w:pPr>
            <w:r>
              <w:rPr>
                <w:rFonts w:ascii="Times New Roman" w:cs="Times New Roman" w:eastAsia="Times New Roman" w:hAnsi="Times New Roman"/>
                <w:sz w:val="10"/>
                <w:szCs w:val="10"/>
                <w:color w:val="auto"/>
              </w:rPr>
              <w:t>(1,050,000 units) (h)</w:t>
            </w:r>
          </w:p>
        </w:tc>
        <w:tc>
          <w:tcPr>
            <w:tcW w:w="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4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95"/>
        </w:trPr>
        <w:tc>
          <w:tcPr>
            <w:tcW w:w="740" w:type="dxa"/>
            <w:vAlign w:val="bottom"/>
            <w:gridSpan w:val="2"/>
          </w:tcPr>
          <w:p>
            <w:pPr>
              <w:jc w:val="center"/>
              <w:ind w:right="180"/>
              <w:spacing w:after="0"/>
              <w:rPr>
                <w:sz w:val="20"/>
                <w:szCs w:val="20"/>
                <w:color w:val="auto"/>
              </w:rPr>
            </w:pPr>
            <w:r>
              <w:rPr>
                <w:rFonts w:ascii="Times New Roman" w:cs="Times New Roman" w:eastAsia="Times New Roman" w:hAnsi="Times New Roman"/>
                <w:sz w:val="8"/>
                <w:szCs w:val="8"/>
                <w:b w:val="1"/>
                <w:bCs w:val="1"/>
                <w:color w:val="auto"/>
              </w:rPr>
              <w:t>Percentage of</w:t>
            </w:r>
          </w:p>
        </w:tc>
        <w:tc>
          <w:tcPr>
            <w:tcW w:w="920" w:type="dxa"/>
            <w:vAlign w:val="bottom"/>
            <w:gridSpan w:val="2"/>
          </w:tcPr>
          <w:p>
            <w:pPr>
              <w:jc w:val="center"/>
              <w:ind w:right="60"/>
              <w:spacing w:after="0"/>
              <w:rPr>
                <w:sz w:val="20"/>
                <w:szCs w:val="20"/>
                <w:color w:val="auto"/>
              </w:rPr>
            </w:pPr>
            <w:r>
              <w:rPr>
                <w:rFonts w:ascii="Times New Roman" w:cs="Times New Roman" w:eastAsia="Times New Roman" w:hAnsi="Times New Roman"/>
                <w:sz w:val="8"/>
                <w:szCs w:val="8"/>
                <w:b w:val="1"/>
                <w:bCs w:val="1"/>
                <w:color w:val="auto"/>
              </w:rPr>
              <w:t>Variable Index</w:t>
            </w:r>
          </w:p>
        </w:tc>
        <w:tc>
          <w:tcPr>
            <w:tcW w:w="720" w:type="dxa"/>
            <w:vAlign w:val="bottom"/>
            <w:gridSpan w:val="2"/>
          </w:tcPr>
          <w:p>
            <w:pPr>
              <w:jc w:val="center"/>
              <w:ind w:right="80"/>
              <w:spacing w:after="0"/>
              <w:rPr>
                <w:sz w:val="20"/>
                <w:szCs w:val="20"/>
                <w:color w:val="auto"/>
              </w:rPr>
            </w:pPr>
            <w:r>
              <w:rPr>
                <w:rFonts w:ascii="Times New Roman" w:cs="Times New Roman" w:eastAsia="Times New Roman" w:hAnsi="Times New Roman"/>
                <w:sz w:val="8"/>
                <w:szCs w:val="8"/>
                <w:b w:val="1"/>
                <w:bCs w:val="1"/>
                <w:color w:val="auto"/>
              </w:rPr>
              <w:t>Rate (e)</w:t>
            </w:r>
          </w:p>
        </w:tc>
        <w:tc>
          <w:tcPr>
            <w:tcW w:w="580" w:type="dxa"/>
            <w:vAlign w:val="bottom"/>
            <w:gridSpan w:val="2"/>
          </w:tcPr>
          <w:p>
            <w:pPr>
              <w:ind w:left="40"/>
              <w:spacing w:after="0"/>
              <w:rPr>
                <w:sz w:val="20"/>
                <w:szCs w:val="20"/>
                <w:color w:val="auto"/>
              </w:rPr>
            </w:pPr>
            <w:r>
              <w:rPr>
                <w:rFonts w:ascii="Times New Roman" w:cs="Times New Roman" w:eastAsia="Times New Roman" w:hAnsi="Times New Roman"/>
                <w:sz w:val="8"/>
                <w:szCs w:val="8"/>
                <w:b w:val="1"/>
                <w:bCs w:val="1"/>
                <w:color w:val="auto"/>
              </w:rPr>
              <w:t>Investment</w:t>
            </w: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b w:val="1"/>
                <w:bCs w:val="1"/>
                <w:color w:val="auto"/>
              </w:rPr>
              <w:t>Principal</w:t>
            </w: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gridSpan w:val="2"/>
          </w:tcPr>
          <w:p>
            <w:pPr>
              <w:ind w:left="80"/>
              <w:spacing w:after="0"/>
              <w:rPr>
                <w:sz w:val="20"/>
                <w:szCs w:val="20"/>
                <w:color w:val="auto"/>
              </w:rPr>
            </w:pPr>
            <w:r>
              <w:rPr>
                <w:rFonts w:ascii="Times New Roman" w:cs="Times New Roman" w:eastAsia="Times New Roman" w:hAnsi="Times New Roman"/>
                <w:sz w:val="8"/>
                <w:szCs w:val="8"/>
                <w:b w:val="1"/>
                <w:bCs w:val="1"/>
                <w:color w:val="auto"/>
              </w:rPr>
              <w:t>Fair</w:t>
            </w:r>
          </w:p>
        </w:tc>
        <w:tc>
          <w:tcPr>
            <w:tcW w:w="440" w:type="dxa"/>
            <w:vAlign w:val="bottom"/>
            <w:gridSpan w:val="2"/>
          </w:tcPr>
          <w:p>
            <w:pPr>
              <w:jc w:val="right"/>
              <w:ind w:right="80"/>
              <w:spacing w:after="0"/>
              <w:rPr>
                <w:sz w:val="20"/>
                <w:szCs w:val="20"/>
                <w:color w:val="auto"/>
              </w:rPr>
            </w:pPr>
            <w:r>
              <w:rPr>
                <w:rFonts w:ascii="Times New Roman" w:cs="Times New Roman" w:eastAsia="Times New Roman" w:hAnsi="Times New Roman"/>
                <w:sz w:val="8"/>
                <w:szCs w:val="8"/>
                <w:b w:val="1"/>
                <w:bCs w:val="1"/>
                <w:color w:val="auto"/>
                <w:w w:val="97"/>
              </w:rPr>
              <w:t>Percent of</w:t>
            </w:r>
          </w:p>
        </w:tc>
      </w:tr>
      <w:tr>
        <w:trPr>
          <w:trHeight w:val="115"/>
        </w:trPr>
        <w:tc>
          <w:tcPr>
            <w:tcW w:w="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8"/>
                <w:szCs w:val="8"/>
                <w:b w:val="1"/>
                <w:bCs w:val="1"/>
                <w:color w:val="auto"/>
              </w:rPr>
              <w:t>Class Held (bn)</w:t>
            </w:r>
          </w:p>
        </w:tc>
        <w:tc>
          <w:tcPr>
            <w:tcW w:w="180" w:type="dxa"/>
            <w:vAlign w:val="bottom"/>
          </w:tcPr>
          <w:p>
            <w:pPr>
              <w:spacing w:after="0"/>
              <w:rPr>
                <w:sz w:val="10"/>
                <w:szCs w:val="10"/>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8"/>
                <w:szCs w:val="8"/>
                <w:b w:val="1"/>
                <w:bCs w:val="1"/>
                <w:color w:val="auto"/>
              </w:rPr>
              <w:t>Spread / Floor (d)</w:t>
            </w:r>
          </w:p>
        </w:tc>
        <w:tc>
          <w:tcPr>
            <w:tcW w:w="60" w:type="dxa"/>
            <w:vAlign w:val="bottom"/>
          </w:tcPr>
          <w:p>
            <w:pPr>
              <w:spacing w:after="0"/>
              <w:rPr>
                <w:sz w:val="10"/>
                <w:szCs w:val="10"/>
                <w:color w:val="auto"/>
              </w:rPr>
            </w:pP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8"/>
                <w:szCs w:val="8"/>
                <w:b w:val="1"/>
                <w:bCs w:val="1"/>
                <w:color w:val="auto"/>
              </w:rPr>
              <w:t>Cash/PIK</w:t>
            </w:r>
          </w:p>
        </w:tc>
        <w:tc>
          <w:tcPr>
            <w:tcW w:w="100" w:type="dxa"/>
            <w:vAlign w:val="bottom"/>
          </w:tcPr>
          <w:p>
            <w:pPr>
              <w:spacing w:after="0"/>
              <w:rPr>
                <w:sz w:val="10"/>
                <w:szCs w:val="10"/>
                <w:color w:val="auto"/>
              </w:rPr>
            </w:pPr>
          </w:p>
        </w:tc>
        <w:tc>
          <w:tcPr>
            <w:tcW w:w="48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8"/>
                <w:szCs w:val="8"/>
                <w:b w:val="1"/>
                <w:bCs w:val="1"/>
                <w:color w:val="auto"/>
              </w:rPr>
              <w:t>Date (f)</w:t>
            </w:r>
          </w:p>
        </w:tc>
        <w:tc>
          <w:tcPr>
            <w:tcW w:w="100" w:type="dxa"/>
            <w:vAlign w:val="bottom"/>
          </w:tcPr>
          <w:p>
            <w:pPr>
              <w:spacing w:after="0"/>
              <w:rPr>
                <w:sz w:val="10"/>
                <w:szCs w:val="10"/>
                <w:color w:val="auto"/>
              </w:rPr>
            </w:pPr>
          </w:p>
        </w:tc>
        <w:tc>
          <w:tcPr>
            <w:tcW w:w="4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8"/>
                <w:szCs w:val="8"/>
                <w:b w:val="1"/>
                <w:bCs w:val="1"/>
                <w:color w:val="auto"/>
              </w:rPr>
              <w:t>Maturity</w:t>
            </w:r>
          </w:p>
        </w:tc>
        <w:tc>
          <w:tcPr>
            <w:tcW w:w="80" w:type="dxa"/>
            <w:vAlign w:val="bottom"/>
          </w:tcPr>
          <w:p>
            <w:pPr>
              <w:spacing w:after="0"/>
              <w:rPr>
                <w:sz w:val="10"/>
                <w:szCs w:val="10"/>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8"/>
                <w:szCs w:val="8"/>
                <w:b w:val="1"/>
                <w:bCs w:val="1"/>
                <w:color w:val="auto"/>
              </w:rPr>
              <w:t>Amount</w:t>
            </w:r>
          </w:p>
        </w:tc>
        <w:tc>
          <w:tcPr>
            <w:tcW w:w="100" w:type="dxa"/>
            <w:vAlign w:val="bottom"/>
          </w:tcPr>
          <w:p>
            <w:pPr>
              <w:spacing w:after="0"/>
              <w:rPr>
                <w:sz w:val="10"/>
                <w:szCs w:val="10"/>
                <w:color w:val="auto"/>
              </w:rPr>
            </w:pPr>
          </w:p>
        </w:tc>
        <w:tc>
          <w:tcPr>
            <w:tcW w:w="3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8"/>
                <w:szCs w:val="8"/>
                <w:b w:val="1"/>
                <w:bCs w:val="1"/>
                <w:color w:val="auto"/>
              </w:rPr>
              <w:t>Cost</w:t>
            </w:r>
          </w:p>
        </w:tc>
        <w:tc>
          <w:tcPr>
            <w:tcW w:w="100" w:type="dxa"/>
            <w:vAlign w:val="bottom"/>
          </w:tcPr>
          <w:p>
            <w:pPr>
              <w:spacing w:after="0"/>
              <w:rPr>
                <w:sz w:val="10"/>
                <w:szCs w:val="10"/>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8"/>
                <w:szCs w:val="8"/>
                <w:b w:val="1"/>
                <w:bCs w:val="1"/>
                <w:color w:val="auto"/>
                <w:w w:val="95"/>
              </w:rPr>
              <w:t>Value (g)</w:t>
            </w:r>
          </w:p>
        </w:tc>
        <w:tc>
          <w:tcPr>
            <w:tcW w:w="100" w:type="dxa"/>
            <w:vAlign w:val="bottom"/>
          </w:tcPr>
          <w:p>
            <w:pPr>
              <w:spacing w:after="0"/>
              <w:rPr>
                <w:sz w:val="10"/>
                <w:szCs w:val="10"/>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8"/>
                <w:szCs w:val="8"/>
                <w:b w:val="1"/>
                <w:bCs w:val="1"/>
                <w:color w:val="auto"/>
                <w:w w:val="96"/>
              </w:rPr>
              <w:t>Net Assets</w:t>
            </w:r>
          </w:p>
        </w:tc>
        <w:tc>
          <w:tcPr>
            <w:tcW w:w="80" w:type="dxa"/>
            <w:vAlign w:val="bottom"/>
          </w:tcPr>
          <w:p>
            <w:pPr>
              <w:spacing w:after="0"/>
              <w:rPr>
                <w:sz w:val="10"/>
                <w:szCs w:val="10"/>
                <w:color w:val="auto"/>
              </w:rPr>
            </w:pPr>
          </w:p>
        </w:tc>
      </w:tr>
      <w:tr>
        <w:trPr>
          <w:trHeight w:val="311"/>
        </w:trPr>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gridSpan w:val="2"/>
          </w:tcPr>
          <w:p>
            <w:pPr>
              <w:jc w:val="center"/>
              <w:ind w:right="60"/>
              <w:spacing w:after="0"/>
              <w:rPr>
                <w:sz w:val="20"/>
                <w:szCs w:val="20"/>
                <w:color w:val="auto"/>
              </w:rPr>
            </w:pPr>
            <w:r>
              <w:rPr>
                <w:rFonts w:ascii="Times New Roman" w:cs="Times New Roman" w:eastAsia="Times New Roman" w:hAnsi="Times New Roman"/>
                <w:sz w:val="10"/>
                <w:szCs w:val="10"/>
                <w:color w:val="auto"/>
                <w:w w:val="96"/>
              </w:rPr>
              <w:t>(S + 1.00%) / (0.50%)</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4.67%/6.75%</w:t>
            </w: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8/11/2025</w:t>
            </w: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2/1/2030</w:t>
            </w: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17,996</w:t>
            </w:r>
          </w:p>
        </w:tc>
        <w:tc>
          <w:tcPr>
            <w:tcW w:w="3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17,996</w:t>
            </w:r>
          </w:p>
        </w:tc>
        <w:tc>
          <w:tcPr>
            <w:tcW w:w="520" w:type="dxa"/>
            <w:vAlign w:val="bottom"/>
            <w:gridSpan w:val="3"/>
          </w:tcPr>
          <w:p>
            <w:pPr>
              <w:jc w:val="right"/>
              <w:ind w:right="100"/>
              <w:spacing w:after="0"/>
              <w:rPr>
                <w:sz w:val="20"/>
                <w:szCs w:val="20"/>
                <w:color w:val="auto"/>
              </w:rPr>
            </w:pPr>
            <w:r>
              <w:rPr>
                <w:rFonts w:ascii="Times New Roman" w:cs="Times New Roman" w:eastAsia="Times New Roman" w:hAnsi="Times New Roman"/>
                <w:sz w:val="10"/>
                <w:szCs w:val="10"/>
                <w:color w:val="auto"/>
              </w:rPr>
              <w:t>12,499</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2%</w:t>
            </w:r>
          </w:p>
        </w:tc>
      </w:tr>
      <w:tr>
        <w:trPr>
          <w:trHeight w:val="482"/>
        </w:trPr>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gridSpan w:val="2"/>
          </w:tcPr>
          <w:p>
            <w:pPr>
              <w:jc w:val="center"/>
              <w:ind w:right="60"/>
              <w:spacing w:after="0"/>
              <w:rPr>
                <w:sz w:val="20"/>
                <w:szCs w:val="20"/>
                <w:color w:val="auto"/>
              </w:rPr>
            </w:pPr>
            <w:r>
              <w:rPr>
                <w:rFonts w:ascii="Times New Roman" w:cs="Times New Roman" w:eastAsia="Times New Roman" w:hAnsi="Times New Roman"/>
                <w:sz w:val="10"/>
                <w:szCs w:val="10"/>
                <w:color w:val="auto"/>
                <w:w w:val="96"/>
              </w:rPr>
              <w:t>(S + 6.75%) / (1.00%)</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10.45%/0.00%</w:t>
            </w: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12/30/2022</w:t>
            </w: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12/30/2028</w:t>
            </w: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6,199</w:t>
            </w:r>
          </w:p>
        </w:tc>
        <w:tc>
          <w:tcPr>
            <w:tcW w:w="3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6,082</w:t>
            </w:r>
          </w:p>
        </w:tc>
        <w:tc>
          <w:tcPr>
            <w:tcW w:w="520" w:type="dxa"/>
            <w:vAlign w:val="bottom"/>
            <w:gridSpan w:val="3"/>
          </w:tcPr>
          <w:p>
            <w:pPr>
              <w:jc w:val="right"/>
              <w:ind w:right="100"/>
              <w:spacing w:after="0"/>
              <w:rPr>
                <w:sz w:val="20"/>
                <w:szCs w:val="20"/>
                <w:color w:val="auto"/>
              </w:rPr>
            </w:pPr>
            <w:r>
              <w:rPr>
                <w:rFonts w:ascii="Times New Roman" w:cs="Times New Roman" w:eastAsia="Times New Roman" w:hAnsi="Times New Roman"/>
                <w:sz w:val="10"/>
                <w:szCs w:val="10"/>
                <w:color w:val="auto"/>
              </w:rPr>
              <w:t>6,199</w:t>
            </w: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25"/>
        </w:trPr>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8.75%/5.00%</w:t>
            </w: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12/30/2022</w:t>
            </w: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6/30/2029</w:t>
            </w: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1,571</w:t>
            </w:r>
          </w:p>
        </w:tc>
        <w:tc>
          <w:tcPr>
            <w:tcW w:w="3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1,548</w:t>
            </w:r>
          </w:p>
        </w:tc>
        <w:tc>
          <w:tcPr>
            <w:tcW w:w="520" w:type="dxa"/>
            <w:vAlign w:val="bottom"/>
            <w:gridSpan w:val="3"/>
          </w:tcPr>
          <w:p>
            <w:pPr>
              <w:jc w:val="right"/>
              <w:ind w:right="100"/>
              <w:spacing w:after="0"/>
              <w:rPr>
                <w:sz w:val="20"/>
                <w:szCs w:val="20"/>
                <w:color w:val="auto"/>
              </w:rPr>
            </w:pPr>
            <w:r>
              <w:rPr>
                <w:rFonts w:ascii="Times New Roman" w:cs="Times New Roman" w:eastAsia="Times New Roman" w:hAnsi="Times New Roman"/>
                <w:sz w:val="10"/>
                <w:szCs w:val="10"/>
                <w:color w:val="auto"/>
              </w:rPr>
              <w:t>1,476</w:t>
            </w: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202"/>
        </w:trPr>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0.1%</w:t>
            </w: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12/30/2022</w:t>
            </w: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280</w:t>
            </w:r>
          </w:p>
        </w:tc>
        <w:tc>
          <w:tcPr>
            <w:tcW w:w="520" w:type="dxa"/>
            <w:vAlign w:val="bottom"/>
            <w:gridSpan w:val="3"/>
          </w:tcPr>
          <w:p>
            <w:pPr>
              <w:jc w:val="right"/>
              <w:ind w:right="100"/>
              <w:spacing w:after="0"/>
              <w:rPr>
                <w:sz w:val="20"/>
                <w:szCs w:val="20"/>
                <w:color w:val="auto"/>
              </w:rPr>
            </w:pPr>
            <w:r>
              <w:rPr>
                <w:rFonts w:ascii="Times New Roman" w:cs="Times New Roman" w:eastAsia="Times New Roman" w:hAnsi="Times New Roman"/>
                <w:sz w:val="10"/>
                <w:szCs w:val="10"/>
                <w:color w:val="auto"/>
              </w:rPr>
              <w:t>93</w:t>
            </w: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15"/>
        </w:trPr>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7,910</w:t>
            </w:r>
          </w:p>
        </w:tc>
        <w:tc>
          <w:tcPr>
            <w:tcW w:w="100" w:type="dxa"/>
            <w:vAlign w:val="bottom"/>
          </w:tcPr>
          <w:p>
            <w:pPr>
              <w:spacing w:after="0"/>
              <w:rPr>
                <w:sz w:val="10"/>
                <w:szCs w:val="10"/>
                <w:color w:val="auto"/>
              </w:rPr>
            </w:pPr>
          </w:p>
        </w:tc>
        <w:tc>
          <w:tcPr>
            <w:tcW w:w="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7,768</w:t>
            </w:r>
          </w:p>
        </w:tc>
        <w:tc>
          <w:tcPr>
            <w:tcW w:w="100" w:type="dxa"/>
            <w:vAlign w:val="bottom"/>
          </w:tcPr>
          <w:p>
            <w:pPr>
              <w:spacing w:after="0"/>
              <w:rPr>
                <w:sz w:val="10"/>
                <w:szCs w:val="10"/>
                <w:color w:val="auto"/>
              </w:rPr>
            </w:pPr>
          </w:p>
        </w:tc>
        <w:tc>
          <w:tcPr>
            <w:tcW w:w="440" w:type="dxa"/>
            <w:vAlign w:val="bottom"/>
            <w:gridSpan w:val="2"/>
          </w:tcPr>
          <w:p>
            <w:pPr>
              <w:jc w:val="right"/>
              <w:spacing w:after="0" w:line="113" w:lineRule="exact"/>
              <w:rPr>
                <w:sz w:val="20"/>
                <w:szCs w:val="20"/>
                <w:color w:val="auto"/>
              </w:rPr>
            </w:pPr>
            <w:r>
              <w:rPr>
                <w:rFonts w:ascii="Times New Roman" w:cs="Times New Roman" w:eastAsia="Times New Roman" w:hAnsi="Times New Roman"/>
                <w:sz w:val="10"/>
                <w:szCs w:val="10"/>
                <w:color w:val="auto"/>
              </w:rPr>
              <w:t>1%</w:t>
            </w:r>
          </w:p>
        </w:tc>
      </w:tr>
      <w:tr>
        <w:trPr>
          <w:trHeight w:val="206"/>
        </w:trPr>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12.75%/0.00%</w:t>
            </w: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3/4/2024</w:t>
            </w: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8/4/2030</w:t>
            </w: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18,000</w:t>
            </w:r>
          </w:p>
        </w:tc>
        <w:tc>
          <w:tcPr>
            <w:tcW w:w="3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17,931</w:t>
            </w:r>
          </w:p>
        </w:tc>
        <w:tc>
          <w:tcPr>
            <w:tcW w:w="520" w:type="dxa"/>
            <w:vAlign w:val="bottom"/>
            <w:gridSpan w:val="3"/>
          </w:tcPr>
          <w:p>
            <w:pPr>
              <w:jc w:val="right"/>
              <w:ind w:right="100"/>
              <w:spacing w:after="0"/>
              <w:rPr>
                <w:sz w:val="20"/>
                <w:szCs w:val="20"/>
                <w:color w:val="auto"/>
              </w:rPr>
            </w:pPr>
            <w:r>
              <w:rPr>
                <w:rFonts w:ascii="Times New Roman" w:cs="Times New Roman" w:eastAsia="Times New Roman" w:hAnsi="Times New Roman"/>
                <w:sz w:val="10"/>
                <w:szCs w:val="10"/>
                <w:color w:val="auto"/>
              </w:rPr>
              <w:t>18,000</w:t>
            </w: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2"/>
        </w:trPr>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1.5%</w:t>
            </w: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3/4/2024</w:t>
            </w: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1,250</w:t>
            </w:r>
          </w:p>
        </w:tc>
        <w:tc>
          <w:tcPr>
            <w:tcW w:w="520" w:type="dxa"/>
            <w:vAlign w:val="bottom"/>
            <w:gridSpan w:val="3"/>
          </w:tcPr>
          <w:p>
            <w:pPr>
              <w:jc w:val="right"/>
              <w:ind w:right="100"/>
              <w:spacing w:after="0"/>
              <w:rPr>
                <w:sz w:val="20"/>
                <w:szCs w:val="20"/>
                <w:color w:val="auto"/>
              </w:rPr>
            </w:pPr>
            <w:r>
              <w:rPr>
                <w:rFonts w:ascii="Times New Roman" w:cs="Times New Roman" w:eastAsia="Times New Roman" w:hAnsi="Times New Roman"/>
                <w:sz w:val="10"/>
                <w:szCs w:val="10"/>
                <w:color w:val="auto"/>
              </w:rPr>
              <w:t>1,570</w:t>
            </w: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15"/>
        </w:trPr>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19,181</w:t>
            </w:r>
          </w:p>
        </w:tc>
        <w:tc>
          <w:tcPr>
            <w:tcW w:w="100" w:type="dxa"/>
            <w:vAlign w:val="bottom"/>
          </w:tcPr>
          <w:p>
            <w:pPr>
              <w:spacing w:after="0"/>
              <w:rPr>
                <w:sz w:val="10"/>
                <w:szCs w:val="10"/>
                <w:color w:val="auto"/>
              </w:rPr>
            </w:pPr>
          </w:p>
        </w:tc>
        <w:tc>
          <w:tcPr>
            <w:tcW w:w="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19,570</w:t>
            </w:r>
          </w:p>
        </w:tc>
        <w:tc>
          <w:tcPr>
            <w:tcW w:w="100" w:type="dxa"/>
            <w:vAlign w:val="bottom"/>
          </w:tcPr>
          <w:p>
            <w:pPr>
              <w:spacing w:after="0"/>
              <w:rPr>
                <w:sz w:val="10"/>
                <w:szCs w:val="10"/>
                <w:color w:val="auto"/>
              </w:rPr>
            </w:pPr>
          </w:p>
        </w:tc>
        <w:tc>
          <w:tcPr>
            <w:tcW w:w="440" w:type="dxa"/>
            <w:vAlign w:val="bottom"/>
            <w:gridSpan w:val="2"/>
          </w:tcPr>
          <w:p>
            <w:pPr>
              <w:jc w:val="right"/>
              <w:spacing w:after="0" w:line="113" w:lineRule="exact"/>
              <w:rPr>
                <w:sz w:val="20"/>
                <w:szCs w:val="20"/>
                <w:color w:val="auto"/>
              </w:rPr>
            </w:pPr>
            <w:r>
              <w:rPr>
                <w:rFonts w:ascii="Times New Roman" w:cs="Times New Roman" w:eastAsia="Times New Roman" w:hAnsi="Times New Roman"/>
                <w:sz w:val="10"/>
                <w:szCs w:val="10"/>
                <w:color w:val="auto"/>
              </w:rPr>
              <w:t>3%</w:t>
            </w:r>
          </w:p>
        </w:tc>
      </w:tr>
      <w:tr>
        <w:trPr>
          <w:trHeight w:val="416"/>
        </w:trPr>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11.00%/2.00%</w:t>
            </w: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12/23/2025</w:t>
            </w: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12/23/2030</w:t>
            </w: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22,876</w:t>
            </w:r>
          </w:p>
        </w:tc>
        <w:tc>
          <w:tcPr>
            <w:tcW w:w="3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22,641</w:t>
            </w:r>
          </w:p>
        </w:tc>
        <w:tc>
          <w:tcPr>
            <w:tcW w:w="520" w:type="dxa"/>
            <w:vAlign w:val="bottom"/>
            <w:gridSpan w:val="3"/>
          </w:tcPr>
          <w:p>
            <w:pPr>
              <w:jc w:val="right"/>
              <w:ind w:right="100"/>
              <w:spacing w:after="0"/>
              <w:rPr>
                <w:sz w:val="20"/>
                <w:szCs w:val="20"/>
                <w:color w:val="auto"/>
              </w:rPr>
            </w:pPr>
            <w:r>
              <w:rPr>
                <w:rFonts w:ascii="Times New Roman" w:cs="Times New Roman" w:eastAsia="Times New Roman" w:hAnsi="Times New Roman"/>
                <w:sz w:val="10"/>
                <w:szCs w:val="10"/>
                <w:color w:val="auto"/>
              </w:rPr>
              <w:t>22,641</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3%</w:t>
            </w:r>
          </w:p>
        </w:tc>
      </w:tr>
      <w:tr>
        <w:trPr>
          <w:trHeight w:val="482"/>
        </w:trPr>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10.50%/5.50%</w:t>
            </w: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3/15/2024</w:t>
            </w: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3/15/2028</w:t>
            </w: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30,489</w:t>
            </w:r>
          </w:p>
        </w:tc>
        <w:tc>
          <w:tcPr>
            <w:tcW w:w="3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30,305</w:t>
            </w:r>
          </w:p>
        </w:tc>
        <w:tc>
          <w:tcPr>
            <w:tcW w:w="520" w:type="dxa"/>
            <w:vAlign w:val="bottom"/>
            <w:gridSpan w:val="3"/>
          </w:tcPr>
          <w:p>
            <w:pPr>
              <w:jc w:val="right"/>
              <w:ind w:right="100"/>
              <w:spacing w:after="0"/>
              <w:rPr>
                <w:sz w:val="20"/>
                <w:szCs w:val="20"/>
                <w:color w:val="auto"/>
              </w:rPr>
            </w:pPr>
            <w:r>
              <w:rPr>
                <w:rFonts w:ascii="Times New Roman" w:cs="Times New Roman" w:eastAsia="Times New Roman" w:hAnsi="Times New Roman"/>
                <w:sz w:val="10"/>
                <w:szCs w:val="10"/>
                <w:color w:val="auto"/>
              </w:rPr>
              <w:t>30,489</w:t>
            </w: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18"/>
        </w:trPr>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8.25%/0.00%</w:t>
            </w: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6/6/2025</w:t>
            </w: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3/15/2028</w:t>
            </w: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5</w:t>
            </w:r>
          </w:p>
        </w:tc>
        <w:tc>
          <w:tcPr>
            <w:tcW w:w="3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w:t>
            </w:r>
          </w:p>
        </w:tc>
        <w:tc>
          <w:tcPr>
            <w:tcW w:w="520" w:type="dxa"/>
            <w:vAlign w:val="bottom"/>
            <w:gridSpan w:val="3"/>
          </w:tcPr>
          <w:p>
            <w:pPr>
              <w:jc w:val="right"/>
              <w:ind w:right="100"/>
              <w:spacing w:after="0"/>
              <w:rPr>
                <w:sz w:val="20"/>
                <w:szCs w:val="20"/>
                <w:color w:val="auto"/>
              </w:rPr>
            </w:pPr>
            <w:r>
              <w:rPr>
                <w:rFonts w:ascii="Times New Roman" w:cs="Times New Roman" w:eastAsia="Times New Roman" w:hAnsi="Times New Roman"/>
                <w:sz w:val="10"/>
                <w:szCs w:val="10"/>
                <w:color w:val="auto"/>
              </w:rPr>
              <w:t>5</w:t>
            </w: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15"/>
        </w:trPr>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30,310</w:t>
            </w:r>
          </w:p>
        </w:tc>
        <w:tc>
          <w:tcPr>
            <w:tcW w:w="100" w:type="dxa"/>
            <w:vAlign w:val="bottom"/>
          </w:tcPr>
          <w:p>
            <w:pPr>
              <w:spacing w:after="0"/>
              <w:rPr>
                <w:sz w:val="10"/>
                <w:szCs w:val="10"/>
                <w:color w:val="auto"/>
              </w:rPr>
            </w:pPr>
          </w:p>
        </w:tc>
        <w:tc>
          <w:tcPr>
            <w:tcW w:w="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30,494</w:t>
            </w:r>
          </w:p>
        </w:tc>
        <w:tc>
          <w:tcPr>
            <w:tcW w:w="100" w:type="dxa"/>
            <w:vAlign w:val="bottom"/>
          </w:tcPr>
          <w:p>
            <w:pPr>
              <w:spacing w:after="0"/>
              <w:rPr>
                <w:sz w:val="10"/>
                <w:szCs w:val="10"/>
                <w:color w:val="auto"/>
              </w:rPr>
            </w:pPr>
          </w:p>
        </w:tc>
        <w:tc>
          <w:tcPr>
            <w:tcW w:w="440" w:type="dxa"/>
            <w:vAlign w:val="bottom"/>
            <w:gridSpan w:val="2"/>
          </w:tcPr>
          <w:p>
            <w:pPr>
              <w:jc w:val="right"/>
              <w:spacing w:after="0" w:line="113" w:lineRule="exact"/>
              <w:rPr>
                <w:sz w:val="20"/>
                <w:szCs w:val="20"/>
                <w:color w:val="auto"/>
              </w:rPr>
            </w:pPr>
            <w:r>
              <w:rPr>
                <w:rFonts w:ascii="Times New Roman" w:cs="Times New Roman" w:eastAsia="Times New Roman" w:hAnsi="Times New Roman"/>
                <w:sz w:val="10"/>
                <w:szCs w:val="10"/>
                <w:color w:val="auto"/>
              </w:rPr>
              <w:t>4%</w:t>
            </w:r>
          </w:p>
        </w:tc>
      </w:tr>
      <w:tr>
        <w:trPr>
          <w:trHeight w:val="416"/>
        </w:trPr>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4.3%</w:t>
            </w: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9/8/2016</w:t>
            </w: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— </w:t>
            </w:r>
          </w:p>
        </w:tc>
        <w:tc>
          <w:tcPr>
            <w:tcW w:w="100" w:type="dxa"/>
            <w:vAlign w:val="bottom"/>
          </w:tcPr>
          <w:p>
            <w:pPr>
              <w:spacing w:after="0"/>
              <w:rPr>
                <w:sz w:val="24"/>
                <w:szCs w:val="24"/>
                <w:color w:val="auto"/>
              </w:rPr>
            </w:pPr>
          </w:p>
        </w:tc>
        <w:tc>
          <w:tcPr>
            <w:tcW w:w="420" w:type="dxa"/>
            <w:vAlign w:val="bottom"/>
            <w:gridSpan w:val="2"/>
          </w:tcPr>
          <w:p>
            <w:pPr>
              <w:ind w:left="180"/>
              <w:spacing w:after="0"/>
              <w:rPr>
                <w:sz w:val="20"/>
                <w:szCs w:val="20"/>
                <w:color w:val="auto"/>
              </w:rPr>
            </w:pPr>
            <w:r>
              <w:rPr>
                <w:rFonts w:ascii="Times New Roman" w:cs="Times New Roman" w:eastAsia="Times New Roman" w:hAnsi="Times New Roman"/>
                <w:sz w:val="10"/>
                <w:szCs w:val="10"/>
                <w:color w:val="auto"/>
              </w:rPr>
              <w:t>— </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0%</w:t>
            </w:r>
          </w:p>
        </w:tc>
      </w:tr>
      <w:tr>
        <w:trPr>
          <w:trHeight w:val="293"/>
        </w:trPr>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gridSpan w:val="2"/>
          </w:tcPr>
          <w:p>
            <w:pPr>
              <w:jc w:val="center"/>
              <w:ind w:right="60"/>
              <w:spacing w:after="0"/>
              <w:rPr>
                <w:sz w:val="20"/>
                <w:szCs w:val="20"/>
                <w:color w:val="auto"/>
              </w:rPr>
            </w:pPr>
            <w:r>
              <w:rPr>
                <w:rFonts w:ascii="Times New Roman" w:cs="Times New Roman" w:eastAsia="Times New Roman" w:hAnsi="Times New Roman"/>
                <w:sz w:val="10"/>
                <w:szCs w:val="10"/>
                <w:color w:val="auto"/>
                <w:w w:val="96"/>
              </w:rPr>
              <w:t>(S + 5.00%) / (2.00%)</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8.70%/0.00%</w:t>
            </w: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7/2/2025</w:t>
            </w: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1/2/2029</w:t>
            </w: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8,500</w:t>
            </w:r>
          </w:p>
        </w:tc>
        <w:tc>
          <w:tcPr>
            <w:tcW w:w="3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8,450</w:t>
            </w:r>
          </w:p>
        </w:tc>
        <w:tc>
          <w:tcPr>
            <w:tcW w:w="520" w:type="dxa"/>
            <w:vAlign w:val="bottom"/>
            <w:gridSpan w:val="3"/>
          </w:tcPr>
          <w:p>
            <w:pPr>
              <w:jc w:val="right"/>
              <w:ind w:right="100"/>
              <w:spacing w:after="0"/>
              <w:rPr>
                <w:sz w:val="20"/>
                <w:szCs w:val="20"/>
                <w:color w:val="auto"/>
              </w:rPr>
            </w:pPr>
            <w:r>
              <w:rPr>
                <w:rFonts w:ascii="Times New Roman" w:cs="Times New Roman" w:eastAsia="Times New Roman" w:hAnsi="Times New Roman"/>
                <w:sz w:val="10"/>
                <w:szCs w:val="10"/>
                <w:color w:val="auto"/>
              </w:rPr>
              <w:t>8,500</w:t>
            </w: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02"/>
        </w:trPr>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4.9%</w:t>
            </w: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7/2/2025</w:t>
            </w: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4,250</w:t>
            </w:r>
          </w:p>
        </w:tc>
        <w:tc>
          <w:tcPr>
            <w:tcW w:w="520" w:type="dxa"/>
            <w:vAlign w:val="bottom"/>
            <w:gridSpan w:val="3"/>
          </w:tcPr>
          <w:p>
            <w:pPr>
              <w:jc w:val="right"/>
              <w:ind w:right="100"/>
              <w:spacing w:after="0"/>
              <w:rPr>
                <w:sz w:val="20"/>
                <w:szCs w:val="20"/>
                <w:color w:val="auto"/>
              </w:rPr>
            </w:pPr>
            <w:r>
              <w:rPr>
                <w:rFonts w:ascii="Times New Roman" w:cs="Times New Roman" w:eastAsia="Times New Roman" w:hAnsi="Times New Roman"/>
                <w:sz w:val="10"/>
                <w:szCs w:val="10"/>
                <w:color w:val="auto"/>
              </w:rPr>
              <w:t>7,650</w:t>
            </w: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15"/>
        </w:trPr>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12,700</w:t>
            </w:r>
          </w:p>
        </w:tc>
        <w:tc>
          <w:tcPr>
            <w:tcW w:w="100" w:type="dxa"/>
            <w:vAlign w:val="bottom"/>
          </w:tcPr>
          <w:p>
            <w:pPr>
              <w:spacing w:after="0"/>
              <w:rPr>
                <w:sz w:val="10"/>
                <w:szCs w:val="10"/>
                <w:color w:val="auto"/>
              </w:rPr>
            </w:pPr>
          </w:p>
        </w:tc>
        <w:tc>
          <w:tcPr>
            <w:tcW w:w="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16,150</w:t>
            </w:r>
          </w:p>
        </w:tc>
        <w:tc>
          <w:tcPr>
            <w:tcW w:w="100" w:type="dxa"/>
            <w:vAlign w:val="bottom"/>
          </w:tcPr>
          <w:p>
            <w:pPr>
              <w:spacing w:after="0"/>
              <w:rPr>
                <w:sz w:val="10"/>
                <w:szCs w:val="10"/>
                <w:color w:val="auto"/>
              </w:rPr>
            </w:pPr>
          </w:p>
        </w:tc>
        <w:tc>
          <w:tcPr>
            <w:tcW w:w="440" w:type="dxa"/>
            <w:vAlign w:val="bottom"/>
            <w:gridSpan w:val="2"/>
          </w:tcPr>
          <w:p>
            <w:pPr>
              <w:jc w:val="right"/>
              <w:spacing w:after="0" w:line="113" w:lineRule="exact"/>
              <w:rPr>
                <w:sz w:val="20"/>
                <w:szCs w:val="20"/>
                <w:color w:val="auto"/>
              </w:rPr>
            </w:pPr>
            <w:r>
              <w:rPr>
                <w:rFonts w:ascii="Times New Roman" w:cs="Times New Roman" w:eastAsia="Times New Roman" w:hAnsi="Times New Roman"/>
                <w:sz w:val="10"/>
                <w:szCs w:val="10"/>
                <w:color w:val="auto"/>
              </w:rPr>
              <w:t>2%</w:t>
            </w:r>
          </w:p>
        </w:tc>
      </w:tr>
      <w:tr>
        <w:trPr>
          <w:trHeight w:val="206"/>
        </w:trPr>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gridSpan w:val="2"/>
          </w:tcPr>
          <w:p>
            <w:pPr>
              <w:jc w:val="center"/>
              <w:ind w:right="60"/>
              <w:spacing w:after="0"/>
              <w:rPr>
                <w:sz w:val="20"/>
                <w:szCs w:val="20"/>
                <w:color w:val="auto"/>
              </w:rPr>
            </w:pPr>
            <w:r>
              <w:rPr>
                <w:rFonts w:ascii="Times New Roman" w:cs="Times New Roman" w:eastAsia="Times New Roman" w:hAnsi="Times New Roman"/>
                <w:sz w:val="10"/>
                <w:szCs w:val="10"/>
                <w:color w:val="auto"/>
                <w:w w:val="96"/>
              </w:rPr>
              <w:t>(S + 7.75%) / (1.00%)</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11.67%/0.00%</w:t>
            </w: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3/4/2022</w:t>
            </w: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3/4/2027</w:t>
            </w: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14,100</w:t>
            </w:r>
          </w:p>
        </w:tc>
        <w:tc>
          <w:tcPr>
            <w:tcW w:w="3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14,084</w:t>
            </w:r>
          </w:p>
        </w:tc>
        <w:tc>
          <w:tcPr>
            <w:tcW w:w="520" w:type="dxa"/>
            <w:vAlign w:val="bottom"/>
            <w:gridSpan w:val="3"/>
          </w:tcPr>
          <w:p>
            <w:pPr>
              <w:jc w:val="right"/>
              <w:ind w:right="100"/>
              <w:spacing w:after="0"/>
              <w:rPr>
                <w:sz w:val="20"/>
                <w:szCs w:val="20"/>
                <w:color w:val="auto"/>
              </w:rPr>
            </w:pPr>
            <w:r>
              <w:rPr>
                <w:rFonts w:ascii="Times New Roman" w:cs="Times New Roman" w:eastAsia="Times New Roman" w:hAnsi="Times New Roman"/>
                <w:sz w:val="10"/>
                <w:szCs w:val="10"/>
                <w:color w:val="auto"/>
              </w:rPr>
              <w:t>14,100</w:t>
            </w: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94"/>
        </w:trPr>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gridSpan w:val="2"/>
          </w:tcPr>
          <w:p>
            <w:pPr>
              <w:jc w:val="center"/>
              <w:ind w:right="60"/>
              <w:spacing w:after="0"/>
              <w:rPr>
                <w:sz w:val="20"/>
                <w:szCs w:val="20"/>
                <w:color w:val="auto"/>
              </w:rPr>
            </w:pPr>
            <w:r>
              <w:rPr>
                <w:rFonts w:ascii="Times New Roman" w:cs="Times New Roman" w:eastAsia="Times New Roman" w:hAnsi="Times New Roman"/>
                <w:sz w:val="10"/>
                <w:szCs w:val="10"/>
                <w:color w:val="auto"/>
                <w:w w:val="96"/>
              </w:rPr>
              <w:t>(S + 7.75%) / (1.00%)</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11.67%/0.00%</w:t>
            </w: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3/4/2022</w:t>
            </w: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3/4/2027</w:t>
            </w: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500</w:t>
            </w:r>
          </w:p>
        </w:tc>
        <w:tc>
          <w:tcPr>
            <w:tcW w:w="3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496</w:t>
            </w:r>
          </w:p>
        </w:tc>
        <w:tc>
          <w:tcPr>
            <w:tcW w:w="520" w:type="dxa"/>
            <w:vAlign w:val="bottom"/>
            <w:gridSpan w:val="3"/>
          </w:tcPr>
          <w:p>
            <w:pPr>
              <w:jc w:val="right"/>
              <w:ind w:right="100"/>
              <w:spacing w:after="0"/>
              <w:rPr>
                <w:sz w:val="20"/>
                <w:szCs w:val="20"/>
                <w:color w:val="auto"/>
              </w:rPr>
            </w:pPr>
            <w:r>
              <w:rPr>
                <w:rFonts w:ascii="Times New Roman" w:cs="Times New Roman" w:eastAsia="Times New Roman" w:hAnsi="Times New Roman"/>
                <w:sz w:val="10"/>
                <w:szCs w:val="10"/>
                <w:color w:val="auto"/>
              </w:rPr>
              <w:t>500</w:t>
            </w: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25"/>
        </w:trPr>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7.25%/7.25%</w:t>
            </w: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3/4/2022</w:t>
            </w: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9/4/2027</w:t>
            </w: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3,382</w:t>
            </w:r>
          </w:p>
        </w:tc>
        <w:tc>
          <w:tcPr>
            <w:tcW w:w="3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3,378</w:t>
            </w:r>
          </w:p>
        </w:tc>
        <w:tc>
          <w:tcPr>
            <w:tcW w:w="520" w:type="dxa"/>
            <w:vAlign w:val="bottom"/>
            <w:gridSpan w:val="3"/>
          </w:tcPr>
          <w:p>
            <w:pPr>
              <w:jc w:val="right"/>
              <w:ind w:right="100"/>
              <w:spacing w:after="0"/>
              <w:rPr>
                <w:sz w:val="20"/>
                <w:szCs w:val="20"/>
                <w:color w:val="auto"/>
              </w:rPr>
            </w:pPr>
            <w:r>
              <w:rPr>
                <w:rFonts w:ascii="Times New Roman" w:cs="Times New Roman" w:eastAsia="Times New Roman" w:hAnsi="Times New Roman"/>
                <w:sz w:val="10"/>
                <w:szCs w:val="10"/>
                <w:color w:val="auto"/>
              </w:rPr>
              <w:t>4,539</w:t>
            </w: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202"/>
        </w:trPr>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4.4%</w:t>
            </w: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3/4/2022</w:t>
            </w: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1,000</w:t>
            </w:r>
          </w:p>
        </w:tc>
        <w:tc>
          <w:tcPr>
            <w:tcW w:w="520" w:type="dxa"/>
            <w:vAlign w:val="bottom"/>
            <w:gridSpan w:val="3"/>
          </w:tcPr>
          <w:p>
            <w:pPr>
              <w:jc w:val="right"/>
              <w:ind w:right="100"/>
              <w:spacing w:after="0"/>
              <w:rPr>
                <w:sz w:val="20"/>
                <w:szCs w:val="20"/>
                <w:color w:val="auto"/>
              </w:rPr>
            </w:pPr>
            <w:r>
              <w:rPr>
                <w:rFonts w:ascii="Times New Roman" w:cs="Times New Roman" w:eastAsia="Times New Roman" w:hAnsi="Times New Roman"/>
                <w:sz w:val="10"/>
                <w:szCs w:val="10"/>
                <w:color w:val="auto"/>
              </w:rPr>
              <w:t>1,058</w:t>
            </w: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15"/>
        </w:trPr>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18,958</w:t>
            </w:r>
          </w:p>
        </w:tc>
        <w:tc>
          <w:tcPr>
            <w:tcW w:w="100" w:type="dxa"/>
            <w:vAlign w:val="bottom"/>
          </w:tcPr>
          <w:p>
            <w:pPr>
              <w:spacing w:after="0"/>
              <w:rPr>
                <w:sz w:val="10"/>
                <w:szCs w:val="10"/>
                <w:color w:val="auto"/>
              </w:rPr>
            </w:pPr>
          </w:p>
        </w:tc>
        <w:tc>
          <w:tcPr>
            <w:tcW w:w="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20,197</w:t>
            </w:r>
          </w:p>
        </w:tc>
        <w:tc>
          <w:tcPr>
            <w:tcW w:w="100" w:type="dxa"/>
            <w:vAlign w:val="bottom"/>
          </w:tcPr>
          <w:p>
            <w:pPr>
              <w:spacing w:after="0"/>
              <w:rPr>
                <w:sz w:val="10"/>
                <w:szCs w:val="10"/>
                <w:color w:val="auto"/>
              </w:rPr>
            </w:pPr>
          </w:p>
        </w:tc>
        <w:tc>
          <w:tcPr>
            <w:tcW w:w="440" w:type="dxa"/>
            <w:vAlign w:val="bottom"/>
            <w:gridSpan w:val="2"/>
          </w:tcPr>
          <w:p>
            <w:pPr>
              <w:jc w:val="right"/>
              <w:spacing w:after="0" w:line="113" w:lineRule="exact"/>
              <w:rPr>
                <w:sz w:val="20"/>
                <w:szCs w:val="20"/>
                <w:color w:val="auto"/>
              </w:rPr>
            </w:pPr>
            <w:r>
              <w:rPr>
                <w:rFonts w:ascii="Times New Roman" w:cs="Times New Roman" w:eastAsia="Times New Roman" w:hAnsi="Times New Roman"/>
                <w:sz w:val="10"/>
                <w:szCs w:val="10"/>
                <w:color w:val="auto"/>
              </w:rPr>
              <w:t>3%</w:t>
            </w:r>
          </w:p>
        </w:tc>
      </w:tr>
      <w:tr>
        <w:trPr>
          <w:trHeight w:val="311"/>
        </w:trPr>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gridSpan w:val="2"/>
          </w:tcPr>
          <w:p>
            <w:pPr>
              <w:jc w:val="center"/>
              <w:ind w:right="60"/>
              <w:spacing w:after="0"/>
              <w:rPr>
                <w:sz w:val="20"/>
                <w:szCs w:val="20"/>
                <w:color w:val="auto"/>
              </w:rPr>
            </w:pPr>
            <w:r>
              <w:rPr>
                <w:rFonts w:ascii="Times New Roman" w:cs="Times New Roman" w:eastAsia="Times New Roman" w:hAnsi="Times New Roman"/>
                <w:sz w:val="10"/>
                <w:szCs w:val="10"/>
                <w:color w:val="auto"/>
                <w:w w:val="96"/>
              </w:rPr>
              <w:t>(S + 5.75%) / (2.00%)</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9.40%/0.00%</w:t>
            </w: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9/9/2024</w:t>
            </w: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9/9/2029</w:t>
            </w: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12,586</w:t>
            </w:r>
          </w:p>
        </w:tc>
        <w:tc>
          <w:tcPr>
            <w:tcW w:w="3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12,509</w:t>
            </w:r>
          </w:p>
        </w:tc>
        <w:tc>
          <w:tcPr>
            <w:tcW w:w="520" w:type="dxa"/>
            <w:vAlign w:val="bottom"/>
            <w:gridSpan w:val="3"/>
          </w:tcPr>
          <w:p>
            <w:pPr>
              <w:jc w:val="right"/>
              <w:ind w:right="100"/>
              <w:spacing w:after="0"/>
              <w:rPr>
                <w:sz w:val="20"/>
                <w:szCs w:val="20"/>
                <w:color w:val="auto"/>
              </w:rPr>
            </w:pPr>
            <w:r>
              <w:rPr>
                <w:rFonts w:ascii="Times New Roman" w:cs="Times New Roman" w:eastAsia="Times New Roman" w:hAnsi="Times New Roman"/>
                <w:sz w:val="10"/>
                <w:szCs w:val="10"/>
                <w:color w:val="auto"/>
              </w:rPr>
              <w:t>12,586</w:t>
            </w: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14"/>
        </w:trPr>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gridSpan w:val="2"/>
          </w:tcPr>
          <w:p>
            <w:pPr>
              <w:jc w:val="center"/>
              <w:ind w:right="60"/>
              <w:spacing w:after="0"/>
              <w:rPr>
                <w:sz w:val="20"/>
                <w:szCs w:val="20"/>
                <w:color w:val="auto"/>
              </w:rPr>
            </w:pPr>
            <w:r>
              <w:rPr>
                <w:rFonts w:ascii="Times New Roman" w:cs="Times New Roman" w:eastAsia="Times New Roman" w:hAnsi="Times New Roman"/>
                <w:sz w:val="10"/>
                <w:szCs w:val="10"/>
                <w:color w:val="auto"/>
                <w:w w:val="96"/>
              </w:rPr>
              <w:t>(S + 5.75%) / (2.00%)</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9.40%/0.00%</w:t>
            </w: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9/9/2024</w:t>
            </w: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9/9/2029</w:t>
            </w: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— </w:t>
            </w:r>
          </w:p>
        </w:tc>
        <w:tc>
          <w:tcPr>
            <w:tcW w:w="3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— </w:t>
            </w:r>
          </w:p>
        </w:tc>
        <w:tc>
          <w:tcPr>
            <w:tcW w:w="100" w:type="dxa"/>
            <w:vAlign w:val="bottom"/>
          </w:tcPr>
          <w:p>
            <w:pPr>
              <w:spacing w:after="0"/>
              <w:rPr>
                <w:sz w:val="24"/>
                <w:szCs w:val="24"/>
                <w:color w:val="auto"/>
              </w:rPr>
            </w:pPr>
          </w:p>
        </w:tc>
        <w:tc>
          <w:tcPr>
            <w:tcW w:w="420" w:type="dxa"/>
            <w:vAlign w:val="bottom"/>
            <w:gridSpan w:val="2"/>
          </w:tcPr>
          <w:p>
            <w:pPr>
              <w:ind w:left="180"/>
              <w:spacing w:after="0"/>
              <w:rPr>
                <w:sz w:val="20"/>
                <w:szCs w:val="20"/>
                <w:color w:val="auto"/>
              </w:rPr>
            </w:pPr>
            <w:r>
              <w:rPr>
                <w:rFonts w:ascii="Times New Roman" w:cs="Times New Roman" w:eastAsia="Times New Roman" w:hAnsi="Times New Roman"/>
                <w:sz w:val="10"/>
                <w:szCs w:val="10"/>
                <w:color w:val="auto"/>
              </w:rPr>
              <w:t>— </w:t>
            </w: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09"/>
        </w:trPr>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10.00%/5.00%</w:t>
            </w: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12/11/2025</w:t>
            </w: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3/9/2030</w:t>
            </w: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1,545</w:t>
            </w:r>
          </w:p>
        </w:tc>
        <w:tc>
          <w:tcPr>
            <w:tcW w:w="3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1,517</w:t>
            </w:r>
          </w:p>
        </w:tc>
        <w:tc>
          <w:tcPr>
            <w:tcW w:w="520" w:type="dxa"/>
            <w:vAlign w:val="bottom"/>
            <w:gridSpan w:val="3"/>
          </w:tcPr>
          <w:p>
            <w:pPr>
              <w:jc w:val="right"/>
              <w:ind w:right="100"/>
              <w:spacing w:after="0"/>
              <w:rPr>
                <w:sz w:val="20"/>
                <w:szCs w:val="20"/>
                <w:color w:val="auto"/>
              </w:rPr>
            </w:pPr>
            <w:r>
              <w:rPr>
                <w:rFonts w:ascii="Times New Roman" w:cs="Times New Roman" w:eastAsia="Times New Roman" w:hAnsi="Times New Roman"/>
                <w:sz w:val="10"/>
                <w:szCs w:val="10"/>
                <w:color w:val="auto"/>
              </w:rPr>
              <w:t>1,517</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2"/>
        </w:trPr>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2.5%</w:t>
            </w: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9/9/2024</w:t>
            </w: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1,050</w:t>
            </w:r>
          </w:p>
        </w:tc>
        <w:tc>
          <w:tcPr>
            <w:tcW w:w="520" w:type="dxa"/>
            <w:vAlign w:val="bottom"/>
            <w:gridSpan w:val="3"/>
          </w:tcPr>
          <w:p>
            <w:pPr>
              <w:jc w:val="right"/>
              <w:ind w:right="100"/>
              <w:spacing w:after="0"/>
              <w:rPr>
                <w:sz w:val="20"/>
                <w:szCs w:val="20"/>
                <w:color w:val="auto"/>
              </w:rPr>
            </w:pPr>
            <w:r>
              <w:rPr>
                <w:rFonts w:ascii="Times New Roman" w:cs="Times New Roman" w:eastAsia="Times New Roman" w:hAnsi="Times New Roman"/>
                <w:sz w:val="10"/>
                <w:szCs w:val="10"/>
                <w:color w:val="auto"/>
              </w:rPr>
              <w:t>703</w:t>
            </w: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15"/>
        </w:trPr>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15,076</w:t>
            </w:r>
          </w:p>
        </w:tc>
        <w:tc>
          <w:tcPr>
            <w:tcW w:w="100" w:type="dxa"/>
            <w:vAlign w:val="bottom"/>
          </w:tcPr>
          <w:p>
            <w:pPr>
              <w:spacing w:after="0"/>
              <w:rPr>
                <w:sz w:val="10"/>
                <w:szCs w:val="10"/>
                <w:color w:val="auto"/>
              </w:rPr>
            </w:pPr>
          </w:p>
        </w:tc>
        <w:tc>
          <w:tcPr>
            <w:tcW w:w="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14,806</w:t>
            </w:r>
          </w:p>
        </w:tc>
        <w:tc>
          <w:tcPr>
            <w:tcW w:w="100" w:type="dxa"/>
            <w:vAlign w:val="bottom"/>
          </w:tcPr>
          <w:p>
            <w:pPr>
              <w:spacing w:after="0"/>
              <w:rPr>
                <w:sz w:val="10"/>
                <w:szCs w:val="10"/>
                <w:color w:val="auto"/>
              </w:rPr>
            </w:pPr>
          </w:p>
        </w:tc>
        <w:tc>
          <w:tcPr>
            <w:tcW w:w="440" w:type="dxa"/>
            <w:vAlign w:val="bottom"/>
            <w:gridSpan w:val="2"/>
          </w:tcPr>
          <w:p>
            <w:pPr>
              <w:jc w:val="right"/>
              <w:spacing w:after="0" w:line="113" w:lineRule="exact"/>
              <w:rPr>
                <w:sz w:val="20"/>
                <w:szCs w:val="20"/>
                <w:color w:val="auto"/>
              </w:rPr>
            </w:pPr>
            <w:r>
              <w:rPr>
                <w:rFonts w:ascii="Times New Roman" w:cs="Times New Roman" w:eastAsia="Times New Roman" w:hAnsi="Times New Roman"/>
                <w:sz w:val="10"/>
                <w:szCs w:val="10"/>
                <w:color w:val="auto"/>
              </w:rPr>
              <w:t>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-2085340</wp:posOffset>
            </wp:positionH>
            <wp:positionV relativeFrom="paragraph">
              <wp:posOffset>-3905885</wp:posOffset>
            </wp:positionV>
            <wp:extent cx="5422265" cy="1397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28">
                      <a:extLst>
                        <a:ext uri="{28A0092B-C50C-407E-A947-70E740481C1C}"/>
                      </a:extLst>
                    </a:blip>
                    <a:srcRect/>
                    <a:stretch>
                      <a:fillRect/>
                    </a:stretch>
                  </pic:blipFill>
                  <pic:spPr bwMode="auto">
                    <a:xfrm>
                      <a:off x="0" y="0"/>
                      <a:ext cx="5422265" cy="139700"/>
                    </a:xfrm>
                    <a:prstGeom prst="rect">
                      <a:avLst/>
                    </a:prstGeom>
                    <a:noFill/>
                  </pic:spPr>
                </pic:pic>
              </a:graphicData>
            </a:graphic>
          </wp:anchor>
        </w:drawing>
        <w:drawing>
          <wp:anchor simplePos="0" relativeHeight="251657728" behindDoc="1" locked="0" layoutInCell="0" allowOverlap="1">
            <wp:simplePos x="0" y="0"/>
            <wp:positionH relativeFrom="column">
              <wp:posOffset>-2085340</wp:posOffset>
            </wp:positionH>
            <wp:positionV relativeFrom="paragraph">
              <wp:posOffset>-3700145</wp:posOffset>
            </wp:positionV>
            <wp:extent cx="5422265" cy="6667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29">
                      <a:extLst>
                        <a:ext uri="{28A0092B-C50C-407E-A947-70E740481C1C}"/>
                      </a:extLst>
                    </a:blip>
                    <a:srcRect/>
                    <a:stretch>
                      <a:fillRect/>
                    </a:stretch>
                  </pic:blipFill>
                  <pic:spPr bwMode="auto">
                    <a:xfrm>
                      <a:off x="0" y="0"/>
                      <a:ext cx="5422265" cy="66675"/>
                    </a:xfrm>
                    <a:prstGeom prst="rect">
                      <a:avLst/>
                    </a:prstGeom>
                    <a:noFill/>
                  </pic:spPr>
                </pic:pic>
              </a:graphicData>
            </a:graphic>
          </wp:anchor>
        </w:drawing>
        <w:drawing>
          <wp:anchor simplePos="0" relativeHeight="251657728" behindDoc="1" locked="0" layoutInCell="0" allowOverlap="1">
            <wp:simplePos x="0" y="0"/>
            <wp:positionH relativeFrom="column">
              <wp:posOffset>-2085340</wp:posOffset>
            </wp:positionH>
            <wp:positionV relativeFrom="paragraph">
              <wp:posOffset>-3447415</wp:posOffset>
            </wp:positionV>
            <wp:extent cx="5422265" cy="6667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30">
                      <a:extLst>
                        <a:ext uri="{28A0092B-C50C-407E-A947-70E740481C1C}"/>
                      </a:extLst>
                    </a:blip>
                    <a:srcRect/>
                    <a:stretch>
                      <a:fillRect/>
                    </a:stretch>
                  </pic:blipFill>
                  <pic:spPr bwMode="auto">
                    <a:xfrm>
                      <a:off x="0" y="0"/>
                      <a:ext cx="5422265" cy="66675"/>
                    </a:xfrm>
                    <a:prstGeom prst="rect">
                      <a:avLst/>
                    </a:prstGeom>
                    <a:noFill/>
                  </pic:spPr>
                </pic:pic>
              </a:graphicData>
            </a:graphic>
          </wp:anchor>
        </w:drawing>
        <w:drawing>
          <wp:anchor simplePos="0" relativeHeight="251657728" behindDoc="1" locked="0" layoutInCell="0" allowOverlap="1">
            <wp:simplePos x="0" y="0"/>
            <wp:positionH relativeFrom="column">
              <wp:posOffset>-2085340</wp:posOffset>
            </wp:positionH>
            <wp:positionV relativeFrom="paragraph">
              <wp:posOffset>-3314700</wp:posOffset>
            </wp:positionV>
            <wp:extent cx="5422265" cy="13271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31">
                      <a:extLst>
                        <a:ext uri="{28A0092B-C50C-407E-A947-70E740481C1C}"/>
                      </a:extLst>
                    </a:blip>
                    <a:srcRect/>
                    <a:stretch>
                      <a:fillRect/>
                    </a:stretch>
                  </pic:blipFill>
                  <pic:spPr bwMode="auto">
                    <a:xfrm>
                      <a:off x="0" y="0"/>
                      <a:ext cx="5422265" cy="132715"/>
                    </a:xfrm>
                    <a:prstGeom prst="rect">
                      <a:avLst/>
                    </a:prstGeom>
                    <a:noFill/>
                  </pic:spPr>
                </pic:pic>
              </a:graphicData>
            </a:graphic>
          </wp:anchor>
        </w:drawing>
        <w:drawing>
          <wp:anchor simplePos="0" relativeHeight="251657728" behindDoc="1" locked="0" layoutInCell="0" allowOverlap="1">
            <wp:simplePos x="0" y="0"/>
            <wp:positionH relativeFrom="column">
              <wp:posOffset>-2085340</wp:posOffset>
            </wp:positionH>
            <wp:positionV relativeFrom="paragraph">
              <wp:posOffset>-3101975</wp:posOffset>
            </wp:positionV>
            <wp:extent cx="5422265" cy="6667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32">
                      <a:extLst>
                        <a:ext uri="{28A0092B-C50C-407E-A947-70E740481C1C}"/>
                      </a:extLst>
                    </a:blip>
                    <a:srcRect/>
                    <a:stretch>
                      <a:fillRect/>
                    </a:stretch>
                  </pic:blipFill>
                  <pic:spPr bwMode="auto">
                    <a:xfrm>
                      <a:off x="0" y="0"/>
                      <a:ext cx="5422265" cy="66675"/>
                    </a:xfrm>
                    <a:prstGeom prst="rect">
                      <a:avLst/>
                    </a:prstGeom>
                    <a:noFill/>
                  </pic:spPr>
                </pic:pic>
              </a:graphicData>
            </a:graphic>
          </wp:anchor>
        </w:drawing>
        <w:drawing>
          <wp:anchor simplePos="0" relativeHeight="251657728" behindDoc="1" locked="0" layoutInCell="0" allowOverlap="1">
            <wp:simplePos x="0" y="0"/>
            <wp:positionH relativeFrom="column">
              <wp:posOffset>-2085340</wp:posOffset>
            </wp:positionH>
            <wp:positionV relativeFrom="paragraph">
              <wp:posOffset>-2969260</wp:posOffset>
            </wp:positionV>
            <wp:extent cx="5422265" cy="13271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33">
                      <a:extLst>
                        <a:ext uri="{28A0092B-C50C-407E-A947-70E740481C1C}"/>
                      </a:extLst>
                    </a:blip>
                    <a:srcRect/>
                    <a:stretch>
                      <a:fillRect/>
                    </a:stretch>
                  </pic:blipFill>
                  <pic:spPr bwMode="auto">
                    <a:xfrm>
                      <a:off x="0" y="0"/>
                      <a:ext cx="5422265" cy="132715"/>
                    </a:xfrm>
                    <a:prstGeom prst="rect">
                      <a:avLst/>
                    </a:prstGeom>
                    <a:noFill/>
                  </pic:spPr>
                </pic:pic>
              </a:graphicData>
            </a:graphic>
          </wp:anchor>
        </w:drawing>
        <w:drawing>
          <wp:anchor simplePos="0" relativeHeight="251657728" behindDoc="1" locked="0" layoutInCell="0" allowOverlap="1">
            <wp:simplePos x="0" y="0"/>
            <wp:positionH relativeFrom="column">
              <wp:posOffset>-2085340</wp:posOffset>
            </wp:positionH>
            <wp:positionV relativeFrom="paragraph">
              <wp:posOffset>-2756535</wp:posOffset>
            </wp:positionV>
            <wp:extent cx="5422265" cy="13271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34">
                      <a:extLst>
                        <a:ext uri="{28A0092B-C50C-407E-A947-70E740481C1C}"/>
                      </a:extLst>
                    </a:blip>
                    <a:srcRect/>
                    <a:stretch>
                      <a:fillRect/>
                    </a:stretch>
                  </pic:blipFill>
                  <pic:spPr bwMode="auto">
                    <a:xfrm>
                      <a:off x="0" y="0"/>
                      <a:ext cx="5422265" cy="132715"/>
                    </a:xfrm>
                    <a:prstGeom prst="rect">
                      <a:avLst/>
                    </a:prstGeom>
                    <a:noFill/>
                  </pic:spPr>
                </pic:pic>
              </a:graphicData>
            </a:graphic>
          </wp:anchor>
        </w:drawing>
        <w:drawing>
          <wp:anchor simplePos="0" relativeHeight="251657728" behindDoc="1" locked="0" layoutInCell="0" allowOverlap="1">
            <wp:simplePos x="0" y="0"/>
            <wp:positionH relativeFrom="column">
              <wp:posOffset>-2085340</wp:posOffset>
            </wp:positionH>
            <wp:positionV relativeFrom="paragraph">
              <wp:posOffset>-2437765</wp:posOffset>
            </wp:positionV>
            <wp:extent cx="5422265" cy="13271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35">
                      <a:extLst>
                        <a:ext uri="{28A0092B-C50C-407E-A947-70E740481C1C}"/>
                      </a:extLst>
                    </a:blip>
                    <a:srcRect/>
                    <a:stretch>
                      <a:fillRect/>
                    </a:stretch>
                  </pic:blipFill>
                  <pic:spPr bwMode="auto">
                    <a:xfrm>
                      <a:off x="0" y="0"/>
                      <a:ext cx="5422265" cy="132715"/>
                    </a:xfrm>
                    <a:prstGeom prst="rect">
                      <a:avLst/>
                    </a:prstGeom>
                    <a:noFill/>
                  </pic:spPr>
                </pic:pic>
              </a:graphicData>
            </a:graphic>
          </wp:anchor>
        </w:drawing>
        <w:drawing>
          <wp:anchor simplePos="0" relativeHeight="251657728" behindDoc="1" locked="0" layoutInCell="0" allowOverlap="1">
            <wp:simplePos x="0" y="0"/>
            <wp:positionH relativeFrom="column">
              <wp:posOffset>-2085340</wp:posOffset>
            </wp:positionH>
            <wp:positionV relativeFrom="paragraph">
              <wp:posOffset>-2171700</wp:posOffset>
            </wp:positionV>
            <wp:extent cx="5422265" cy="6667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36">
                      <a:extLst>
                        <a:ext uri="{28A0092B-C50C-407E-A947-70E740481C1C}"/>
                      </a:extLst>
                    </a:blip>
                    <a:srcRect/>
                    <a:stretch>
                      <a:fillRect/>
                    </a:stretch>
                  </pic:blipFill>
                  <pic:spPr bwMode="auto">
                    <a:xfrm>
                      <a:off x="0" y="0"/>
                      <a:ext cx="5422265" cy="66675"/>
                    </a:xfrm>
                    <a:prstGeom prst="rect">
                      <a:avLst/>
                    </a:prstGeom>
                    <a:noFill/>
                  </pic:spPr>
                </pic:pic>
              </a:graphicData>
            </a:graphic>
          </wp:anchor>
        </w:drawing>
        <w:drawing>
          <wp:anchor simplePos="0" relativeHeight="251657728" behindDoc="1" locked="0" layoutInCell="0" allowOverlap="1">
            <wp:simplePos x="0" y="0"/>
            <wp:positionH relativeFrom="column">
              <wp:posOffset>-2085340</wp:posOffset>
            </wp:positionH>
            <wp:positionV relativeFrom="paragraph">
              <wp:posOffset>-2025650</wp:posOffset>
            </wp:positionV>
            <wp:extent cx="5422265" cy="13271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37">
                      <a:extLst>
                        <a:ext uri="{28A0092B-C50C-407E-A947-70E740481C1C}"/>
                      </a:extLst>
                    </a:blip>
                    <a:srcRect/>
                    <a:stretch>
                      <a:fillRect/>
                    </a:stretch>
                  </pic:blipFill>
                  <pic:spPr bwMode="auto">
                    <a:xfrm>
                      <a:off x="0" y="0"/>
                      <a:ext cx="5422265" cy="132715"/>
                    </a:xfrm>
                    <a:prstGeom prst="rect">
                      <a:avLst/>
                    </a:prstGeom>
                    <a:noFill/>
                  </pic:spPr>
                </pic:pic>
              </a:graphicData>
            </a:graphic>
          </wp:anchor>
        </w:drawing>
        <w:drawing>
          <wp:anchor simplePos="0" relativeHeight="251657728" behindDoc="1" locked="0" layoutInCell="0" allowOverlap="1">
            <wp:simplePos x="0" y="0"/>
            <wp:positionH relativeFrom="column">
              <wp:posOffset>-2085340</wp:posOffset>
            </wp:positionH>
            <wp:positionV relativeFrom="paragraph">
              <wp:posOffset>-1706880</wp:posOffset>
            </wp:positionV>
            <wp:extent cx="5422265" cy="6667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38">
                      <a:extLst>
                        <a:ext uri="{28A0092B-C50C-407E-A947-70E740481C1C}"/>
                      </a:extLst>
                    </a:blip>
                    <a:srcRect/>
                    <a:stretch>
                      <a:fillRect/>
                    </a:stretch>
                  </pic:blipFill>
                  <pic:spPr bwMode="auto">
                    <a:xfrm>
                      <a:off x="0" y="0"/>
                      <a:ext cx="5422265" cy="66675"/>
                    </a:xfrm>
                    <a:prstGeom prst="rect">
                      <a:avLst/>
                    </a:prstGeom>
                    <a:noFill/>
                  </pic:spPr>
                </pic:pic>
              </a:graphicData>
            </a:graphic>
          </wp:anchor>
        </w:drawing>
        <w:drawing>
          <wp:anchor simplePos="0" relativeHeight="251657728" behindDoc="1" locked="0" layoutInCell="0" allowOverlap="1">
            <wp:simplePos x="0" y="0"/>
            <wp:positionH relativeFrom="column">
              <wp:posOffset>-2085340</wp:posOffset>
            </wp:positionH>
            <wp:positionV relativeFrom="paragraph">
              <wp:posOffset>-1573530</wp:posOffset>
            </wp:positionV>
            <wp:extent cx="5422265" cy="13271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39">
                      <a:extLst>
                        <a:ext uri="{28A0092B-C50C-407E-A947-70E740481C1C}"/>
                      </a:extLst>
                    </a:blip>
                    <a:srcRect/>
                    <a:stretch>
                      <a:fillRect/>
                    </a:stretch>
                  </pic:blipFill>
                  <pic:spPr bwMode="auto">
                    <a:xfrm>
                      <a:off x="0" y="0"/>
                      <a:ext cx="5422265" cy="132715"/>
                    </a:xfrm>
                    <a:prstGeom prst="rect">
                      <a:avLst/>
                    </a:prstGeom>
                    <a:noFill/>
                  </pic:spPr>
                </pic:pic>
              </a:graphicData>
            </a:graphic>
          </wp:anchor>
        </w:drawing>
        <w:drawing>
          <wp:anchor simplePos="0" relativeHeight="251657728" behindDoc="1" locked="0" layoutInCell="0" allowOverlap="1">
            <wp:simplePos x="0" y="0"/>
            <wp:positionH relativeFrom="column">
              <wp:posOffset>-2085340</wp:posOffset>
            </wp:positionH>
            <wp:positionV relativeFrom="paragraph">
              <wp:posOffset>-1361440</wp:posOffset>
            </wp:positionV>
            <wp:extent cx="5422265" cy="6667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40">
                      <a:extLst>
                        <a:ext uri="{28A0092B-C50C-407E-A947-70E740481C1C}"/>
                      </a:extLst>
                    </a:blip>
                    <a:srcRect/>
                    <a:stretch>
                      <a:fillRect/>
                    </a:stretch>
                  </pic:blipFill>
                  <pic:spPr bwMode="auto">
                    <a:xfrm>
                      <a:off x="0" y="0"/>
                      <a:ext cx="5422265" cy="66675"/>
                    </a:xfrm>
                    <a:prstGeom prst="rect">
                      <a:avLst/>
                    </a:prstGeom>
                    <a:noFill/>
                  </pic:spPr>
                </pic:pic>
              </a:graphicData>
            </a:graphic>
          </wp:anchor>
        </w:drawing>
        <w:drawing>
          <wp:anchor simplePos="0" relativeHeight="251657728" behindDoc="1" locked="0" layoutInCell="0" allowOverlap="1">
            <wp:simplePos x="0" y="0"/>
            <wp:positionH relativeFrom="column">
              <wp:posOffset>-2085340</wp:posOffset>
            </wp:positionH>
            <wp:positionV relativeFrom="paragraph">
              <wp:posOffset>-1228090</wp:posOffset>
            </wp:positionV>
            <wp:extent cx="5422265" cy="1993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41">
                      <a:extLst>
                        <a:ext uri="{28A0092B-C50C-407E-A947-70E740481C1C}"/>
                      </a:extLst>
                    </a:blip>
                    <a:srcRect/>
                    <a:stretch>
                      <a:fillRect/>
                    </a:stretch>
                  </pic:blipFill>
                  <pic:spPr bwMode="auto">
                    <a:xfrm>
                      <a:off x="0" y="0"/>
                      <a:ext cx="5422265" cy="199390"/>
                    </a:xfrm>
                    <a:prstGeom prst="rect">
                      <a:avLst/>
                    </a:prstGeom>
                    <a:noFill/>
                  </pic:spPr>
                </pic:pic>
              </a:graphicData>
            </a:graphic>
          </wp:anchor>
        </w:drawing>
        <w:drawing>
          <wp:anchor simplePos="0" relativeHeight="251657728" behindDoc="1" locked="0" layoutInCell="0" allowOverlap="1">
            <wp:simplePos x="0" y="0"/>
            <wp:positionH relativeFrom="column">
              <wp:posOffset>-2085340</wp:posOffset>
            </wp:positionH>
            <wp:positionV relativeFrom="paragraph">
              <wp:posOffset>-962660</wp:posOffset>
            </wp:positionV>
            <wp:extent cx="5422265" cy="13271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42">
                      <a:extLst>
                        <a:ext uri="{28A0092B-C50C-407E-A947-70E740481C1C}"/>
                      </a:extLst>
                    </a:blip>
                    <a:srcRect/>
                    <a:stretch>
                      <a:fillRect/>
                    </a:stretch>
                  </pic:blipFill>
                  <pic:spPr bwMode="auto">
                    <a:xfrm>
                      <a:off x="0" y="0"/>
                      <a:ext cx="5422265" cy="132715"/>
                    </a:xfrm>
                    <a:prstGeom prst="rect">
                      <a:avLst/>
                    </a:prstGeom>
                    <a:noFill/>
                  </pic:spPr>
                </pic:pic>
              </a:graphicData>
            </a:graphic>
          </wp:anchor>
        </w:drawing>
        <w:drawing>
          <wp:anchor simplePos="0" relativeHeight="251657728" behindDoc="1" locked="0" layoutInCell="0" allowOverlap="1">
            <wp:simplePos x="0" y="0"/>
            <wp:positionH relativeFrom="column">
              <wp:posOffset>-2085340</wp:posOffset>
            </wp:positionH>
            <wp:positionV relativeFrom="paragraph">
              <wp:posOffset>-749935</wp:posOffset>
            </wp:positionV>
            <wp:extent cx="5422265" cy="6667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43">
                      <a:extLst>
                        <a:ext uri="{28A0092B-C50C-407E-A947-70E740481C1C}"/>
                      </a:extLst>
                    </a:blip>
                    <a:srcRect/>
                    <a:stretch>
                      <a:fillRect/>
                    </a:stretch>
                  </pic:blipFill>
                  <pic:spPr bwMode="auto">
                    <a:xfrm>
                      <a:off x="0" y="0"/>
                      <a:ext cx="5422265" cy="66675"/>
                    </a:xfrm>
                    <a:prstGeom prst="rect">
                      <a:avLst/>
                    </a:prstGeom>
                    <a:noFill/>
                  </pic:spPr>
                </pic:pic>
              </a:graphicData>
            </a:graphic>
          </wp:anchor>
        </w:drawing>
        <w:drawing>
          <wp:anchor simplePos="0" relativeHeight="251657728" behindDoc="1" locked="0" layoutInCell="0" allowOverlap="1">
            <wp:simplePos x="0" y="0"/>
            <wp:positionH relativeFrom="column">
              <wp:posOffset>-2085340</wp:posOffset>
            </wp:positionH>
            <wp:positionV relativeFrom="paragraph">
              <wp:posOffset>-550545</wp:posOffset>
            </wp:positionV>
            <wp:extent cx="5422265" cy="1993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44">
                      <a:extLst>
                        <a:ext uri="{28A0092B-C50C-407E-A947-70E740481C1C}"/>
                      </a:extLst>
                    </a:blip>
                    <a:srcRect/>
                    <a:stretch>
                      <a:fillRect/>
                    </a:stretch>
                  </pic:blipFill>
                  <pic:spPr bwMode="auto">
                    <a:xfrm>
                      <a:off x="0" y="0"/>
                      <a:ext cx="5422265" cy="199390"/>
                    </a:xfrm>
                    <a:prstGeom prst="rect">
                      <a:avLst/>
                    </a:prstGeom>
                    <a:noFill/>
                  </pic:spPr>
                </pic:pic>
              </a:graphicData>
            </a:graphic>
          </wp:anchor>
        </w:drawing>
        <w:drawing>
          <wp:anchor simplePos="0" relativeHeight="251657728" behindDoc="1" locked="0" layoutInCell="0" allowOverlap="1">
            <wp:simplePos x="0" y="0"/>
            <wp:positionH relativeFrom="column">
              <wp:posOffset>-2085340</wp:posOffset>
            </wp:positionH>
            <wp:positionV relativeFrom="paragraph">
              <wp:posOffset>-218440</wp:posOffset>
            </wp:positionV>
            <wp:extent cx="5422265" cy="13271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45">
                      <a:extLst>
                        <a:ext uri="{28A0092B-C50C-407E-A947-70E740481C1C}"/>
                      </a:extLst>
                    </a:blip>
                    <a:srcRect/>
                    <a:stretch>
                      <a:fillRect/>
                    </a:stretch>
                  </pic:blipFill>
                  <pic:spPr bwMode="auto">
                    <a:xfrm>
                      <a:off x="0" y="0"/>
                      <a:ext cx="5422265" cy="132715"/>
                    </a:xfrm>
                    <a:prstGeom prst="rect">
                      <a:avLst/>
                    </a:prstGeom>
                    <a:noFill/>
                  </pic:spPr>
                </pic:pic>
              </a:graphicData>
            </a:graphic>
          </wp:anchor>
        </w:drawing>
      </w:r>
    </w:p>
    <w:p>
      <w:pPr>
        <w:spacing w:after="0" w:line="7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56</w:t>
      </w:r>
    </w:p>
    <w:p>
      <w:pPr>
        <w:sectPr>
          <w:pgSz w:w="11900" w:h="16838" w:orient="portrait"/>
          <w:cols w:equalWidth="0" w:num="2">
            <w:col w:w="4600" w:space="60"/>
            <w:col w:w="5499"/>
          </w:cols>
          <w:pgMar w:left="300" w:top="384" w:right="1440" w:bottom="1440" w:gutter="0" w:footer="0" w:header="0"/>
          <w:type w:val="continuous"/>
        </w:sectPr>
      </w:pPr>
    </w:p>
    <w:bookmarkStart w:id="60" w:name="page61"/>
    <w:bookmarkEnd w:id="6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52" w:lineRule="exact"/>
        <w:rPr>
          <w:sz w:val="20"/>
          <w:szCs w:val="20"/>
          <w:color w:val="auto"/>
        </w:rPr>
      </w:pPr>
    </w:p>
    <w:tbl>
      <w:tblPr>
        <w:tblLayout w:type="fixed"/>
        <w:tblInd w:w="1380" w:type="dxa"/>
        <w:tblCellMar>
          <w:top w:w="0" w:type="dxa"/>
          <w:left w:w="0" w:type="dxa"/>
          <w:bottom w:w="0" w:type="dxa"/>
          <w:right w:w="0" w:type="dxa"/>
        </w:tblCellMar>
      </w:tblPr>
      <w:tr>
        <w:trPr>
          <w:trHeight w:val="94"/>
        </w:trPr>
        <w:tc>
          <w:tcPr>
            <w:tcW w:w="1220" w:type="dxa"/>
            <w:vAlign w:val="bottom"/>
            <w:gridSpan w:val="2"/>
          </w:tcPr>
          <w:p>
            <w:pPr>
              <w:spacing w:after="0"/>
              <w:rPr>
                <w:sz w:val="20"/>
                <w:szCs w:val="20"/>
                <w:color w:val="auto"/>
              </w:rPr>
            </w:pPr>
            <w:r>
              <w:rPr>
                <w:rFonts w:ascii="Times New Roman" w:cs="Times New Roman" w:eastAsia="Times New Roman" w:hAnsi="Times New Roman"/>
                <w:sz w:val="8"/>
                <w:szCs w:val="8"/>
                <w:b w:val="1"/>
                <w:bCs w:val="1"/>
                <w:color w:val="auto"/>
              </w:rPr>
              <w:t>Portfolio Company (a)(b)</w:t>
            </w:r>
          </w:p>
        </w:tc>
        <w:tc>
          <w:tcPr>
            <w:tcW w:w="6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1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8"/>
                <w:szCs w:val="8"/>
                <w:b w:val="1"/>
                <w:bCs w:val="1"/>
                <w:color w:val="auto"/>
              </w:rPr>
              <w:t>Address of Portfolio Company</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8"/>
                <w:szCs w:val="8"/>
                <w:b w:val="1"/>
                <w:bCs w:val="1"/>
                <w:color w:val="auto"/>
              </w:rPr>
              <w:t>Investment Type (c)</w:t>
            </w:r>
          </w:p>
        </w:tc>
        <w:tc>
          <w:tcPr>
            <w:tcW w:w="80" w:type="dxa"/>
            <w:vAlign w:val="bottom"/>
          </w:tcPr>
          <w:p>
            <w:pPr>
              <w:spacing w:after="0"/>
              <w:rPr>
                <w:sz w:val="10"/>
                <w:szCs w:val="10"/>
                <w:color w:val="auto"/>
              </w:rPr>
            </w:pPr>
          </w:p>
        </w:tc>
        <w:tc>
          <w:tcPr>
            <w:tcW w:w="102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8"/>
                <w:szCs w:val="8"/>
                <w:b w:val="1"/>
                <w:bCs w:val="1"/>
                <w:color w:val="auto"/>
              </w:rPr>
              <w:t>Industry</w:t>
            </w:r>
          </w:p>
        </w:tc>
        <w:tc>
          <w:tcPr>
            <w:tcW w:w="0" w:type="dxa"/>
            <w:vAlign w:val="bottom"/>
          </w:tcPr>
          <w:p>
            <w:pPr>
              <w:spacing w:after="0"/>
              <w:rPr>
                <w:sz w:val="1"/>
                <w:szCs w:val="1"/>
                <w:color w:val="auto"/>
              </w:rPr>
            </w:pPr>
          </w:p>
        </w:tc>
      </w:tr>
      <w:tr>
        <w:trPr>
          <w:trHeight w:val="106"/>
        </w:trPr>
        <w:tc>
          <w:tcPr>
            <w:tcW w:w="1100" w:type="dxa"/>
            <w:vAlign w:val="bottom"/>
          </w:tcPr>
          <w:p>
            <w:pPr>
              <w:spacing w:after="0" w:line="106" w:lineRule="exact"/>
              <w:rPr>
                <w:sz w:val="20"/>
                <w:szCs w:val="20"/>
                <w:color w:val="auto"/>
              </w:rPr>
            </w:pPr>
            <w:r>
              <w:rPr>
                <w:rFonts w:ascii="Times New Roman" w:cs="Times New Roman" w:eastAsia="Times New Roman" w:hAnsi="Times New Roman"/>
                <w:sz w:val="10"/>
                <w:szCs w:val="10"/>
                <w:i w:val="1"/>
                <w:iCs w:val="1"/>
                <w:color w:val="auto"/>
              </w:rPr>
              <w:t>True Environmental Inc.</w:t>
            </w:r>
          </w:p>
        </w:tc>
        <w:tc>
          <w:tcPr>
            <w:tcW w:w="120" w:type="dxa"/>
            <w:vAlign w:val="bottom"/>
          </w:tcPr>
          <w:p>
            <w:pPr>
              <w:spacing w:after="0"/>
              <w:rPr>
                <w:sz w:val="9"/>
                <w:szCs w:val="9"/>
                <w:color w:val="auto"/>
              </w:rPr>
            </w:pPr>
          </w:p>
        </w:tc>
        <w:tc>
          <w:tcPr>
            <w:tcW w:w="860" w:type="dxa"/>
            <w:vAlign w:val="bottom"/>
            <w:gridSpan w:val="2"/>
            <w:vMerge w:val="restart"/>
          </w:tcPr>
          <w:p>
            <w:pPr>
              <w:ind w:left="60"/>
              <w:spacing w:after="0"/>
              <w:rPr>
                <w:sz w:val="20"/>
                <w:szCs w:val="20"/>
                <w:color w:val="auto"/>
              </w:rPr>
            </w:pPr>
            <w:r>
              <w:rPr>
                <w:rFonts w:ascii="Times New Roman" w:cs="Times New Roman" w:eastAsia="Times New Roman" w:hAnsi="Times New Roman"/>
                <w:sz w:val="10"/>
                <w:szCs w:val="10"/>
                <w:color w:val="auto"/>
              </w:rPr>
              <w:t>First Lien Debt (j)</w:t>
            </w:r>
          </w:p>
        </w:tc>
        <w:tc>
          <w:tcPr>
            <w:tcW w:w="80" w:type="dxa"/>
            <w:vAlign w:val="bottom"/>
          </w:tcPr>
          <w:p>
            <w:pPr>
              <w:spacing w:after="0"/>
              <w:rPr>
                <w:sz w:val="9"/>
                <w:szCs w:val="9"/>
                <w:color w:val="auto"/>
              </w:rPr>
            </w:pPr>
          </w:p>
        </w:tc>
        <w:tc>
          <w:tcPr>
            <w:tcW w:w="1020" w:type="dxa"/>
            <w:vAlign w:val="bottom"/>
          </w:tcPr>
          <w:p>
            <w:pPr>
              <w:spacing w:after="0" w:line="106" w:lineRule="exact"/>
              <w:rPr>
                <w:sz w:val="20"/>
                <w:szCs w:val="20"/>
                <w:color w:val="auto"/>
              </w:rPr>
            </w:pPr>
            <w:r>
              <w:rPr>
                <w:rFonts w:ascii="Times New Roman" w:cs="Times New Roman" w:eastAsia="Times New Roman" w:hAnsi="Times New Roman"/>
                <w:sz w:val="10"/>
                <w:szCs w:val="10"/>
                <w:color w:val="auto"/>
              </w:rPr>
              <w:t>Business Services</w:t>
            </w:r>
          </w:p>
        </w:tc>
        <w:tc>
          <w:tcPr>
            <w:tcW w:w="0" w:type="dxa"/>
            <w:vAlign w:val="bottom"/>
          </w:tcPr>
          <w:p>
            <w:pPr>
              <w:spacing w:after="0"/>
              <w:rPr>
                <w:sz w:val="1"/>
                <w:szCs w:val="1"/>
                <w:color w:val="auto"/>
              </w:rPr>
            </w:pPr>
          </w:p>
        </w:tc>
      </w:tr>
      <w:tr>
        <w:trPr>
          <w:trHeight w:val="71"/>
        </w:trPr>
        <w:tc>
          <w:tcPr>
            <w:tcW w:w="1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5"/>
        </w:trPr>
        <w:tc>
          <w:tcPr>
            <w:tcW w:w="1220" w:type="dxa"/>
            <w:vAlign w:val="bottom"/>
            <w:gridSpan w:val="2"/>
          </w:tcPr>
          <w:p>
            <w:pPr>
              <w:ind w:left="100"/>
              <w:spacing w:after="0" w:line="105" w:lineRule="exact"/>
              <w:rPr>
                <w:sz w:val="20"/>
                <w:szCs w:val="20"/>
                <w:color w:val="auto"/>
              </w:rPr>
            </w:pPr>
            <w:r>
              <w:rPr>
                <w:rFonts w:ascii="Times New Roman" w:cs="Times New Roman" w:eastAsia="Times New Roman" w:hAnsi="Times New Roman"/>
                <w:sz w:val="10"/>
                <w:szCs w:val="10"/>
                <w:color w:val="auto"/>
              </w:rPr>
              <w:t>767 5th Ave, FL 44</w:t>
            </w:r>
          </w:p>
        </w:tc>
        <w:tc>
          <w:tcPr>
            <w:tcW w:w="860" w:type="dxa"/>
            <w:vAlign w:val="bottom"/>
            <w:gridSpan w:val="2"/>
          </w:tcPr>
          <w:p>
            <w:pPr>
              <w:ind w:left="60"/>
              <w:spacing w:after="0" w:line="105" w:lineRule="exact"/>
              <w:rPr>
                <w:sz w:val="20"/>
                <w:szCs w:val="20"/>
                <w:color w:val="auto"/>
              </w:rPr>
            </w:pPr>
            <w:r>
              <w:rPr>
                <w:rFonts w:ascii="Times New Roman" w:cs="Times New Roman" w:eastAsia="Times New Roman" w:hAnsi="Times New Roman"/>
                <w:sz w:val="10"/>
                <w:szCs w:val="10"/>
                <w:color w:val="auto"/>
              </w:rPr>
              <w:t>(bj)</w:t>
            </w: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220" w:type="dxa"/>
            <w:vAlign w:val="bottom"/>
            <w:gridSpan w:val="2"/>
          </w:tcPr>
          <w:p>
            <w:pPr>
              <w:ind w:left="100"/>
              <w:spacing w:after="0" w:line="105" w:lineRule="exact"/>
              <w:rPr>
                <w:sz w:val="20"/>
                <w:szCs w:val="20"/>
                <w:color w:val="auto"/>
              </w:rPr>
            </w:pPr>
            <w:r>
              <w:rPr>
                <w:rFonts w:ascii="Times New Roman" w:cs="Times New Roman" w:eastAsia="Times New Roman" w:hAnsi="Times New Roman"/>
                <w:sz w:val="10"/>
                <w:szCs w:val="10"/>
                <w:color w:val="auto"/>
              </w:rPr>
              <w:t>New York, NY 10153</w:t>
            </w:r>
          </w:p>
        </w:tc>
        <w:tc>
          <w:tcPr>
            <w:tcW w:w="860" w:type="dxa"/>
            <w:vAlign w:val="bottom"/>
            <w:gridSpan w:val="2"/>
          </w:tcPr>
          <w:p>
            <w:pPr>
              <w:ind w:left="60"/>
              <w:spacing w:after="0" w:line="105" w:lineRule="exact"/>
              <w:rPr>
                <w:sz w:val="20"/>
                <w:szCs w:val="20"/>
                <w:color w:val="auto"/>
              </w:rPr>
            </w:pPr>
            <w:r>
              <w:rPr>
                <w:rFonts w:ascii="Times New Roman" w:cs="Times New Roman" w:eastAsia="Times New Roman" w:hAnsi="Times New Roman"/>
                <w:sz w:val="10"/>
                <w:szCs w:val="10"/>
                <w:color w:val="auto"/>
              </w:rPr>
              <w:t>First Lien Debt</w:t>
            </w: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gridSpan w:val="2"/>
          </w:tcPr>
          <w:p>
            <w:pPr>
              <w:ind w:left="60"/>
              <w:spacing w:after="0" w:line="105" w:lineRule="exact"/>
              <w:rPr>
                <w:sz w:val="20"/>
                <w:szCs w:val="20"/>
                <w:color w:val="auto"/>
              </w:rPr>
            </w:pPr>
            <w:r>
              <w:rPr>
                <w:rFonts w:ascii="Times New Roman" w:cs="Times New Roman" w:eastAsia="Times New Roman" w:hAnsi="Times New Roman"/>
                <w:sz w:val="10"/>
                <w:szCs w:val="10"/>
                <w:color w:val="auto"/>
              </w:rPr>
              <w:t>($511 unfunded</w:t>
            </w: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gridSpan w:val="2"/>
          </w:tcPr>
          <w:p>
            <w:pPr>
              <w:ind w:left="60"/>
              <w:spacing w:after="0" w:line="105" w:lineRule="exact"/>
              <w:rPr>
                <w:sz w:val="20"/>
                <w:szCs w:val="20"/>
                <w:color w:val="auto"/>
              </w:rPr>
            </w:pPr>
            <w:r>
              <w:rPr>
                <w:rFonts w:ascii="Times New Roman" w:cs="Times New Roman" w:eastAsia="Times New Roman" w:hAnsi="Times New Roman"/>
                <w:sz w:val="10"/>
                <w:szCs w:val="10"/>
                <w:color w:val="auto"/>
              </w:rPr>
              <w:t>commitment) (bj)</w:t>
            </w: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gridSpan w:val="2"/>
          </w:tcPr>
          <w:p>
            <w:pPr>
              <w:ind w:left="60"/>
              <w:spacing w:after="0" w:line="105" w:lineRule="exact"/>
              <w:rPr>
                <w:sz w:val="20"/>
                <w:szCs w:val="20"/>
                <w:color w:val="auto"/>
              </w:rPr>
            </w:pPr>
            <w:r>
              <w:rPr>
                <w:rFonts w:ascii="Times New Roman" w:cs="Times New Roman" w:eastAsia="Times New Roman" w:hAnsi="Times New Roman"/>
                <w:sz w:val="10"/>
                <w:szCs w:val="10"/>
                <w:color w:val="auto"/>
              </w:rPr>
              <w:t>First Lien Debt</w:t>
            </w: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gridSpan w:val="2"/>
          </w:tcPr>
          <w:p>
            <w:pPr>
              <w:ind w:left="60"/>
              <w:spacing w:after="0" w:line="105" w:lineRule="exact"/>
              <w:rPr>
                <w:sz w:val="20"/>
                <w:szCs w:val="20"/>
                <w:color w:val="auto"/>
              </w:rPr>
            </w:pPr>
            <w:r>
              <w:rPr>
                <w:rFonts w:ascii="Times New Roman" w:cs="Times New Roman" w:eastAsia="Times New Roman" w:hAnsi="Times New Roman"/>
                <w:sz w:val="10"/>
                <w:szCs w:val="10"/>
                <w:color w:val="auto"/>
              </w:rPr>
              <w:t>($1,023 unfunded</w:t>
            </w: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gridSpan w:val="2"/>
          </w:tcPr>
          <w:p>
            <w:pPr>
              <w:ind w:left="60"/>
              <w:spacing w:after="0" w:line="105" w:lineRule="exact"/>
              <w:rPr>
                <w:sz w:val="20"/>
                <w:szCs w:val="20"/>
                <w:color w:val="auto"/>
              </w:rPr>
            </w:pPr>
            <w:r>
              <w:rPr>
                <w:rFonts w:ascii="Times New Roman" w:cs="Times New Roman" w:eastAsia="Times New Roman" w:hAnsi="Times New Roman"/>
                <w:sz w:val="10"/>
                <w:szCs w:val="10"/>
                <w:color w:val="auto"/>
              </w:rPr>
              <w:t>commitment) (bj)</w:t>
            </w: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gridSpan w:val="2"/>
          </w:tcPr>
          <w:p>
            <w:pPr>
              <w:ind w:left="60"/>
              <w:spacing w:after="0" w:line="105" w:lineRule="exact"/>
              <w:rPr>
                <w:sz w:val="20"/>
                <w:szCs w:val="20"/>
                <w:color w:val="auto"/>
              </w:rPr>
            </w:pPr>
            <w:r>
              <w:rPr>
                <w:rFonts w:ascii="Times New Roman" w:cs="Times New Roman" w:eastAsia="Times New Roman" w:hAnsi="Times New Roman"/>
                <w:sz w:val="10"/>
                <w:szCs w:val="10"/>
                <w:color w:val="auto"/>
              </w:rPr>
              <w:t>Common Equity</w:t>
            </w: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1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gridSpan w:val="2"/>
          </w:tcPr>
          <w:p>
            <w:pPr>
              <w:ind w:left="60"/>
              <w:spacing w:after="0"/>
              <w:rPr>
                <w:sz w:val="20"/>
                <w:szCs w:val="20"/>
                <w:color w:val="auto"/>
              </w:rPr>
            </w:pPr>
            <w:r>
              <w:rPr>
                <w:rFonts w:ascii="Times New Roman" w:cs="Times New Roman" w:eastAsia="Times New Roman" w:hAnsi="Times New Roman"/>
                <w:sz w:val="10"/>
                <w:szCs w:val="10"/>
                <w:color w:val="auto"/>
              </w:rPr>
              <w:t>(397,026 units) (h)</w:t>
            </w:r>
          </w:p>
        </w:tc>
        <w:tc>
          <w:tcPr>
            <w:tcW w:w="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0"/>
        </w:trPr>
        <w:tc>
          <w:tcPr>
            <w:tcW w:w="1220" w:type="dxa"/>
            <w:vAlign w:val="bottom"/>
            <w:gridSpan w:val="2"/>
          </w:tcPr>
          <w:p>
            <w:pPr>
              <w:spacing w:after="0"/>
              <w:rPr>
                <w:sz w:val="20"/>
                <w:szCs w:val="20"/>
                <w:color w:val="auto"/>
              </w:rPr>
            </w:pPr>
            <w:r>
              <w:rPr>
                <w:rFonts w:ascii="Times New Roman" w:cs="Times New Roman" w:eastAsia="Times New Roman" w:hAnsi="Times New Roman"/>
                <w:sz w:val="10"/>
                <w:szCs w:val="10"/>
                <w:i w:val="1"/>
                <w:iCs w:val="1"/>
                <w:color w:val="auto"/>
              </w:rPr>
              <w:t>UBEO, LLC</w:t>
            </w: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00" w:type="dxa"/>
            <w:vAlign w:val="bottom"/>
            <w:gridSpan w:val="2"/>
          </w:tcPr>
          <w:p>
            <w:pPr>
              <w:ind w:left="80"/>
              <w:spacing w:after="0"/>
              <w:rPr>
                <w:sz w:val="20"/>
                <w:szCs w:val="20"/>
                <w:color w:val="auto"/>
              </w:rPr>
            </w:pPr>
            <w:r>
              <w:rPr>
                <w:rFonts w:ascii="Times New Roman" w:cs="Times New Roman" w:eastAsia="Times New Roman" w:hAnsi="Times New Roman"/>
                <w:sz w:val="10"/>
                <w:szCs w:val="10"/>
                <w:color w:val="auto"/>
              </w:rPr>
              <w:t>Business Services</w:t>
            </w:r>
          </w:p>
        </w:tc>
        <w:tc>
          <w:tcPr>
            <w:tcW w:w="0" w:type="dxa"/>
            <w:vAlign w:val="bottom"/>
          </w:tcPr>
          <w:p>
            <w:pPr>
              <w:spacing w:after="0"/>
              <w:rPr>
                <w:sz w:val="1"/>
                <w:szCs w:val="1"/>
                <w:color w:val="auto"/>
              </w:rPr>
            </w:pPr>
          </w:p>
        </w:tc>
      </w:tr>
      <w:tr>
        <w:trPr>
          <w:trHeight w:val="105"/>
        </w:trPr>
        <w:tc>
          <w:tcPr>
            <w:tcW w:w="1220" w:type="dxa"/>
            <w:vAlign w:val="bottom"/>
            <w:gridSpan w:val="2"/>
          </w:tcPr>
          <w:p>
            <w:pPr>
              <w:ind w:left="100"/>
              <w:spacing w:after="0" w:line="105" w:lineRule="exact"/>
              <w:rPr>
                <w:sz w:val="20"/>
                <w:szCs w:val="20"/>
                <w:color w:val="auto"/>
              </w:rPr>
            </w:pPr>
            <w:r>
              <w:rPr>
                <w:rFonts w:ascii="Times New Roman" w:cs="Times New Roman" w:eastAsia="Times New Roman" w:hAnsi="Times New Roman"/>
                <w:sz w:val="10"/>
                <w:szCs w:val="10"/>
                <w:color w:val="auto"/>
              </w:rPr>
              <w:t>401 East Sonterra Blvd,</w:t>
            </w:r>
          </w:p>
        </w:tc>
        <w:tc>
          <w:tcPr>
            <w:tcW w:w="6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220" w:type="dxa"/>
            <w:vAlign w:val="bottom"/>
            <w:gridSpan w:val="2"/>
          </w:tcPr>
          <w:p>
            <w:pPr>
              <w:ind w:left="100"/>
              <w:spacing w:after="0" w:line="105" w:lineRule="exact"/>
              <w:rPr>
                <w:sz w:val="20"/>
                <w:szCs w:val="20"/>
                <w:color w:val="auto"/>
              </w:rPr>
            </w:pPr>
            <w:r>
              <w:rPr>
                <w:rFonts w:ascii="Times New Roman" w:cs="Times New Roman" w:eastAsia="Times New Roman" w:hAnsi="Times New Roman"/>
                <w:sz w:val="10"/>
                <w:szCs w:val="10"/>
                <w:color w:val="auto"/>
              </w:rPr>
              <w:t>Suite 350 San Antonio, TX</w:t>
            </w:r>
          </w:p>
        </w:tc>
        <w:tc>
          <w:tcPr>
            <w:tcW w:w="860" w:type="dxa"/>
            <w:vAlign w:val="bottom"/>
            <w:gridSpan w:val="2"/>
          </w:tcPr>
          <w:p>
            <w:pPr>
              <w:ind w:left="60"/>
              <w:spacing w:after="0" w:line="105" w:lineRule="exact"/>
              <w:rPr>
                <w:sz w:val="20"/>
                <w:szCs w:val="20"/>
                <w:color w:val="auto"/>
              </w:rPr>
            </w:pPr>
            <w:r>
              <w:rPr>
                <w:rFonts w:ascii="Times New Roman" w:cs="Times New Roman" w:eastAsia="Times New Roman" w:hAnsi="Times New Roman"/>
                <w:sz w:val="10"/>
                <w:szCs w:val="10"/>
                <w:color w:val="auto"/>
              </w:rPr>
              <w:t>Common Equity</w:t>
            </w: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110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78258</w:t>
            </w:r>
          </w:p>
        </w:tc>
        <w:tc>
          <w:tcPr>
            <w:tcW w:w="120" w:type="dxa"/>
            <w:vAlign w:val="bottom"/>
          </w:tcPr>
          <w:p>
            <w:pPr>
              <w:spacing w:after="0"/>
              <w:rPr>
                <w:sz w:val="10"/>
                <w:szCs w:val="10"/>
                <w:color w:val="auto"/>
              </w:rPr>
            </w:pPr>
          </w:p>
        </w:tc>
        <w:tc>
          <w:tcPr>
            <w:tcW w:w="860" w:type="dxa"/>
            <w:vAlign w:val="bottom"/>
            <w:gridSpan w:val="2"/>
          </w:tcPr>
          <w:p>
            <w:pPr>
              <w:ind w:left="60"/>
              <w:spacing w:after="0"/>
              <w:rPr>
                <w:sz w:val="20"/>
                <w:szCs w:val="20"/>
                <w:color w:val="auto"/>
              </w:rPr>
            </w:pPr>
            <w:r>
              <w:rPr>
                <w:rFonts w:ascii="Times New Roman" w:cs="Times New Roman" w:eastAsia="Times New Roman" w:hAnsi="Times New Roman"/>
                <w:sz w:val="10"/>
                <w:szCs w:val="10"/>
                <w:color w:val="auto"/>
              </w:rPr>
              <w:t>(705,000 units) (h)</w:t>
            </w:r>
          </w:p>
        </w:tc>
        <w:tc>
          <w:tcPr>
            <w:tcW w:w="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1220" w:type="dxa"/>
            <w:vAlign w:val="bottom"/>
            <w:gridSpan w:val="2"/>
          </w:tcPr>
          <w:p>
            <w:pPr>
              <w:spacing w:after="0"/>
              <w:rPr>
                <w:sz w:val="20"/>
                <w:szCs w:val="20"/>
                <w:color w:val="auto"/>
              </w:rPr>
            </w:pPr>
            <w:r>
              <w:rPr>
                <w:rFonts w:ascii="Times New Roman" w:cs="Times New Roman" w:eastAsia="Times New Roman" w:hAnsi="Times New Roman"/>
                <w:sz w:val="10"/>
                <w:szCs w:val="10"/>
                <w:i w:val="1"/>
                <w:iCs w:val="1"/>
                <w:color w:val="auto"/>
              </w:rPr>
              <w:t>United Biologics, LLC</w:t>
            </w: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00" w:type="dxa"/>
            <w:vAlign w:val="bottom"/>
            <w:gridSpan w:val="2"/>
          </w:tcPr>
          <w:p>
            <w:pPr>
              <w:ind w:left="80"/>
              <w:spacing w:after="0"/>
              <w:rPr>
                <w:sz w:val="20"/>
                <w:szCs w:val="20"/>
                <w:color w:val="auto"/>
              </w:rPr>
            </w:pPr>
            <w:r>
              <w:rPr>
                <w:rFonts w:ascii="Times New Roman" w:cs="Times New Roman" w:eastAsia="Times New Roman" w:hAnsi="Times New Roman"/>
                <w:sz w:val="10"/>
                <w:szCs w:val="10"/>
                <w:color w:val="auto"/>
              </w:rPr>
              <w:t>Healthcare Services</w:t>
            </w:r>
          </w:p>
        </w:tc>
        <w:tc>
          <w:tcPr>
            <w:tcW w:w="0" w:type="dxa"/>
            <w:vAlign w:val="bottom"/>
          </w:tcPr>
          <w:p>
            <w:pPr>
              <w:spacing w:after="0"/>
              <w:rPr>
                <w:sz w:val="1"/>
                <w:szCs w:val="1"/>
                <w:color w:val="auto"/>
              </w:rPr>
            </w:pPr>
          </w:p>
        </w:tc>
      </w:tr>
      <w:tr>
        <w:trPr>
          <w:trHeight w:val="105"/>
        </w:trPr>
        <w:tc>
          <w:tcPr>
            <w:tcW w:w="1220" w:type="dxa"/>
            <w:vAlign w:val="bottom"/>
            <w:gridSpan w:val="2"/>
          </w:tcPr>
          <w:p>
            <w:pPr>
              <w:ind w:left="100"/>
              <w:spacing w:after="0" w:line="105" w:lineRule="exact"/>
              <w:rPr>
                <w:sz w:val="20"/>
                <w:szCs w:val="20"/>
                <w:color w:val="auto"/>
              </w:rPr>
            </w:pPr>
            <w:r>
              <w:rPr>
                <w:rFonts w:ascii="Times New Roman" w:cs="Times New Roman" w:eastAsia="Times New Roman" w:hAnsi="Times New Roman"/>
                <w:sz w:val="10"/>
                <w:szCs w:val="10"/>
                <w:color w:val="auto"/>
                <w:w w:val="99"/>
              </w:rPr>
              <w:t>70 NE Loop 410, Suite 600</w:t>
            </w:r>
          </w:p>
        </w:tc>
        <w:tc>
          <w:tcPr>
            <w:tcW w:w="860" w:type="dxa"/>
            <w:vAlign w:val="bottom"/>
            <w:gridSpan w:val="2"/>
          </w:tcPr>
          <w:p>
            <w:pPr>
              <w:ind w:left="60"/>
              <w:spacing w:after="0" w:line="105" w:lineRule="exact"/>
              <w:rPr>
                <w:sz w:val="20"/>
                <w:szCs w:val="20"/>
                <w:color w:val="auto"/>
              </w:rPr>
            </w:pPr>
            <w:r>
              <w:rPr>
                <w:rFonts w:ascii="Times New Roman" w:cs="Times New Roman" w:eastAsia="Times New Roman" w:hAnsi="Times New Roman"/>
                <w:sz w:val="10"/>
                <w:szCs w:val="10"/>
                <w:color w:val="auto"/>
              </w:rPr>
              <w:t>Preferred Equity</w:t>
            </w: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gridSpan w:val="2"/>
          </w:tcPr>
          <w:p>
            <w:pPr>
              <w:ind w:left="60"/>
              <w:spacing w:after="0" w:line="105" w:lineRule="exact"/>
              <w:rPr>
                <w:sz w:val="20"/>
                <w:szCs w:val="20"/>
                <w:color w:val="auto"/>
              </w:rPr>
            </w:pPr>
            <w:r>
              <w:rPr>
                <w:rFonts w:ascii="Times New Roman" w:cs="Times New Roman" w:eastAsia="Times New Roman" w:hAnsi="Times New Roman"/>
                <w:sz w:val="10"/>
                <w:szCs w:val="10"/>
                <w:color w:val="auto"/>
              </w:rPr>
              <w:t>(98,377 units) (h)</w:t>
            </w: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220" w:type="dxa"/>
            <w:vAlign w:val="bottom"/>
            <w:gridSpan w:val="2"/>
          </w:tcPr>
          <w:p>
            <w:pPr>
              <w:ind w:left="100"/>
              <w:spacing w:after="0" w:line="105" w:lineRule="exact"/>
              <w:rPr>
                <w:sz w:val="20"/>
                <w:szCs w:val="20"/>
                <w:color w:val="auto"/>
              </w:rPr>
            </w:pPr>
            <w:r>
              <w:rPr>
                <w:rFonts w:ascii="Times New Roman" w:cs="Times New Roman" w:eastAsia="Times New Roman" w:hAnsi="Times New Roman"/>
                <w:sz w:val="10"/>
                <w:szCs w:val="10"/>
                <w:color w:val="auto"/>
              </w:rPr>
              <w:t>San Antonio, TX 78216</w:t>
            </w:r>
          </w:p>
        </w:tc>
        <w:tc>
          <w:tcPr>
            <w:tcW w:w="860" w:type="dxa"/>
            <w:vAlign w:val="bottom"/>
            <w:gridSpan w:val="2"/>
          </w:tcPr>
          <w:p>
            <w:pPr>
              <w:ind w:left="60"/>
              <w:spacing w:after="0" w:line="105" w:lineRule="exact"/>
              <w:rPr>
                <w:sz w:val="20"/>
                <w:szCs w:val="20"/>
                <w:color w:val="auto"/>
              </w:rPr>
            </w:pPr>
            <w:r>
              <w:rPr>
                <w:rFonts w:ascii="Times New Roman" w:cs="Times New Roman" w:eastAsia="Times New Roman" w:hAnsi="Times New Roman"/>
                <w:sz w:val="10"/>
                <w:szCs w:val="10"/>
                <w:color w:val="auto"/>
              </w:rPr>
              <w:t>Warrant (57,469</w:t>
            </w: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1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gridSpan w:val="2"/>
          </w:tcPr>
          <w:p>
            <w:pPr>
              <w:ind w:left="60"/>
              <w:spacing w:after="0"/>
              <w:rPr>
                <w:sz w:val="20"/>
                <w:szCs w:val="20"/>
                <w:color w:val="auto"/>
              </w:rPr>
            </w:pPr>
            <w:r>
              <w:rPr>
                <w:rFonts w:ascii="Times New Roman" w:cs="Times New Roman" w:eastAsia="Times New Roman" w:hAnsi="Times New Roman"/>
                <w:sz w:val="10"/>
                <w:szCs w:val="10"/>
                <w:color w:val="auto"/>
              </w:rPr>
              <w:t>units) (m)</w:t>
            </w:r>
          </w:p>
        </w:tc>
        <w:tc>
          <w:tcPr>
            <w:tcW w:w="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0"/>
        </w:trPr>
        <w:tc>
          <w:tcPr>
            <w:tcW w:w="1220" w:type="dxa"/>
            <w:vAlign w:val="bottom"/>
            <w:gridSpan w:val="2"/>
          </w:tcPr>
          <w:p>
            <w:pPr>
              <w:spacing w:after="0"/>
              <w:rPr>
                <w:sz w:val="20"/>
                <w:szCs w:val="20"/>
                <w:color w:val="auto"/>
              </w:rPr>
            </w:pPr>
            <w:r>
              <w:rPr>
                <w:rFonts w:ascii="Times New Roman" w:cs="Times New Roman" w:eastAsia="Times New Roman" w:hAnsi="Times New Roman"/>
                <w:sz w:val="10"/>
                <w:szCs w:val="10"/>
                <w:i w:val="1"/>
                <w:iCs w:val="1"/>
                <w:color w:val="auto"/>
              </w:rPr>
              <w:t>USG AS Holdings, LLC</w:t>
            </w: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00" w:type="dxa"/>
            <w:vAlign w:val="bottom"/>
            <w:gridSpan w:val="2"/>
          </w:tcPr>
          <w:p>
            <w:pPr>
              <w:ind w:left="80"/>
              <w:spacing w:after="0"/>
              <w:rPr>
                <w:sz w:val="20"/>
                <w:szCs w:val="20"/>
                <w:color w:val="auto"/>
              </w:rPr>
            </w:pPr>
            <w:r>
              <w:rPr>
                <w:rFonts w:ascii="Times New Roman" w:cs="Times New Roman" w:eastAsia="Times New Roman" w:hAnsi="Times New Roman"/>
                <w:sz w:val="10"/>
                <w:szCs w:val="10"/>
                <w:color w:val="auto"/>
              </w:rPr>
              <w:t>Utilities: Services</w:t>
            </w:r>
          </w:p>
        </w:tc>
        <w:tc>
          <w:tcPr>
            <w:tcW w:w="0" w:type="dxa"/>
            <w:vAlign w:val="bottom"/>
          </w:tcPr>
          <w:p>
            <w:pPr>
              <w:spacing w:after="0"/>
              <w:rPr>
                <w:sz w:val="1"/>
                <w:szCs w:val="1"/>
                <w:color w:val="auto"/>
              </w:rPr>
            </w:pPr>
          </w:p>
        </w:tc>
      </w:tr>
      <w:tr>
        <w:trPr>
          <w:trHeight w:val="105"/>
        </w:trPr>
        <w:tc>
          <w:tcPr>
            <w:tcW w:w="1220" w:type="dxa"/>
            <w:vAlign w:val="bottom"/>
            <w:gridSpan w:val="2"/>
          </w:tcPr>
          <w:p>
            <w:pPr>
              <w:ind w:left="100"/>
              <w:spacing w:after="0" w:line="105" w:lineRule="exact"/>
              <w:rPr>
                <w:sz w:val="20"/>
                <w:szCs w:val="20"/>
                <w:color w:val="auto"/>
              </w:rPr>
            </w:pPr>
            <w:r>
              <w:rPr>
                <w:rFonts w:ascii="Times New Roman" w:cs="Times New Roman" w:eastAsia="Times New Roman" w:hAnsi="Times New Roman"/>
                <w:sz w:val="10"/>
                <w:szCs w:val="10"/>
                <w:color w:val="auto"/>
              </w:rPr>
              <w:t>535 Courtney Hodges Blvd</w:t>
            </w:r>
          </w:p>
        </w:tc>
        <w:tc>
          <w:tcPr>
            <w:tcW w:w="860" w:type="dxa"/>
            <w:vAlign w:val="bottom"/>
            <w:gridSpan w:val="2"/>
          </w:tcPr>
          <w:p>
            <w:pPr>
              <w:ind w:left="60"/>
              <w:spacing w:after="0" w:line="105" w:lineRule="exact"/>
              <w:rPr>
                <w:sz w:val="20"/>
                <w:szCs w:val="20"/>
                <w:color w:val="auto"/>
              </w:rPr>
            </w:pPr>
            <w:r>
              <w:rPr>
                <w:rFonts w:ascii="Times New Roman" w:cs="Times New Roman" w:eastAsia="Times New Roman" w:hAnsi="Times New Roman"/>
                <w:sz w:val="10"/>
                <w:szCs w:val="10"/>
                <w:color w:val="auto"/>
              </w:rPr>
              <w:t>Common Equity</w:t>
            </w: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1220" w:type="dxa"/>
            <w:vAlign w:val="bottom"/>
            <w:gridSpan w:val="2"/>
          </w:tcPr>
          <w:p>
            <w:pPr>
              <w:ind w:left="100"/>
              <w:spacing w:after="0"/>
              <w:rPr>
                <w:sz w:val="20"/>
                <w:szCs w:val="20"/>
                <w:color w:val="auto"/>
              </w:rPr>
            </w:pPr>
            <w:r>
              <w:rPr>
                <w:rFonts w:ascii="Times New Roman" w:cs="Times New Roman" w:eastAsia="Times New Roman" w:hAnsi="Times New Roman"/>
                <w:sz w:val="10"/>
                <w:szCs w:val="10"/>
                <w:color w:val="auto"/>
              </w:rPr>
              <w:t>Perry, GA 31069</w:t>
            </w:r>
          </w:p>
        </w:tc>
        <w:tc>
          <w:tcPr>
            <w:tcW w:w="860" w:type="dxa"/>
            <w:vAlign w:val="bottom"/>
            <w:gridSpan w:val="2"/>
          </w:tcPr>
          <w:p>
            <w:pPr>
              <w:ind w:left="60"/>
              <w:spacing w:after="0"/>
              <w:rPr>
                <w:sz w:val="20"/>
                <w:szCs w:val="20"/>
                <w:color w:val="auto"/>
              </w:rPr>
            </w:pPr>
            <w:r>
              <w:rPr>
                <w:rFonts w:ascii="Times New Roman" w:cs="Times New Roman" w:eastAsia="Times New Roman" w:hAnsi="Times New Roman"/>
                <w:sz w:val="10"/>
                <w:szCs w:val="10"/>
                <w:color w:val="auto"/>
              </w:rPr>
              <w:t>(Units N/A)</w:t>
            </w:r>
          </w:p>
        </w:tc>
        <w:tc>
          <w:tcPr>
            <w:tcW w:w="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6"/>
        </w:trPr>
        <w:tc>
          <w:tcPr>
            <w:tcW w:w="1220" w:type="dxa"/>
            <w:vAlign w:val="bottom"/>
            <w:gridSpan w:val="2"/>
          </w:tcPr>
          <w:p>
            <w:pPr>
              <w:spacing w:after="0"/>
              <w:rPr>
                <w:sz w:val="20"/>
                <w:szCs w:val="20"/>
                <w:color w:val="auto"/>
              </w:rPr>
            </w:pPr>
            <w:r>
              <w:rPr>
                <w:rFonts w:ascii="Times New Roman" w:cs="Times New Roman" w:eastAsia="Times New Roman" w:hAnsi="Times New Roman"/>
                <w:sz w:val="10"/>
                <w:szCs w:val="10"/>
                <w:i w:val="1"/>
                <w:iCs w:val="1"/>
                <w:color w:val="auto"/>
              </w:rPr>
              <w:t>Virginia Tile Company, LLC</w:t>
            </w: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1220" w:type="dxa"/>
            <w:vAlign w:val="bottom"/>
            <w:gridSpan w:val="2"/>
          </w:tcPr>
          <w:p>
            <w:pPr>
              <w:spacing w:after="0" w:line="107" w:lineRule="exact"/>
              <w:rPr>
                <w:sz w:val="20"/>
                <w:szCs w:val="20"/>
                <w:color w:val="auto"/>
              </w:rPr>
            </w:pPr>
            <w:r>
              <w:rPr>
                <w:rFonts w:ascii="Times New Roman" w:cs="Times New Roman" w:eastAsia="Times New Roman" w:hAnsi="Times New Roman"/>
                <w:sz w:val="10"/>
                <w:szCs w:val="10"/>
                <w:i w:val="1"/>
                <w:iCs w:val="1"/>
                <w:color w:val="auto"/>
              </w:rPr>
              <w:t>(n)</w:t>
            </w:r>
          </w:p>
        </w:tc>
        <w:tc>
          <w:tcPr>
            <w:tcW w:w="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100" w:type="dxa"/>
            <w:vAlign w:val="bottom"/>
            <w:gridSpan w:val="2"/>
          </w:tcPr>
          <w:p>
            <w:pPr>
              <w:ind w:left="80"/>
              <w:spacing w:after="0" w:line="107" w:lineRule="exact"/>
              <w:rPr>
                <w:sz w:val="20"/>
                <w:szCs w:val="20"/>
                <w:color w:val="auto"/>
              </w:rPr>
            </w:pPr>
            <w:r>
              <w:rPr>
                <w:rFonts w:ascii="Times New Roman" w:cs="Times New Roman" w:eastAsia="Times New Roman" w:hAnsi="Times New Roman"/>
                <w:sz w:val="10"/>
                <w:szCs w:val="10"/>
                <w:color w:val="auto"/>
              </w:rPr>
              <w:t>Specialty Distribution</w:t>
            </w:r>
          </w:p>
        </w:tc>
        <w:tc>
          <w:tcPr>
            <w:tcW w:w="0" w:type="dxa"/>
            <w:vAlign w:val="bottom"/>
          </w:tcPr>
          <w:p>
            <w:pPr>
              <w:spacing w:after="0"/>
              <w:rPr>
                <w:sz w:val="1"/>
                <w:szCs w:val="1"/>
                <w:color w:val="auto"/>
              </w:rPr>
            </w:pPr>
          </w:p>
        </w:tc>
      </w:tr>
      <w:tr>
        <w:trPr>
          <w:trHeight w:val="105"/>
        </w:trPr>
        <w:tc>
          <w:tcPr>
            <w:tcW w:w="1220" w:type="dxa"/>
            <w:vAlign w:val="bottom"/>
            <w:gridSpan w:val="2"/>
          </w:tcPr>
          <w:p>
            <w:pPr>
              <w:ind w:left="100"/>
              <w:spacing w:after="0" w:line="105" w:lineRule="exact"/>
              <w:rPr>
                <w:sz w:val="20"/>
                <w:szCs w:val="20"/>
                <w:color w:val="auto"/>
              </w:rPr>
            </w:pPr>
            <w:r>
              <w:rPr>
                <w:rFonts w:ascii="Times New Roman" w:cs="Times New Roman" w:eastAsia="Times New Roman" w:hAnsi="Times New Roman"/>
                <w:sz w:val="10"/>
                <w:szCs w:val="10"/>
                <w:color w:val="auto"/>
              </w:rPr>
              <w:t>28320 Plymouth Road</w:t>
            </w:r>
          </w:p>
        </w:tc>
        <w:tc>
          <w:tcPr>
            <w:tcW w:w="860" w:type="dxa"/>
            <w:vAlign w:val="bottom"/>
            <w:gridSpan w:val="2"/>
          </w:tcPr>
          <w:p>
            <w:pPr>
              <w:ind w:left="60"/>
              <w:spacing w:after="0" w:line="105" w:lineRule="exact"/>
              <w:rPr>
                <w:sz w:val="20"/>
                <w:szCs w:val="20"/>
                <w:color w:val="auto"/>
              </w:rPr>
            </w:pPr>
            <w:r>
              <w:rPr>
                <w:rFonts w:ascii="Times New Roman" w:cs="Times New Roman" w:eastAsia="Times New Roman" w:hAnsi="Times New Roman"/>
                <w:sz w:val="10"/>
                <w:szCs w:val="10"/>
                <w:color w:val="auto"/>
              </w:rPr>
              <w:t>Common Equity</w:t>
            </w: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1220" w:type="dxa"/>
            <w:vAlign w:val="bottom"/>
            <w:gridSpan w:val="2"/>
          </w:tcPr>
          <w:p>
            <w:pPr>
              <w:ind w:left="100"/>
              <w:spacing w:after="0"/>
              <w:rPr>
                <w:sz w:val="20"/>
                <w:szCs w:val="20"/>
                <w:color w:val="auto"/>
              </w:rPr>
            </w:pPr>
            <w:r>
              <w:rPr>
                <w:rFonts w:ascii="Times New Roman" w:cs="Times New Roman" w:eastAsia="Times New Roman" w:hAnsi="Times New Roman"/>
                <w:sz w:val="10"/>
                <w:szCs w:val="10"/>
                <w:color w:val="auto"/>
              </w:rPr>
              <w:t>Livonia, MI 48150</w:t>
            </w:r>
          </w:p>
        </w:tc>
        <w:tc>
          <w:tcPr>
            <w:tcW w:w="860" w:type="dxa"/>
            <w:vAlign w:val="bottom"/>
            <w:gridSpan w:val="2"/>
          </w:tcPr>
          <w:p>
            <w:pPr>
              <w:ind w:left="60"/>
              <w:spacing w:after="0"/>
              <w:rPr>
                <w:sz w:val="20"/>
                <w:szCs w:val="20"/>
                <w:color w:val="auto"/>
              </w:rPr>
            </w:pPr>
            <w:r>
              <w:rPr>
                <w:rFonts w:ascii="Times New Roman" w:cs="Times New Roman" w:eastAsia="Times New Roman" w:hAnsi="Times New Roman"/>
                <w:sz w:val="10"/>
                <w:szCs w:val="10"/>
                <w:color w:val="auto"/>
              </w:rPr>
              <w:t>(Units N/A)</w:t>
            </w:r>
          </w:p>
        </w:tc>
        <w:tc>
          <w:tcPr>
            <w:tcW w:w="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1220" w:type="dxa"/>
            <w:vAlign w:val="bottom"/>
            <w:gridSpan w:val="2"/>
          </w:tcPr>
          <w:p>
            <w:pPr>
              <w:spacing w:after="0"/>
              <w:rPr>
                <w:sz w:val="20"/>
                <w:szCs w:val="20"/>
                <w:color w:val="auto"/>
              </w:rPr>
            </w:pPr>
            <w:r>
              <w:rPr>
                <w:rFonts w:ascii="Times New Roman" w:cs="Times New Roman" w:eastAsia="Times New Roman" w:hAnsi="Times New Roman"/>
                <w:sz w:val="10"/>
                <w:szCs w:val="10"/>
                <w:i w:val="1"/>
                <w:iCs w:val="1"/>
                <w:color w:val="auto"/>
              </w:rPr>
              <w:t>Virtex Enterprises, LP</w:t>
            </w: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00" w:type="dxa"/>
            <w:vAlign w:val="bottom"/>
            <w:gridSpan w:val="2"/>
          </w:tcPr>
          <w:p>
            <w:pPr>
              <w:ind w:left="80"/>
              <w:spacing w:after="0"/>
              <w:rPr>
                <w:sz w:val="20"/>
                <w:szCs w:val="20"/>
                <w:color w:val="auto"/>
              </w:rPr>
            </w:pPr>
            <w:r>
              <w:rPr>
                <w:rFonts w:ascii="Times New Roman" w:cs="Times New Roman" w:eastAsia="Times New Roman" w:hAnsi="Times New Roman"/>
                <w:sz w:val="10"/>
                <w:szCs w:val="10"/>
                <w:color w:val="auto"/>
              </w:rPr>
              <w:t>Component</w:t>
            </w:r>
          </w:p>
        </w:tc>
        <w:tc>
          <w:tcPr>
            <w:tcW w:w="0" w:type="dxa"/>
            <w:vAlign w:val="bottom"/>
          </w:tcPr>
          <w:p>
            <w:pPr>
              <w:spacing w:after="0"/>
              <w:rPr>
                <w:sz w:val="1"/>
                <w:szCs w:val="1"/>
                <w:color w:val="auto"/>
              </w:rPr>
            </w:pPr>
          </w:p>
        </w:tc>
      </w:tr>
      <w:tr>
        <w:trPr>
          <w:trHeight w:val="125"/>
        </w:trPr>
        <w:tc>
          <w:tcPr>
            <w:tcW w:w="1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gridSpan w:val="2"/>
            <w:vMerge w:val="restart"/>
          </w:tcPr>
          <w:p>
            <w:pPr>
              <w:ind w:left="60"/>
              <w:spacing w:after="0"/>
              <w:rPr>
                <w:sz w:val="20"/>
                <w:szCs w:val="20"/>
                <w:color w:val="auto"/>
              </w:rPr>
            </w:pPr>
            <w:r>
              <w:rPr>
                <w:rFonts w:ascii="Times New Roman" w:cs="Times New Roman" w:eastAsia="Times New Roman" w:hAnsi="Times New Roman"/>
                <w:sz w:val="10"/>
                <w:szCs w:val="10"/>
                <w:color w:val="auto"/>
              </w:rPr>
              <w:t>Second Lien Debt</w:t>
            </w:r>
          </w:p>
        </w:tc>
        <w:tc>
          <w:tcPr>
            <w:tcW w:w="1100" w:type="dxa"/>
            <w:vAlign w:val="bottom"/>
            <w:gridSpan w:val="2"/>
          </w:tcPr>
          <w:p>
            <w:pPr>
              <w:ind w:left="80"/>
              <w:spacing w:after="0"/>
              <w:rPr>
                <w:sz w:val="20"/>
                <w:szCs w:val="20"/>
                <w:color w:val="auto"/>
              </w:rPr>
            </w:pPr>
            <w:r>
              <w:rPr>
                <w:rFonts w:ascii="Times New Roman" w:cs="Times New Roman" w:eastAsia="Times New Roman" w:hAnsi="Times New Roman"/>
                <w:sz w:val="10"/>
                <w:szCs w:val="10"/>
                <w:color w:val="auto"/>
              </w:rPr>
              <w:t>Manufacturing</w:t>
            </w:r>
          </w:p>
        </w:tc>
        <w:tc>
          <w:tcPr>
            <w:tcW w:w="0" w:type="dxa"/>
            <w:vAlign w:val="bottom"/>
          </w:tcPr>
          <w:p>
            <w:pPr>
              <w:spacing w:after="0"/>
              <w:rPr>
                <w:sz w:val="1"/>
                <w:szCs w:val="1"/>
                <w:color w:val="auto"/>
              </w:rPr>
            </w:pPr>
          </w:p>
        </w:tc>
      </w:tr>
      <w:tr>
        <w:trPr>
          <w:trHeight w:val="84"/>
        </w:trPr>
        <w:tc>
          <w:tcPr>
            <w:tcW w:w="1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10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5"/>
        </w:trPr>
        <w:tc>
          <w:tcPr>
            <w:tcW w:w="1220" w:type="dxa"/>
            <w:vAlign w:val="bottom"/>
            <w:gridSpan w:val="2"/>
          </w:tcPr>
          <w:p>
            <w:pPr>
              <w:ind w:left="100"/>
              <w:spacing w:after="0" w:line="105" w:lineRule="exact"/>
              <w:rPr>
                <w:sz w:val="20"/>
                <w:szCs w:val="20"/>
                <w:color w:val="auto"/>
              </w:rPr>
            </w:pPr>
            <w:r>
              <w:rPr>
                <w:rFonts w:ascii="Times New Roman" w:cs="Times New Roman" w:eastAsia="Times New Roman" w:hAnsi="Times New Roman"/>
                <w:sz w:val="10"/>
                <w:szCs w:val="10"/>
                <w:color w:val="auto"/>
              </w:rPr>
              <w:t>2801 E Plano Pkwy</w:t>
            </w:r>
          </w:p>
        </w:tc>
        <w:tc>
          <w:tcPr>
            <w:tcW w:w="860" w:type="dxa"/>
            <w:vAlign w:val="bottom"/>
            <w:gridSpan w:val="2"/>
          </w:tcPr>
          <w:p>
            <w:pPr>
              <w:ind w:left="60"/>
              <w:spacing w:after="0" w:line="105" w:lineRule="exact"/>
              <w:rPr>
                <w:sz w:val="20"/>
                <w:szCs w:val="20"/>
                <w:color w:val="auto"/>
              </w:rPr>
            </w:pPr>
            <w:r>
              <w:rPr>
                <w:rFonts w:ascii="Times New Roman" w:cs="Times New Roman" w:eastAsia="Times New Roman" w:hAnsi="Times New Roman"/>
                <w:sz w:val="10"/>
                <w:szCs w:val="10"/>
                <w:color w:val="auto"/>
              </w:rPr>
              <w:t>(y)</w:t>
            </w: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gridSpan w:val="2"/>
          </w:tcPr>
          <w:p>
            <w:pPr>
              <w:ind w:left="60"/>
              <w:spacing w:after="0" w:line="105" w:lineRule="exact"/>
              <w:rPr>
                <w:sz w:val="20"/>
                <w:szCs w:val="20"/>
                <w:color w:val="auto"/>
              </w:rPr>
            </w:pPr>
            <w:r>
              <w:rPr>
                <w:rFonts w:ascii="Times New Roman" w:cs="Times New Roman" w:eastAsia="Times New Roman" w:hAnsi="Times New Roman"/>
                <w:sz w:val="10"/>
                <w:szCs w:val="10"/>
                <w:color w:val="auto"/>
              </w:rPr>
              <w:t>Subordinated Debt</w:t>
            </w: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1220" w:type="dxa"/>
            <w:vAlign w:val="bottom"/>
            <w:gridSpan w:val="2"/>
          </w:tcPr>
          <w:p>
            <w:pPr>
              <w:ind w:left="100"/>
              <w:spacing w:after="0"/>
              <w:rPr>
                <w:sz w:val="20"/>
                <w:szCs w:val="20"/>
                <w:color w:val="auto"/>
              </w:rPr>
            </w:pPr>
            <w:r>
              <w:rPr>
                <w:rFonts w:ascii="Times New Roman" w:cs="Times New Roman" w:eastAsia="Times New Roman" w:hAnsi="Times New Roman"/>
                <w:sz w:val="10"/>
                <w:szCs w:val="10"/>
                <w:color w:val="auto"/>
              </w:rPr>
              <w:t>Plano, Texas 75074</w:t>
            </w:r>
          </w:p>
        </w:tc>
        <w:tc>
          <w:tcPr>
            <w:tcW w:w="860" w:type="dxa"/>
            <w:vAlign w:val="bottom"/>
            <w:gridSpan w:val="2"/>
          </w:tcPr>
          <w:p>
            <w:pPr>
              <w:ind w:left="60"/>
              <w:spacing w:after="0"/>
              <w:rPr>
                <w:sz w:val="20"/>
                <w:szCs w:val="20"/>
                <w:color w:val="auto"/>
              </w:rPr>
            </w:pPr>
            <w:r>
              <w:rPr>
                <w:rFonts w:ascii="Times New Roman" w:cs="Times New Roman" w:eastAsia="Times New Roman" w:hAnsi="Times New Roman"/>
                <w:sz w:val="10"/>
                <w:szCs w:val="10"/>
                <w:color w:val="auto"/>
              </w:rPr>
              <w:t>(y)</w:t>
            </w:r>
          </w:p>
        </w:tc>
        <w:tc>
          <w:tcPr>
            <w:tcW w:w="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8"/>
        </w:trPr>
        <w:tc>
          <w:tcPr>
            <w:tcW w:w="1220" w:type="dxa"/>
            <w:vAlign w:val="bottom"/>
            <w:gridSpan w:val="2"/>
          </w:tcPr>
          <w:p>
            <w:pPr>
              <w:spacing w:after="0"/>
              <w:rPr>
                <w:sz w:val="20"/>
                <w:szCs w:val="20"/>
                <w:color w:val="auto"/>
              </w:rPr>
            </w:pPr>
            <w:r>
              <w:rPr>
                <w:rFonts w:ascii="Times New Roman" w:cs="Times New Roman" w:eastAsia="Times New Roman" w:hAnsi="Times New Roman"/>
                <w:sz w:val="10"/>
                <w:szCs w:val="10"/>
                <w:i w:val="1"/>
                <w:iCs w:val="1"/>
                <w:color w:val="auto"/>
              </w:rPr>
              <w:t>VMS MSO, LLC (dba Vytal</w:t>
            </w: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7"/>
        </w:trPr>
        <w:tc>
          <w:tcPr>
            <w:tcW w:w="1220" w:type="dxa"/>
            <w:vAlign w:val="bottom"/>
            <w:gridSpan w:val="2"/>
          </w:tcPr>
          <w:p>
            <w:pPr>
              <w:spacing w:after="0" w:line="107" w:lineRule="exact"/>
              <w:rPr>
                <w:sz w:val="20"/>
                <w:szCs w:val="20"/>
                <w:color w:val="auto"/>
              </w:rPr>
            </w:pPr>
            <w:r>
              <w:rPr>
                <w:rFonts w:ascii="Times New Roman" w:cs="Times New Roman" w:eastAsia="Times New Roman" w:hAnsi="Times New Roman"/>
                <w:sz w:val="10"/>
                <w:szCs w:val="10"/>
                <w:i w:val="1"/>
                <w:iCs w:val="1"/>
                <w:color w:val="auto"/>
              </w:rPr>
              <w:t>Health Partners)</w:t>
            </w:r>
          </w:p>
        </w:tc>
        <w:tc>
          <w:tcPr>
            <w:tcW w:w="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100" w:type="dxa"/>
            <w:vAlign w:val="bottom"/>
            <w:gridSpan w:val="2"/>
          </w:tcPr>
          <w:p>
            <w:pPr>
              <w:ind w:left="80"/>
              <w:spacing w:after="0" w:line="107" w:lineRule="exact"/>
              <w:rPr>
                <w:sz w:val="20"/>
                <w:szCs w:val="20"/>
                <w:color w:val="auto"/>
              </w:rPr>
            </w:pPr>
            <w:r>
              <w:rPr>
                <w:rFonts w:ascii="Times New Roman" w:cs="Times New Roman" w:eastAsia="Times New Roman" w:hAnsi="Times New Roman"/>
                <w:sz w:val="10"/>
                <w:szCs w:val="10"/>
                <w:color w:val="auto"/>
              </w:rPr>
              <w:t>Healthcare Services</w:t>
            </w:r>
          </w:p>
        </w:tc>
        <w:tc>
          <w:tcPr>
            <w:tcW w:w="0" w:type="dxa"/>
            <w:vAlign w:val="bottom"/>
          </w:tcPr>
          <w:p>
            <w:pPr>
              <w:spacing w:after="0"/>
              <w:rPr>
                <w:sz w:val="1"/>
                <w:szCs w:val="1"/>
                <w:color w:val="auto"/>
              </w:rPr>
            </w:pPr>
          </w:p>
        </w:tc>
      </w:tr>
      <w:tr>
        <w:trPr>
          <w:trHeight w:val="105"/>
        </w:trPr>
        <w:tc>
          <w:tcPr>
            <w:tcW w:w="1220" w:type="dxa"/>
            <w:vAlign w:val="bottom"/>
            <w:gridSpan w:val="2"/>
          </w:tcPr>
          <w:p>
            <w:pPr>
              <w:ind w:left="100"/>
              <w:spacing w:after="0" w:line="105" w:lineRule="exact"/>
              <w:rPr>
                <w:sz w:val="20"/>
                <w:szCs w:val="20"/>
                <w:color w:val="auto"/>
              </w:rPr>
            </w:pPr>
            <w:r>
              <w:rPr>
                <w:rFonts w:ascii="Times New Roman" w:cs="Times New Roman" w:eastAsia="Times New Roman" w:hAnsi="Times New Roman"/>
                <w:sz w:val="10"/>
                <w:szCs w:val="10"/>
                <w:color w:val="auto"/>
              </w:rPr>
              <w:t>1230 Park Avenue</w:t>
            </w:r>
          </w:p>
        </w:tc>
        <w:tc>
          <w:tcPr>
            <w:tcW w:w="860" w:type="dxa"/>
            <w:vAlign w:val="bottom"/>
            <w:gridSpan w:val="2"/>
          </w:tcPr>
          <w:p>
            <w:pPr>
              <w:ind w:left="60"/>
              <w:spacing w:after="0" w:line="105" w:lineRule="exact"/>
              <w:rPr>
                <w:sz w:val="20"/>
                <w:szCs w:val="20"/>
                <w:color w:val="auto"/>
              </w:rPr>
            </w:pPr>
            <w:r>
              <w:rPr>
                <w:rFonts w:ascii="Times New Roman" w:cs="Times New Roman" w:eastAsia="Times New Roman" w:hAnsi="Times New Roman"/>
                <w:sz w:val="10"/>
                <w:szCs w:val="10"/>
                <w:color w:val="auto"/>
              </w:rPr>
              <w:t>First Lien Debt</w:t>
            </w: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220" w:type="dxa"/>
            <w:vAlign w:val="bottom"/>
            <w:gridSpan w:val="2"/>
          </w:tcPr>
          <w:p>
            <w:pPr>
              <w:ind w:left="100"/>
              <w:spacing w:after="0" w:line="105" w:lineRule="exact"/>
              <w:rPr>
                <w:sz w:val="20"/>
                <w:szCs w:val="20"/>
                <w:color w:val="auto"/>
              </w:rPr>
            </w:pPr>
            <w:r>
              <w:rPr>
                <w:rFonts w:ascii="Times New Roman" w:cs="Times New Roman" w:eastAsia="Times New Roman" w:hAnsi="Times New Roman"/>
                <w:sz w:val="10"/>
                <w:szCs w:val="10"/>
                <w:color w:val="auto"/>
              </w:rPr>
              <w:t>Amherst, OH 44001</w:t>
            </w:r>
          </w:p>
        </w:tc>
        <w:tc>
          <w:tcPr>
            <w:tcW w:w="860" w:type="dxa"/>
            <w:vAlign w:val="bottom"/>
            <w:gridSpan w:val="2"/>
          </w:tcPr>
          <w:p>
            <w:pPr>
              <w:ind w:left="60"/>
              <w:spacing w:after="0" w:line="105" w:lineRule="exact"/>
              <w:rPr>
                <w:sz w:val="20"/>
                <w:szCs w:val="20"/>
                <w:color w:val="auto"/>
              </w:rPr>
            </w:pPr>
            <w:r>
              <w:rPr>
                <w:rFonts w:ascii="Times New Roman" w:cs="Times New Roman" w:eastAsia="Times New Roman" w:hAnsi="Times New Roman"/>
                <w:sz w:val="10"/>
                <w:szCs w:val="10"/>
                <w:color w:val="auto"/>
              </w:rPr>
              <w:t>Revolving Loan</w:t>
            </w: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gridSpan w:val="2"/>
          </w:tcPr>
          <w:p>
            <w:pPr>
              <w:ind w:left="60"/>
              <w:spacing w:after="0" w:line="105" w:lineRule="exact"/>
              <w:rPr>
                <w:sz w:val="20"/>
                <w:szCs w:val="20"/>
                <w:color w:val="auto"/>
              </w:rPr>
            </w:pPr>
            <w:r>
              <w:rPr>
                <w:rFonts w:ascii="Times New Roman" w:cs="Times New Roman" w:eastAsia="Times New Roman" w:hAnsi="Times New Roman"/>
                <w:sz w:val="10"/>
                <w:szCs w:val="10"/>
                <w:color w:val="auto"/>
              </w:rPr>
              <w:t>($1,500 unfunded</w:t>
            </w: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1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gridSpan w:val="2"/>
          </w:tcPr>
          <w:p>
            <w:pPr>
              <w:ind w:left="60"/>
              <w:spacing w:after="0"/>
              <w:rPr>
                <w:sz w:val="20"/>
                <w:szCs w:val="20"/>
                <w:color w:val="auto"/>
              </w:rPr>
            </w:pPr>
            <w:r>
              <w:rPr>
                <w:rFonts w:ascii="Times New Roman" w:cs="Times New Roman" w:eastAsia="Times New Roman" w:hAnsi="Times New Roman"/>
                <w:sz w:val="10"/>
                <w:szCs w:val="10"/>
                <w:color w:val="auto"/>
              </w:rPr>
              <w:t>commitment) (i)</w:t>
            </w:r>
          </w:p>
        </w:tc>
        <w:tc>
          <w:tcPr>
            <w:tcW w:w="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0"/>
        </w:trPr>
        <w:tc>
          <w:tcPr>
            <w:tcW w:w="1220" w:type="dxa"/>
            <w:vAlign w:val="bottom"/>
            <w:gridSpan w:val="2"/>
          </w:tcPr>
          <w:p>
            <w:pPr>
              <w:spacing w:after="0"/>
              <w:rPr>
                <w:sz w:val="20"/>
                <w:szCs w:val="20"/>
                <w:color w:val="auto"/>
              </w:rPr>
            </w:pPr>
            <w:r>
              <w:rPr>
                <w:rFonts w:ascii="Times New Roman" w:cs="Times New Roman" w:eastAsia="Times New Roman" w:hAnsi="Times New Roman"/>
                <w:sz w:val="10"/>
                <w:szCs w:val="10"/>
                <w:i w:val="1"/>
                <w:iCs w:val="1"/>
                <w:color w:val="auto"/>
              </w:rPr>
              <w:t>W50 Holdings, LLC</w:t>
            </w: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00" w:type="dxa"/>
            <w:vAlign w:val="bottom"/>
            <w:gridSpan w:val="2"/>
          </w:tcPr>
          <w:p>
            <w:pPr>
              <w:ind w:left="80"/>
              <w:spacing w:after="0"/>
              <w:rPr>
                <w:sz w:val="20"/>
                <w:szCs w:val="20"/>
                <w:color w:val="auto"/>
              </w:rPr>
            </w:pPr>
            <w:r>
              <w:rPr>
                <w:rFonts w:ascii="Times New Roman" w:cs="Times New Roman" w:eastAsia="Times New Roman" w:hAnsi="Times New Roman"/>
                <w:sz w:val="10"/>
                <w:szCs w:val="10"/>
                <w:color w:val="auto"/>
              </w:rPr>
              <w:t>Business Services</w:t>
            </w:r>
          </w:p>
        </w:tc>
        <w:tc>
          <w:tcPr>
            <w:tcW w:w="0" w:type="dxa"/>
            <w:vAlign w:val="bottom"/>
          </w:tcPr>
          <w:p>
            <w:pPr>
              <w:spacing w:after="0"/>
              <w:rPr>
                <w:sz w:val="1"/>
                <w:szCs w:val="1"/>
                <w:color w:val="auto"/>
              </w:rPr>
            </w:pPr>
          </w:p>
        </w:tc>
      </w:tr>
      <w:tr>
        <w:trPr>
          <w:trHeight w:val="105"/>
        </w:trPr>
        <w:tc>
          <w:tcPr>
            <w:tcW w:w="1220" w:type="dxa"/>
            <w:vAlign w:val="bottom"/>
            <w:gridSpan w:val="2"/>
          </w:tcPr>
          <w:p>
            <w:pPr>
              <w:ind w:left="100"/>
              <w:spacing w:after="0" w:line="105" w:lineRule="exact"/>
              <w:rPr>
                <w:sz w:val="20"/>
                <w:szCs w:val="20"/>
                <w:color w:val="auto"/>
              </w:rPr>
            </w:pPr>
            <w:r>
              <w:rPr>
                <w:rFonts w:ascii="Times New Roman" w:cs="Times New Roman" w:eastAsia="Times New Roman" w:hAnsi="Times New Roman"/>
                <w:sz w:val="10"/>
                <w:szCs w:val="10"/>
                <w:color w:val="auto"/>
              </w:rPr>
              <w:t>3525 Piedmont Rd. NE</w:t>
            </w:r>
          </w:p>
        </w:tc>
        <w:tc>
          <w:tcPr>
            <w:tcW w:w="860" w:type="dxa"/>
            <w:vAlign w:val="bottom"/>
            <w:gridSpan w:val="2"/>
          </w:tcPr>
          <w:p>
            <w:pPr>
              <w:ind w:left="60"/>
              <w:spacing w:after="0" w:line="105" w:lineRule="exact"/>
              <w:rPr>
                <w:sz w:val="20"/>
                <w:szCs w:val="20"/>
                <w:color w:val="auto"/>
              </w:rPr>
            </w:pPr>
            <w:r>
              <w:rPr>
                <w:rFonts w:ascii="Times New Roman" w:cs="Times New Roman" w:eastAsia="Times New Roman" w:hAnsi="Times New Roman"/>
                <w:sz w:val="10"/>
                <w:szCs w:val="10"/>
                <w:color w:val="auto"/>
              </w:rPr>
              <w:t>Subordinated Debt</w:t>
            </w: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220" w:type="dxa"/>
            <w:vAlign w:val="bottom"/>
            <w:gridSpan w:val="2"/>
          </w:tcPr>
          <w:p>
            <w:pPr>
              <w:ind w:left="100"/>
              <w:spacing w:after="0" w:line="105" w:lineRule="exact"/>
              <w:rPr>
                <w:sz w:val="20"/>
                <w:szCs w:val="20"/>
                <w:color w:val="auto"/>
              </w:rPr>
            </w:pPr>
            <w:r>
              <w:rPr>
                <w:rFonts w:ascii="Times New Roman" w:cs="Times New Roman" w:eastAsia="Times New Roman" w:hAnsi="Times New Roman"/>
                <w:sz w:val="10"/>
                <w:szCs w:val="10"/>
                <w:color w:val="auto"/>
              </w:rPr>
              <w:t>Atlanta, GA 30305</w:t>
            </w:r>
          </w:p>
        </w:tc>
        <w:tc>
          <w:tcPr>
            <w:tcW w:w="860" w:type="dxa"/>
            <w:vAlign w:val="bottom"/>
            <w:gridSpan w:val="2"/>
          </w:tcPr>
          <w:p>
            <w:pPr>
              <w:ind w:left="60"/>
              <w:spacing w:after="0" w:line="105" w:lineRule="exact"/>
              <w:rPr>
                <w:sz w:val="20"/>
                <w:szCs w:val="20"/>
                <w:color w:val="auto"/>
              </w:rPr>
            </w:pPr>
            <w:r>
              <w:rPr>
                <w:rFonts w:ascii="Times New Roman" w:cs="Times New Roman" w:eastAsia="Times New Roman" w:hAnsi="Times New Roman"/>
                <w:sz w:val="10"/>
                <w:szCs w:val="10"/>
                <w:color w:val="auto"/>
              </w:rPr>
              <w:t>Preferred Equity</w:t>
            </w: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gridSpan w:val="2"/>
          </w:tcPr>
          <w:p>
            <w:pPr>
              <w:ind w:left="60"/>
              <w:spacing w:after="0" w:line="105" w:lineRule="exact"/>
              <w:rPr>
                <w:sz w:val="20"/>
                <w:szCs w:val="20"/>
                <w:color w:val="auto"/>
              </w:rPr>
            </w:pPr>
            <w:r>
              <w:rPr>
                <w:rFonts w:ascii="Times New Roman" w:cs="Times New Roman" w:eastAsia="Times New Roman" w:hAnsi="Times New Roman"/>
                <w:sz w:val="10"/>
                <w:szCs w:val="10"/>
                <w:color w:val="auto"/>
              </w:rPr>
              <w:t>(Units N/A) ($100</w:t>
            </w: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gridSpan w:val="2"/>
          </w:tcPr>
          <w:p>
            <w:pPr>
              <w:ind w:left="60"/>
              <w:spacing w:after="0" w:line="105" w:lineRule="exact"/>
              <w:rPr>
                <w:sz w:val="20"/>
                <w:szCs w:val="20"/>
                <w:color w:val="auto"/>
              </w:rPr>
            </w:pPr>
            <w:r>
              <w:rPr>
                <w:rFonts w:ascii="Times New Roman" w:cs="Times New Roman" w:eastAsia="Times New Roman" w:hAnsi="Times New Roman"/>
                <w:sz w:val="10"/>
                <w:szCs w:val="10"/>
                <w:color w:val="auto"/>
              </w:rPr>
              <w:t>unfunded</w:t>
            </w: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1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gridSpan w:val="2"/>
          </w:tcPr>
          <w:p>
            <w:pPr>
              <w:ind w:left="60"/>
              <w:spacing w:after="0"/>
              <w:rPr>
                <w:sz w:val="20"/>
                <w:szCs w:val="20"/>
                <w:color w:val="auto"/>
              </w:rPr>
            </w:pPr>
            <w:r>
              <w:rPr>
                <w:rFonts w:ascii="Times New Roman" w:cs="Times New Roman" w:eastAsia="Times New Roman" w:hAnsi="Times New Roman"/>
                <w:sz w:val="10"/>
                <w:szCs w:val="10"/>
                <w:color w:val="auto"/>
              </w:rPr>
              <w:t>commitment)</w:t>
            </w:r>
          </w:p>
        </w:tc>
        <w:tc>
          <w:tcPr>
            <w:tcW w:w="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8"/>
        </w:trPr>
        <w:tc>
          <w:tcPr>
            <w:tcW w:w="1220" w:type="dxa"/>
            <w:vAlign w:val="bottom"/>
            <w:gridSpan w:val="2"/>
          </w:tcPr>
          <w:p>
            <w:pPr>
              <w:spacing w:after="0"/>
              <w:rPr>
                <w:sz w:val="20"/>
                <w:szCs w:val="20"/>
                <w:color w:val="auto"/>
              </w:rPr>
            </w:pPr>
            <w:r>
              <w:rPr>
                <w:rFonts w:ascii="Times New Roman" w:cs="Times New Roman" w:eastAsia="Times New Roman" w:hAnsi="Times New Roman"/>
                <w:sz w:val="10"/>
                <w:szCs w:val="10"/>
                <w:i w:val="1"/>
                <w:iCs w:val="1"/>
                <w:color w:val="auto"/>
              </w:rPr>
              <w:t>Waterworks Solutions</w:t>
            </w: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1220" w:type="dxa"/>
            <w:vAlign w:val="bottom"/>
            <w:gridSpan w:val="2"/>
          </w:tcPr>
          <w:p>
            <w:pPr>
              <w:spacing w:after="0" w:line="105" w:lineRule="exact"/>
              <w:rPr>
                <w:sz w:val="20"/>
                <w:szCs w:val="20"/>
                <w:color w:val="auto"/>
              </w:rPr>
            </w:pPr>
            <w:r>
              <w:rPr>
                <w:rFonts w:ascii="Times New Roman" w:cs="Times New Roman" w:eastAsia="Times New Roman" w:hAnsi="Times New Roman"/>
                <w:sz w:val="10"/>
                <w:szCs w:val="10"/>
                <w:i w:val="1"/>
                <w:iCs w:val="1"/>
                <w:color w:val="auto"/>
              </w:rPr>
              <w:t>Acquisition, Inc. (dba CITCO</w:t>
            </w:r>
          </w:p>
        </w:tc>
        <w:tc>
          <w:tcPr>
            <w:tcW w:w="6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220" w:type="dxa"/>
            <w:vAlign w:val="bottom"/>
            <w:gridSpan w:val="2"/>
          </w:tcPr>
          <w:p>
            <w:pPr>
              <w:spacing w:after="0" w:line="107" w:lineRule="exact"/>
              <w:rPr>
                <w:sz w:val="20"/>
                <w:szCs w:val="20"/>
                <w:color w:val="auto"/>
              </w:rPr>
            </w:pPr>
            <w:r>
              <w:rPr>
                <w:rFonts w:ascii="Times New Roman" w:cs="Times New Roman" w:eastAsia="Times New Roman" w:hAnsi="Times New Roman"/>
                <w:sz w:val="10"/>
                <w:szCs w:val="10"/>
                <w:i w:val="1"/>
                <w:iCs w:val="1"/>
                <w:color w:val="auto"/>
              </w:rPr>
              <w:t>Water)</w:t>
            </w:r>
          </w:p>
        </w:tc>
        <w:tc>
          <w:tcPr>
            <w:tcW w:w="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100" w:type="dxa"/>
            <w:vAlign w:val="bottom"/>
            <w:gridSpan w:val="2"/>
          </w:tcPr>
          <w:p>
            <w:pPr>
              <w:ind w:left="80"/>
              <w:spacing w:after="0" w:line="107" w:lineRule="exact"/>
              <w:rPr>
                <w:sz w:val="20"/>
                <w:szCs w:val="20"/>
                <w:color w:val="auto"/>
              </w:rPr>
            </w:pPr>
            <w:r>
              <w:rPr>
                <w:rFonts w:ascii="Times New Roman" w:cs="Times New Roman" w:eastAsia="Times New Roman" w:hAnsi="Times New Roman"/>
                <w:sz w:val="10"/>
                <w:szCs w:val="10"/>
                <w:color w:val="auto"/>
              </w:rPr>
              <w:t>Specialty Distribution</w:t>
            </w:r>
          </w:p>
        </w:tc>
        <w:tc>
          <w:tcPr>
            <w:tcW w:w="0" w:type="dxa"/>
            <w:vAlign w:val="bottom"/>
          </w:tcPr>
          <w:p>
            <w:pPr>
              <w:spacing w:after="0"/>
              <w:rPr>
                <w:sz w:val="1"/>
                <w:szCs w:val="1"/>
                <w:color w:val="auto"/>
              </w:rPr>
            </w:pPr>
          </w:p>
        </w:tc>
      </w:tr>
      <w:tr>
        <w:trPr>
          <w:trHeight w:val="105"/>
        </w:trPr>
        <w:tc>
          <w:tcPr>
            <w:tcW w:w="1220" w:type="dxa"/>
            <w:vAlign w:val="bottom"/>
            <w:gridSpan w:val="2"/>
          </w:tcPr>
          <w:p>
            <w:pPr>
              <w:ind w:left="100"/>
              <w:spacing w:after="0" w:line="105" w:lineRule="exact"/>
              <w:rPr>
                <w:sz w:val="20"/>
                <w:szCs w:val="20"/>
                <w:color w:val="auto"/>
              </w:rPr>
            </w:pPr>
            <w:r>
              <w:rPr>
                <w:rFonts w:ascii="Times New Roman" w:cs="Times New Roman" w:eastAsia="Times New Roman" w:hAnsi="Times New Roman"/>
                <w:sz w:val="10"/>
                <w:szCs w:val="10"/>
                <w:color w:val="auto"/>
                <w:w w:val="98"/>
              </w:rPr>
              <w:t>2811 Ponce De Leon Blvd.,</w:t>
            </w:r>
          </w:p>
        </w:tc>
        <w:tc>
          <w:tcPr>
            <w:tcW w:w="860" w:type="dxa"/>
            <w:vAlign w:val="bottom"/>
            <w:gridSpan w:val="2"/>
          </w:tcPr>
          <w:p>
            <w:pPr>
              <w:ind w:left="60"/>
              <w:spacing w:after="0" w:line="105" w:lineRule="exact"/>
              <w:rPr>
                <w:sz w:val="20"/>
                <w:szCs w:val="20"/>
                <w:color w:val="auto"/>
              </w:rPr>
            </w:pPr>
            <w:r>
              <w:rPr>
                <w:rFonts w:ascii="Times New Roman" w:cs="Times New Roman" w:eastAsia="Times New Roman" w:hAnsi="Times New Roman"/>
                <w:sz w:val="10"/>
                <w:szCs w:val="10"/>
                <w:color w:val="auto"/>
              </w:rPr>
              <w:t>First Lien Debt</w:t>
            </w: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220" w:type="dxa"/>
            <w:vAlign w:val="bottom"/>
            <w:gridSpan w:val="2"/>
          </w:tcPr>
          <w:p>
            <w:pPr>
              <w:ind w:left="100"/>
              <w:spacing w:after="0" w:line="105" w:lineRule="exact"/>
              <w:rPr>
                <w:sz w:val="20"/>
                <w:szCs w:val="20"/>
                <w:color w:val="auto"/>
              </w:rPr>
            </w:pPr>
            <w:r>
              <w:rPr>
                <w:rFonts w:ascii="Times New Roman" w:cs="Times New Roman" w:eastAsia="Times New Roman" w:hAnsi="Times New Roman"/>
                <w:sz w:val="10"/>
                <w:szCs w:val="10"/>
                <w:color w:val="auto"/>
              </w:rPr>
              <w:t>Suite 400 Coral Gables, FL</w:t>
            </w:r>
          </w:p>
        </w:tc>
        <w:tc>
          <w:tcPr>
            <w:tcW w:w="860" w:type="dxa"/>
            <w:vAlign w:val="bottom"/>
            <w:gridSpan w:val="2"/>
          </w:tcPr>
          <w:p>
            <w:pPr>
              <w:ind w:left="60"/>
              <w:spacing w:after="0" w:line="105" w:lineRule="exact"/>
              <w:rPr>
                <w:sz w:val="20"/>
                <w:szCs w:val="20"/>
                <w:color w:val="auto"/>
              </w:rPr>
            </w:pPr>
            <w:r>
              <w:rPr>
                <w:rFonts w:ascii="Times New Roman" w:cs="Times New Roman" w:eastAsia="Times New Roman" w:hAnsi="Times New Roman"/>
                <w:sz w:val="10"/>
                <w:szCs w:val="10"/>
                <w:color w:val="auto"/>
              </w:rPr>
              <w:t>($2,450 unfunded</w:t>
            </w: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110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33134</w:t>
            </w:r>
          </w:p>
        </w:tc>
        <w:tc>
          <w:tcPr>
            <w:tcW w:w="120" w:type="dxa"/>
            <w:vAlign w:val="bottom"/>
          </w:tcPr>
          <w:p>
            <w:pPr>
              <w:spacing w:after="0"/>
              <w:rPr>
                <w:sz w:val="10"/>
                <w:szCs w:val="10"/>
                <w:color w:val="auto"/>
              </w:rPr>
            </w:pPr>
          </w:p>
        </w:tc>
        <w:tc>
          <w:tcPr>
            <w:tcW w:w="860" w:type="dxa"/>
            <w:vAlign w:val="bottom"/>
            <w:gridSpan w:val="2"/>
          </w:tcPr>
          <w:p>
            <w:pPr>
              <w:ind w:left="60"/>
              <w:spacing w:after="0"/>
              <w:rPr>
                <w:sz w:val="20"/>
                <w:szCs w:val="20"/>
                <w:color w:val="auto"/>
              </w:rPr>
            </w:pPr>
            <w:r>
              <w:rPr>
                <w:rFonts w:ascii="Times New Roman" w:cs="Times New Roman" w:eastAsia="Times New Roman" w:hAnsi="Times New Roman"/>
                <w:sz w:val="10"/>
                <w:szCs w:val="10"/>
                <w:color w:val="auto"/>
              </w:rPr>
              <w:t>commitment) (bh)</w:t>
            </w:r>
          </w:p>
        </w:tc>
        <w:tc>
          <w:tcPr>
            <w:tcW w:w="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6"/>
        </w:trPr>
        <w:tc>
          <w:tcPr>
            <w:tcW w:w="1220" w:type="dxa"/>
            <w:vAlign w:val="bottom"/>
            <w:gridSpan w:val="2"/>
          </w:tcPr>
          <w:p>
            <w:pPr>
              <w:spacing w:after="0"/>
              <w:rPr>
                <w:sz w:val="20"/>
                <w:szCs w:val="20"/>
                <w:color w:val="auto"/>
              </w:rPr>
            </w:pPr>
            <w:r>
              <w:rPr>
                <w:rFonts w:ascii="Times New Roman" w:cs="Times New Roman" w:eastAsia="Times New Roman" w:hAnsi="Times New Roman"/>
                <w:sz w:val="10"/>
                <w:szCs w:val="10"/>
                <w:i w:val="1"/>
                <w:iCs w:val="1"/>
                <w:color w:val="auto"/>
              </w:rPr>
              <w:t>White Label Communication,</w:t>
            </w: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00" w:type="dxa"/>
            <w:vAlign w:val="bottom"/>
            <w:gridSpan w:val="2"/>
          </w:tcPr>
          <w:p>
            <w:pPr>
              <w:ind w:left="80"/>
              <w:spacing w:after="0"/>
              <w:rPr>
                <w:sz w:val="20"/>
                <w:szCs w:val="20"/>
                <w:color w:val="auto"/>
              </w:rPr>
            </w:pPr>
            <w:r>
              <w:rPr>
                <w:rFonts w:ascii="Times New Roman" w:cs="Times New Roman" w:eastAsia="Times New Roman" w:hAnsi="Times New Roman"/>
                <w:sz w:val="10"/>
                <w:szCs w:val="10"/>
                <w:color w:val="auto"/>
              </w:rPr>
              <w:t>Information Technology</w:t>
            </w:r>
          </w:p>
        </w:tc>
        <w:tc>
          <w:tcPr>
            <w:tcW w:w="0" w:type="dxa"/>
            <w:vAlign w:val="bottom"/>
          </w:tcPr>
          <w:p>
            <w:pPr>
              <w:spacing w:after="0"/>
              <w:rPr>
                <w:sz w:val="1"/>
                <w:szCs w:val="1"/>
                <w:color w:val="auto"/>
              </w:rPr>
            </w:pPr>
          </w:p>
        </w:tc>
      </w:tr>
      <w:tr>
        <w:trPr>
          <w:trHeight w:val="127"/>
        </w:trPr>
        <w:tc>
          <w:tcPr>
            <w:tcW w:w="1220" w:type="dxa"/>
            <w:vAlign w:val="bottom"/>
            <w:gridSpan w:val="2"/>
          </w:tcPr>
          <w:p>
            <w:pPr>
              <w:spacing w:after="0"/>
              <w:rPr>
                <w:sz w:val="20"/>
                <w:szCs w:val="20"/>
                <w:color w:val="auto"/>
              </w:rPr>
            </w:pPr>
            <w:r>
              <w:rPr>
                <w:rFonts w:ascii="Times New Roman" w:cs="Times New Roman" w:eastAsia="Times New Roman" w:hAnsi="Times New Roman"/>
                <w:sz w:val="10"/>
                <w:szCs w:val="10"/>
                <w:i w:val="1"/>
                <w:iCs w:val="1"/>
                <w:color w:val="auto"/>
              </w:rPr>
              <w:t>LLC</w:t>
            </w:r>
          </w:p>
        </w:tc>
        <w:tc>
          <w:tcPr>
            <w:tcW w:w="860" w:type="dxa"/>
            <w:vAlign w:val="bottom"/>
            <w:gridSpan w:val="2"/>
            <w:vMerge w:val="restart"/>
          </w:tcPr>
          <w:p>
            <w:pPr>
              <w:ind w:left="60"/>
              <w:spacing w:after="0"/>
              <w:rPr>
                <w:sz w:val="20"/>
                <w:szCs w:val="20"/>
                <w:color w:val="auto"/>
              </w:rPr>
            </w:pPr>
            <w:r>
              <w:rPr>
                <w:rFonts w:ascii="Times New Roman" w:cs="Times New Roman" w:eastAsia="Times New Roman" w:hAnsi="Times New Roman"/>
                <w:sz w:val="10"/>
                <w:szCs w:val="10"/>
                <w:color w:val="auto"/>
              </w:rPr>
              <w:t>First Lien Debt (j)</w:t>
            </w:r>
          </w:p>
        </w:tc>
        <w:tc>
          <w:tcPr>
            <w:tcW w:w="1100" w:type="dxa"/>
            <w:vAlign w:val="bottom"/>
            <w:gridSpan w:val="2"/>
          </w:tcPr>
          <w:p>
            <w:pPr>
              <w:ind w:left="80"/>
              <w:spacing w:after="0"/>
              <w:rPr>
                <w:sz w:val="20"/>
                <w:szCs w:val="20"/>
                <w:color w:val="auto"/>
              </w:rPr>
            </w:pPr>
            <w:r>
              <w:rPr>
                <w:rFonts w:ascii="Times New Roman" w:cs="Times New Roman" w:eastAsia="Times New Roman" w:hAnsi="Times New Roman"/>
                <w:sz w:val="10"/>
                <w:szCs w:val="10"/>
                <w:color w:val="auto"/>
              </w:rPr>
              <w:t>Services</w:t>
            </w:r>
          </w:p>
        </w:tc>
        <w:tc>
          <w:tcPr>
            <w:tcW w:w="0" w:type="dxa"/>
            <w:vAlign w:val="bottom"/>
          </w:tcPr>
          <w:p>
            <w:pPr>
              <w:spacing w:after="0"/>
              <w:rPr>
                <w:sz w:val="1"/>
                <w:szCs w:val="1"/>
                <w:color w:val="auto"/>
              </w:rPr>
            </w:pPr>
          </w:p>
        </w:tc>
      </w:tr>
      <w:tr>
        <w:trPr>
          <w:trHeight w:val="84"/>
        </w:trPr>
        <w:tc>
          <w:tcPr>
            <w:tcW w:w="1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10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5"/>
        </w:trPr>
        <w:tc>
          <w:tcPr>
            <w:tcW w:w="1220" w:type="dxa"/>
            <w:vAlign w:val="bottom"/>
            <w:gridSpan w:val="2"/>
          </w:tcPr>
          <w:p>
            <w:pPr>
              <w:ind w:left="100"/>
              <w:spacing w:after="0" w:line="105" w:lineRule="exact"/>
              <w:rPr>
                <w:sz w:val="20"/>
                <w:szCs w:val="20"/>
                <w:color w:val="auto"/>
              </w:rPr>
            </w:pPr>
            <w:r>
              <w:rPr>
                <w:rFonts w:ascii="Times New Roman" w:cs="Times New Roman" w:eastAsia="Times New Roman" w:hAnsi="Times New Roman"/>
                <w:sz w:val="10"/>
                <w:szCs w:val="10"/>
                <w:color w:val="auto"/>
              </w:rPr>
              <w:t>710 Springdale Drive</w:t>
            </w:r>
          </w:p>
        </w:tc>
        <w:tc>
          <w:tcPr>
            <w:tcW w:w="860" w:type="dxa"/>
            <w:vAlign w:val="bottom"/>
            <w:gridSpan w:val="2"/>
          </w:tcPr>
          <w:p>
            <w:pPr>
              <w:ind w:left="60"/>
              <w:spacing w:after="0" w:line="105" w:lineRule="exact"/>
              <w:rPr>
                <w:sz w:val="20"/>
                <w:szCs w:val="20"/>
                <w:color w:val="auto"/>
              </w:rPr>
            </w:pPr>
            <w:r>
              <w:rPr>
                <w:rFonts w:ascii="Times New Roman" w:cs="Times New Roman" w:eastAsia="Times New Roman" w:hAnsi="Times New Roman"/>
                <w:sz w:val="10"/>
                <w:szCs w:val="10"/>
                <w:color w:val="auto"/>
              </w:rPr>
              <w:t>(ab)</w:t>
            </w: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220" w:type="dxa"/>
            <w:vAlign w:val="bottom"/>
            <w:gridSpan w:val="2"/>
          </w:tcPr>
          <w:p>
            <w:pPr>
              <w:ind w:left="100"/>
              <w:spacing w:after="0" w:line="105" w:lineRule="exact"/>
              <w:rPr>
                <w:sz w:val="20"/>
                <w:szCs w:val="20"/>
                <w:color w:val="auto"/>
              </w:rPr>
            </w:pPr>
            <w:r>
              <w:rPr>
                <w:rFonts w:ascii="Times New Roman" w:cs="Times New Roman" w:eastAsia="Times New Roman" w:hAnsi="Times New Roman"/>
                <w:sz w:val="10"/>
                <w:szCs w:val="10"/>
                <w:color w:val="auto"/>
              </w:rPr>
              <w:t>Exton, PA 19341</w:t>
            </w:r>
          </w:p>
        </w:tc>
        <w:tc>
          <w:tcPr>
            <w:tcW w:w="860" w:type="dxa"/>
            <w:vAlign w:val="bottom"/>
            <w:gridSpan w:val="2"/>
          </w:tcPr>
          <w:p>
            <w:pPr>
              <w:ind w:left="60"/>
              <w:spacing w:after="0" w:line="105" w:lineRule="exact"/>
              <w:rPr>
                <w:sz w:val="20"/>
                <w:szCs w:val="20"/>
                <w:color w:val="auto"/>
              </w:rPr>
            </w:pPr>
            <w:r>
              <w:rPr>
                <w:rFonts w:ascii="Times New Roman" w:cs="Times New Roman" w:eastAsia="Times New Roman" w:hAnsi="Times New Roman"/>
                <w:sz w:val="10"/>
                <w:szCs w:val="10"/>
                <w:color w:val="auto"/>
              </w:rPr>
              <w:t>Common Equity</w:t>
            </w: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gridSpan w:val="2"/>
          </w:tcPr>
          <w:p>
            <w:pPr>
              <w:ind w:left="60"/>
              <w:spacing w:after="0" w:line="105" w:lineRule="exact"/>
              <w:rPr>
                <w:sz w:val="20"/>
                <w:szCs w:val="20"/>
                <w:color w:val="auto"/>
              </w:rPr>
            </w:pPr>
            <w:r>
              <w:rPr>
                <w:rFonts w:ascii="Times New Roman" w:cs="Times New Roman" w:eastAsia="Times New Roman" w:hAnsi="Times New Roman"/>
                <w:sz w:val="10"/>
                <w:szCs w:val="10"/>
                <w:color w:val="auto"/>
              </w:rPr>
              <w:t>(536 units) (h)</w:t>
            </w: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gridSpan w:val="2"/>
          </w:tcPr>
          <w:p>
            <w:pPr>
              <w:ind w:left="60"/>
              <w:spacing w:after="0" w:line="105" w:lineRule="exact"/>
              <w:rPr>
                <w:sz w:val="20"/>
                <w:szCs w:val="20"/>
                <w:color w:val="auto"/>
              </w:rPr>
            </w:pPr>
            <w:r>
              <w:rPr>
                <w:rFonts w:ascii="Times New Roman" w:cs="Times New Roman" w:eastAsia="Times New Roman" w:hAnsi="Times New Roman"/>
                <w:sz w:val="10"/>
                <w:szCs w:val="10"/>
                <w:color w:val="auto"/>
              </w:rPr>
              <w:t>Preferred Equity</w:t>
            </w: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1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gridSpan w:val="2"/>
          </w:tcPr>
          <w:p>
            <w:pPr>
              <w:ind w:left="60"/>
              <w:spacing w:after="0"/>
              <w:rPr>
                <w:sz w:val="20"/>
                <w:szCs w:val="20"/>
                <w:color w:val="auto"/>
              </w:rPr>
            </w:pPr>
            <w:r>
              <w:rPr>
                <w:rFonts w:ascii="Times New Roman" w:cs="Times New Roman" w:eastAsia="Times New Roman" w:hAnsi="Times New Roman"/>
                <w:sz w:val="10"/>
                <w:szCs w:val="10"/>
                <w:color w:val="auto"/>
              </w:rPr>
              <w:t>(5,000 units) (h)</w:t>
            </w:r>
          </w:p>
        </w:tc>
        <w:tc>
          <w:tcPr>
            <w:tcW w:w="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9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95"/>
        </w:trPr>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8"/>
                <w:szCs w:val="8"/>
                <w:b w:val="1"/>
                <w:bCs w:val="1"/>
                <w:color w:val="auto"/>
              </w:rPr>
              <w:t>Percentage of</w:t>
            </w:r>
          </w:p>
        </w:tc>
        <w:tc>
          <w:tcPr>
            <w:tcW w:w="940" w:type="dxa"/>
            <w:vAlign w:val="bottom"/>
            <w:gridSpan w:val="2"/>
          </w:tcPr>
          <w:p>
            <w:pPr>
              <w:jc w:val="center"/>
              <w:ind w:right="60"/>
              <w:spacing w:after="0"/>
              <w:rPr>
                <w:sz w:val="20"/>
                <w:szCs w:val="20"/>
                <w:color w:val="auto"/>
              </w:rPr>
            </w:pPr>
            <w:r>
              <w:rPr>
                <w:rFonts w:ascii="Times New Roman" w:cs="Times New Roman" w:eastAsia="Times New Roman" w:hAnsi="Times New Roman"/>
                <w:sz w:val="8"/>
                <w:szCs w:val="8"/>
                <w:b w:val="1"/>
                <w:bCs w:val="1"/>
                <w:color w:val="auto"/>
              </w:rPr>
              <w:t>Variable Index</w:t>
            </w:r>
          </w:p>
        </w:tc>
        <w:tc>
          <w:tcPr>
            <w:tcW w:w="700" w:type="dxa"/>
            <w:vAlign w:val="bottom"/>
            <w:gridSpan w:val="2"/>
          </w:tcPr>
          <w:p>
            <w:pPr>
              <w:jc w:val="center"/>
              <w:ind w:right="100"/>
              <w:spacing w:after="0"/>
              <w:rPr>
                <w:sz w:val="20"/>
                <w:szCs w:val="20"/>
                <w:color w:val="auto"/>
              </w:rPr>
            </w:pPr>
            <w:r>
              <w:rPr>
                <w:rFonts w:ascii="Times New Roman" w:cs="Times New Roman" w:eastAsia="Times New Roman" w:hAnsi="Times New Roman"/>
                <w:sz w:val="8"/>
                <w:szCs w:val="8"/>
                <w:b w:val="1"/>
                <w:bCs w:val="1"/>
                <w:color w:val="auto"/>
              </w:rPr>
              <w:t>Rate (e)</w:t>
            </w: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8"/>
                <w:szCs w:val="8"/>
                <w:b w:val="1"/>
                <w:bCs w:val="1"/>
                <w:color w:val="auto"/>
              </w:rPr>
              <w:t>Investment</w:t>
            </w: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gridSpan w:val="2"/>
          </w:tcPr>
          <w:p>
            <w:pPr>
              <w:spacing w:after="0"/>
              <w:rPr>
                <w:sz w:val="20"/>
                <w:szCs w:val="20"/>
                <w:color w:val="auto"/>
              </w:rPr>
            </w:pPr>
            <w:r>
              <w:rPr>
                <w:rFonts w:ascii="Times New Roman" w:cs="Times New Roman" w:eastAsia="Times New Roman" w:hAnsi="Times New Roman"/>
                <w:sz w:val="8"/>
                <w:szCs w:val="8"/>
                <w:b w:val="1"/>
                <w:bCs w:val="1"/>
                <w:color w:val="auto"/>
              </w:rPr>
              <w:t>Principal</w:t>
            </w: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20" w:type="dxa"/>
            <w:vAlign w:val="bottom"/>
            <w:gridSpan w:val="2"/>
          </w:tcPr>
          <w:p>
            <w:pPr>
              <w:ind w:left="80"/>
              <w:spacing w:after="0"/>
              <w:rPr>
                <w:sz w:val="20"/>
                <w:szCs w:val="20"/>
                <w:color w:val="auto"/>
              </w:rPr>
            </w:pPr>
            <w:r>
              <w:rPr>
                <w:rFonts w:ascii="Times New Roman" w:cs="Times New Roman" w:eastAsia="Times New Roman" w:hAnsi="Times New Roman"/>
                <w:sz w:val="8"/>
                <w:szCs w:val="8"/>
                <w:b w:val="1"/>
                <w:bCs w:val="1"/>
                <w:color w:val="auto"/>
              </w:rPr>
              <w:t>Fair</w:t>
            </w:r>
          </w:p>
        </w:tc>
        <w:tc>
          <w:tcPr>
            <w:tcW w:w="440" w:type="dxa"/>
            <w:vAlign w:val="bottom"/>
            <w:gridSpan w:val="2"/>
          </w:tcPr>
          <w:p>
            <w:pPr>
              <w:jc w:val="right"/>
              <w:ind w:right="80"/>
              <w:spacing w:after="0"/>
              <w:rPr>
                <w:sz w:val="20"/>
                <w:szCs w:val="20"/>
                <w:color w:val="auto"/>
              </w:rPr>
            </w:pPr>
            <w:r>
              <w:rPr>
                <w:rFonts w:ascii="Times New Roman" w:cs="Times New Roman" w:eastAsia="Times New Roman" w:hAnsi="Times New Roman"/>
                <w:sz w:val="8"/>
                <w:szCs w:val="8"/>
                <w:b w:val="1"/>
                <w:bCs w:val="1"/>
                <w:color w:val="auto"/>
                <w:w w:val="97"/>
              </w:rPr>
              <w:t>Percent of</w:t>
            </w:r>
          </w:p>
        </w:tc>
      </w:tr>
      <w:tr>
        <w:trPr>
          <w:trHeight w:val="115"/>
        </w:trPr>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8"/>
                <w:szCs w:val="8"/>
                <w:b w:val="1"/>
                <w:bCs w:val="1"/>
                <w:color w:val="auto"/>
              </w:rPr>
              <w:t>Class Held (bn)</w:t>
            </w:r>
          </w:p>
        </w:tc>
        <w:tc>
          <w:tcPr>
            <w:tcW w:w="940" w:type="dxa"/>
            <w:vAlign w:val="bottom"/>
            <w:gridSpan w:val="2"/>
          </w:tcPr>
          <w:p>
            <w:pPr>
              <w:jc w:val="center"/>
              <w:ind w:right="60"/>
              <w:spacing w:after="0"/>
              <w:rPr>
                <w:sz w:val="20"/>
                <w:szCs w:val="20"/>
                <w:color w:val="auto"/>
              </w:rPr>
            </w:pPr>
            <w:r>
              <w:rPr>
                <w:rFonts w:ascii="Times New Roman" w:cs="Times New Roman" w:eastAsia="Times New Roman" w:hAnsi="Times New Roman"/>
                <w:sz w:val="8"/>
                <w:szCs w:val="8"/>
                <w:b w:val="1"/>
                <w:bCs w:val="1"/>
                <w:color w:val="auto"/>
              </w:rPr>
              <w:t>Spread / Floor (d)</w:t>
            </w:r>
          </w:p>
        </w:tc>
        <w:tc>
          <w:tcPr>
            <w:tcW w:w="700" w:type="dxa"/>
            <w:vAlign w:val="bottom"/>
            <w:gridSpan w:val="2"/>
          </w:tcPr>
          <w:p>
            <w:pPr>
              <w:jc w:val="center"/>
              <w:ind w:right="100"/>
              <w:spacing w:after="0"/>
              <w:rPr>
                <w:sz w:val="20"/>
                <w:szCs w:val="20"/>
                <w:color w:val="auto"/>
              </w:rPr>
            </w:pPr>
            <w:r>
              <w:rPr>
                <w:rFonts w:ascii="Times New Roman" w:cs="Times New Roman" w:eastAsia="Times New Roman" w:hAnsi="Times New Roman"/>
                <w:sz w:val="8"/>
                <w:szCs w:val="8"/>
                <w:b w:val="1"/>
                <w:bCs w:val="1"/>
                <w:color w:val="auto"/>
              </w:rPr>
              <w:t>Cash/PIK</w:t>
            </w:r>
          </w:p>
        </w:tc>
        <w:tc>
          <w:tcPr>
            <w:tcW w:w="580" w:type="dxa"/>
            <w:vAlign w:val="bottom"/>
            <w:gridSpan w:val="2"/>
          </w:tcPr>
          <w:p>
            <w:pPr>
              <w:jc w:val="right"/>
              <w:ind w:right="200"/>
              <w:spacing w:after="0"/>
              <w:rPr>
                <w:sz w:val="20"/>
                <w:szCs w:val="20"/>
                <w:color w:val="auto"/>
              </w:rPr>
            </w:pPr>
            <w:r>
              <w:rPr>
                <w:rFonts w:ascii="Times New Roman" w:cs="Times New Roman" w:eastAsia="Times New Roman" w:hAnsi="Times New Roman"/>
                <w:sz w:val="8"/>
                <w:szCs w:val="8"/>
                <w:b w:val="1"/>
                <w:bCs w:val="1"/>
                <w:color w:val="auto"/>
              </w:rPr>
              <w:t>Date (f)</w:t>
            </w: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8"/>
                <w:szCs w:val="8"/>
                <w:b w:val="1"/>
                <w:bCs w:val="1"/>
                <w:color w:val="auto"/>
              </w:rPr>
              <w:t>Maturity</w:t>
            </w:r>
          </w:p>
        </w:tc>
        <w:tc>
          <w:tcPr>
            <w:tcW w:w="420" w:type="dxa"/>
            <w:vAlign w:val="bottom"/>
            <w:gridSpan w:val="2"/>
          </w:tcPr>
          <w:p>
            <w:pPr>
              <w:jc w:val="right"/>
              <w:ind w:right="120"/>
              <w:spacing w:after="0"/>
              <w:rPr>
                <w:sz w:val="20"/>
                <w:szCs w:val="20"/>
                <w:color w:val="auto"/>
              </w:rPr>
            </w:pPr>
            <w:r>
              <w:rPr>
                <w:rFonts w:ascii="Times New Roman" w:cs="Times New Roman" w:eastAsia="Times New Roman" w:hAnsi="Times New Roman"/>
                <w:sz w:val="8"/>
                <w:szCs w:val="8"/>
                <w:b w:val="1"/>
                <w:bCs w:val="1"/>
                <w:color w:val="auto"/>
                <w:w w:val="99"/>
              </w:rPr>
              <w:t>Amount</w:t>
            </w:r>
          </w:p>
        </w:tc>
        <w:tc>
          <w:tcPr>
            <w:tcW w:w="440" w:type="dxa"/>
            <w:vAlign w:val="bottom"/>
            <w:gridSpan w:val="2"/>
          </w:tcPr>
          <w:p>
            <w:pPr>
              <w:ind w:left="80"/>
              <w:spacing w:after="0"/>
              <w:rPr>
                <w:sz w:val="20"/>
                <w:szCs w:val="20"/>
                <w:color w:val="auto"/>
              </w:rPr>
            </w:pPr>
            <w:r>
              <w:rPr>
                <w:rFonts w:ascii="Times New Roman" w:cs="Times New Roman" w:eastAsia="Times New Roman" w:hAnsi="Times New Roman"/>
                <w:sz w:val="8"/>
                <w:szCs w:val="8"/>
                <w:b w:val="1"/>
                <w:bCs w:val="1"/>
                <w:color w:val="auto"/>
              </w:rPr>
              <w:t>Cost</w:t>
            </w:r>
          </w:p>
        </w:tc>
        <w:tc>
          <w:tcPr>
            <w:tcW w:w="420" w:type="dxa"/>
            <w:vAlign w:val="bottom"/>
            <w:gridSpan w:val="2"/>
          </w:tcPr>
          <w:p>
            <w:pPr>
              <w:spacing w:after="0"/>
              <w:rPr>
                <w:sz w:val="20"/>
                <w:szCs w:val="20"/>
                <w:color w:val="auto"/>
              </w:rPr>
            </w:pPr>
            <w:r>
              <w:rPr>
                <w:rFonts w:ascii="Times New Roman" w:cs="Times New Roman" w:eastAsia="Times New Roman" w:hAnsi="Times New Roman"/>
                <w:sz w:val="8"/>
                <w:szCs w:val="8"/>
                <w:b w:val="1"/>
                <w:bCs w:val="1"/>
                <w:color w:val="auto"/>
              </w:rPr>
              <w:t>Value (g)</w:t>
            </w:r>
          </w:p>
        </w:tc>
        <w:tc>
          <w:tcPr>
            <w:tcW w:w="440" w:type="dxa"/>
            <w:vAlign w:val="bottom"/>
            <w:gridSpan w:val="2"/>
          </w:tcPr>
          <w:p>
            <w:pPr>
              <w:jc w:val="right"/>
              <w:ind w:right="80"/>
              <w:spacing w:after="0"/>
              <w:rPr>
                <w:sz w:val="20"/>
                <w:szCs w:val="20"/>
                <w:color w:val="auto"/>
              </w:rPr>
            </w:pPr>
            <w:r>
              <w:rPr>
                <w:rFonts w:ascii="Times New Roman" w:cs="Times New Roman" w:eastAsia="Times New Roman" w:hAnsi="Times New Roman"/>
                <w:sz w:val="8"/>
                <w:szCs w:val="8"/>
                <w:b w:val="1"/>
                <w:bCs w:val="1"/>
                <w:color w:val="auto"/>
                <w:w w:val="96"/>
              </w:rPr>
              <w:t>Net Assets</w:t>
            </w:r>
          </w:p>
        </w:tc>
      </w:tr>
      <w:tr>
        <w:trPr>
          <w:trHeight w:val="20"/>
        </w:trPr>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11"/>
        </w:trPr>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8"/>
              </w:rPr>
              <w:t>(S + 5.50%) / (2.00%)</w:t>
            </w:r>
          </w:p>
        </w:tc>
        <w:tc>
          <w:tcPr>
            <w:tcW w:w="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9.15%/0.00%</w:t>
            </w:r>
          </w:p>
        </w:tc>
        <w:tc>
          <w:tcPr>
            <w:tcW w:w="80" w:type="dxa"/>
            <w:vAlign w:val="bottom"/>
          </w:tcPr>
          <w:p>
            <w:pPr>
              <w:spacing w:after="0"/>
              <w:rPr>
                <w:sz w:val="24"/>
                <w:szCs w:val="24"/>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5/12/2025</w:t>
            </w: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5/12/2030</w:t>
            </w:r>
          </w:p>
        </w:tc>
        <w:tc>
          <w:tcPr>
            <w:tcW w:w="42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6,650</w:t>
            </w:r>
          </w:p>
        </w:tc>
        <w:tc>
          <w:tcPr>
            <w:tcW w:w="3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6,612</w:t>
            </w:r>
          </w:p>
        </w:tc>
        <w:tc>
          <w:tcPr>
            <w:tcW w:w="140" w:type="dxa"/>
            <w:vAlign w:val="bottom"/>
          </w:tcPr>
          <w:p>
            <w:pPr>
              <w:spacing w:after="0"/>
              <w:rPr>
                <w:sz w:val="24"/>
                <w:szCs w:val="24"/>
                <w:color w:val="auto"/>
              </w:rPr>
            </w:pP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6,650</w:t>
            </w: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14"/>
        </w:trPr>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gridSpan w:val="2"/>
          </w:tcPr>
          <w:p>
            <w:pPr>
              <w:jc w:val="center"/>
              <w:ind w:right="60"/>
              <w:spacing w:after="0"/>
              <w:rPr>
                <w:sz w:val="20"/>
                <w:szCs w:val="20"/>
                <w:color w:val="auto"/>
              </w:rPr>
            </w:pPr>
            <w:r>
              <w:rPr>
                <w:rFonts w:ascii="Times New Roman" w:cs="Times New Roman" w:eastAsia="Times New Roman" w:hAnsi="Times New Roman"/>
                <w:sz w:val="10"/>
                <w:szCs w:val="10"/>
                <w:color w:val="auto"/>
                <w:w w:val="98"/>
              </w:rPr>
              <w:t>(S + 5.50%) / (2.00%)</w:t>
            </w: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9.15%/0.00%</w:t>
            </w: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5/12/2025</w:t>
            </w: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5/12/2030</w:t>
            </w:r>
          </w:p>
        </w:tc>
        <w:tc>
          <w:tcPr>
            <w:tcW w:w="42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614</w:t>
            </w:r>
          </w:p>
        </w:tc>
        <w:tc>
          <w:tcPr>
            <w:tcW w:w="3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611</w:t>
            </w:r>
          </w:p>
        </w:tc>
        <w:tc>
          <w:tcPr>
            <w:tcW w:w="140" w:type="dxa"/>
            <w:vAlign w:val="bottom"/>
          </w:tcPr>
          <w:p>
            <w:pPr>
              <w:spacing w:after="0"/>
              <w:rPr>
                <w:sz w:val="24"/>
                <w:szCs w:val="24"/>
                <w:color w:val="auto"/>
              </w:rPr>
            </w:pP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614</w:t>
            </w: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14"/>
        </w:trPr>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gridSpan w:val="2"/>
          </w:tcPr>
          <w:p>
            <w:pPr>
              <w:jc w:val="center"/>
              <w:ind w:right="60"/>
              <w:spacing w:after="0"/>
              <w:rPr>
                <w:sz w:val="20"/>
                <w:szCs w:val="20"/>
                <w:color w:val="auto"/>
              </w:rPr>
            </w:pPr>
            <w:r>
              <w:rPr>
                <w:rFonts w:ascii="Times New Roman" w:cs="Times New Roman" w:eastAsia="Times New Roman" w:hAnsi="Times New Roman"/>
                <w:sz w:val="10"/>
                <w:szCs w:val="10"/>
                <w:color w:val="auto"/>
                <w:w w:val="98"/>
              </w:rPr>
              <w:t>(S + 5.50%) / (2.00%)</w:t>
            </w: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9.15%/0.00%</w:t>
            </w: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5/12/2025</w:t>
            </w: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5/12/2030</w:t>
            </w:r>
          </w:p>
        </w:tc>
        <w:tc>
          <w:tcPr>
            <w:tcW w:w="42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14,528</w:t>
            </w:r>
          </w:p>
        </w:tc>
        <w:tc>
          <w:tcPr>
            <w:tcW w:w="3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14,445</w:t>
            </w:r>
          </w:p>
        </w:tc>
        <w:tc>
          <w:tcPr>
            <w:tcW w:w="140" w:type="dxa"/>
            <w:vAlign w:val="bottom"/>
          </w:tcPr>
          <w:p>
            <w:pPr>
              <w:spacing w:after="0"/>
              <w:rPr>
                <w:sz w:val="24"/>
                <w:szCs w:val="24"/>
                <w:color w:val="auto"/>
              </w:rPr>
            </w:pP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14,528</w:t>
            </w: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02"/>
        </w:trPr>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0.3%</w:t>
            </w: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5/12/2025</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585</w:t>
            </w:r>
          </w:p>
        </w:tc>
        <w:tc>
          <w:tcPr>
            <w:tcW w:w="140" w:type="dxa"/>
            <w:vAlign w:val="bottom"/>
          </w:tcPr>
          <w:p>
            <w:pPr>
              <w:spacing w:after="0"/>
              <w:rPr>
                <w:sz w:val="17"/>
                <w:szCs w:val="17"/>
                <w:color w:val="auto"/>
              </w:rPr>
            </w:pP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477</w:t>
            </w: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15"/>
        </w:trPr>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22,253</w:t>
            </w:r>
          </w:p>
        </w:tc>
        <w:tc>
          <w:tcPr>
            <w:tcW w:w="140" w:type="dxa"/>
            <w:vAlign w:val="bottom"/>
          </w:tcPr>
          <w:p>
            <w:pPr>
              <w:spacing w:after="0"/>
              <w:rPr>
                <w:sz w:val="10"/>
                <w:szCs w:val="10"/>
                <w:color w:val="auto"/>
              </w:rPr>
            </w:pPr>
          </w:p>
        </w:tc>
        <w:tc>
          <w:tcPr>
            <w:tcW w:w="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22,269</w:t>
            </w:r>
          </w:p>
        </w:tc>
        <w:tc>
          <w:tcPr>
            <w:tcW w:w="100" w:type="dxa"/>
            <w:vAlign w:val="bottom"/>
          </w:tcPr>
          <w:p>
            <w:pPr>
              <w:spacing w:after="0"/>
              <w:rPr>
                <w:sz w:val="10"/>
                <w:szCs w:val="10"/>
                <w:color w:val="auto"/>
              </w:rPr>
            </w:pPr>
          </w:p>
        </w:tc>
        <w:tc>
          <w:tcPr>
            <w:tcW w:w="440" w:type="dxa"/>
            <w:vAlign w:val="bottom"/>
            <w:gridSpan w:val="2"/>
          </w:tcPr>
          <w:p>
            <w:pPr>
              <w:jc w:val="right"/>
              <w:spacing w:after="0" w:line="113" w:lineRule="exact"/>
              <w:rPr>
                <w:sz w:val="20"/>
                <w:szCs w:val="20"/>
                <w:color w:val="auto"/>
              </w:rPr>
            </w:pPr>
            <w:r>
              <w:rPr>
                <w:rFonts w:ascii="Times New Roman" w:cs="Times New Roman" w:eastAsia="Times New Roman" w:hAnsi="Times New Roman"/>
                <w:sz w:val="10"/>
                <w:szCs w:val="10"/>
                <w:color w:val="auto"/>
              </w:rPr>
              <w:t>3%</w:t>
            </w:r>
          </w:p>
        </w:tc>
      </w:tr>
      <w:tr>
        <w:trPr>
          <w:trHeight w:val="416"/>
        </w:trPr>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0.9%</w:t>
            </w: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4/3/2018</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610</w:t>
            </w:r>
          </w:p>
        </w:tc>
        <w:tc>
          <w:tcPr>
            <w:tcW w:w="140" w:type="dxa"/>
            <w:vAlign w:val="bottom"/>
          </w:tcPr>
          <w:p>
            <w:pPr>
              <w:spacing w:after="0"/>
              <w:rPr>
                <w:sz w:val="24"/>
                <w:szCs w:val="24"/>
                <w:color w:val="auto"/>
              </w:rPr>
            </w:pP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2,215</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0%</w:t>
            </w:r>
          </w:p>
        </w:tc>
      </w:tr>
      <w:tr>
        <w:trPr>
          <w:trHeight w:val="398"/>
        </w:trPr>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1.1%</w:t>
            </w: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4/1/2012</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891</w:t>
            </w:r>
          </w:p>
        </w:tc>
        <w:tc>
          <w:tcPr>
            <w:tcW w:w="140" w:type="dxa"/>
            <w:vAlign w:val="bottom"/>
          </w:tcPr>
          <w:p>
            <w:pPr>
              <w:spacing w:after="0"/>
              <w:rPr>
                <w:sz w:val="24"/>
                <w:szCs w:val="24"/>
                <w:color w:val="auto"/>
              </w:rPr>
            </w:pPr>
          </w:p>
        </w:tc>
        <w:tc>
          <w:tcPr>
            <w:tcW w:w="420" w:type="dxa"/>
            <w:vAlign w:val="bottom"/>
            <w:gridSpan w:val="2"/>
          </w:tcPr>
          <w:p>
            <w:pPr>
              <w:ind w:left="180"/>
              <w:spacing w:after="0"/>
              <w:rPr>
                <w:sz w:val="20"/>
                <w:szCs w:val="20"/>
                <w:color w:val="auto"/>
              </w:rPr>
            </w:pPr>
            <w:r>
              <w:rPr>
                <w:rFonts w:ascii="Times New Roman" w:cs="Times New Roman" w:eastAsia="Times New Roman" w:hAnsi="Times New Roman"/>
                <w:sz w:val="10"/>
                <w:szCs w:val="10"/>
                <w:color w:val="auto"/>
              </w:rPr>
              <w:t>— </w:t>
            </w: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02"/>
        </w:trPr>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0.6%</w:t>
            </w: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3/5/2012</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564</w:t>
            </w:r>
          </w:p>
        </w:tc>
        <w:tc>
          <w:tcPr>
            <w:tcW w:w="140" w:type="dxa"/>
            <w:vAlign w:val="bottom"/>
          </w:tcPr>
          <w:p>
            <w:pPr>
              <w:spacing w:after="0"/>
              <w:rPr>
                <w:sz w:val="17"/>
                <w:szCs w:val="17"/>
                <w:color w:val="auto"/>
              </w:rPr>
            </w:pPr>
          </w:p>
        </w:tc>
        <w:tc>
          <w:tcPr>
            <w:tcW w:w="420" w:type="dxa"/>
            <w:vAlign w:val="bottom"/>
            <w:gridSpan w:val="2"/>
          </w:tcPr>
          <w:p>
            <w:pPr>
              <w:ind w:left="180"/>
              <w:spacing w:after="0"/>
              <w:rPr>
                <w:sz w:val="20"/>
                <w:szCs w:val="20"/>
                <w:color w:val="auto"/>
              </w:rPr>
            </w:pPr>
            <w:r>
              <w:rPr>
                <w:rFonts w:ascii="Times New Roman" w:cs="Times New Roman" w:eastAsia="Times New Roman" w:hAnsi="Times New Roman"/>
                <w:sz w:val="10"/>
                <w:szCs w:val="10"/>
                <w:color w:val="auto"/>
              </w:rPr>
              <w:t>— </w:t>
            </w: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15"/>
        </w:trPr>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1,455</w:t>
            </w:r>
          </w:p>
        </w:tc>
        <w:tc>
          <w:tcPr>
            <w:tcW w:w="140" w:type="dxa"/>
            <w:vAlign w:val="bottom"/>
          </w:tcPr>
          <w:p>
            <w:pPr>
              <w:spacing w:after="0"/>
              <w:rPr>
                <w:sz w:val="10"/>
                <w:szCs w:val="10"/>
                <w:color w:val="auto"/>
              </w:rPr>
            </w:pPr>
          </w:p>
        </w:tc>
        <w:tc>
          <w:tcPr>
            <w:tcW w:w="32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10"/>
                <w:szCs w:val="10"/>
                <w:color w:val="auto"/>
                <w:w w:val="79"/>
              </w:rPr>
              <w:t>— </w:t>
            </w:r>
          </w:p>
        </w:tc>
        <w:tc>
          <w:tcPr>
            <w:tcW w:w="100" w:type="dxa"/>
            <w:vAlign w:val="bottom"/>
          </w:tcPr>
          <w:p>
            <w:pPr>
              <w:spacing w:after="0"/>
              <w:rPr>
                <w:sz w:val="10"/>
                <w:szCs w:val="10"/>
                <w:color w:val="auto"/>
              </w:rPr>
            </w:pPr>
          </w:p>
        </w:tc>
        <w:tc>
          <w:tcPr>
            <w:tcW w:w="440" w:type="dxa"/>
            <w:vAlign w:val="bottom"/>
            <w:gridSpan w:val="2"/>
          </w:tcPr>
          <w:p>
            <w:pPr>
              <w:jc w:val="right"/>
              <w:spacing w:after="0" w:line="113" w:lineRule="exact"/>
              <w:rPr>
                <w:sz w:val="20"/>
                <w:szCs w:val="20"/>
                <w:color w:val="auto"/>
              </w:rPr>
            </w:pPr>
            <w:r>
              <w:rPr>
                <w:rFonts w:ascii="Times New Roman" w:cs="Times New Roman" w:eastAsia="Times New Roman" w:hAnsi="Times New Roman"/>
                <w:sz w:val="10"/>
                <w:szCs w:val="10"/>
                <w:color w:val="auto"/>
              </w:rPr>
              <w:t>0%</w:t>
            </w:r>
          </w:p>
        </w:tc>
      </w:tr>
      <w:tr>
        <w:trPr>
          <w:trHeight w:val="311"/>
        </w:trPr>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1.7%</w:t>
            </w: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2/21/2023</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w:t>
            </w:r>
          </w:p>
        </w:tc>
        <w:tc>
          <w:tcPr>
            <w:tcW w:w="140" w:type="dxa"/>
            <w:vAlign w:val="bottom"/>
          </w:tcPr>
          <w:p>
            <w:pPr>
              <w:spacing w:after="0"/>
              <w:rPr>
                <w:sz w:val="24"/>
                <w:szCs w:val="24"/>
                <w:color w:val="auto"/>
              </w:rPr>
            </w:pP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3,342</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1%</w:t>
            </w:r>
          </w:p>
        </w:tc>
      </w:tr>
      <w:tr>
        <w:trPr>
          <w:trHeight w:val="502"/>
        </w:trPr>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2.0%</w:t>
            </w: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12/19/2014</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gridSpan w:val="2"/>
          </w:tcPr>
          <w:p>
            <w:pPr>
              <w:ind w:left="160"/>
              <w:spacing w:after="0"/>
              <w:rPr>
                <w:sz w:val="20"/>
                <w:szCs w:val="20"/>
                <w:color w:val="auto"/>
              </w:rPr>
            </w:pPr>
            <w:r>
              <w:rPr>
                <w:rFonts w:ascii="Times New Roman" w:cs="Times New Roman" w:eastAsia="Times New Roman" w:hAnsi="Times New Roman"/>
                <w:sz w:val="10"/>
                <w:szCs w:val="10"/>
                <w:color w:val="auto"/>
              </w:rPr>
              <w:t>— </w:t>
            </w:r>
          </w:p>
        </w:tc>
        <w:tc>
          <w:tcPr>
            <w:tcW w:w="420" w:type="dxa"/>
            <w:vAlign w:val="bottom"/>
            <w:gridSpan w:val="2"/>
          </w:tcPr>
          <w:p>
            <w:pPr>
              <w:ind w:left="180"/>
              <w:spacing w:after="0"/>
              <w:rPr>
                <w:sz w:val="20"/>
                <w:szCs w:val="20"/>
                <w:color w:val="auto"/>
              </w:rPr>
            </w:pPr>
            <w:r>
              <w:rPr>
                <w:rFonts w:ascii="Times New Roman" w:cs="Times New Roman" w:eastAsia="Times New Roman" w:hAnsi="Times New Roman"/>
                <w:sz w:val="10"/>
                <w:szCs w:val="10"/>
                <w:color w:val="auto"/>
              </w:rPr>
              <w:t>— </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0%</w:t>
            </w:r>
          </w:p>
        </w:tc>
      </w:tr>
      <w:tr>
        <w:trPr>
          <w:trHeight w:val="502"/>
        </w:trPr>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gridSpan w:val="2"/>
          </w:tcPr>
          <w:p>
            <w:pPr>
              <w:jc w:val="center"/>
              <w:ind w:right="60"/>
              <w:spacing w:after="0"/>
              <w:rPr>
                <w:sz w:val="20"/>
                <w:szCs w:val="20"/>
                <w:color w:val="auto"/>
              </w:rPr>
            </w:pPr>
            <w:r>
              <w:rPr>
                <w:rFonts w:ascii="Times New Roman" w:cs="Times New Roman" w:eastAsia="Times New Roman" w:hAnsi="Times New Roman"/>
                <w:sz w:val="10"/>
                <w:szCs w:val="10"/>
                <w:color w:val="auto"/>
                <w:w w:val="98"/>
              </w:rPr>
              <w:t>(S + 0.00%) / (2.50%)</w:t>
            </w: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3.77%/9.75%</w:t>
            </w: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4/13/2022</w:t>
            </w: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9/30/2027</w:t>
            </w:r>
          </w:p>
        </w:tc>
        <w:tc>
          <w:tcPr>
            <w:tcW w:w="42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17,976</w:t>
            </w:r>
          </w:p>
        </w:tc>
        <w:tc>
          <w:tcPr>
            <w:tcW w:w="3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10,906</w:t>
            </w:r>
          </w:p>
        </w:tc>
        <w:tc>
          <w:tcPr>
            <w:tcW w:w="140" w:type="dxa"/>
            <w:vAlign w:val="bottom"/>
          </w:tcPr>
          <w:p>
            <w:pPr>
              <w:spacing w:after="0"/>
              <w:rPr>
                <w:sz w:val="24"/>
                <w:szCs w:val="24"/>
                <w:color w:val="auto"/>
              </w:rPr>
            </w:pPr>
          </w:p>
        </w:tc>
        <w:tc>
          <w:tcPr>
            <w:tcW w:w="420" w:type="dxa"/>
            <w:vAlign w:val="bottom"/>
            <w:gridSpan w:val="2"/>
          </w:tcPr>
          <w:p>
            <w:pPr>
              <w:ind w:left="180"/>
              <w:spacing w:after="0"/>
              <w:rPr>
                <w:sz w:val="20"/>
                <w:szCs w:val="20"/>
                <w:color w:val="auto"/>
              </w:rPr>
            </w:pPr>
            <w:r>
              <w:rPr>
                <w:rFonts w:ascii="Times New Roman" w:cs="Times New Roman" w:eastAsia="Times New Roman" w:hAnsi="Times New Roman"/>
                <w:sz w:val="10"/>
                <w:szCs w:val="10"/>
                <w:color w:val="auto"/>
              </w:rPr>
              <w:t>— </w:t>
            </w: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02"/>
        </w:trPr>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gridSpan w:val="2"/>
          </w:tcPr>
          <w:p>
            <w:pPr>
              <w:jc w:val="center"/>
              <w:ind w:right="60"/>
              <w:spacing w:after="0"/>
              <w:rPr>
                <w:sz w:val="20"/>
                <w:szCs w:val="20"/>
                <w:color w:val="auto"/>
              </w:rPr>
            </w:pPr>
            <w:r>
              <w:rPr>
                <w:rFonts w:ascii="Times New Roman" w:cs="Times New Roman" w:eastAsia="Times New Roman" w:hAnsi="Times New Roman"/>
                <w:sz w:val="10"/>
                <w:szCs w:val="10"/>
                <w:color w:val="auto"/>
                <w:w w:val="98"/>
              </w:rPr>
              <w:t>(S + 4.00%) / (2.50%)</w:t>
            </w: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9.77%/0.00%</w:t>
            </w: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9/20/2023</w:t>
            </w: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3/31/2027</w:t>
            </w:r>
          </w:p>
        </w:tc>
        <w:tc>
          <w:tcPr>
            <w:tcW w:w="42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356</w:t>
            </w:r>
          </w:p>
        </w:tc>
        <w:tc>
          <w:tcPr>
            <w:tcW w:w="3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302</w:t>
            </w:r>
          </w:p>
        </w:tc>
        <w:tc>
          <w:tcPr>
            <w:tcW w:w="140" w:type="dxa"/>
            <w:vAlign w:val="bottom"/>
          </w:tcPr>
          <w:p>
            <w:pPr>
              <w:spacing w:after="0"/>
              <w:rPr>
                <w:sz w:val="17"/>
                <w:szCs w:val="17"/>
                <w:color w:val="auto"/>
              </w:rPr>
            </w:pP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131</w:t>
            </w: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15"/>
        </w:trPr>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11,208</w:t>
            </w:r>
          </w:p>
        </w:tc>
        <w:tc>
          <w:tcPr>
            <w:tcW w:w="140" w:type="dxa"/>
            <w:vAlign w:val="bottom"/>
          </w:tcPr>
          <w:p>
            <w:pPr>
              <w:spacing w:after="0"/>
              <w:rPr>
                <w:sz w:val="10"/>
                <w:szCs w:val="10"/>
                <w:color w:val="auto"/>
              </w:rPr>
            </w:pPr>
          </w:p>
        </w:tc>
        <w:tc>
          <w:tcPr>
            <w:tcW w:w="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131</w:t>
            </w:r>
          </w:p>
        </w:tc>
        <w:tc>
          <w:tcPr>
            <w:tcW w:w="100" w:type="dxa"/>
            <w:vAlign w:val="bottom"/>
          </w:tcPr>
          <w:p>
            <w:pPr>
              <w:spacing w:after="0"/>
              <w:rPr>
                <w:sz w:val="10"/>
                <w:szCs w:val="10"/>
                <w:color w:val="auto"/>
              </w:rPr>
            </w:pPr>
          </w:p>
        </w:tc>
        <w:tc>
          <w:tcPr>
            <w:tcW w:w="440" w:type="dxa"/>
            <w:vAlign w:val="bottom"/>
            <w:gridSpan w:val="2"/>
          </w:tcPr>
          <w:p>
            <w:pPr>
              <w:jc w:val="right"/>
              <w:spacing w:after="0" w:line="113" w:lineRule="exact"/>
              <w:rPr>
                <w:sz w:val="20"/>
                <w:szCs w:val="20"/>
                <w:color w:val="auto"/>
              </w:rPr>
            </w:pPr>
            <w:r>
              <w:rPr>
                <w:rFonts w:ascii="Times New Roman" w:cs="Times New Roman" w:eastAsia="Times New Roman" w:hAnsi="Times New Roman"/>
                <w:sz w:val="10"/>
                <w:szCs w:val="10"/>
                <w:color w:val="auto"/>
              </w:rPr>
              <w:t>0%</w:t>
            </w:r>
          </w:p>
        </w:tc>
      </w:tr>
      <w:tr>
        <w:trPr>
          <w:trHeight w:val="311"/>
        </w:trPr>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13.75%/0.00%</w:t>
            </w: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12/18/2025</w:t>
            </w: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12/18/2030</w:t>
            </w:r>
          </w:p>
        </w:tc>
        <w:tc>
          <w:tcPr>
            <w:tcW w:w="42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14,626</w:t>
            </w:r>
          </w:p>
        </w:tc>
        <w:tc>
          <w:tcPr>
            <w:tcW w:w="3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14,552</w:t>
            </w:r>
          </w:p>
        </w:tc>
        <w:tc>
          <w:tcPr>
            <w:tcW w:w="140" w:type="dxa"/>
            <w:vAlign w:val="bottom"/>
          </w:tcPr>
          <w:p>
            <w:pPr>
              <w:spacing w:after="0"/>
              <w:rPr>
                <w:sz w:val="24"/>
                <w:szCs w:val="24"/>
                <w:color w:val="auto"/>
              </w:rPr>
            </w:pP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14,552</w:t>
            </w: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07"/>
        </w:trPr>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13.75%/0.00%</w:t>
            </w: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12/18/2025</w:t>
            </w: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12/18/2030</w:t>
            </w:r>
          </w:p>
        </w:tc>
        <w:tc>
          <w:tcPr>
            <w:tcW w:w="42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— </w:t>
            </w: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(7)</w:t>
            </w:r>
          </w:p>
        </w:tc>
        <w:tc>
          <w:tcPr>
            <w:tcW w:w="420" w:type="dxa"/>
            <w:vAlign w:val="bottom"/>
            <w:gridSpan w:val="2"/>
          </w:tcPr>
          <w:p>
            <w:pPr>
              <w:ind w:left="180"/>
              <w:spacing w:after="0"/>
              <w:rPr>
                <w:sz w:val="20"/>
                <w:szCs w:val="20"/>
                <w:color w:val="auto"/>
              </w:rPr>
            </w:pPr>
            <w:r>
              <w:rPr>
                <w:rFonts w:ascii="Times New Roman" w:cs="Times New Roman" w:eastAsia="Times New Roman" w:hAnsi="Times New Roman"/>
                <w:sz w:val="10"/>
                <w:szCs w:val="10"/>
                <w:color w:val="auto"/>
              </w:rPr>
              <w:t>— </w:t>
            </w: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15"/>
        </w:trPr>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14,545</w:t>
            </w:r>
          </w:p>
        </w:tc>
        <w:tc>
          <w:tcPr>
            <w:tcW w:w="140" w:type="dxa"/>
            <w:vAlign w:val="bottom"/>
          </w:tcPr>
          <w:p>
            <w:pPr>
              <w:spacing w:after="0"/>
              <w:rPr>
                <w:sz w:val="10"/>
                <w:szCs w:val="10"/>
                <w:color w:val="auto"/>
              </w:rPr>
            </w:pPr>
          </w:p>
        </w:tc>
        <w:tc>
          <w:tcPr>
            <w:tcW w:w="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14,552</w:t>
            </w:r>
          </w:p>
        </w:tc>
        <w:tc>
          <w:tcPr>
            <w:tcW w:w="100" w:type="dxa"/>
            <w:vAlign w:val="bottom"/>
          </w:tcPr>
          <w:p>
            <w:pPr>
              <w:spacing w:after="0"/>
              <w:rPr>
                <w:sz w:val="10"/>
                <w:szCs w:val="10"/>
                <w:color w:val="auto"/>
              </w:rPr>
            </w:pPr>
          </w:p>
        </w:tc>
        <w:tc>
          <w:tcPr>
            <w:tcW w:w="440" w:type="dxa"/>
            <w:vAlign w:val="bottom"/>
            <w:gridSpan w:val="2"/>
          </w:tcPr>
          <w:p>
            <w:pPr>
              <w:jc w:val="right"/>
              <w:spacing w:after="0" w:line="113" w:lineRule="exact"/>
              <w:rPr>
                <w:sz w:val="20"/>
                <w:szCs w:val="20"/>
                <w:color w:val="auto"/>
              </w:rPr>
            </w:pPr>
            <w:r>
              <w:rPr>
                <w:rFonts w:ascii="Times New Roman" w:cs="Times New Roman" w:eastAsia="Times New Roman" w:hAnsi="Times New Roman"/>
                <w:sz w:val="10"/>
                <w:szCs w:val="10"/>
                <w:color w:val="auto"/>
              </w:rPr>
              <w:t>2%</w:t>
            </w:r>
          </w:p>
        </w:tc>
      </w:tr>
      <w:tr>
        <w:trPr>
          <w:trHeight w:val="206"/>
        </w:trPr>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11.50%/0.00%</w:t>
            </w: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3/22/2024</w:t>
            </w: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3/24/2031</w:t>
            </w:r>
          </w:p>
        </w:tc>
        <w:tc>
          <w:tcPr>
            <w:tcW w:w="42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12,500</w:t>
            </w:r>
          </w:p>
        </w:tc>
        <w:tc>
          <w:tcPr>
            <w:tcW w:w="3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12,388</w:t>
            </w:r>
          </w:p>
        </w:tc>
        <w:tc>
          <w:tcPr>
            <w:tcW w:w="140" w:type="dxa"/>
            <w:vAlign w:val="bottom"/>
          </w:tcPr>
          <w:p>
            <w:pPr>
              <w:spacing w:after="0"/>
              <w:rPr>
                <w:sz w:val="17"/>
                <w:szCs w:val="17"/>
                <w:color w:val="auto"/>
              </w:rPr>
            </w:pP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12,500</w:t>
            </w: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412"/>
        </w:trPr>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0.0%</w:t>
            </w: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3/21/2024</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900</w:t>
            </w:r>
          </w:p>
        </w:tc>
        <w:tc>
          <w:tcPr>
            <w:tcW w:w="140" w:type="dxa"/>
            <w:vAlign w:val="bottom"/>
          </w:tcPr>
          <w:p>
            <w:pPr>
              <w:spacing w:after="0"/>
              <w:rPr>
                <w:sz w:val="24"/>
                <w:szCs w:val="24"/>
                <w:color w:val="auto"/>
              </w:rPr>
            </w:pP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896</w:t>
            </w: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15"/>
        </w:trPr>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13,288</w:t>
            </w:r>
          </w:p>
        </w:tc>
        <w:tc>
          <w:tcPr>
            <w:tcW w:w="140" w:type="dxa"/>
            <w:vAlign w:val="bottom"/>
          </w:tcPr>
          <w:p>
            <w:pPr>
              <w:spacing w:after="0"/>
              <w:rPr>
                <w:sz w:val="10"/>
                <w:szCs w:val="10"/>
                <w:color w:val="auto"/>
              </w:rPr>
            </w:pPr>
          </w:p>
        </w:tc>
        <w:tc>
          <w:tcPr>
            <w:tcW w:w="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13,396</w:t>
            </w:r>
          </w:p>
        </w:tc>
        <w:tc>
          <w:tcPr>
            <w:tcW w:w="100" w:type="dxa"/>
            <w:vAlign w:val="bottom"/>
          </w:tcPr>
          <w:p>
            <w:pPr>
              <w:spacing w:after="0"/>
              <w:rPr>
                <w:sz w:val="10"/>
                <w:szCs w:val="10"/>
                <w:color w:val="auto"/>
              </w:rPr>
            </w:pPr>
          </w:p>
        </w:tc>
        <w:tc>
          <w:tcPr>
            <w:tcW w:w="440" w:type="dxa"/>
            <w:vAlign w:val="bottom"/>
            <w:gridSpan w:val="2"/>
          </w:tcPr>
          <w:p>
            <w:pPr>
              <w:jc w:val="right"/>
              <w:spacing w:after="0" w:line="113" w:lineRule="exact"/>
              <w:rPr>
                <w:sz w:val="20"/>
                <w:szCs w:val="20"/>
                <w:color w:val="auto"/>
              </w:rPr>
            </w:pPr>
            <w:r>
              <w:rPr>
                <w:rFonts w:ascii="Times New Roman" w:cs="Times New Roman" w:eastAsia="Times New Roman" w:hAnsi="Times New Roman"/>
                <w:sz w:val="10"/>
                <w:szCs w:val="10"/>
                <w:color w:val="auto"/>
              </w:rPr>
              <w:t>2%</w:t>
            </w:r>
          </w:p>
        </w:tc>
      </w:tr>
      <w:tr>
        <w:trPr>
          <w:trHeight w:val="625"/>
        </w:trPr>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gridSpan w:val="2"/>
          </w:tcPr>
          <w:p>
            <w:pPr>
              <w:jc w:val="center"/>
              <w:ind w:right="60"/>
              <w:spacing w:after="0"/>
              <w:rPr>
                <w:sz w:val="20"/>
                <w:szCs w:val="20"/>
                <w:color w:val="auto"/>
              </w:rPr>
            </w:pPr>
            <w:r>
              <w:rPr>
                <w:rFonts w:ascii="Times New Roman" w:cs="Times New Roman" w:eastAsia="Times New Roman" w:hAnsi="Times New Roman"/>
                <w:sz w:val="10"/>
                <w:szCs w:val="10"/>
                <w:color w:val="auto"/>
                <w:w w:val="98"/>
              </w:rPr>
              <w:t>(S + 4.75%) / (2.00%)</w:t>
            </w: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8.41%/0.00%</w:t>
            </w: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12/26/2025</w:t>
            </w: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12/26/2030</w:t>
            </w:r>
          </w:p>
        </w:tc>
        <w:tc>
          <w:tcPr>
            <w:tcW w:w="42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26,422</w:t>
            </w:r>
          </w:p>
        </w:tc>
        <w:tc>
          <w:tcPr>
            <w:tcW w:w="3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26,252</w:t>
            </w:r>
          </w:p>
        </w:tc>
        <w:tc>
          <w:tcPr>
            <w:tcW w:w="140" w:type="dxa"/>
            <w:vAlign w:val="bottom"/>
          </w:tcPr>
          <w:p>
            <w:pPr>
              <w:spacing w:after="0"/>
              <w:rPr>
                <w:sz w:val="24"/>
                <w:szCs w:val="24"/>
                <w:color w:val="auto"/>
              </w:rPr>
            </w:pP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26,252</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4%</w:t>
            </w:r>
          </w:p>
        </w:tc>
      </w:tr>
      <w:tr>
        <w:trPr>
          <w:trHeight w:val="502"/>
        </w:trPr>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gridSpan w:val="2"/>
          </w:tcPr>
          <w:p>
            <w:pPr>
              <w:jc w:val="center"/>
              <w:ind w:right="60"/>
              <w:spacing w:after="0"/>
              <w:rPr>
                <w:sz w:val="20"/>
                <w:szCs w:val="20"/>
                <w:color w:val="auto"/>
              </w:rPr>
            </w:pPr>
            <w:r>
              <w:rPr>
                <w:rFonts w:ascii="Times New Roman" w:cs="Times New Roman" w:eastAsia="Times New Roman" w:hAnsi="Times New Roman"/>
                <w:sz w:val="10"/>
                <w:szCs w:val="10"/>
                <w:color w:val="auto"/>
                <w:w w:val="98"/>
              </w:rPr>
              <w:t>(S + 5.25%) / (1.00%)</w:t>
            </w: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8.90%/0.00%</w:t>
            </w: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6/30/2025</w:t>
            </w: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6/30/2030</w:t>
            </w:r>
          </w:p>
        </w:tc>
        <w:tc>
          <w:tcPr>
            <w:tcW w:w="42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24,400</w:t>
            </w:r>
          </w:p>
        </w:tc>
        <w:tc>
          <w:tcPr>
            <w:tcW w:w="3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24,271</w:t>
            </w:r>
          </w:p>
        </w:tc>
        <w:tc>
          <w:tcPr>
            <w:tcW w:w="140" w:type="dxa"/>
            <w:vAlign w:val="bottom"/>
          </w:tcPr>
          <w:p>
            <w:pPr>
              <w:spacing w:after="0"/>
              <w:rPr>
                <w:sz w:val="24"/>
                <w:szCs w:val="24"/>
                <w:color w:val="auto"/>
              </w:rPr>
            </w:pP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24,383</w:t>
            </w: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09"/>
        </w:trPr>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0.5%</w:t>
            </w: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10/11/2023</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2"/>
          </w:tcPr>
          <w:p>
            <w:pPr>
              <w:ind w:left="160"/>
              <w:spacing w:after="0"/>
              <w:rPr>
                <w:sz w:val="20"/>
                <w:szCs w:val="20"/>
                <w:color w:val="auto"/>
              </w:rPr>
            </w:pPr>
            <w:r>
              <w:rPr>
                <w:rFonts w:ascii="Times New Roman" w:cs="Times New Roman" w:eastAsia="Times New Roman" w:hAnsi="Times New Roman"/>
                <w:sz w:val="10"/>
                <w:szCs w:val="10"/>
                <w:color w:val="auto"/>
              </w:rPr>
              <w:t>— </w:t>
            </w:r>
          </w:p>
        </w:tc>
        <w:tc>
          <w:tcPr>
            <w:tcW w:w="420" w:type="dxa"/>
            <w:vAlign w:val="bottom"/>
            <w:gridSpan w:val="2"/>
          </w:tcPr>
          <w:p>
            <w:pPr>
              <w:ind w:left="180"/>
              <w:spacing w:after="0"/>
              <w:rPr>
                <w:sz w:val="20"/>
                <w:szCs w:val="20"/>
                <w:color w:val="auto"/>
              </w:rPr>
            </w:pPr>
            <w:r>
              <w:rPr>
                <w:rFonts w:ascii="Times New Roman" w:cs="Times New Roman" w:eastAsia="Times New Roman" w:hAnsi="Times New Roman"/>
                <w:sz w:val="10"/>
                <w:szCs w:val="10"/>
                <w:color w:val="auto"/>
              </w:rPr>
              <w:t>— </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2"/>
        </w:trPr>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0.0%</w:t>
            </w: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10/11/2023</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500</w:t>
            </w:r>
          </w:p>
        </w:tc>
        <w:tc>
          <w:tcPr>
            <w:tcW w:w="140" w:type="dxa"/>
            <w:vAlign w:val="bottom"/>
          </w:tcPr>
          <w:p>
            <w:pPr>
              <w:spacing w:after="0"/>
              <w:rPr>
                <w:sz w:val="17"/>
                <w:szCs w:val="17"/>
                <w:color w:val="auto"/>
              </w:rPr>
            </w:pP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469</w:t>
            </w: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15"/>
        </w:trPr>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24,771</w:t>
            </w:r>
          </w:p>
        </w:tc>
        <w:tc>
          <w:tcPr>
            <w:tcW w:w="140" w:type="dxa"/>
            <w:vAlign w:val="bottom"/>
          </w:tcPr>
          <w:p>
            <w:pPr>
              <w:spacing w:after="0"/>
              <w:rPr>
                <w:sz w:val="10"/>
                <w:szCs w:val="10"/>
                <w:color w:val="auto"/>
              </w:rPr>
            </w:pPr>
          </w:p>
        </w:tc>
        <w:tc>
          <w:tcPr>
            <w:tcW w:w="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24,852</w:t>
            </w:r>
          </w:p>
        </w:tc>
        <w:tc>
          <w:tcPr>
            <w:tcW w:w="100" w:type="dxa"/>
            <w:vAlign w:val="bottom"/>
          </w:tcPr>
          <w:p>
            <w:pPr>
              <w:spacing w:after="0"/>
              <w:rPr>
                <w:sz w:val="10"/>
                <w:szCs w:val="10"/>
                <w:color w:val="auto"/>
              </w:rPr>
            </w:pPr>
          </w:p>
        </w:tc>
        <w:tc>
          <w:tcPr>
            <w:tcW w:w="440" w:type="dxa"/>
            <w:vAlign w:val="bottom"/>
            <w:gridSpan w:val="2"/>
          </w:tcPr>
          <w:p>
            <w:pPr>
              <w:jc w:val="right"/>
              <w:spacing w:after="0" w:line="113" w:lineRule="exact"/>
              <w:rPr>
                <w:sz w:val="20"/>
                <w:szCs w:val="20"/>
                <w:color w:val="auto"/>
              </w:rPr>
            </w:pPr>
            <w:r>
              <w:rPr>
                <w:rFonts w:ascii="Times New Roman" w:cs="Times New Roman" w:eastAsia="Times New Roman" w:hAnsi="Times New Roman"/>
                <w:sz w:val="10"/>
                <w:szCs w:val="10"/>
                <w:color w:val="auto"/>
              </w:rPr>
              <w:t>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-2943225</wp:posOffset>
            </wp:positionH>
            <wp:positionV relativeFrom="paragraph">
              <wp:posOffset>-5175250</wp:posOffset>
            </wp:positionV>
            <wp:extent cx="7201535" cy="3238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46">
                      <a:extLst>
                        <a:ext uri="{28A0092B-C50C-407E-A947-70E740481C1C}"/>
                      </a:extLst>
                    </a:blip>
                    <a:srcRect/>
                    <a:stretch>
                      <a:fillRect/>
                    </a:stretch>
                  </pic:blipFill>
                  <pic:spPr bwMode="auto">
                    <a:xfrm>
                      <a:off x="0" y="0"/>
                      <a:ext cx="7201535" cy="32385"/>
                    </a:xfrm>
                    <a:prstGeom prst="rect">
                      <a:avLst/>
                    </a:prstGeom>
                    <a:noFill/>
                  </pic:spPr>
                </pic:pic>
              </a:graphicData>
            </a:graphic>
          </wp:anchor>
        </w:drawing>
        <w:drawing>
          <wp:anchor simplePos="0" relativeHeight="251657728" behindDoc="1" locked="0" layoutInCell="0" allowOverlap="1">
            <wp:simplePos x="0" y="0"/>
            <wp:positionH relativeFrom="column">
              <wp:posOffset>-2059940</wp:posOffset>
            </wp:positionH>
            <wp:positionV relativeFrom="paragraph">
              <wp:posOffset>-4624070</wp:posOffset>
            </wp:positionV>
            <wp:extent cx="5422265" cy="7302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47">
                      <a:extLst>
                        <a:ext uri="{28A0092B-C50C-407E-A947-70E740481C1C}"/>
                      </a:extLst>
                    </a:blip>
                    <a:srcRect/>
                    <a:stretch>
                      <a:fillRect/>
                    </a:stretch>
                  </pic:blipFill>
                  <pic:spPr bwMode="auto">
                    <a:xfrm>
                      <a:off x="0" y="0"/>
                      <a:ext cx="5422265" cy="73025"/>
                    </a:xfrm>
                    <a:prstGeom prst="rect">
                      <a:avLst/>
                    </a:prstGeom>
                    <a:noFill/>
                  </pic:spPr>
                </pic:pic>
              </a:graphicData>
            </a:graphic>
          </wp:anchor>
        </w:drawing>
        <w:drawing>
          <wp:anchor simplePos="0" relativeHeight="251657728" behindDoc="1" locked="0" layoutInCell="0" allowOverlap="1">
            <wp:simplePos x="0" y="0"/>
            <wp:positionH relativeFrom="column">
              <wp:posOffset>-2059940</wp:posOffset>
            </wp:positionH>
            <wp:positionV relativeFrom="paragraph">
              <wp:posOffset>-4417695</wp:posOffset>
            </wp:positionV>
            <wp:extent cx="5422265" cy="1993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48">
                      <a:extLst>
                        <a:ext uri="{28A0092B-C50C-407E-A947-70E740481C1C}"/>
                      </a:extLst>
                    </a:blip>
                    <a:srcRect/>
                    <a:stretch>
                      <a:fillRect/>
                    </a:stretch>
                  </pic:blipFill>
                  <pic:spPr bwMode="auto">
                    <a:xfrm>
                      <a:off x="0" y="0"/>
                      <a:ext cx="5422265" cy="199390"/>
                    </a:xfrm>
                    <a:prstGeom prst="rect">
                      <a:avLst/>
                    </a:prstGeom>
                    <a:noFill/>
                  </pic:spPr>
                </pic:pic>
              </a:graphicData>
            </a:graphic>
          </wp:anchor>
        </w:drawing>
        <w:drawing>
          <wp:anchor simplePos="0" relativeHeight="251657728" behindDoc="1" locked="0" layoutInCell="0" allowOverlap="1">
            <wp:simplePos x="0" y="0"/>
            <wp:positionH relativeFrom="column">
              <wp:posOffset>-2059940</wp:posOffset>
            </wp:positionH>
            <wp:positionV relativeFrom="paragraph">
              <wp:posOffset>-4018915</wp:posOffset>
            </wp:positionV>
            <wp:extent cx="5422265" cy="13271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49">
                      <a:extLst>
                        <a:ext uri="{28A0092B-C50C-407E-A947-70E740481C1C}"/>
                      </a:extLst>
                    </a:blip>
                    <a:srcRect/>
                    <a:stretch>
                      <a:fillRect/>
                    </a:stretch>
                  </pic:blipFill>
                  <pic:spPr bwMode="auto">
                    <a:xfrm>
                      <a:off x="0" y="0"/>
                      <a:ext cx="5422265" cy="132715"/>
                    </a:xfrm>
                    <a:prstGeom prst="rect">
                      <a:avLst/>
                    </a:prstGeom>
                    <a:noFill/>
                  </pic:spPr>
                </pic:pic>
              </a:graphicData>
            </a:graphic>
          </wp:anchor>
        </w:drawing>
        <w:drawing>
          <wp:anchor simplePos="0" relativeHeight="251657728" behindDoc="1" locked="0" layoutInCell="0" allowOverlap="1">
            <wp:simplePos x="0" y="0"/>
            <wp:positionH relativeFrom="column">
              <wp:posOffset>-2059940</wp:posOffset>
            </wp:positionH>
            <wp:positionV relativeFrom="paragraph">
              <wp:posOffset>-3806190</wp:posOffset>
            </wp:positionV>
            <wp:extent cx="5422265" cy="6667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50">
                      <a:extLst>
                        <a:ext uri="{28A0092B-C50C-407E-A947-70E740481C1C}"/>
                      </a:extLst>
                    </a:blip>
                    <a:srcRect/>
                    <a:stretch>
                      <a:fillRect/>
                    </a:stretch>
                  </pic:blipFill>
                  <pic:spPr bwMode="auto">
                    <a:xfrm>
                      <a:off x="0" y="0"/>
                      <a:ext cx="5422265" cy="66675"/>
                    </a:xfrm>
                    <a:prstGeom prst="rect">
                      <a:avLst/>
                    </a:prstGeom>
                    <a:noFill/>
                  </pic:spPr>
                </pic:pic>
              </a:graphicData>
            </a:graphic>
          </wp:anchor>
        </w:drawing>
        <w:drawing>
          <wp:anchor simplePos="0" relativeHeight="251657728" behindDoc="1" locked="0" layoutInCell="0" allowOverlap="1">
            <wp:simplePos x="0" y="0"/>
            <wp:positionH relativeFrom="column">
              <wp:posOffset>-2059940</wp:posOffset>
            </wp:positionH>
            <wp:positionV relativeFrom="paragraph">
              <wp:posOffset>-3487420</wp:posOffset>
            </wp:positionV>
            <wp:extent cx="5422265" cy="6667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51">
                      <a:extLst>
                        <a:ext uri="{28A0092B-C50C-407E-A947-70E740481C1C}"/>
                      </a:extLst>
                    </a:blip>
                    <a:srcRect/>
                    <a:stretch>
                      <a:fillRect/>
                    </a:stretch>
                  </pic:blipFill>
                  <pic:spPr bwMode="auto">
                    <a:xfrm>
                      <a:off x="0" y="0"/>
                      <a:ext cx="5422265" cy="66675"/>
                    </a:xfrm>
                    <a:prstGeom prst="rect">
                      <a:avLst/>
                    </a:prstGeom>
                    <a:noFill/>
                  </pic:spPr>
                </pic:pic>
              </a:graphicData>
            </a:graphic>
          </wp:anchor>
        </w:drawing>
        <w:drawing>
          <wp:anchor simplePos="0" relativeHeight="251657728" behindDoc="1" locked="0" layoutInCell="0" allowOverlap="1">
            <wp:simplePos x="0" y="0"/>
            <wp:positionH relativeFrom="column">
              <wp:posOffset>-2059940</wp:posOffset>
            </wp:positionH>
            <wp:positionV relativeFrom="paragraph">
              <wp:posOffset>-3288030</wp:posOffset>
            </wp:positionV>
            <wp:extent cx="5422265" cy="13271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52">
                      <a:extLst>
                        <a:ext uri="{28A0092B-C50C-407E-A947-70E740481C1C}"/>
                      </a:extLst>
                    </a:blip>
                    <a:srcRect/>
                    <a:stretch>
                      <a:fillRect/>
                    </a:stretch>
                  </pic:blipFill>
                  <pic:spPr bwMode="auto">
                    <a:xfrm>
                      <a:off x="0" y="0"/>
                      <a:ext cx="5422265" cy="132715"/>
                    </a:xfrm>
                    <a:prstGeom prst="rect">
                      <a:avLst/>
                    </a:prstGeom>
                    <a:noFill/>
                  </pic:spPr>
                </pic:pic>
              </a:graphicData>
            </a:graphic>
          </wp:anchor>
        </w:drawing>
        <w:drawing>
          <wp:anchor simplePos="0" relativeHeight="251657728" behindDoc="1" locked="0" layoutInCell="0" allowOverlap="1">
            <wp:simplePos x="0" y="0"/>
            <wp:positionH relativeFrom="column">
              <wp:posOffset>-2059940</wp:posOffset>
            </wp:positionH>
            <wp:positionV relativeFrom="paragraph">
              <wp:posOffset>-3075305</wp:posOffset>
            </wp:positionV>
            <wp:extent cx="5422265" cy="6667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53">
                      <a:extLst>
                        <a:ext uri="{28A0092B-C50C-407E-A947-70E740481C1C}"/>
                      </a:extLst>
                    </a:blip>
                    <a:srcRect/>
                    <a:stretch>
                      <a:fillRect/>
                    </a:stretch>
                  </pic:blipFill>
                  <pic:spPr bwMode="auto">
                    <a:xfrm>
                      <a:off x="0" y="0"/>
                      <a:ext cx="5422265" cy="66675"/>
                    </a:xfrm>
                    <a:prstGeom prst="rect">
                      <a:avLst/>
                    </a:prstGeom>
                    <a:noFill/>
                  </pic:spPr>
                </pic:pic>
              </a:graphicData>
            </a:graphic>
          </wp:anchor>
        </w:drawing>
        <w:drawing>
          <wp:anchor simplePos="0" relativeHeight="251657728" behindDoc="1" locked="0" layoutInCell="0" allowOverlap="1">
            <wp:simplePos x="0" y="0"/>
            <wp:positionH relativeFrom="column">
              <wp:posOffset>-2059940</wp:posOffset>
            </wp:positionH>
            <wp:positionV relativeFrom="paragraph">
              <wp:posOffset>-2823210</wp:posOffset>
            </wp:positionV>
            <wp:extent cx="5422265" cy="13271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54">
                      <a:extLst>
                        <a:ext uri="{28A0092B-C50C-407E-A947-70E740481C1C}"/>
                      </a:extLst>
                    </a:blip>
                    <a:srcRect/>
                    <a:stretch>
                      <a:fillRect/>
                    </a:stretch>
                  </pic:blipFill>
                  <pic:spPr bwMode="auto">
                    <a:xfrm>
                      <a:off x="0" y="0"/>
                      <a:ext cx="5422265" cy="132715"/>
                    </a:xfrm>
                    <a:prstGeom prst="rect">
                      <a:avLst/>
                    </a:prstGeom>
                    <a:noFill/>
                  </pic:spPr>
                </pic:pic>
              </a:graphicData>
            </a:graphic>
          </wp:anchor>
        </w:drawing>
        <w:drawing>
          <wp:anchor simplePos="0" relativeHeight="251657728" behindDoc="1" locked="0" layoutInCell="0" allowOverlap="1">
            <wp:simplePos x="0" y="0"/>
            <wp:positionH relativeFrom="column">
              <wp:posOffset>-2059940</wp:posOffset>
            </wp:positionH>
            <wp:positionV relativeFrom="paragraph">
              <wp:posOffset>-2503805</wp:posOffset>
            </wp:positionV>
            <wp:extent cx="5422265" cy="13271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55">
                      <a:extLst>
                        <a:ext uri="{28A0092B-C50C-407E-A947-70E740481C1C}"/>
                      </a:extLst>
                    </a:blip>
                    <a:srcRect/>
                    <a:stretch>
                      <a:fillRect/>
                    </a:stretch>
                  </pic:blipFill>
                  <pic:spPr bwMode="auto">
                    <a:xfrm>
                      <a:off x="0" y="0"/>
                      <a:ext cx="5422265" cy="132715"/>
                    </a:xfrm>
                    <a:prstGeom prst="rect">
                      <a:avLst/>
                    </a:prstGeom>
                    <a:noFill/>
                  </pic:spPr>
                </pic:pic>
              </a:graphicData>
            </a:graphic>
          </wp:anchor>
        </w:drawing>
        <w:drawing>
          <wp:anchor simplePos="0" relativeHeight="251657728" behindDoc="1" locked="0" layoutInCell="0" allowOverlap="1">
            <wp:simplePos x="0" y="0"/>
            <wp:positionH relativeFrom="column">
              <wp:posOffset>-2059940</wp:posOffset>
            </wp:positionH>
            <wp:positionV relativeFrom="paragraph">
              <wp:posOffset>-2238375</wp:posOffset>
            </wp:positionV>
            <wp:extent cx="5422265" cy="13271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56">
                      <a:extLst>
                        <a:ext uri="{28A0092B-C50C-407E-A947-70E740481C1C}"/>
                      </a:extLst>
                    </a:blip>
                    <a:srcRect/>
                    <a:stretch>
                      <a:fillRect/>
                    </a:stretch>
                  </pic:blipFill>
                  <pic:spPr bwMode="auto">
                    <a:xfrm>
                      <a:off x="0" y="0"/>
                      <a:ext cx="5422265" cy="132715"/>
                    </a:xfrm>
                    <a:prstGeom prst="rect">
                      <a:avLst/>
                    </a:prstGeom>
                    <a:noFill/>
                  </pic:spPr>
                </pic:pic>
              </a:graphicData>
            </a:graphic>
          </wp:anchor>
        </w:drawing>
        <w:drawing>
          <wp:anchor simplePos="0" relativeHeight="251657728" behindDoc="1" locked="0" layoutInCell="0" allowOverlap="1">
            <wp:simplePos x="0" y="0"/>
            <wp:positionH relativeFrom="column">
              <wp:posOffset>-2059940</wp:posOffset>
            </wp:positionH>
            <wp:positionV relativeFrom="paragraph">
              <wp:posOffset>-2025650</wp:posOffset>
            </wp:positionV>
            <wp:extent cx="5422265" cy="13271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57">
                      <a:extLst>
                        <a:ext uri="{28A0092B-C50C-407E-A947-70E740481C1C}"/>
                      </a:extLst>
                    </a:blip>
                    <a:srcRect/>
                    <a:stretch>
                      <a:fillRect/>
                    </a:stretch>
                  </pic:blipFill>
                  <pic:spPr bwMode="auto">
                    <a:xfrm>
                      <a:off x="0" y="0"/>
                      <a:ext cx="5422265" cy="132715"/>
                    </a:xfrm>
                    <a:prstGeom prst="rect">
                      <a:avLst/>
                    </a:prstGeom>
                    <a:noFill/>
                  </pic:spPr>
                </pic:pic>
              </a:graphicData>
            </a:graphic>
          </wp:anchor>
        </w:drawing>
        <w:drawing>
          <wp:anchor simplePos="0" relativeHeight="251657728" behindDoc="1" locked="0" layoutInCell="0" allowOverlap="1">
            <wp:simplePos x="0" y="0"/>
            <wp:positionH relativeFrom="column">
              <wp:posOffset>-2059940</wp:posOffset>
            </wp:positionH>
            <wp:positionV relativeFrom="paragraph">
              <wp:posOffset>-1826260</wp:posOffset>
            </wp:positionV>
            <wp:extent cx="5422265" cy="1993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58">
                      <a:extLst>
                        <a:ext uri="{28A0092B-C50C-407E-A947-70E740481C1C}"/>
                      </a:extLst>
                    </a:blip>
                    <a:srcRect/>
                    <a:stretch>
                      <a:fillRect/>
                    </a:stretch>
                  </pic:blipFill>
                  <pic:spPr bwMode="auto">
                    <a:xfrm>
                      <a:off x="0" y="0"/>
                      <a:ext cx="5422265" cy="199390"/>
                    </a:xfrm>
                    <a:prstGeom prst="rect">
                      <a:avLst/>
                    </a:prstGeom>
                    <a:noFill/>
                  </pic:spPr>
                </pic:pic>
              </a:graphicData>
            </a:graphic>
          </wp:anchor>
        </w:drawing>
        <w:drawing>
          <wp:anchor simplePos="0" relativeHeight="251657728" behindDoc="1" locked="0" layoutInCell="0" allowOverlap="1">
            <wp:simplePos x="0" y="0"/>
            <wp:positionH relativeFrom="column">
              <wp:posOffset>-2059940</wp:posOffset>
            </wp:positionH>
            <wp:positionV relativeFrom="paragraph">
              <wp:posOffset>-1547495</wp:posOffset>
            </wp:positionV>
            <wp:extent cx="5422265" cy="6667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59">
                      <a:extLst>
                        <a:ext uri="{28A0092B-C50C-407E-A947-70E740481C1C}"/>
                      </a:extLst>
                    </a:blip>
                    <a:srcRect/>
                    <a:stretch>
                      <a:fillRect/>
                    </a:stretch>
                  </pic:blipFill>
                  <pic:spPr bwMode="auto">
                    <a:xfrm>
                      <a:off x="0" y="0"/>
                      <a:ext cx="5422265" cy="66675"/>
                    </a:xfrm>
                    <a:prstGeom prst="rect">
                      <a:avLst/>
                    </a:prstGeom>
                    <a:noFill/>
                  </pic:spPr>
                </pic:pic>
              </a:graphicData>
            </a:graphic>
          </wp:anchor>
        </w:drawing>
        <w:drawing>
          <wp:anchor simplePos="0" relativeHeight="251657728" behindDoc="1" locked="0" layoutInCell="0" allowOverlap="1">
            <wp:simplePos x="0" y="0"/>
            <wp:positionH relativeFrom="column">
              <wp:posOffset>-2059940</wp:posOffset>
            </wp:positionH>
            <wp:positionV relativeFrom="paragraph">
              <wp:posOffset>-1414145</wp:posOffset>
            </wp:positionV>
            <wp:extent cx="5422265" cy="26606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60">
                      <a:extLst>
                        <a:ext uri="{28A0092B-C50C-407E-A947-70E740481C1C}"/>
                      </a:extLst>
                    </a:blip>
                    <a:srcRect/>
                    <a:stretch>
                      <a:fillRect/>
                    </a:stretch>
                  </pic:blipFill>
                  <pic:spPr bwMode="auto">
                    <a:xfrm>
                      <a:off x="0" y="0"/>
                      <a:ext cx="5422265" cy="266065"/>
                    </a:xfrm>
                    <a:prstGeom prst="rect">
                      <a:avLst/>
                    </a:prstGeom>
                    <a:noFill/>
                  </pic:spPr>
                </pic:pic>
              </a:graphicData>
            </a:graphic>
          </wp:anchor>
        </w:drawing>
        <w:drawing>
          <wp:anchor simplePos="0" relativeHeight="251657728" behindDoc="1" locked="0" layoutInCell="0" allowOverlap="1">
            <wp:simplePos x="0" y="0"/>
            <wp:positionH relativeFrom="column">
              <wp:posOffset>-2059940</wp:posOffset>
            </wp:positionH>
            <wp:positionV relativeFrom="paragraph">
              <wp:posOffset>-1068705</wp:posOffset>
            </wp:positionV>
            <wp:extent cx="5422265" cy="1993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61">
                      <a:extLst>
                        <a:ext uri="{28A0092B-C50C-407E-A947-70E740481C1C}"/>
                      </a:extLst>
                    </a:blip>
                    <a:srcRect/>
                    <a:stretch>
                      <a:fillRect/>
                    </a:stretch>
                  </pic:blipFill>
                  <pic:spPr bwMode="auto">
                    <a:xfrm>
                      <a:off x="0" y="0"/>
                      <a:ext cx="5422265" cy="199390"/>
                    </a:xfrm>
                    <a:prstGeom prst="rect">
                      <a:avLst/>
                    </a:prstGeom>
                    <a:noFill/>
                  </pic:spPr>
                </pic:pic>
              </a:graphicData>
            </a:graphic>
          </wp:anchor>
        </w:drawing>
        <w:drawing>
          <wp:anchor simplePos="0" relativeHeight="251657728" behindDoc="1" locked="0" layoutInCell="0" allowOverlap="1">
            <wp:simplePos x="0" y="0"/>
            <wp:positionH relativeFrom="column">
              <wp:posOffset>-2059940</wp:posOffset>
            </wp:positionH>
            <wp:positionV relativeFrom="paragraph">
              <wp:posOffset>-617220</wp:posOffset>
            </wp:positionV>
            <wp:extent cx="5422265" cy="13271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62">
                      <a:extLst>
                        <a:ext uri="{28A0092B-C50C-407E-A947-70E740481C1C}"/>
                      </a:extLst>
                    </a:blip>
                    <a:srcRect/>
                    <a:stretch>
                      <a:fillRect/>
                    </a:stretch>
                  </pic:blipFill>
                  <pic:spPr bwMode="auto">
                    <a:xfrm>
                      <a:off x="0" y="0"/>
                      <a:ext cx="5422265" cy="132715"/>
                    </a:xfrm>
                    <a:prstGeom prst="rect">
                      <a:avLst/>
                    </a:prstGeom>
                    <a:noFill/>
                  </pic:spPr>
                </pic:pic>
              </a:graphicData>
            </a:graphic>
          </wp:anchor>
        </w:drawing>
        <w:drawing>
          <wp:anchor simplePos="0" relativeHeight="251657728" behindDoc="1" locked="0" layoutInCell="0" allowOverlap="1">
            <wp:simplePos x="0" y="0"/>
            <wp:positionH relativeFrom="column">
              <wp:posOffset>-2059940</wp:posOffset>
            </wp:positionH>
            <wp:positionV relativeFrom="paragraph">
              <wp:posOffset>-351155</wp:posOffset>
            </wp:positionV>
            <wp:extent cx="5422265" cy="13271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63">
                      <a:extLst>
                        <a:ext uri="{28A0092B-C50C-407E-A947-70E740481C1C}"/>
                      </a:extLst>
                    </a:blip>
                    <a:srcRect/>
                    <a:stretch>
                      <a:fillRect/>
                    </a:stretch>
                  </pic:blipFill>
                  <pic:spPr bwMode="auto">
                    <a:xfrm>
                      <a:off x="0" y="0"/>
                      <a:ext cx="5422265" cy="132715"/>
                    </a:xfrm>
                    <a:prstGeom prst="rect">
                      <a:avLst/>
                    </a:prstGeom>
                    <a:noFill/>
                  </pic:spPr>
                </pic:pic>
              </a:graphicData>
            </a:graphic>
          </wp:anchor>
        </w:drawing>
        <w:drawing>
          <wp:anchor simplePos="0" relativeHeight="251657728" behindDoc="1" locked="0" layoutInCell="0" allowOverlap="1">
            <wp:simplePos x="0" y="0"/>
            <wp:positionH relativeFrom="column">
              <wp:posOffset>-2059940</wp:posOffset>
            </wp:positionH>
            <wp:positionV relativeFrom="paragraph">
              <wp:posOffset>-72390</wp:posOffset>
            </wp:positionV>
            <wp:extent cx="5422265" cy="6667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64">
                      <a:extLst>
                        <a:ext uri="{28A0092B-C50C-407E-A947-70E740481C1C}"/>
                      </a:extLst>
                    </a:blip>
                    <a:srcRect/>
                    <a:stretch>
                      <a:fillRect/>
                    </a:stretch>
                  </pic:blipFill>
                  <pic:spPr bwMode="auto">
                    <a:xfrm>
                      <a:off x="0" y="0"/>
                      <a:ext cx="5422265" cy="66675"/>
                    </a:xfrm>
                    <a:prstGeom prst="rect">
                      <a:avLst/>
                    </a:prstGeom>
                    <a:noFill/>
                  </pic:spPr>
                </pic:pic>
              </a:graphicData>
            </a:graphic>
          </wp:anchor>
        </w:drawing>
      </w:r>
    </w:p>
    <w:p>
      <w:pPr>
        <w:spacing w:after="0" w:line="71"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4"/>
          <w:szCs w:val="14"/>
          <w:color w:val="auto"/>
        </w:rPr>
        <w:t>57</w:t>
      </w:r>
    </w:p>
    <w:p>
      <w:pPr>
        <w:sectPr>
          <w:pgSz w:w="11900" w:h="16838" w:orient="portrait"/>
          <w:cols w:equalWidth="0" w:num="2">
            <w:col w:w="4560" w:space="60"/>
            <w:col w:w="5539"/>
          </w:cols>
          <w:pgMar w:left="300" w:top="384" w:right="1440"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65">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ectPr>
          <w:pgSz w:w="11900" w:h="16838" w:orient="portrait"/>
          <w:cols w:equalWidth="0" w:num="1">
            <w:col w:w="10159"/>
          </w:cols>
          <w:pgMar w:left="300" w:top="384" w:right="1440" w:bottom="1440" w:gutter="0" w:footer="0" w:header="0"/>
        </w:sectPr>
      </w:pPr>
    </w:p>
    <w:p>
      <w:pPr>
        <w:spacing w:after="0" w:line="264" w:lineRule="exact"/>
        <w:rPr>
          <w:sz w:val="20"/>
          <w:szCs w:val="20"/>
          <w:color w:val="auto"/>
        </w:rPr>
      </w:pPr>
    </w:p>
    <w:tbl>
      <w:tblPr>
        <w:tblLayout w:type="fixed"/>
        <w:tblInd w:w="1380" w:type="dxa"/>
        <w:tblCellMar>
          <w:top w:w="0" w:type="dxa"/>
          <w:left w:w="0" w:type="dxa"/>
          <w:bottom w:w="0" w:type="dxa"/>
          <w:right w:w="0" w:type="dxa"/>
        </w:tblCellMar>
      </w:tblPr>
      <w:tr>
        <w:trPr>
          <w:trHeight w:val="94"/>
        </w:trPr>
        <w:tc>
          <w:tcPr>
            <w:tcW w:w="1240" w:type="dxa"/>
            <w:vAlign w:val="bottom"/>
            <w:gridSpan w:val="2"/>
          </w:tcPr>
          <w:p>
            <w:pPr>
              <w:spacing w:after="0"/>
              <w:rPr>
                <w:sz w:val="20"/>
                <w:szCs w:val="20"/>
                <w:color w:val="auto"/>
              </w:rPr>
            </w:pPr>
            <w:r>
              <w:rPr>
                <w:rFonts w:ascii="Times New Roman" w:cs="Times New Roman" w:eastAsia="Times New Roman" w:hAnsi="Times New Roman"/>
                <w:sz w:val="8"/>
                <w:szCs w:val="8"/>
                <w:b w:val="1"/>
                <w:bCs w:val="1"/>
                <w:color w:val="auto"/>
              </w:rPr>
              <w:t>Portfolio Company (a)(b)</w:t>
            </w:r>
          </w:p>
        </w:tc>
        <w:tc>
          <w:tcPr>
            <w:tcW w:w="4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900" w:type="dxa"/>
            <w:vAlign w:val="bottom"/>
          </w:tcPr>
          <w:p>
            <w:pPr>
              <w:spacing w:after="0"/>
              <w:rPr>
                <w:sz w:val="8"/>
                <w:szCs w:val="8"/>
                <w:color w:val="auto"/>
              </w:rPr>
            </w:pPr>
          </w:p>
        </w:tc>
      </w:tr>
      <w:tr>
        <w:trPr>
          <w:trHeight w:val="126"/>
        </w:trPr>
        <w:tc>
          <w:tcPr>
            <w:tcW w:w="1240" w:type="dxa"/>
            <w:vAlign w:val="bottom"/>
            <w:gridSpan w:val="2"/>
          </w:tcPr>
          <w:p>
            <w:pPr>
              <w:spacing w:after="0"/>
              <w:rPr>
                <w:sz w:val="20"/>
                <w:szCs w:val="20"/>
                <w:color w:val="auto"/>
              </w:rPr>
            </w:pPr>
            <w:r>
              <w:rPr>
                <w:rFonts w:ascii="Times New Roman" w:cs="Times New Roman" w:eastAsia="Times New Roman" w:hAnsi="Times New Roman"/>
                <w:sz w:val="8"/>
                <w:szCs w:val="8"/>
                <w:b w:val="1"/>
                <w:bCs w:val="1"/>
                <w:color w:val="auto"/>
              </w:rPr>
              <w:t>Address of Portfolio Company</w:t>
            </w:r>
          </w:p>
        </w:tc>
        <w:tc>
          <w:tcPr>
            <w:tcW w:w="40" w:type="dxa"/>
            <w:vAlign w:val="bottom"/>
          </w:tcPr>
          <w:p>
            <w:pPr>
              <w:spacing w:after="0"/>
              <w:rPr>
                <w:sz w:val="10"/>
                <w:szCs w:val="10"/>
                <w:color w:val="auto"/>
              </w:rPr>
            </w:pPr>
          </w:p>
        </w:tc>
        <w:tc>
          <w:tcPr>
            <w:tcW w:w="740" w:type="dxa"/>
            <w:vAlign w:val="bottom"/>
          </w:tcPr>
          <w:p>
            <w:pPr>
              <w:ind w:left="20"/>
              <w:spacing w:after="0"/>
              <w:rPr>
                <w:sz w:val="20"/>
                <w:szCs w:val="20"/>
                <w:color w:val="auto"/>
              </w:rPr>
            </w:pPr>
            <w:r>
              <w:rPr>
                <w:rFonts w:ascii="Times New Roman" w:cs="Times New Roman" w:eastAsia="Times New Roman" w:hAnsi="Times New Roman"/>
                <w:sz w:val="8"/>
                <w:szCs w:val="8"/>
                <w:b w:val="1"/>
                <w:bCs w:val="1"/>
                <w:color w:val="auto"/>
              </w:rPr>
              <w:t>Investment Type (c)</w:t>
            </w:r>
          </w:p>
        </w:tc>
        <w:tc>
          <w:tcPr>
            <w:tcW w:w="40" w:type="dxa"/>
            <w:vAlign w:val="bottom"/>
          </w:tcPr>
          <w:p>
            <w:pPr>
              <w:spacing w:after="0"/>
              <w:rPr>
                <w:sz w:val="10"/>
                <w:szCs w:val="10"/>
                <w:color w:val="auto"/>
              </w:rPr>
            </w:pPr>
          </w:p>
        </w:tc>
        <w:tc>
          <w:tcPr>
            <w:tcW w:w="900" w:type="dxa"/>
            <w:vAlign w:val="bottom"/>
          </w:tcPr>
          <w:p>
            <w:pPr>
              <w:ind w:left="300"/>
              <w:spacing w:after="0"/>
              <w:rPr>
                <w:sz w:val="20"/>
                <w:szCs w:val="20"/>
                <w:color w:val="auto"/>
              </w:rPr>
            </w:pPr>
            <w:r>
              <w:rPr>
                <w:rFonts w:ascii="Times New Roman" w:cs="Times New Roman" w:eastAsia="Times New Roman" w:hAnsi="Times New Roman"/>
                <w:sz w:val="8"/>
                <w:szCs w:val="8"/>
                <w:b w:val="1"/>
                <w:bCs w:val="1"/>
                <w:color w:val="auto"/>
              </w:rPr>
              <w:t>Industry</w:t>
            </w:r>
          </w:p>
        </w:tc>
      </w:tr>
      <w:tr>
        <w:trPr>
          <w:trHeight w:val="60"/>
        </w:trPr>
        <w:tc>
          <w:tcPr>
            <w:tcW w:w="1100" w:type="dxa"/>
            <w:vAlign w:val="bottom"/>
            <w:tcBorders>
              <w:top w:val="single" w:sz="8" w:color="auto"/>
            </w:tcBorders>
          </w:tcPr>
          <w:p>
            <w:pPr>
              <w:spacing w:after="0" w:line="60" w:lineRule="exact"/>
              <w:rPr>
                <w:sz w:val="20"/>
                <w:szCs w:val="20"/>
                <w:color w:val="auto"/>
              </w:rPr>
            </w:pPr>
            <w:r>
              <w:rPr>
                <w:rFonts w:ascii="Times New Roman" w:cs="Times New Roman" w:eastAsia="Times New Roman" w:hAnsi="Times New Roman"/>
                <w:sz w:val="6"/>
                <w:szCs w:val="6"/>
                <w:i w:val="1"/>
                <w:iCs w:val="1"/>
                <w:color w:val="auto"/>
              </w:rPr>
              <w:t>Wonderware Holdings, LLC</w:t>
            </w: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Borders>
              <w:top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900" w:type="dxa"/>
            <w:vAlign w:val="bottom"/>
            <w:tcBorders>
              <w:top w:val="single" w:sz="8" w:color="auto"/>
            </w:tcBorders>
          </w:tcPr>
          <w:p>
            <w:pPr>
              <w:spacing w:after="0"/>
              <w:rPr>
                <w:sz w:val="5"/>
                <w:szCs w:val="5"/>
                <w:color w:val="auto"/>
              </w:rPr>
            </w:pPr>
          </w:p>
        </w:tc>
      </w:tr>
      <w:tr>
        <w:trPr>
          <w:trHeight w:val="105"/>
        </w:trPr>
        <w:tc>
          <w:tcPr>
            <w:tcW w:w="1240" w:type="dxa"/>
            <w:vAlign w:val="bottom"/>
            <w:gridSpan w:val="2"/>
          </w:tcPr>
          <w:p>
            <w:pPr>
              <w:spacing w:after="0" w:line="105" w:lineRule="exact"/>
              <w:rPr>
                <w:sz w:val="20"/>
                <w:szCs w:val="20"/>
                <w:color w:val="auto"/>
              </w:rPr>
            </w:pPr>
            <w:r>
              <w:rPr>
                <w:rFonts w:ascii="Times New Roman" w:cs="Times New Roman" w:eastAsia="Times New Roman" w:hAnsi="Times New Roman"/>
                <w:sz w:val="10"/>
                <w:szCs w:val="10"/>
                <w:i w:val="1"/>
                <w:iCs w:val="1"/>
                <w:color w:val="auto"/>
              </w:rPr>
              <w:t>(dba CORE Business</w:t>
            </w:r>
          </w:p>
        </w:tc>
        <w:tc>
          <w:tcPr>
            <w:tcW w:w="40" w:type="dxa"/>
            <w:vAlign w:val="bottom"/>
          </w:tcPr>
          <w:p>
            <w:pPr>
              <w:spacing w:after="0"/>
              <w:rPr>
                <w:sz w:val="9"/>
                <w:szCs w:val="9"/>
                <w:color w:val="auto"/>
              </w:rPr>
            </w:pPr>
          </w:p>
        </w:tc>
        <w:tc>
          <w:tcPr>
            <w:tcW w:w="740" w:type="dxa"/>
            <w:vAlign w:val="bottom"/>
          </w:tcPr>
          <w:p>
            <w:pPr>
              <w:spacing w:after="0"/>
              <w:rPr>
                <w:sz w:val="9"/>
                <w:szCs w:val="9"/>
                <w:color w:val="auto"/>
              </w:rPr>
            </w:pPr>
          </w:p>
        </w:tc>
        <w:tc>
          <w:tcPr>
            <w:tcW w:w="940" w:type="dxa"/>
            <w:vAlign w:val="bottom"/>
            <w:gridSpan w:val="2"/>
          </w:tcPr>
          <w:p>
            <w:pPr>
              <w:ind w:left="40"/>
              <w:spacing w:after="0" w:line="105" w:lineRule="exact"/>
              <w:rPr>
                <w:sz w:val="20"/>
                <w:szCs w:val="20"/>
                <w:color w:val="auto"/>
              </w:rPr>
            </w:pPr>
            <w:r>
              <w:rPr>
                <w:rFonts w:ascii="Times New Roman" w:cs="Times New Roman" w:eastAsia="Times New Roman" w:hAnsi="Times New Roman"/>
                <w:sz w:val="10"/>
                <w:szCs w:val="10"/>
                <w:color w:val="auto"/>
              </w:rPr>
              <w:t>Information</w:t>
            </w:r>
          </w:p>
        </w:tc>
      </w:tr>
      <w:tr>
        <w:trPr>
          <w:trHeight w:val="107"/>
        </w:trPr>
        <w:tc>
          <w:tcPr>
            <w:tcW w:w="1240" w:type="dxa"/>
            <w:vAlign w:val="bottom"/>
            <w:gridSpan w:val="2"/>
          </w:tcPr>
          <w:p>
            <w:pPr>
              <w:spacing w:after="0" w:line="107" w:lineRule="exact"/>
              <w:rPr>
                <w:sz w:val="20"/>
                <w:szCs w:val="20"/>
                <w:color w:val="auto"/>
              </w:rPr>
            </w:pPr>
            <w:r>
              <w:rPr>
                <w:rFonts w:ascii="Times New Roman" w:cs="Times New Roman" w:eastAsia="Times New Roman" w:hAnsi="Times New Roman"/>
                <w:sz w:val="10"/>
                <w:szCs w:val="10"/>
                <w:i w:val="1"/>
                <w:iCs w:val="1"/>
                <w:color w:val="auto"/>
              </w:rPr>
              <w:t>Technologies)</w:t>
            </w:r>
          </w:p>
        </w:tc>
        <w:tc>
          <w:tcPr>
            <w:tcW w:w="40" w:type="dxa"/>
            <w:vAlign w:val="bottom"/>
          </w:tcPr>
          <w:p>
            <w:pPr>
              <w:spacing w:after="0"/>
              <w:rPr>
                <w:sz w:val="9"/>
                <w:szCs w:val="9"/>
                <w:color w:val="auto"/>
              </w:rPr>
            </w:pPr>
          </w:p>
        </w:tc>
        <w:tc>
          <w:tcPr>
            <w:tcW w:w="740" w:type="dxa"/>
            <w:vAlign w:val="bottom"/>
          </w:tcPr>
          <w:p>
            <w:pPr>
              <w:spacing w:after="0"/>
              <w:rPr>
                <w:sz w:val="9"/>
                <w:szCs w:val="9"/>
                <w:color w:val="auto"/>
              </w:rPr>
            </w:pPr>
          </w:p>
        </w:tc>
        <w:tc>
          <w:tcPr>
            <w:tcW w:w="940" w:type="dxa"/>
            <w:vAlign w:val="bottom"/>
            <w:gridSpan w:val="2"/>
          </w:tcPr>
          <w:p>
            <w:pPr>
              <w:ind w:left="40"/>
              <w:spacing w:after="0" w:line="107" w:lineRule="exact"/>
              <w:rPr>
                <w:sz w:val="20"/>
                <w:szCs w:val="20"/>
                <w:color w:val="auto"/>
              </w:rPr>
            </w:pPr>
            <w:r>
              <w:rPr>
                <w:rFonts w:ascii="Times New Roman" w:cs="Times New Roman" w:eastAsia="Times New Roman" w:hAnsi="Times New Roman"/>
                <w:sz w:val="10"/>
                <w:szCs w:val="10"/>
                <w:color w:val="auto"/>
              </w:rPr>
              <w:t>Technology Services</w:t>
            </w:r>
          </w:p>
        </w:tc>
      </w:tr>
      <w:tr>
        <w:trPr>
          <w:trHeight w:val="105"/>
        </w:trPr>
        <w:tc>
          <w:tcPr>
            <w:tcW w:w="1240" w:type="dxa"/>
            <w:vAlign w:val="bottom"/>
            <w:gridSpan w:val="2"/>
          </w:tcPr>
          <w:p>
            <w:pPr>
              <w:ind w:left="100"/>
              <w:spacing w:after="0" w:line="105" w:lineRule="exact"/>
              <w:rPr>
                <w:sz w:val="20"/>
                <w:szCs w:val="20"/>
                <w:color w:val="auto"/>
              </w:rPr>
            </w:pPr>
            <w:r>
              <w:rPr>
                <w:rFonts w:ascii="Times New Roman" w:cs="Times New Roman" w:eastAsia="Times New Roman" w:hAnsi="Times New Roman"/>
                <w:sz w:val="10"/>
                <w:szCs w:val="10"/>
                <w:color w:val="auto"/>
              </w:rPr>
              <w:t>950 Warren Avenue, 4th</w:t>
            </w:r>
          </w:p>
        </w:tc>
        <w:tc>
          <w:tcPr>
            <w:tcW w:w="40" w:type="dxa"/>
            <w:vAlign w:val="bottom"/>
          </w:tcPr>
          <w:p>
            <w:pPr>
              <w:spacing w:after="0"/>
              <w:rPr>
                <w:sz w:val="9"/>
                <w:szCs w:val="9"/>
                <w:color w:val="auto"/>
              </w:rPr>
            </w:pPr>
          </w:p>
        </w:tc>
        <w:tc>
          <w:tcPr>
            <w:tcW w:w="740" w:type="dxa"/>
            <w:vAlign w:val="bottom"/>
          </w:tcPr>
          <w:p>
            <w:pPr>
              <w:spacing w:after="0"/>
              <w:rPr>
                <w:sz w:val="9"/>
                <w:szCs w:val="9"/>
                <w:color w:val="auto"/>
              </w:rPr>
            </w:pPr>
          </w:p>
        </w:tc>
        <w:tc>
          <w:tcPr>
            <w:tcW w:w="40" w:type="dxa"/>
            <w:vAlign w:val="bottom"/>
          </w:tcPr>
          <w:p>
            <w:pPr>
              <w:spacing w:after="0"/>
              <w:rPr>
                <w:sz w:val="9"/>
                <w:szCs w:val="9"/>
                <w:color w:val="auto"/>
              </w:rPr>
            </w:pPr>
          </w:p>
        </w:tc>
        <w:tc>
          <w:tcPr>
            <w:tcW w:w="900" w:type="dxa"/>
            <w:vAlign w:val="bottom"/>
          </w:tcPr>
          <w:p>
            <w:pPr>
              <w:spacing w:after="0"/>
              <w:rPr>
                <w:sz w:val="9"/>
                <w:szCs w:val="9"/>
                <w:color w:val="auto"/>
              </w:rPr>
            </w:pPr>
          </w:p>
        </w:tc>
      </w:tr>
      <w:tr>
        <w:trPr>
          <w:trHeight w:val="105"/>
        </w:trPr>
        <w:tc>
          <w:tcPr>
            <w:tcW w:w="1240" w:type="dxa"/>
            <w:vAlign w:val="bottom"/>
            <w:gridSpan w:val="2"/>
          </w:tcPr>
          <w:p>
            <w:pPr>
              <w:ind w:left="100"/>
              <w:spacing w:after="0" w:line="105" w:lineRule="exact"/>
              <w:rPr>
                <w:sz w:val="20"/>
                <w:szCs w:val="20"/>
                <w:color w:val="auto"/>
              </w:rPr>
            </w:pPr>
            <w:r>
              <w:rPr>
                <w:rFonts w:ascii="Times New Roman" w:cs="Times New Roman" w:eastAsia="Times New Roman" w:hAnsi="Times New Roman"/>
                <w:sz w:val="10"/>
                <w:szCs w:val="10"/>
                <w:color w:val="auto"/>
              </w:rPr>
              <w:t>Floor East Providence, RI</w:t>
            </w:r>
          </w:p>
        </w:tc>
        <w:tc>
          <w:tcPr>
            <w:tcW w:w="40" w:type="dxa"/>
            <w:vAlign w:val="bottom"/>
          </w:tcPr>
          <w:p>
            <w:pPr>
              <w:spacing w:after="0"/>
              <w:rPr>
                <w:sz w:val="9"/>
                <w:szCs w:val="9"/>
                <w:color w:val="auto"/>
              </w:rPr>
            </w:pPr>
          </w:p>
        </w:tc>
        <w:tc>
          <w:tcPr>
            <w:tcW w:w="740" w:type="dxa"/>
            <w:vAlign w:val="bottom"/>
          </w:tcPr>
          <w:p>
            <w:pPr>
              <w:spacing w:after="0"/>
              <w:rPr>
                <w:sz w:val="9"/>
                <w:szCs w:val="9"/>
                <w:color w:val="auto"/>
              </w:rPr>
            </w:pPr>
          </w:p>
        </w:tc>
        <w:tc>
          <w:tcPr>
            <w:tcW w:w="40" w:type="dxa"/>
            <w:vAlign w:val="bottom"/>
          </w:tcPr>
          <w:p>
            <w:pPr>
              <w:spacing w:after="0"/>
              <w:rPr>
                <w:sz w:val="9"/>
                <w:szCs w:val="9"/>
                <w:color w:val="auto"/>
              </w:rPr>
            </w:pPr>
          </w:p>
        </w:tc>
        <w:tc>
          <w:tcPr>
            <w:tcW w:w="900" w:type="dxa"/>
            <w:vAlign w:val="bottom"/>
          </w:tcPr>
          <w:p>
            <w:pPr>
              <w:spacing w:after="0"/>
              <w:rPr>
                <w:sz w:val="9"/>
                <w:szCs w:val="9"/>
                <w:color w:val="auto"/>
              </w:rPr>
            </w:pPr>
          </w:p>
        </w:tc>
      </w:tr>
      <w:tr>
        <w:trPr>
          <w:trHeight w:val="125"/>
        </w:trPr>
        <w:tc>
          <w:tcPr>
            <w:tcW w:w="110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02914</w:t>
            </w:r>
          </w:p>
        </w:tc>
        <w:tc>
          <w:tcPr>
            <w:tcW w:w="140" w:type="dxa"/>
            <w:vAlign w:val="bottom"/>
          </w:tcPr>
          <w:p>
            <w:pPr>
              <w:spacing w:after="0"/>
              <w:rPr>
                <w:sz w:val="10"/>
                <w:szCs w:val="10"/>
                <w:color w:val="auto"/>
              </w:rPr>
            </w:pPr>
          </w:p>
        </w:tc>
        <w:tc>
          <w:tcPr>
            <w:tcW w:w="780" w:type="dxa"/>
            <w:vAlign w:val="bottom"/>
            <w:gridSpan w:val="2"/>
          </w:tcPr>
          <w:p>
            <w:pPr>
              <w:ind w:left="40"/>
              <w:spacing w:after="0"/>
              <w:rPr>
                <w:sz w:val="20"/>
                <w:szCs w:val="20"/>
                <w:color w:val="auto"/>
              </w:rPr>
            </w:pPr>
            <w:r>
              <w:rPr>
                <w:rFonts w:ascii="Times New Roman" w:cs="Times New Roman" w:eastAsia="Times New Roman" w:hAnsi="Times New Roman"/>
                <w:sz w:val="10"/>
                <w:szCs w:val="10"/>
                <w:color w:val="auto"/>
                <w:w w:val="96"/>
              </w:rPr>
              <w:t>First Lien Debt (z)</w:t>
            </w:r>
          </w:p>
        </w:tc>
        <w:tc>
          <w:tcPr>
            <w:tcW w:w="40" w:type="dxa"/>
            <w:vAlign w:val="bottom"/>
          </w:tcPr>
          <w:p>
            <w:pPr>
              <w:spacing w:after="0"/>
              <w:rPr>
                <w:sz w:val="10"/>
                <w:szCs w:val="10"/>
                <w:color w:val="auto"/>
              </w:rPr>
            </w:pPr>
          </w:p>
        </w:tc>
        <w:tc>
          <w:tcPr>
            <w:tcW w:w="900" w:type="dxa"/>
            <w:vAlign w:val="bottom"/>
          </w:tcPr>
          <w:p>
            <w:pPr>
              <w:spacing w:after="0"/>
              <w:rPr>
                <w:sz w:val="10"/>
                <w:szCs w:val="10"/>
                <w:color w:val="auto"/>
              </w:rPr>
            </w:pPr>
          </w:p>
        </w:tc>
      </w:tr>
      <w:tr>
        <w:trPr>
          <w:trHeight w:val="168"/>
        </w:trPr>
        <w:tc>
          <w:tcPr>
            <w:tcW w:w="1240" w:type="dxa"/>
            <w:vAlign w:val="bottom"/>
            <w:gridSpan w:val="2"/>
          </w:tcPr>
          <w:p>
            <w:pPr>
              <w:spacing w:after="0"/>
              <w:rPr>
                <w:sz w:val="20"/>
                <w:szCs w:val="20"/>
                <w:color w:val="auto"/>
              </w:rPr>
            </w:pPr>
            <w:r>
              <w:rPr>
                <w:rFonts w:ascii="Times New Roman" w:cs="Times New Roman" w:eastAsia="Times New Roman" w:hAnsi="Times New Roman"/>
                <w:sz w:val="10"/>
                <w:szCs w:val="10"/>
                <w:i w:val="1"/>
                <w:iCs w:val="1"/>
                <w:color w:val="auto"/>
              </w:rPr>
              <w:t>World Tours LLC</w:t>
            </w: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gridSpan w:val="2"/>
          </w:tcPr>
          <w:p>
            <w:pPr>
              <w:ind w:left="40"/>
              <w:spacing w:after="0"/>
              <w:rPr>
                <w:sz w:val="20"/>
                <w:szCs w:val="20"/>
                <w:color w:val="auto"/>
              </w:rPr>
            </w:pPr>
            <w:r>
              <w:rPr>
                <w:rFonts w:ascii="Times New Roman" w:cs="Times New Roman" w:eastAsia="Times New Roman" w:hAnsi="Times New Roman"/>
                <w:sz w:val="10"/>
                <w:szCs w:val="10"/>
                <w:color w:val="auto"/>
              </w:rPr>
              <w:t>Consumer Services</w:t>
            </w:r>
          </w:p>
        </w:tc>
      </w:tr>
      <w:tr>
        <w:trPr>
          <w:trHeight w:val="105"/>
        </w:trPr>
        <w:tc>
          <w:tcPr>
            <w:tcW w:w="1240" w:type="dxa"/>
            <w:vAlign w:val="bottom"/>
            <w:gridSpan w:val="2"/>
          </w:tcPr>
          <w:p>
            <w:pPr>
              <w:ind w:left="100"/>
              <w:spacing w:after="0" w:line="105" w:lineRule="exact"/>
              <w:rPr>
                <w:sz w:val="20"/>
                <w:szCs w:val="20"/>
                <w:color w:val="auto"/>
              </w:rPr>
            </w:pPr>
            <w:r>
              <w:rPr>
                <w:rFonts w:ascii="Times New Roman" w:cs="Times New Roman" w:eastAsia="Times New Roman" w:hAnsi="Times New Roman"/>
                <w:sz w:val="10"/>
                <w:szCs w:val="10"/>
                <w:color w:val="auto"/>
              </w:rPr>
              <w:t>1650 So Pacific Coast Hwy</w:t>
            </w:r>
          </w:p>
        </w:tc>
        <w:tc>
          <w:tcPr>
            <w:tcW w:w="780" w:type="dxa"/>
            <w:vAlign w:val="bottom"/>
            <w:gridSpan w:val="2"/>
          </w:tcPr>
          <w:p>
            <w:pPr>
              <w:ind w:left="40"/>
              <w:spacing w:after="0" w:line="105" w:lineRule="exact"/>
              <w:rPr>
                <w:sz w:val="20"/>
                <w:szCs w:val="20"/>
                <w:color w:val="auto"/>
              </w:rPr>
            </w:pPr>
            <w:r>
              <w:rPr>
                <w:rFonts w:ascii="Times New Roman" w:cs="Times New Roman" w:eastAsia="Times New Roman" w:hAnsi="Times New Roman"/>
                <w:sz w:val="10"/>
                <w:szCs w:val="10"/>
                <w:color w:val="auto"/>
              </w:rPr>
              <w:t>First Lien Debt</w:t>
            </w:r>
          </w:p>
        </w:tc>
        <w:tc>
          <w:tcPr>
            <w:tcW w:w="40" w:type="dxa"/>
            <w:vAlign w:val="bottom"/>
          </w:tcPr>
          <w:p>
            <w:pPr>
              <w:spacing w:after="0"/>
              <w:rPr>
                <w:sz w:val="9"/>
                <w:szCs w:val="9"/>
                <w:color w:val="auto"/>
              </w:rPr>
            </w:pPr>
          </w:p>
        </w:tc>
        <w:tc>
          <w:tcPr>
            <w:tcW w:w="900" w:type="dxa"/>
            <w:vAlign w:val="bottom"/>
          </w:tcPr>
          <w:p>
            <w:pPr>
              <w:spacing w:after="0"/>
              <w:rPr>
                <w:sz w:val="9"/>
                <w:szCs w:val="9"/>
                <w:color w:val="auto"/>
              </w:rPr>
            </w:pPr>
          </w:p>
        </w:tc>
      </w:tr>
      <w:tr>
        <w:trPr>
          <w:trHeight w:val="105"/>
        </w:trPr>
        <w:tc>
          <w:tcPr>
            <w:tcW w:w="1240" w:type="dxa"/>
            <w:vAlign w:val="bottom"/>
            <w:gridSpan w:val="2"/>
          </w:tcPr>
          <w:p>
            <w:pPr>
              <w:ind w:left="100"/>
              <w:spacing w:after="0" w:line="105" w:lineRule="exact"/>
              <w:rPr>
                <w:sz w:val="20"/>
                <w:szCs w:val="20"/>
                <w:color w:val="auto"/>
              </w:rPr>
            </w:pPr>
            <w:r>
              <w:rPr>
                <w:rFonts w:ascii="Times New Roman" w:cs="Times New Roman" w:eastAsia="Times New Roman" w:hAnsi="Times New Roman"/>
                <w:sz w:val="10"/>
                <w:szCs w:val="10"/>
                <w:color w:val="auto"/>
              </w:rPr>
              <w:t>Suite 202</w:t>
            </w:r>
          </w:p>
        </w:tc>
        <w:tc>
          <w:tcPr>
            <w:tcW w:w="780" w:type="dxa"/>
            <w:vAlign w:val="bottom"/>
            <w:gridSpan w:val="2"/>
          </w:tcPr>
          <w:p>
            <w:pPr>
              <w:ind w:left="40"/>
              <w:spacing w:after="0" w:line="105" w:lineRule="exact"/>
              <w:rPr>
                <w:sz w:val="20"/>
                <w:szCs w:val="20"/>
                <w:color w:val="auto"/>
              </w:rPr>
            </w:pPr>
            <w:r>
              <w:rPr>
                <w:rFonts w:ascii="Times New Roman" w:cs="Times New Roman" w:eastAsia="Times New Roman" w:hAnsi="Times New Roman"/>
                <w:sz w:val="10"/>
                <w:szCs w:val="10"/>
                <w:color w:val="auto"/>
              </w:rPr>
              <w:t>(ay)</w:t>
            </w:r>
          </w:p>
        </w:tc>
        <w:tc>
          <w:tcPr>
            <w:tcW w:w="40" w:type="dxa"/>
            <w:vAlign w:val="bottom"/>
          </w:tcPr>
          <w:p>
            <w:pPr>
              <w:spacing w:after="0"/>
              <w:rPr>
                <w:sz w:val="9"/>
                <w:szCs w:val="9"/>
                <w:color w:val="auto"/>
              </w:rPr>
            </w:pPr>
          </w:p>
        </w:tc>
        <w:tc>
          <w:tcPr>
            <w:tcW w:w="900" w:type="dxa"/>
            <w:vAlign w:val="bottom"/>
          </w:tcPr>
          <w:p>
            <w:pPr>
              <w:spacing w:after="0"/>
              <w:rPr>
                <w:sz w:val="9"/>
                <w:szCs w:val="9"/>
                <w:color w:val="auto"/>
              </w:rPr>
            </w:pPr>
          </w:p>
        </w:tc>
      </w:tr>
      <w:tr>
        <w:trPr>
          <w:trHeight w:val="105"/>
        </w:trPr>
        <w:tc>
          <w:tcPr>
            <w:tcW w:w="1240" w:type="dxa"/>
            <w:vAlign w:val="bottom"/>
            <w:gridSpan w:val="2"/>
          </w:tcPr>
          <w:p>
            <w:pPr>
              <w:ind w:left="100"/>
              <w:spacing w:after="0" w:line="105" w:lineRule="exact"/>
              <w:rPr>
                <w:sz w:val="20"/>
                <w:szCs w:val="20"/>
                <w:color w:val="auto"/>
              </w:rPr>
            </w:pPr>
            <w:r>
              <w:rPr>
                <w:rFonts w:ascii="Times New Roman" w:cs="Times New Roman" w:eastAsia="Times New Roman" w:hAnsi="Times New Roman"/>
                <w:sz w:val="10"/>
                <w:szCs w:val="10"/>
                <w:color w:val="auto"/>
              </w:rPr>
              <w:t>Redondo Beach, CA 90277</w:t>
            </w:r>
          </w:p>
        </w:tc>
        <w:tc>
          <w:tcPr>
            <w:tcW w:w="780" w:type="dxa"/>
            <w:vAlign w:val="bottom"/>
            <w:gridSpan w:val="2"/>
          </w:tcPr>
          <w:p>
            <w:pPr>
              <w:ind w:left="40"/>
              <w:spacing w:after="0" w:line="105" w:lineRule="exact"/>
              <w:rPr>
                <w:sz w:val="20"/>
                <w:szCs w:val="20"/>
                <w:color w:val="auto"/>
              </w:rPr>
            </w:pPr>
            <w:r>
              <w:rPr>
                <w:rFonts w:ascii="Times New Roman" w:cs="Times New Roman" w:eastAsia="Times New Roman" w:hAnsi="Times New Roman"/>
                <w:sz w:val="10"/>
                <w:szCs w:val="10"/>
                <w:color w:val="auto"/>
              </w:rPr>
              <w:t>Preferred Equity</w:t>
            </w:r>
          </w:p>
        </w:tc>
        <w:tc>
          <w:tcPr>
            <w:tcW w:w="40" w:type="dxa"/>
            <w:vAlign w:val="bottom"/>
          </w:tcPr>
          <w:p>
            <w:pPr>
              <w:spacing w:after="0"/>
              <w:rPr>
                <w:sz w:val="9"/>
                <w:szCs w:val="9"/>
                <w:color w:val="auto"/>
              </w:rPr>
            </w:pPr>
          </w:p>
        </w:tc>
        <w:tc>
          <w:tcPr>
            <w:tcW w:w="900" w:type="dxa"/>
            <w:vAlign w:val="bottom"/>
          </w:tcPr>
          <w:p>
            <w:pPr>
              <w:spacing w:after="0"/>
              <w:rPr>
                <w:sz w:val="9"/>
                <w:szCs w:val="9"/>
                <w:color w:val="auto"/>
              </w:rPr>
            </w:pPr>
          </w:p>
        </w:tc>
      </w:tr>
      <w:tr>
        <w:trPr>
          <w:trHeight w:val="105"/>
        </w:trPr>
        <w:tc>
          <w:tcPr>
            <w:tcW w:w="1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gridSpan w:val="2"/>
          </w:tcPr>
          <w:p>
            <w:pPr>
              <w:ind w:left="40"/>
              <w:spacing w:after="0" w:line="105" w:lineRule="exact"/>
              <w:rPr>
                <w:sz w:val="20"/>
                <w:szCs w:val="20"/>
                <w:color w:val="auto"/>
              </w:rPr>
            </w:pPr>
            <w:r>
              <w:rPr>
                <w:rFonts w:ascii="Times New Roman" w:cs="Times New Roman" w:eastAsia="Times New Roman" w:hAnsi="Times New Roman"/>
                <w:sz w:val="10"/>
                <w:szCs w:val="10"/>
                <w:color w:val="auto"/>
              </w:rPr>
              <w:t>(1,000,000 units)</w:t>
            </w:r>
          </w:p>
        </w:tc>
        <w:tc>
          <w:tcPr>
            <w:tcW w:w="40" w:type="dxa"/>
            <w:vAlign w:val="bottom"/>
          </w:tcPr>
          <w:p>
            <w:pPr>
              <w:spacing w:after="0"/>
              <w:rPr>
                <w:sz w:val="9"/>
                <w:szCs w:val="9"/>
                <w:color w:val="auto"/>
              </w:rPr>
            </w:pPr>
          </w:p>
        </w:tc>
        <w:tc>
          <w:tcPr>
            <w:tcW w:w="900" w:type="dxa"/>
            <w:vAlign w:val="bottom"/>
          </w:tcPr>
          <w:p>
            <w:pPr>
              <w:spacing w:after="0"/>
              <w:rPr>
                <w:sz w:val="9"/>
                <w:szCs w:val="9"/>
                <w:color w:val="auto"/>
              </w:rPr>
            </w:pPr>
          </w:p>
        </w:tc>
      </w:tr>
      <w:tr>
        <w:trPr>
          <w:trHeight w:val="125"/>
        </w:trPr>
        <w:tc>
          <w:tcPr>
            <w:tcW w:w="1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gridSpan w:val="2"/>
          </w:tcPr>
          <w:p>
            <w:pPr>
              <w:ind w:left="40"/>
              <w:spacing w:after="0"/>
              <w:rPr>
                <w:sz w:val="20"/>
                <w:szCs w:val="20"/>
                <w:color w:val="auto"/>
              </w:rPr>
            </w:pPr>
            <w:r>
              <w:rPr>
                <w:rFonts w:ascii="Times New Roman" w:cs="Times New Roman" w:eastAsia="Times New Roman" w:hAnsi="Times New Roman"/>
                <w:sz w:val="10"/>
                <w:szCs w:val="10"/>
                <w:color w:val="auto"/>
              </w:rPr>
              <w:t>(h)</w:t>
            </w:r>
          </w:p>
        </w:tc>
        <w:tc>
          <w:tcPr>
            <w:tcW w:w="40" w:type="dxa"/>
            <w:vAlign w:val="bottom"/>
          </w:tcPr>
          <w:p>
            <w:pPr>
              <w:spacing w:after="0"/>
              <w:rPr>
                <w:sz w:val="10"/>
                <w:szCs w:val="10"/>
                <w:color w:val="auto"/>
              </w:rPr>
            </w:pPr>
          </w:p>
        </w:tc>
        <w:tc>
          <w:tcPr>
            <w:tcW w:w="900" w:type="dxa"/>
            <w:vAlign w:val="bottom"/>
          </w:tcPr>
          <w:p>
            <w:pPr>
              <w:spacing w:after="0"/>
              <w:rPr>
                <w:sz w:val="10"/>
                <w:szCs w:val="10"/>
                <w:color w:val="auto"/>
              </w:rPr>
            </w:pPr>
          </w:p>
        </w:tc>
      </w:tr>
      <w:tr>
        <w:trPr>
          <w:trHeight w:val="208"/>
        </w:trPr>
        <w:tc>
          <w:tcPr>
            <w:tcW w:w="1240" w:type="dxa"/>
            <w:vAlign w:val="bottom"/>
            <w:gridSpan w:val="2"/>
          </w:tcPr>
          <w:p>
            <w:pPr>
              <w:spacing w:after="0"/>
              <w:rPr>
                <w:sz w:val="20"/>
                <w:szCs w:val="20"/>
                <w:color w:val="auto"/>
              </w:rPr>
            </w:pPr>
            <w:r>
              <w:rPr>
                <w:rFonts w:ascii="Times New Roman" w:cs="Times New Roman" w:eastAsia="Times New Roman" w:hAnsi="Times New Roman"/>
                <w:sz w:val="10"/>
                <w:szCs w:val="10"/>
                <w:i w:val="1"/>
                <w:iCs w:val="1"/>
                <w:color w:val="auto"/>
              </w:rPr>
              <w:t>Worldwide Express</w:t>
            </w: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40" w:type="dxa"/>
            <w:vAlign w:val="bottom"/>
            <w:gridSpan w:val="2"/>
          </w:tcPr>
          <w:p>
            <w:pPr>
              <w:ind w:left="40"/>
              <w:spacing w:after="0"/>
              <w:rPr>
                <w:sz w:val="20"/>
                <w:szCs w:val="20"/>
                <w:color w:val="auto"/>
              </w:rPr>
            </w:pPr>
            <w:r>
              <w:rPr>
                <w:rFonts w:ascii="Times New Roman" w:cs="Times New Roman" w:eastAsia="Times New Roman" w:hAnsi="Times New Roman"/>
                <w:sz w:val="10"/>
                <w:szCs w:val="10"/>
                <w:color w:val="auto"/>
              </w:rPr>
              <w:t>Transportation</w:t>
            </w:r>
          </w:p>
        </w:tc>
      </w:tr>
      <w:tr>
        <w:trPr>
          <w:trHeight w:val="107"/>
        </w:trPr>
        <w:tc>
          <w:tcPr>
            <w:tcW w:w="1240" w:type="dxa"/>
            <w:vAlign w:val="bottom"/>
            <w:gridSpan w:val="2"/>
          </w:tcPr>
          <w:p>
            <w:pPr>
              <w:spacing w:after="0" w:line="107" w:lineRule="exact"/>
              <w:rPr>
                <w:sz w:val="20"/>
                <w:szCs w:val="20"/>
                <w:color w:val="auto"/>
              </w:rPr>
            </w:pPr>
            <w:r>
              <w:rPr>
                <w:rFonts w:ascii="Times New Roman" w:cs="Times New Roman" w:eastAsia="Times New Roman" w:hAnsi="Times New Roman"/>
                <w:sz w:val="10"/>
                <w:szCs w:val="10"/>
                <w:i w:val="1"/>
                <w:iCs w:val="1"/>
                <w:color w:val="auto"/>
              </w:rPr>
              <w:t>Operations, LLC</w:t>
            </w:r>
          </w:p>
        </w:tc>
        <w:tc>
          <w:tcPr>
            <w:tcW w:w="40" w:type="dxa"/>
            <w:vAlign w:val="bottom"/>
          </w:tcPr>
          <w:p>
            <w:pPr>
              <w:spacing w:after="0"/>
              <w:rPr>
                <w:sz w:val="9"/>
                <w:szCs w:val="9"/>
                <w:color w:val="auto"/>
              </w:rPr>
            </w:pPr>
          </w:p>
        </w:tc>
        <w:tc>
          <w:tcPr>
            <w:tcW w:w="740" w:type="dxa"/>
            <w:vAlign w:val="bottom"/>
          </w:tcPr>
          <w:p>
            <w:pPr>
              <w:spacing w:after="0"/>
              <w:rPr>
                <w:sz w:val="9"/>
                <w:szCs w:val="9"/>
                <w:color w:val="auto"/>
              </w:rPr>
            </w:pPr>
          </w:p>
        </w:tc>
        <w:tc>
          <w:tcPr>
            <w:tcW w:w="940" w:type="dxa"/>
            <w:vAlign w:val="bottom"/>
            <w:gridSpan w:val="2"/>
          </w:tcPr>
          <w:p>
            <w:pPr>
              <w:ind w:left="40"/>
              <w:spacing w:after="0" w:line="107" w:lineRule="exact"/>
              <w:rPr>
                <w:sz w:val="20"/>
                <w:szCs w:val="20"/>
                <w:color w:val="auto"/>
              </w:rPr>
            </w:pPr>
            <w:r>
              <w:rPr>
                <w:rFonts w:ascii="Times New Roman" w:cs="Times New Roman" w:eastAsia="Times New Roman" w:hAnsi="Times New Roman"/>
                <w:sz w:val="10"/>
                <w:szCs w:val="10"/>
                <w:color w:val="auto"/>
              </w:rPr>
              <w:t>services</w:t>
            </w:r>
          </w:p>
        </w:tc>
      </w:tr>
      <w:tr>
        <w:trPr>
          <w:trHeight w:val="105"/>
        </w:trPr>
        <w:tc>
          <w:tcPr>
            <w:tcW w:w="1240" w:type="dxa"/>
            <w:vAlign w:val="bottom"/>
            <w:gridSpan w:val="2"/>
          </w:tcPr>
          <w:p>
            <w:pPr>
              <w:ind w:left="100"/>
              <w:spacing w:after="0" w:line="105" w:lineRule="exact"/>
              <w:rPr>
                <w:sz w:val="20"/>
                <w:szCs w:val="20"/>
                <w:color w:val="auto"/>
              </w:rPr>
            </w:pPr>
            <w:r>
              <w:rPr>
                <w:rFonts w:ascii="Times New Roman" w:cs="Times New Roman" w:eastAsia="Times New Roman" w:hAnsi="Times New Roman"/>
                <w:sz w:val="10"/>
                <w:szCs w:val="10"/>
                <w:color w:val="auto"/>
                <w:w w:val="97"/>
              </w:rPr>
              <w:t>2700 Commerce Street Suite</w:t>
            </w:r>
          </w:p>
        </w:tc>
        <w:tc>
          <w:tcPr>
            <w:tcW w:w="780" w:type="dxa"/>
            <w:vAlign w:val="bottom"/>
            <w:gridSpan w:val="2"/>
          </w:tcPr>
          <w:p>
            <w:pPr>
              <w:ind w:left="40"/>
              <w:spacing w:after="0" w:line="105" w:lineRule="exact"/>
              <w:rPr>
                <w:sz w:val="20"/>
                <w:szCs w:val="20"/>
                <w:color w:val="auto"/>
              </w:rPr>
            </w:pPr>
            <w:r>
              <w:rPr>
                <w:rFonts w:ascii="Times New Roman" w:cs="Times New Roman" w:eastAsia="Times New Roman" w:hAnsi="Times New Roman"/>
                <w:sz w:val="10"/>
                <w:szCs w:val="10"/>
                <w:color w:val="auto"/>
              </w:rPr>
              <w:t>Common Equity</w:t>
            </w:r>
          </w:p>
        </w:tc>
        <w:tc>
          <w:tcPr>
            <w:tcW w:w="40" w:type="dxa"/>
            <w:vAlign w:val="bottom"/>
          </w:tcPr>
          <w:p>
            <w:pPr>
              <w:spacing w:after="0"/>
              <w:rPr>
                <w:sz w:val="9"/>
                <w:szCs w:val="9"/>
                <w:color w:val="auto"/>
              </w:rPr>
            </w:pPr>
          </w:p>
        </w:tc>
        <w:tc>
          <w:tcPr>
            <w:tcW w:w="900" w:type="dxa"/>
            <w:vAlign w:val="bottom"/>
          </w:tcPr>
          <w:p>
            <w:pPr>
              <w:spacing w:after="0"/>
              <w:rPr>
                <w:sz w:val="9"/>
                <w:szCs w:val="9"/>
                <w:color w:val="auto"/>
              </w:rPr>
            </w:pPr>
          </w:p>
        </w:tc>
      </w:tr>
      <w:tr>
        <w:trPr>
          <w:trHeight w:val="105"/>
        </w:trPr>
        <w:tc>
          <w:tcPr>
            <w:tcW w:w="1100" w:type="dxa"/>
            <w:vAlign w:val="bottom"/>
          </w:tcPr>
          <w:p>
            <w:pPr>
              <w:ind w:left="100"/>
              <w:spacing w:after="0" w:line="105" w:lineRule="exact"/>
              <w:rPr>
                <w:sz w:val="20"/>
                <w:szCs w:val="20"/>
                <w:color w:val="auto"/>
              </w:rPr>
            </w:pPr>
            <w:r>
              <w:rPr>
                <w:rFonts w:ascii="Times New Roman" w:cs="Times New Roman" w:eastAsia="Times New Roman" w:hAnsi="Times New Roman"/>
                <w:sz w:val="10"/>
                <w:szCs w:val="10"/>
                <w:color w:val="auto"/>
              </w:rPr>
              <w:t>1500</w:t>
            </w:r>
          </w:p>
        </w:tc>
        <w:tc>
          <w:tcPr>
            <w:tcW w:w="140" w:type="dxa"/>
            <w:vAlign w:val="bottom"/>
          </w:tcPr>
          <w:p>
            <w:pPr>
              <w:spacing w:after="0"/>
              <w:rPr>
                <w:sz w:val="9"/>
                <w:szCs w:val="9"/>
                <w:color w:val="auto"/>
              </w:rPr>
            </w:pPr>
          </w:p>
        </w:tc>
        <w:tc>
          <w:tcPr>
            <w:tcW w:w="780" w:type="dxa"/>
            <w:vAlign w:val="bottom"/>
            <w:gridSpan w:val="2"/>
          </w:tcPr>
          <w:p>
            <w:pPr>
              <w:ind w:left="40"/>
              <w:spacing w:after="0" w:line="105" w:lineRule="exact"/>
              <w:rPr>
                <w:sz w:val="20"/>
                <w:szCs w:val="20"/>
                <w:color w:val="auto"/>
              </w:rPr>
            </w:pPr>
            <w:r>
              <w:rPr>
                <w:rFonts w:ascii="Times New Roman" w:cs="Times New Roman" w:eastAsia="Times New Roman" w:hAnsi="Times New Roman"/>
                <w:sz w:val="10"/>
                <w:szCs w:val="10"/>
                <w:color w:val="auto"/>
              </w:rPr>
              <w:t>(795,000 units)</w:t>
            </w:r>
          </w:p>
        </w:tc>
        <w:tc>
          <w:tcPr>
            <w:tcW w:w="40" w:type="dxa"/>
            <w:vAlign w:val="bottom"/>
          </w:tcPr>
          <w:p>
            <w:pPr>
              <w:spacing w:after="0"/>
              <w:rPr>
                <w:sz w:val="9"/>
                <w:szCs w:val="9"/>
                <w:color w:val="auto"/>
              </w:rPr>
            </w:pPr>
          </w:p>
        </w:tc>
        <w:tc>
          <w:tcPr>
            <w:tcW w:w="900" w:type="dxa"/>
            <w:vAlign w:val="bottom"/>
          </w:tcPr>
          <w:p>
            <w:pPr>
              <w:spacing w:after="0"/>
              <w:rPr>
                <w:sz w:val="9"/>
                <w:szCs w:val="9"/>
                <w:color w:val="auto"/>
              </w:rPr>
            </w:pPr>
          </w:p>
        </w:tc>
      </w:tr>
      <w:tr>
        <w:trPr>
          <w:trHeight w:val="105"/>
        </w:trPr>
        <w:tc>
          <w:tcPr>
            <w:tcW w:w="1240" w:type="dxa"/>
            <w:vAlign w:val="bottom"/>
            <w:gridSpan w:val="2"/>
          </w:tcPr>
          <w:p>
            <w:pPr>
              <w:ind w:left="100"/>
              <w:spacing w:after="0" w:line="105" w:lineRule="exact"/>
              <w:rPr>
                <w:sz w:val="20"/>
                <w:szCs w:val="20"/>
                <w:color w:val="auto"/>
              </w:rPr>
            </w:pPr>
            <w:r>
              <w:rPr>
                <w:rFonts w:ascii="Times New Roman" w:cs="Times New Roman" w:eastAsia="Times New Roman" w:hAnsi="Times New Roman"/>
                <w:sz w:val="10"/>
                <w:szCs w:val="10"/>
                <w:color w:val="auto"/>
              </w:rPr>
              <w:t>Dallas, TX 75226</w:t>
            </w:r>
          </w:p>
        </w:tc>
        <w:tc>
          <w:tcPr>
            <w:tcW w:w="780" w:type="dxa"/>
            <w:vAlign w:val="bottom"/>
            <w:gridSpan w:val="2"/>
          </w:tcPr>
          <w:p>
            <w:pPr>
              <w:ind w:left="40"/>
              <w:spacing w:after="0" w:line="105" w:lineRule="exact"/>
              <w:rPr>
                <w:sz w:val="20"/>
                <w:szCs w:val="20"/>
                <w:color w:val="auto"/>
              </w:rPr>
            </w:pPr>
            <w:r>
              <w:rPr>
                <w:rFonts w:ascii="Times New Roman" w:cs="Times New Roman" w:eastAsia="Times New Roman" w:hAnsi="Times New Roman"/>
                <w:sz w:val="10"/>
                <w:szCs w:val="10"/>
                <w:color w:val="auto"/>
              </w:rPr>
              <w:t>Common Equity</w:t>
            </w:r>
          </w:p>
        </w:tc>
        <w:tc>
          <w:tcPr>
            <w:tcW w:w="40" w:type="dxa"/>
            <w:vAlign w:val="bottom"/>
          </w:tcPr>
          <w:p>
            <w:pPr>
              <w:spacing w:after="0"/>
              <w:rPr>
                <w:sz w:val="9"/>
                <w:szCs w:val="9"/>
                <w:color w:val="auto"/>
              </w:rPr>
            </w:pPr>
          </w:p>
        </w:tc>
        <w:tc>
          <w:tcPr>
            <w:tcW w:w="900" w:type="dxa"/>
            <w:vAlign w:val="bottom"/>
          </w:tcPr>
          <w:p>
            <w:pPr>
              <w:spacing w:after="0"/>
              <w:rPr>
                <w:sz w:val="9"/>
                <w:szCs w:val="9"/>
                <w:color w:val="auto"/>
              </w:rPr>
            </w:pPr>
          </w:p>
        </w:tc>
      </w:tr>
      <w:tr>
        <w:trPr>
          <w:trHeight w:val="105"/>
        </w:trPr>
        <w:tc>
          <w:tcPr>
            <w:tcW w:w="1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gridSpan w:val="2"/>
          </w:tcPr>
          <w:p>
            <w:pPr>
              <w:ind w:left="40"/>
              <w:spacing w:after="0" w:line="105" w:lineRule="exact"/>
              <w:rPr>
                <w:sz w:val="20"/>
                <w:szCs w:val="20"/>
                <w:color w:val="auto"/>
              </w:rPr>
            </w:pPr>
            <w:r>
              <w:rPr>
                <w:rFonts w:ascii="Times New Roman" w:cs="Times New Roman" w:eastAsia="Times New Roman" w:hAnsi="Times New Roman"/>
                <w:sz w:val="10"/>
                <w:szCs w:val="10"/>
                <w:color w:val="auto"/>
              </w:rPr>
              <w:t>(752,380</w:t>
            </w:r>
          </w:p>
        </w:tc>
        <w:tc>
          <w:tcPr>
            <w:tcW w:w="40" w:type="dxa"/>
            <w:vAlign w:val="bottom"/>
          </w:tcPr>
          <w:p>
            <w:pPr>
              <w:spacing w:after="0"/>
              <w:rPr>
                <w:sz w:val="9"/>
                <w:szCs w:val="9"/>
                <w:color w:val="auto"/>
              </w:rPr>
            </w:pPr>
          </w:p>
        </w:tc>
        <w:tc>
          <w:tcPr>
            <w:tcW w:w="900" w:type="dxa"/>
            <w:vAlign w:val="bottom"/>
          </w:tcPr>
          <w:p>
            <w:pPr>
              <w:spacing w:after="0"/>
              <w:rPr>
                <w:sz w:val="9"/>
                <w:szCs w:val="9"/>
                <w:color w:val="auto"/>
              </w:rPr>
            </w:pPr>
          </w:p>
        </w:tc>
      </w:tr>
      <w:tr>
        <w:trPr>
          <w:trHeight w:val="125"/>
        </w:trPr>
        <w:tc>
          <w:tcPr>
            <w:tcW w:w="1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gridSpan w:val="2"/>
          </w:tcPr>
          <w:p>
            <w:pPr>
              <w:ind w:left="40"/>
              <w:spacing w:after="0"/>
              <w:rPr>
                <w:sz w:val="20"/>
                <w:szCs w:val="20"/>
                <w:color w:val="auto"/>
              </w:rPr>
            </w:pPr>
            <w:r>
              <w:rPr>
                <w:rFonts w:ascii="Times New Roman" w:cs="Times New Roman" w:eastAsia="Times New Roman" w:hAnsi="Times New Roman"/>
                <w:sz w:val="10"/>
                <w:szCs w:val="10"/>
                <w:color w:val="auto"/>
              </w:rPr>
              <w:t>units) (h)</w:t>
            </w:r>
          </w:p>
        </w:tc>
        <w:tc>
          <w:tcPr>
            <w:tcW w:w="40" w:type="dxa"/>
            <w:vAlign w:val="bottom"/>
          </w:tcPr>
          <w:p>
            <w:pPr>
              <w:spacing w:after="0"/>
              <w:rPr>
                <w:sz w:val="10"/>
                <w:szCs w:val="10"/>
                <w:color w:val="auto"/>
              </w:rPr>
            </w:pPr>
          </w:p>
        </w:tc>
        <w:tc>
          <w:tcPr>
            <w:tcW w:w="900" w:type="dxa"/>
            <w:vAlign w:val="bottom"/>
          </w:tcPr>
          <w:p>
            <w:pPr>
              <w:spacing w:after="0"/>
              <w:rPr>
                <w:sz w:val="10"/>
                <w:szCs w:val="10"/>
                <w:color w:val="auto"/>
              </w:rPr>
            </w:pPr>
          </w:p>
        </w:tc>
      </w:tr>
    </w:tbl>
    <w:p>
      <w:pPr>
        <w:spacing w:after="0" w:line="124"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0"/>
          <w:szCs w:val="10"/>
          <w:b w:val="1"/>
          <w:bCs w:val="1"/>
          <w:color w:val="auto"/>
        </w:rPr>
        <w:t>Total</w:t>
      </w:r>
    </w:p>
    <w:p>
      <w:pPr>
        <w:ind w:left="1480"/>
        <w:spacing w:after="0" w:line="221" w:lineRule="auto"/>
        <w:rPr>
          <w:sz w:val="20"/>
          <w:szCs w:val="20"/>
          <w:color w:val="auto"/>
        </w:rPr>
      </w:pPr>
      <w:r>
        <w:rPr>
          <w:rFonts w:ascii="Times New Roman" w:cs="Times New Roman" w:eastAsia="Times New Roman" w:hAnsi="Times New Roman"/>
          <w:sz w:val="10"/>
          <w:szCs w:val="10"/>
          <w:b w:val="1"/>
          <w:bCs w:val="1"/>
          <w:color w:val="auto"/>
        </w:rPr>
        <w:t>Non-control/Non-affiliate</w:t>
      </w:r>
    </w:p>
    <w:p>
      <w:pPr>
        <w:ind w:left="1480"/>
        <w:spacing w:after="0"/>
        <w:rPr>
          <w:sz w:val="20"/>
          <w:szCs w:val="20"/>
          <w:color w:val="auto"/>
        </w:rPr>
      </w:pPr>
      <w:r>
        <w:rPr>
          <w:rFonts w:ascii="Times New Roman" w:cs="Times New Roman" w:eastAsia="Times New Roman" w:hAnsi="Times New Roman"/>
          <w:sz w:val="10"/>
          <w:szCs w:val="10"/>
          <w:b w:val="1"/>
          <w:bCs w:val="1"/>
          <w:color w:val="auto"/>
        </w:rPr>
        <w:t>Investments</w:t>
      </w:r>
    </w:p>
    <w:p>
      <w:pPr>
        <w:spacing w:after="0" w:line="20"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0"/>
          <w:szCs w:val="10"/>
          <w:b w:val="1"/>
          <w:bCs w:val="1"/>
          <w:color w:val="auto"/>
        </w:rPr>
        <w:t>Total Investments</w:t>
      </w:r>
    </w:p>
    <w:p>
      <w:pPr>
        <w:spacing w:after="0" w:line="32"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0"/>
          <w:szCs w:val="10"/>
          <w:b w:val="1"/>
          <w:bCs w:val="1"/>
          <w:color w:val="auto"/>
        </w:rPr>
        <w:t>Money market funds</w:t>
      </w:r>
    </w:p>
    <w:p>
      <w:pPr>
        <w:ind w:left="1480"/>
        <w:spacing w:after="0" w:line="221" w:lineRule="auto"/>
        <w:rPr>
          <w:sz w:val="20"/>
          <w:szCs w:val="20"/>
          <w:color w:val="auto"/>
        </w:rPr>
      </w:pPr>
      <w:r>
        <w:rPr>
          <w:rFonts w:ascii="Times New Roman" w:cs="Times New Roman" w:eastAsia="Times New Roman" w:hAnsi="Times New Roman"/>
          <w:sz w:val="10"/>
          <w:szCs w:val="10"/>
          <w:b w:val="1"/>
          <w:bCs w:val="1"/>
          <w:color w:val="auto"/>
        </w:rPr>
        <w:t>(included in cash and cash</w:t>
      </w:r>
    </w:p>
    <w:p>
      <w:pPr>
        <w:ind w:left="1480"/>
        <w:spacing w:after="0" w:line="219" w:lineRule="auto"/>
        <w:rPr>
          <w:sz w:val="20"/>
          <w:szCs w:val="20"/>
          <w:color w:val="auto"/>
        </w:rPr>
      </w:pPr>
      <w:r>
        <w:rPr>
          <w:rFonts w:ascii="Times New Roman" w:cs="Times New Roman" w:eastAsia="Times New Roman" w:hAnsi="Times New Roman"/>
          <w:sz w:val="10"/>
          <w:szCs w:val="10"/>
          <w:b w:val="1"/>
          <w:bCs w:val="1"/>
          <w:color w:val="auto"/>
        </w:rPr>
        <w:t>equivalents)</w:t>
      </w:r>
    </w:p>
    <w:p>
      <w:pPr>
        <w:ind w:left="1480"/>
        <w:spacing w:after="0" w:line="218" w:lineRule="auto"/>
        <w:rPr>
          <w:sz w:val="20"/>
          <w:szCs w:val="20"/>
          <w:color w:val="auto"/>
        </w:rPr>
      </w:pPr>
      <w:r>
        <w:rPr>
          <w:rFonts w:ascii="Times New Roman" w:cs="Times New Roman" w:eastAsia="Times New Roman" w:hAnsi="Times New Roman"/>
          <w:sz w:val="10"/>
          <w:szCs w:val="10"/>
          <w:color w:val="auto"/>
        </w:rPr>
        <w:t>Goldman Sachs Financial</w:t>
      </w:r>
    </w:p>
    <w:p>
      <w:pPr>
        <w:ind w:left="1480"/>
        <w:spacing w:after="0" w:line="219" w:lineRule="auto"/>
        <w:rPr>
          <w:sz w:val="20"/>
          <w:szCs w:val="20"/>
          <w:color w:val="auto"/>
        </w:rPr>
      </w:pPr>
      <w:r>
        <w:rPr>
          <w:rFonts w:ascii="Times New Roman" w:cs="Times New Roman" w:eastAsia="Times New Roman" w:hAnsi="Times New Roman"/>
          <w:sz w:val="10"/>
          <w:szCs w:val="10"/>
          <w:color w:val="auto"/>
        </w:rPr>
        <w:t>Square Treasury Obligation</w:t>
      </w:r>
    </w:p>
    <w:p>
      <w:pPr>
        <w:ind w:left="1480"/>
        <w:spacing w:after="0" w:line="218" w:lineRule="auto"/>
        <w:rPr>
          <w:sz w:val="20"/>
          <w:szCs w:val="20"/>
          <w:color w:val="auto"/>
        </w:rPr>
      </w:pPr>
      <w:r>
        <w:rPr>
          <w:rFonts w:ascii="Times New Roman" w:cs="Times New Roman" w:eastAsia="Times New Roman" w:hAnsi="Times New Roman"/>
          <w:sz w:val="10"/>
          <w:szCs w:val="10"/>
          <w:color w:val="auto"/>
        </w:rPr>
        <w:t>Institution CUSIP</w:t>
      </w:r>
    </w:p>
    <w:p>
      <w:pPr>
        <w:ind w:left="1480"/>
        <w:spacing w:after="0"/>
        <w:rPr>
          <w:sz w:val="20"/>
          <w:szCs w:val="20"/>
          <w:color w:val="auto"/>
        </w:rPr>
      </w:pPr>
      <w:r>
        <w:rPr>
          <w:rFonts w:ascii="Times New Roman" w:cs="Times New Roman" w:eastAsia="Times New Roman" w:hAnsi="Times New Roman"/>
          <w:sz w:val="10"/>
          <w:szCs w:val="10"/>
          <w:color w:val="auto"/>
        </w:rPr>
        <w:t>(38141W323) (ad)</w:t>
      </w:r>
    </w:p>
    <w:p>
      <w:pPr>
        <w:ind w:left="1380"/>
        <w:spacing w:after="0"/>
        <w:rPr>
          <w:sz w:val="20"/>
          <w:szCs w:val="20"/>
          <w:color w:val="auto"/>
        </w:rPr>
      </w:pPr>
      <w:r>
        <w:rPr>
          <w:rFonts w:ascii="Times New Roman" w:cs="Times New Roman" w:eastAsia="Times New Roman" w:hAnsi="Times New Roman"/>
          <w:sz w:val="10"/>
          <w:szCs w:val="10"/>
          <w:b w:val="1"/>
          <w:bCs w:val="1"/>
          <w:color w:val="auto"/>
        </w:rPr>
        <w:t>Total money market funds</w:t>
      </w:r>
    </w:p>
    <w:p>
      <w:pPr>
        <w:spacing w:after="0" w:line="30"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0"/>
          <w:szCs w:val="10"/>
          <w:b w:val="1"/>
          <w:bCs w:val="1"/>
          <w:color w:val="auto"/>
        </w:rPr>
        <w:t>Total Investments and</w:t>
      </w:r>
    </w:p>
    <w:p>
      <w:pPr>
        <w:spacing w:after="0" w:line="2"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0"/>
          <w:szCs w:val="10"/>
          <w:b w:val="1"/>
          <w:bCs w:val="1"/>
          <w:color w:val="auto"/>
        </w:rPr>
        <w:t>Money Market Funds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873125</wp:posOffset>
            </wp:positionH>
            <wp:positionV relativeFrom="paragraph">
              <wp:posOffset>88265</wp:posOffset>
            </wp:positionV>
            <wp:extent cx="598170" cy="635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66">
                      <a:extLst>
                        <a:ext uri="{28A0092B-C50C-407E-A947-70E740481C1C}"/>
                      </a:extLst>
                    </a:blip>
                    <a:srcRect/>
                    <a:stretch>
                      <a:fillRect/>
                    </a:stretch>
                  </pic:blipFill>
                  <pic:spPr bwMode="auto">
                    <a:xfrm>
                      <a:off x="0" y="0"/>
                      <a:ext cx="598170" cy="63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4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95"/>
        </w:trPr>
        <w:tc>
          <w:tcPr>
            <w:tcW w:w="740" w:type="dxa"/>
            <w:vAlign w:val="bottom"/>
            <w:gridSpan w:val="2"/>
          </w:tcPr>
          <w:p>
            <w:pPr>
              <w:jc w:val="center"/>
              <w:ind w:right="180"/>
              <w:spacing w:after="0"/>
              <w:rPr>
                <w:sz w:val="20"/>
                <w:szCs w:val="20"/>
                <w:color w:val="auto"/>
              </w:rPr>
            </w:pPr>
            <w:r>
              <w:rPr>
                <w:rFonts w:ascii="Times New Roman" w:cs="Times New Roman" w:eastAsia="Times New Roman" w:hAnsi="Times New Roman"/>
                <w:sz w:val="8"/>
                <w:szCs w:val="8"/>
                <w:b w:val="1"/>
                <w:bCs w:val="1"/>
                <w:color w:val="auto"/>
              </w:rPr>
              <w:t>Percentage of</w:t>
            </w:r>
          </w:p>
        </w:tc>
        <w:tc>
          <w:tcPr>
            <w:tcW w:w="940" w:type="dxa"/>
            <w:vAlign w:val="bottom"/>
            <w:gridSpan w:val="2"/>
          </w:tcPr>
          <w:p>
            <w:pPr>
              <w:jc w:val="center"/>
              <w:ind w:right="60"/>
              <w:spacing w:after="0"/>
              <w:rPr>
                <w:sz w:val="20"/>
                <w:szCs w:val="20"/>
                <w:color w:val="auto"/>
              </w:rPr>
            </w:pPr>
            <w:r>
              <w:rPr>
                <w:rFonts w:ascii="Times New Roman" w:cs="Times New Roman" w:eastAsia="Times New Roman" w:hAnsi="Times New Roman"/>
                <w:sz w:val="8"/>
                <w:szCs w:val="8"/>
                <w:b w:val="1"/>
                <w:bCs w:val="1"/>
                <w:color w:val="auto"/>
              </w:rPr>
              <w:t>Variable Index</w:t>
            </w:r>
          </w:p>
        </w:tc>
        <w:tc>
          <w:tcPr>
            <w:tcW w:w="700" w:type="dxa"/>
            <w:vAlign w:val="bottom"/>
            <w:gridSpan w:val="2"/>
          </w:tcPr>
          <w:p>
            <w:pPr>
              <w:jc w:val="center"/>
              <w:ind w:right="100"/>
              <w:spacing w:after="0"/>
              <w:rPr>
                <w:sz w:val="20"/>
                <w:szCs w:val="20"/>
                <w:color w:val="auto"/>
              </w:rPr>
            </w:pPr>
            <w:r>
              <w:rPr>
                <w:rFonts w:ascii="Times New Roman" w:cs="Times New Roman" w:eastAsia="Times New Roman" w:hAnsi="Times New Roman"/>
                <w:sz w:val="8"/>
                <w:szCs w:val="8"/>
                <w:b w:val="1"/>
                <w:bCs w:val="1"/>
                <w:color w:val="auto"/>
              </w:rPr>
              <w:t>Rate (e)</w:t>
            </w:r>
          </w:p>
        </w:tc>
        <w:tc>
          <w:tcPr>
            <w:tcW w:w="580" w:type="dxa"/>
            <w:vAlign w:val="bottom"/>
            <w:gridSpan w:val="2"/>
          </w:tcPr>
          <w:p>
            <w:pPr>
              <w:jc w:val="center"/>
              <w:ind w:right="100"/>
              <w:spacing w:after="0"/>
              <w:rPr>
                <w:sz w:val="20"/>
                <w:szCs w:val="20"/>
                <w:color w:val="auto"/>
              </w:rPr>
            </w:pPr>
            <w:r>
              <w:rPr>
                <w:rFonts w:ascii="Times New Roman" w:cs="Times New Roman" w:eastAsia="Times New Roman" w:hAnsi="Times New Roman"/>
                <w:sz w:val="8"/>
                <w:szCs w:val="8"/>
                <w:b w:val="1"/>
                <w:bCs w:val="1"/>
                <w:color w:val="auto"/>
              </w:rPr>
              <w:t>Investment</w:t>
            </w: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gridSpan w:val="2"/>
          </w:tcPr>
          <w:p>
            <w:pPr>
              <w:jc w:val="center"/>
              <w:ind w:right="100"/>
              <w:spacing w:after="0"/>
              <w:rPr>
                <w:sz w:val="20"/>
                <w:szCs w:val="20"/>
                <w:color w:val="auto"/>
              </w:rPr>
            </w:pPr>
            <w:r>
              <w:rPr>
                <w:rFonts w:ascii="Times New Roman" w:cs="Times New Roman" w:eastAsia="Times New Roman" w:hAnsi="Times New Roman"/>
                <w:sz w:val="8"/>
                <w:szCs w:val="8"/>
                <w:b w:val="1"/>
                <w:bCs w:val="1"/>
                <w:color w:val="auto"/>
              </w:rPr>
              <w:t>Principal</w:t>
            </w: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gridSpan w:val="2"/>
          </w:tcPr>
          <w:p>
            <w:pPr>
              <w:jc w:val="center"/>
              <w:ind w:right="100"/>
              <w:spacing w:after="0"/>
              <w:rPr>
                <w:sz w:val="20"/>
                <w:szCs w:val="20"/>
                <w:color w:val="auto"/>
              </w:rPr>
            </w:pPr>
            <w:r>
              <w:rPr>
                <w:rFonts w:ascii="Times New Roman" w:cs="Times New Roman" w:eastAsia="Times New Roman" w:hAnsi="Times New Roman"/>
                <w:sz w:val="8"/>
                <w:szCs w:val="8"/>
                <w:b w:val="1"/>
                <w:bCs w:val="1"/>
                <w:color w:val="auto"/>
                <w:w w:val="95"/>
              </w:rPr>
              <w:t>Fair</w:t>
            </w:r>
          </w:p>
        </w:tc>
        <w:tc>
          <w:tcPr>
            <w:tcW w:w="360" w:type="dxa"/>
            <w:vAlign w:val="bottom"/>
          </w:tcPr>
          <w:p>
            <w:pPr>
              <w:spacing w:after="0"/>
              <w:rPr>
                <w:sz w:val="20"/>
                <w:szCs w:val="20"/>
                <w:color w:val="auto"/>
              </w:rPr>
            </w:pPr>
            <w:r>
              <w:rPr>
                <w:rFonts w:ascii="Times New Roman" w:cs="Times New Roman" w:eastAsia="Times New Roman" w:hAnsi="Times New Roman"/>
                <w:sz w:val="8"/>
                <w:szCs w:val="8"/>
                <w:b w:val="1"/>
                <w:bCs w:val="1"/>
                <w:color w:val="auto"/>
                <w:w w:val="97"/>
              </w:rPr>
              <w:t>Percent of</w:t>
            </w:r>
          </w:p>
        </w:tc>
      </w:tr>
      <w:tr>
        <w:trPr>
          <w:trHeight w:val="115"/>
        </w:trPr>
        <w:tc>
          <w:tcPr>
            <w:tcW w:w="740" w:type="dxa"/>
            <w:vAlign w:val="bottom"/>
            <w:gridSpan w:val="2"/>
          </w:tcPr>
          <w:p>
            <w:pPr>
              <w:jc w:val="center"/>
              <w:ind w:right="180"/>
              <w:spacing w:after="0"/>
              <w:rPr>
                <w:sz w:val="20"/>
                <w:szCs w:val="20"/>
                <w:color w:val="auto"/>
              </w:rPr>
            </w:pPr>
            <w:r>
              <w:rPr>
                <w:rFonts w:ascii="Times New Roman" w:cs="Times New Roman" w:eastAsia="Times New Roman" w:hAnsi="Times New Roman"/>
                <w:sz w:val="8"/>
                <w:szCs w:val="8"/>
                <w:b w:val="1"/>
                <w:bCs w:val="1"/>
                <w:color w:val="auto"/>
              </w:rPr>
              <w:t>Class Held (bn)</w:t>
            </w:r>
          </w:p>
        </w:tc>
        <w:tc>
          <w:tcPr>
            <w:tcW w:w="940" w:type="dxa"/>
            <w:vAlign w:val="bottom"/>
            <w:gridSpan w:val="2"/>
          </w:tcPr>
          <w:p>
            <w:pPr>
              <w:jc w:val="center"/>
              <w:ind w:right="60"/>
              <w:spacing w:after="0"/>
              <w:rPr>
                <w:sz w:val="20"/>
                <w:szCs w:val="20"/>
                <w:color w:val="auto"/>
              </w:rPr>
            </w:pPr>
            <w:r>
              <w:rPr>
                <w:rFonts w:ascii="Times New Roman" w:cs="Times New Roman" w:eastAsia="Times New Roman" w:hAnsi="Times New Roman"/>
                <w:sz w:val="8"/>
                <w:szCs w:val="8"/>
                <w:b w:val="1"/>
                <w:bCs w:val="1"/>
                <w:color w:val="auto"/>
              </w:rPr>
              <w:t>Spread / Floor (d)</w:t>
            </w:r>
          </w:p>
        </w:tc>
        <w:tc>
          <w:tcPr>
            <w:tcW w:w="700" w:type="dxa"/>
            <w:vAlign w:val="bottom"/>
            <w:gridSpan w:val="2"/>
          </w:tcPr>
          <w:p>
            <w:pPr>
              <w:jc w:val="center"/>
              <w:ind w:right="100"/>
              <w:spacing w:after="0"/>
              <w:rPr>
                <w:sz w:val="20"/>
                <w:szCs w:val="20"/>
                <w:color w:val="auto"/>
              </w:rPr>
            </w:pPr>
            <w:r>
              <w:rPr>
                <w:rFonts w:ascii="Times New Roman" w:cs="Times New Roman" w:eastAsia="Times New Roman" w:hAnsi="Times New Roman"/>
                <w:sz w:val="8"/>
                <w:szCs w:val="8"/>
                <w:b w:val="1"/>
                <w:bCs w:val="1"/>
                <w:color w:val="auto"/>
              </w:rPr>
              <w:t>Cash/PIK</w:t>
            </w:r>
          </w:p>
        </w:tc>
        <w:tc>
          <w:tcPr>
            <w:tcW w:w="580" w:type="dxa"/>
            <w:vAlign w:val="bottom"/>
            <w:gridSpan w:val="2"/>
          </w:tcPr>
          <w:p>
            <w:pPr>
              <w:jc w:val="center"/>
              <w:ind w:right="100"/>
              <w:spacing w:after="0"/>
              <w:rPr>
                <w:sz w:val="20"/>
                <w:szCs w:val="20"/>
                <w:color w:val="auto"/>
              </w:rPr>
            </w:pPr>
            <w:r>
              <w:rPr>
                <w:rFonts w:ascii="Times New Roman" w:cs="Times New Roman" w:eastAsia="Times New Roman" w:hAnsi="Times New Roman"/>
                <w:sz w:val="8"/>
                <w:szCs w:val="8"/>
                <w:b w:val="1"/>
                <w:bCs w:val="1"/>
                <w:color w:val="auto"/>
              </w:rPr>
              <w:t>Date (f)</w:t>
            </w:r>
          </w:p>
        </w:tc>
        <w:tc>
          <w:tcPr>
            <w:tcW w:w="580" w:type="dxa"/>
            <w:vAlign w:val="bottom"/>
            <w:gridSpan w:val="2"/>
          </w:tcPr>
          <w:p>
            <w:pPr>
              <w:ind w:left="80"/>
              <w:spacing w:after="0"/>
              <w:rPr>
                <w:sz w:val="20"/>
                <w:szCs w:val="20"/>
                <w:color w:val="auto"/>
              </w:rPr>
            </w:pPr>
            <w:r>
              <w:rPr>
                <w:rFonts w:ascii="Times New Roman" w:cs="Times New Roman" w:eastAsia="Times New Roman" w:hAnsi="Times New Roman"/>
                <w:sz w:val="8"/>
                <w:szCs w:val="8"/>
                <w:b w:val="1"/>
                <w:bCs w:val="1"/>
                <w:color w:val="auto"/>
              </w:rPr>
              <w:t>Maturity</w:t>
            </w:r>
          </w:p>
        </w:tc>
        <w:tc>
          <w:tcPr>
            <w:tcW w:w="420" w:type="dxa"/>
            <w:vAlign w:val="bottom"/>
            <w:gridSpan w:val="2"/>
          </w:tcPr>
          <w:p>
            <w:pPr>
              <w:jc w:val="center"/>
              <w:ind w:right="100"/>
              <w:spacing w:after="0"/>
              <w:rPr>
                <w:sz w:val="20"/>
                <w:szCs w:val="20"/>
                <w:color w:val="auto"/>
              </w:rPr>
            </w:pPr>
            <w:r>
              <w:rPr>
                <w:rFonts w:ascii="Times New Roman" w:cs="Times New Roman" w:eastAsia="Times New Roman" w:hAnsi="Times New Roman"/>
                <w:sz w:val="8"/>
                <w:szCs w:val="8"/>
                <w:b w:val="1"/>
                <w:bCs w:val="1"/>
                <w:color w:val="auto"/>
                <w:w w:val="99"/>
              </w:rPr>
              <w:t>Amount</w:t>
            </w:r>
          </w:p>
        </w:tc>
        <w:tc>
          <w:tcPr>
            <w:tcW w:w="540" w:type="dxa"/>
            <w:vAlign w:val="bottom"/>
            <w:gridSpan w:val="2"/>
          </w:tcPr>
          <w:p>
            <w:pPr>
              <w:ind w:left="140"/>
              <w:spacing w:after="0"/>
              <w:rPr>
                <w:sz w:val="20"/>
                <w:szCs w:val="20"/>
                <w:color w:val="auto"/>
              </w:rPr>
            </w:pPr>
            <w:r>
              <w:rPr>
                <w:rFonts w:ascii="Times New Roman" w:cs="Times New Roman" w:eastAsia="Times New Roman" w:hAnsi="Times New Roman"/>
                <w:sz w:val="8"/>
                <w:szCs w:val="8"/>
                <w:b w:val="1"/>
                <w:bCs w:val="1"/>
                <w:color w:val="auto"/>
              </w:rPr>
              <w:t>Cost</w:t>
            </w:r>
          </w:p>
        </w:tc>
        <w:tc>
          <w:tcPr>
            <w:tcW w:w="560" w:type="dxa"/>
            <w:vAlign w:val="bottom"/>
            <w:gridSpan w:val="2"/>
          </w:tcPr>
          <w:p>
            <w:pPr>
              <w:jc w:val="center"/>
              <w:ind w:right="80"/>
              <w:spacing w:after="0"/>
              <w:rPr>
                <w:sz w:val="20"/>
                <w:szCs w:val="20"/>
                <w:color w:val="auto"/>
              </w:rPr>
            </w:pPr>
            <w:r>
              <w:rPr>
                <w:rFonts w:ascii="Times New Roman" w:cs="Times New Roman" w:eastAsia="Times New Roman" w:hAnsi="Times New Roman"/>
                <w:sz w:val="8"/>
                <w:szCs w:val="8"/>
                <w:b w:val="1"/>
                <w:bCs w:val="1"/>
                <w:color w:val="auto"/>
              </w:rPr>
              <w:t>Value (g)</w:t>
            </w:r>
          </w:p>
        </w:tc>
        <w:tc>
          <w:tcPr>
            <w:tcW w:w="360" w:type="dxa"/>
            <w:vAlign w:val="bottom"/>
          </w:tcPr>
          <w:p>
            <w:pPr>
              <w:spacing w:after="0"/>
              <w:rPr>
                <w:sz w:val="20"/>
                <w:szCs w:val="20"/>
                <w:color w:val="auto"/>
              </w:rPr>
            </w:pPr>
            <w:r>
              <w:rPr>
                <w:rFonts w:ascii="Times New Roman" w:cs="Times New Roman" w:eastAsia="Times New Roman" w:hAnsi="Times New Roman"/>
                <w:sz w:val="8"/>
                <w:szCs w:val="8"/>
                <w:b w:val="1"/>
                <w:bCs w:val="1"/>
                <w:color w:val="auto"/>
                <w:w w:val="96"/>
              </w:rPr>
              <w:t>Net Assets</w:t>
            </w:r>
          </w:p>
        </w:tc>
      </w:tr>
      <w:tr>
        <w:trPr>
          <w:trHeight w:val="20"/>
        </w:trPr>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-1907540</wp:posOffset>
            </wp:positionH>
            <wp:positionV relativeFrom="paragraph">
              <wp:posOffset>-5715</wp:posOffset>
            </wp:positionV>
            <wp:extent cx="5422265" cy="1993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67">
                      <a:extLst>
                        <a:ext uri="{28A0092B-C50C-407E-A947-70E740481C1C}"/>
                      </a:extLst>
                    </a:blip>
                    <a:srcRect/>
                    <a:stretch>
                      <a:fillRect/>
                    </a:stretch>
                  </pic:blipFill>
                  <pic:spPr bwMode="auto">
                    <a:xfrm>
                      <a:off x="0" y="0"/>
                      <a:ext cx="5422265" cy="1993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tbl>
      <w:tblPr>
        <w:tblLayout w:type="fixed"/>
        <w:tblInd w:w="440" w:type="dxa"/>
        <w:tblCellMar>
          <w:top w:w="0" w:type="dxa"/>
          <w:left w:w="0" w:type="dxa"/>
          <w:bottom w:w="0" w:type="dxa"/>
          <w:right w:w="0" w:type="dxa"/>
        </w:tblCellMar>
      </w:tblPr>
      <w:tr>
        <w:trPr>
          <w:trHeight w:val="125"/>
        </w:trPr>
        <w:tc>
          <w:tcPr>
            <w:tcW w:w="122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(S + 5.00%) / (2.00%)</w:t>
            </w:r>
          </w:p>
        </w:tc>
        <w:tc>
          <w:tcPr>
            <w:tcW w:w="700" w:type="dxa"/>
            <w:vAlign w:val="bottom"/>
          </w:tcPr>
          <w:p>
            <w:pPr>
              <w:jc w:val="right"/>
              <w:ind w:right="31"/>
              <w:spacing w:after="0"/>
              <w:rPr>
                <w:sz w:val="20"/>
                <w:szCs w:val="20"/>
                <w:color w:val="auto"/>
              </w:rPr>
            </w:pPr>
            <w:r>
              <w:rPr>
                <w:rFonts w:ascii="Times New Roman" w:cs="Times New Roman" w:eastAsia="Times New Roman" w:hAnsi="Times New Roman"/>
                <w:sz w:val="10"/>
                <w:szCs w:val="10"/>
                <w:color w:val="auto"/>
              </w:rPr>
              <w:t>8.67%/0.00%</w:t>
            </w:r>
          </w:p>
        </w:tc>
        <w:tc>
          <w:tcPr>
            <w:tcW w:w="580" w:type="dxa"/>
            <w:vAlign w:val="bottom"/>
          </w:tcPr>
          <w:p>
            <w:pPr>
              <w:jc w:val="right"/>
              <w:ind w:right="31"/>
              <w:spacing w:after="0"/>
              <w:rPr>
                <w:sz w:val="20"/>
                <w:szCs w:val="20"/>
                <w:color w:val="auto"/>
              </w:rPr>
            </w:pPr>
            <w:r>
              <w:rPr>
                <w:rFonts w:ascii="Times New Roman" w:cs="Times New Roman" w:eastAsia="Times New Roman" w:hAnsi="Times New Roman"/>
                <w:sz w:val="10"/>
                <w:szCs w:val="10"/>
                <w:color w:val="auto"/>
              </w:rPr>
              <w:t>2/10/2021</w:t>
            </w:r>
          </w:p>
        </w:tc>
        <w:tc>
          <w:tcPr>
            <w:tcW w:w="60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5/14/2028</w:t>
            </w:r>
          </w:p>
        </w:tc>
        <w:tc>
          <w:tcPr>
            <w:tcW w:w="42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8,316</w:t>
            </w: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8,316</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0"/>
                <w:szCs w:val="10"/>
                <w:color w:val="auto"/>
              </w:rPr>
              <w:t>8,316</w:t>
            </w:r>
          </w:p>
        </w:tc>
        <w:tc>
          <w:tcPr>
            <w:tcW w:w="3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w:t>
            </w:r>
          </w:p>
        </w:tc>
        <w:tc>
          <w:tcPr>
            <w:tcW w:w="0" w:type="dxa"/>
            <w:vAlign w:val="bottom"/>
          </w:tcPr>
          <w:p>
            <w:pPr>
              <w:spacing w:after="0"/>
              <w:rPr>
                <w:sz w:val="1"/>
                <w:szCs w:val="1"/>
                <w:color w:val="auto"/>
              </w:rPr>
            </w:pPr>
          </w:p>
        </w:tc>
      </w:tr>
      <w:tr>
        <w:trPr>
          <w:trHeight w:val="398"/>
        </w:trPr>
        <w:tc>
          <w:tcPr>
            <w:tcW w:w="122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(S + 6.50%) / (2.00%)</w:t>
            </w:r>
          </w:p>
        </w:tc>
        <w:tc>
          <w:tcPr>
            <w:tcW w:w="700" w:type="dxa"/>
            <w:vAlign w:val="bottom"/>
          </w:tcPr>
          <w:p>
            <w:pPr>
              <w:jc w:val="right"/>
              <w:ind w:right="31"/>
              <w:spacing w:after="0"/>
              <w:rPr>
                <w:sz w:val="20"/>
                <w:szCs w:val="20"/>
                <w:color w:val="auto"/>
              </w:rPr>
            </w:pPr>
            <w:r>
              <w:rPr>
                <w:rFonts w:ascii="Times New Roman" w:cs="Times New Roman" w:eastAsia="Times New Roman" w:hAnsi="Times New Roman"/>
                <w:sz w:val="10"/>
                <w:szCs w:val="10"/>
                <w:color w:val="auto"/>
              </w:rPr>
              <w:t>10.16%/0.00%</w:t>
            </w:r>
          </w:p>
        </w:tc>
        <w:tc>
          <w:tcPr>
            <w:tcW w:w="580" w:type="dxa"/>
            <w:vAlign w:val="bottom"/>
          </w:tcPr>
          <w:p>
            <w:pPr>
              <w:jc w:val="right"/>
              <w:ind w:right="31"/>
              <w:spacing w:after="0"/>
              <w:rPr>
                <w:sz w:val="20"/>
                <w:szCs w:val="20"/>
                <w:color w:val="auto"/>
              </w:rPr>
            </w:pPr>
            <w:r>
              <w:rPr>
                <w:rFonts w:ascii="Times New Roman" w:cs="Times New Roman" w:eastAsia="Times New Roman" w:hAnsi="Times New Roman"/>
                <w:sz w:val="10"/>
                <w:szCs w:val="10"/>
                <w:color w:val="auto"/>
              </w:rPr>
              <w:t>11/13/2024</w:t>
            </w:r>
          </w:p>
        </w:tc>
        <w:tc>
          <w:tcPr>
            <w:tcW w:w="60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11/13/2029</w:t>
            </w:r>
          </w:p>
        </w:tc>
        <w:tc>
          <w:tcPr>
            <w:tcW w:w="42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6,000</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5,966</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0"/>
                <w:szCs w:val="10"/>
                <w:color w:val="auto"/>
              </w:rPr>
              <w:t>6,000</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1220" w:type="dxa"/>
            <w:vAlign w:val="bottom"/>
          </w:tcPr>
          <w:p>
            <w:pPr>
              <w:jc w:val="right"/>
              <w:ind w:right="971"/>
              <w:spacing w:after="0"/>
              <w:rPr>
                <w:sz w:val="20"/>
                <w:szCs w:val="20"/>
                <w:color w:val="auto"/>
              </w:rPr>
            </w:pPr>
            <w:r>
              <w:rPr>
                <w:rFonts w:ascii="Times New Roman" w:cs="Times New Roman" w:eastAsia="Times New Roman" w:hAnsi="Times New Roman"/>
                <w:sz w:val="10"/>
                <w:szCs w:val="10"/>
                <w:color w:val="auto"/>
                <w:w w:val="86"/>
              </w:rPr>
              <w:t>3.8%</w:t>
            </w:r>
          </w:p>
        </w:tc>
        <w:tc>
          <w:tcPr>
            <w:tcW w:w="700" w:type="dxa"/>
            <w:vAlign w:val="bottom"/>
          </w:tcPr>
          <w:p>
            <w:pPr>
              <w:spacing w:after="0"/>
              <w:rPr>
                <w:sz w:val="24"/>
                <w:szCs w:val="24"/>
                <w:color w:val="auto"/>
              </w:rPr>
            </w:pPr>
          </w:p>
        </w:tc>
        <w:tc>
          <w:tcPr>
            <w:tcW w:w="580" w:type="dxa"/>
            <w:vAlign w:val="bottom"/>
          </w:tcPr>
          <w:p>
            <w:pPr>
              <w:jc w:val="right"/>
              <w:ind w:right="31"/>
              <w:spacing w:after="0"/>
              <w:rPr>
                <w:sz w:val="20"/>
                <w:szCs w:val="20"/>
                <w:color w:val="auto"/>
              </w:rPr>
            </w:pPr>
            <w:r>
              <w:rPr>
                <w:rFonts w:ascii="Times New Roman" w:cs="Times New Roman" w:eastAsia="Times New Roman" w:hAnsi="Times New Roman"/>
                <w:sz w:val="10"/>
                <w:szCs w:val="10"/>
                <w:color w:val="auto"/>
              </w:rPr>
              <w:t>11/13/2024</w:t>
            </w: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1,000</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0"/>
                <w:szCs w:val="10"/>
                <w:color w:val="auto"/>
              </w:rPr>
              <w:t>1,424</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6,966</w:t>
            </w:r>
          </w:p>
        </w:tc>
        <w:tc>
          <w:tcPr>
            <w:tcW w:w="8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7,424</w:t>
            </w:r>
          </w:p>
        </w:tc>
        <w:tc>
          <w:tcPr>
            <w:tcW w:w="160" w:type="dxa"/>
            <w:vAlign w:val="bottom"/>
          </w:tcPr>
          <w:p>
            <w:pPr>
              <w:spacing w:after="0"/>
              <w:rPr>
                <w:sz w:val="10"/>
                <w:szCs w:val="10"/>
                <w:color w:val="auto"/>
              </w:rPr>
            </w:pPr>
          </w:p>
        </w:tc>
        <w:tc>
          <w:tcPr>
            <w:tcW w:w="3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w:t>
            </w:r>
          </w:p>
        </w:tc>
        <w:tc>
          <w:tcPr>
            <w:tcW w:w="0" w:type="dxa"/>
            <w:vAlign w:val="bottom"/>
          </w:tcPr>
          <w:p>
            <w:pPr>
              <w:spacing w:after="0"/>
              <w:rPr>
                <w:sz w:val="1"/>
                <w:szCs w:val="1"/>
                <w:color w:val="auto"/>
              </w:rPr>
            </w:pPr>
          </w:p>
        </w:tc>
      </w:tr>
      <w:tr>
        <w:trPr>
          <w:trHeight w:val="416"/>
        </w:trPr>
        <w:tc>
          <w:tcPr>
            <w:tcW w:w="1220" w:type="dxa"/>
            <w:vAlign w:val="bottom"/>
          </w:tcPr>
          <w:p>
            <w:pPr>
              <w:jc w:val="right"/>
              <w:ind w:right="971"/>
              <w:spacing w:after="0"/>
              <w:rPr>
                <w:sz w:val="20"/>
                <w:szCs w:val="20"/>
                <w:color w:val="auto"/>
              </w:rPr>
            </w:pPr>
            <w:r>
              <w:rPr>
                <w:rFonts w:ascii="Times New Roman" w:cs="Times New Roman" w:eastAsia="Times New Roman" w:hAnsi="Times New Roman"/>
                <w:sz w:val="10"/>
                <w:szCs w:val="10"/>
                <w:color w:val="auto"/>
                <w:w w:val="86"/>
              </w:rPr>
              <w:t>0.0%</w:t>
            </w:r>
          </w:p>
        </w:tc>
        <w:tc>
          <w:tcPr>
            <w:tcW w:w="700" w:type="dxa"/>
            <w:vAlign w:val="bottom"/>
          </w:tcPr>
          <w:p>
            <w:pPr>
              <w:spacing w:after="0"/>
              <w:rPr>
                <w:sz w:val="24"/>
                <w:szCs w:val="24"/>
                <w:color w:val="auto"/>
              </w:rPr>
            </w:pPr>
          </w:p>
        </w:tc>
        <w:tc>
          <w:tcPr>
            <w:tcW w:w="580" w:type="dxa"/>
            <w:vAlign w:val="bottom"/>
          </w:tcPr>
          <w:p>
            <w:pPr>
              <w:jc w:val="right"/>
              <w:ind w:right="31"/>
              <w:spacing w:after="0"/>
              <w:rPr>
                <w:sz w:val="20"/>
                <w:szCs w:val="20"/>
                <w:color w:val="auto"/>
              </w:rPr>
            </w:pPr>
            <w:r>
              <w:rPr>
                <w:rFonts w:ascii="Times New Roman" w:cs="Times New Roman" w:eastAsia="Times New Roman" w:hAnsi="Times New Roman"/>
                <w:sz w:val="10"/>
                <w:szCs w:val="10"/>
                <w:color w:val="auto"/>
              </w:rPr>
              <w:t>7/21/2021</w:t>
            </w: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795</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0"/>
                <w:szCs w:val="10"/>
                <w:color w:val="auto"/>
              </w:rPr>
              <w:t>1,151</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1220" w:type="dxa"/>
            <w:vAlign w:val="bottom"/>
          </w:tcPr>
          <w:p>
            <w:pPr>
              <w:jc w:val="right"/>
              <w:ind w:right="971"/>
              <w:spacing w:after="0"/>
              <w:rPr>
                <w:sz w:val="20"/>
                <w:szCs w:val="20"/>
                <w:color w:val="auto"/>
              </w:rPr>
            </w:pPr>
            <w:r>
              <w:rPr>
                <w:rFonts w:ascii="Times New Roman" w:cs="Times New Roman" w:eastAsia="Times New Roman" w:hAnsi="Times New Roman"/>
                <w:sz w:val="10"/>
                <w:szCs w:val="10"/>
                <w:color w:val="auto"/>
                <w:w w:val="86"/>
              </w:rPr>
              <w:t>0.0%</w:t>
            </w:r>
          </w:p>
        </w:tc>
        <w:tc>
          <w:tcPr>
            <w:tcW w:w="700" w:type="dxa"/>
            <w:vAlign w:val="bottom"/>
          </w:tcPr>
          <w:p>
            <w:pPr>
              <w:spacing w:after="0"/>
              <w:rPr>
                <w:sz w:val="24"/>
                <w:szCs w:val="24"/>
                <w:color w:val="auto"/>
              </w:rPr>
            </w:pPr>
          </w:p>
        </w:tc>
        <w:tc>
          <w:tcPr>
            <w:tcW w:w="580" w:type="dxa"/>
            <w:vAlign w:val="bottom"/>
          </w:tcPr>
          <w:p>
            <w:pPr>
              <w:jc w:val="right"/>
              <w:ind w:right="31"/>
              <w:spacing w:after="0"/>
              <w:rPr>
                <w:sz w:val="20"/>
                <w:szCs w:val="20"/>
                <w:color w:val="auto"/>
              </w:rPr>
            </w:pPr>
            <w:r>
              <w:rPr>
                <w:rFonts w:ascii="Times New Roman" w:cs="Times New Roman" w:eastAsia="Times New Roman" w:hAnsi="Times New Roman"/>
                <w:sz w:val="10"/>
                <w:szCs w:val="10"/>
                <w:color w:val="auto"/>
              </w:rPr>
              <w:t>7/26/2021</w:t>
            </w: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225</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0"/>
                <w:szCs w:val="10"/>
                <w:color w:val="auto"/>
              </w:rPr>
              <w:t>873</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6"/>
        </w:trPr>
        <w:tc>
          <w:tcPr>
            <w:tcW w:w="1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Borders>
              <w:top w:val="single" w:sz="8" w:color="auto"/>
              <w:bottom w:val="single" w:sz="8" w:color="auto"/>
            </w:tcBorders>
          </w:tcPr>
          <w:p>
            <w:pPr>
              <w:spacing w:after="0"/>
              <w:rPr>
                <w:sz w:val="9"/>
                <w:szCs w:val="9"/>
                <w:color w:val="auto"/>
              </w:rPr>
            </w:pPr>
          </w:p>
        </w:tc>
        <w:tc>
          <w:tcPr>
            <w:tcW w:w="400" w:type="dxa"/>
            <w:vAlign w:val="bottom"/>
            <w:tcBorders>
              <w:top w:val="single" w:sz="8" w:color="auto"/>
              <w:bottom w:val="single" w:sz="8" w:color="auto"/>
            </w:tcBorders>
          </w:tcPr>
          <w:p>
            <w:pPr>
              <w:jc w:val="right"/>
              <w:spacing w:after="0" w:line="106" w:lineRule="exact"/>
              <w:rPr>
                <w:sz w:val="20"/>
                <w:szCs w:val="20"/>
                <w:color w:val="auto"/>
              </w:rPr>
            </w:pPr>
            <w:r>
              <w:rPr>
                <w:rFonts w:ascii="Times New Roman" w:cs="Times New Roman" w:eastAsia="Times New Roman" w:hAnsi="Times New Roman"/>
                <w:sz w:val="10"/>
                <w:szCs w:val="10"/>
                <w:color w:val="auto"/>
              </w:rPr>
              <w:t>1,020</w:t>
            </w:r>
          </w:p>
        </w:tc>
        <w:tc>
          <w:tcPr>
            <w:tcW w:w="80" w:type="dxa"/>
            <w:vAlign w:val="bottom"/>
          </w:tcPr>
          <w:p>
            <w:pPr>
              <w:spacing w:after="0"/>
              <w:rPr>
                <w:sz w:val="9"/>
                <w:szCs w:val="9"/>
                <w:color w:val="auto"/>
              </w:rPr>
            </w:pPr>
          </w:p>
        </w:tc>
        <w:tc>
          <w:tcPr>
            <w:tcW w:w="60" w:type="dxa"/>
            <w:vAlign w:val="bottom"/>
            <w:tcBorders>
              <w:top w:val="single" w:sz="8" w:color="auto"/>
              <w:bottom w:val="single" w:sz="8" w:color="auto"/>
            </w:tcBorders>
          </w:tcPr>
          <w:p>
            <w:pPr>
              <w:spacing w:after="0"/>
              <w:rPr>
                <w:sz w:val="9"/>
                <w:szCs w:val="9"/>
                <w:color w:val="auto"/>
              </w:rPr>
            </w:pPr>
          </w:p>
        </w:tc>
        <w:tc>
          <w:tcPr>
            <w:tcW w:w="400" w:type="dxa"/>
            <w:vAlign w:val="bottom"/>
            <w:tcBorders>
              <w:top w:val="single" w:sz="8" w:color="auto"/>
              <w:bottom w:val="single" w:sz="8" w:color="auto"/>
            </w:tcBorders>
          </w:tcPr>
          <w:p>
            <w:pPr>
              <w:jc w:val="right"/>
              <w:spacing w:after="0" w:line="106" w:lineRule="exact"/>
              <w:rPr>
                <w:sz w:val="20"/>
                <w:szCs w:val="20"/>
                <w:color w:val="auto"/>
              </w:rPr>
            </w:pPr>
            <w:r>
              <w:rPr>
                <w:rFonts w:ascii="Times New Roman" w:cs="Times New Roman" w:eastAsia="Times New Roman" w:hAnsi="Times New Roman"/>
                <w:sz w:val="10"/>
                <w:szCs w:val="10"/>
                <w:color w:val="auto"/>
              </w:rPr>
              <w:t>2,024</w:t>
            </w:r>
          </w:p>
        </w:tc>
        <w:tc>
          <w:tcPr>
            <w:tcW w:w="160" w:type="dxa"/>
            <w:vAlign w:val="bottom"/>
          </w:tcPr>
          <w:p>
            <w:pPr>
              <w:spacing w:after="0"/>
              <w:rPr>
                <w:sz w:val="9"/>
                <w:szCs w:val="9"/>
                <w:color w:val="auto"/>
              </w:rPr>
            </w:pPr>
          </w:p>
        </w:tc>
        <w:tc>
          <w:tcPr>
            <w:tcW w:w="380" w:type="dxa"/>
            <w:vAlign w:val="bottom"/>
          </w:tcPr>
          <w:p>
            <w:pPr>
              <w:jc w:val="right"/>
              <w:spacing w:after="0" w:line="106" w:lineRule="exact"/>
              <w:rPr>
                <w:sz w:val="20"/>
                <w:szCs w:val="20"/>
                <w:color w:val="auto"/>
              </w:rPr>
            </w:pPr>
            <w:r>
              <w:rPr>
                <w:rFonts w:ascii="Times New Roman" w:cs="Times New Roman" w:eastAsia="Times New Roman" w:hAnsi="Times New Roman"/>
                <w:sz w:val="10"/>
                <w:szCs w:val="10"/>
                <w:color w:val="auto"/>
              </w:rPr>
              <w:t>0%</w:t>
            </w:r>
          </w:p>
        </w:tc>
        <w:tc>
          <w:tcPr>
            <w:tcW w:w="0" w:type="dxa"/>
            <w:vAlign w:val="bottom"/>
          </w:tcPr>
          <w:p>
            <w:pPr>
              <w:spacing w:after="0"/>
              <w:rPr>
                <w:sz w:val="1"/>
                <w:szCs w:val="1"/>
                <w:color w:val="auto"/>
              </w:rPr>
            </w:pPr>
          </w:p>
        </w:tc>
      </w:tr>
      <w:tr>
        <w:trPr>
          <w:trHeight w:val="315"/>
        </w:trPr>
        <w:tc>
          <w:tcPr>
            <w:tcW w:w="1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0"/>
                <w:szCs w:val="10"/>
                <w:u w:val="single" w:color="auto"/>
                <w:color w:val="auto"/>
                <w:w w:val="79"/>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94"/>
              </w:rPr>
              <w:t>1,257,389</w:t>
            </w:r>
          </w:p>
        </w:tc>
        <w:tc>
          <w:tcPr>
            <w:tcW w:w="80" w:type="dxa"/>
            <w:vAlign w:val="bottom"/>
          </w:tcPr>
          <w:p>
            <w:pPr>
              <w:spacing w:after="0"/>
              <w:rPr>
                <w:sz w:val="24"/>
                <w:szCs w:val="24"/>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u w:val="single" w:color="auto"/>
                <w:color w:val="auto"/>
                <w:w w:val="79"/>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94"/>
              </w:rPr>
              <w:t>1,246,352</w:t>
            </w:r>
          </w:p>
        </w:tc>
        <w:tc>
          <w:tcPr>
            <w:tcW w:w="16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168%</w:t>
            </w: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38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185%</w:t>
            </w:r>
          </w:p>
        </w:tc>
        <w:tc>
          <w:tcPr>
            <w:tcW w:w="0" w:type="dxa"/>
            <w:vAlign w:val="bottom"/>
          </w:tcPr>
          <w:p>
            <w:pPr>
              <w:spacing w:after="0" w:line="20" w:lineRule="exact"/>
              <w:rPr>
                <w:sz w:val="1"/>
                <w:szCs w:val="1"/>
                <w:color w:val="auto"/>
              </w:rPr>
            </w:pPr>
          </w:p>
        </w:tc>
      </w:tr>
      <w:tr>
        <w:trPr>
          <w:trHeight w:val="87"/>
        </w:trPr>
        <w:tc>
          <w:tcPr>
            <w:tcW w:w="1220" w:type="dxa"/>
            <w:vAlign w:val="bottom"/>
          </w:tcPr>
          <w:p>
            <w:pPr>
              <w:spacing w:after="0"/>
              <w:rPr>
                <w:sz w:val="7"/>
                <w:szCs w:val="7"/>
                <w:color w:val="auto"/>
              </w:rPr>
            </w:pPr>
          </w:p>
        </w:tc>
        <w:tc>
          <w:tcPr>
            <w:tcW w:w="70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5"/>
                <w:szCs w:val="5"/>
                <w:u w:val="single" w:color="auto"/>
                <w:color w:val="auto"/>
                <w:w w:val="78"/>
              </w:rPr>
              <w:t>$</w:t>
            </w:r>
          </w:p>
        </w:tc>
        <w:tc>
          <w:tcPr>
            <w:tcW w:w="400" w:type="dxa"/>
            <w:vAlign w:val="bottom"/>
            <w:tcBorders>
              <w:top w:val="single" w:sz="8" w:color="auto"/>
              <w:bottom w:val="single" w:sz="8" w:color="auto"/>
            </w:tcBorders>
          </w:tcPr>
          <w:p>
            <w:pPr>
              <w:jc w:val="right"/>
              <w:spacing w:after="0" w:line="87" w:lineRule="exact"/>
              <w:rPr>
                <w:sz w:val="20"/>
                <w:szCs w:val="20"/>
                <w:color w:val="auto"/>
              </w:rPr>
            </w:pPr>
            <w:r>
              <w:rPr>
                <w:rFonts w:ascii="Times New Roman" w:cs="Times New Roman" w:eastAsia="Times New Roman" w:hAnsi="Times New Roman"/>
                <w:sz w:val="10"/>
                <w:szCs w:val="10"/>
                <w:color w:val="auto"/>
                <w:w w:val="94"/>
              </w:rPr>
              <w:t>1,336,135</w:t>
            </w:r>
          </w:p>
        </w:tc>
        <w:tc>
          <w:tcPr>
            <w:tcW w:w="80" w:type="dxa"/>
            <w:vAlign w:val="bottom"/>
          </w:tcPr>
          <w:p>
            <w:pPr>
              <w:spacing w:after="0"/>
              <w:rPr>
                <w:sz w:val="7"/>
                <w:szCs w:val="7"/>
                <w:color w:val="auto"/>
              </w:rPr>
            </w:pPr>
          </w:p>
        </w:tc>
        <w:tc>
          <w:tcPr>
            <w:tcW w:w="60" w:type="dxa"/>
            <w:vAlign w:val="bottom"/>
            <w:tcBorders>
              <w:top w:val="single" w:sz="8" w:color="auto"/>
              <w:bottom w:val="single" w:sz="8" w:color="auto"/>
            </w:tcBorders>
          </w:tcPr>
          <w:p>
            <w:pPr>
              <w:jc w:val="right"/>
              <w:spacing w:after="0" w:line="87" w:lineRule="exact"/>
              <w:rPr>
                <w:sz w:val="20"/>
                <w:szCs w:val="20"/>
                <w:color w:val="auto"/>
              </w:rPr>
            </w:pPr>
            <w:r>
              <w:rPr>
                <w:rFonts w:ascii="Times New Roman" w:cs="Times New Roman" w:eastAsia="Times New Roman" w:hAnsi="Times New Roman"/>
                <w:sz w:val="10"/>
                <w:szCs w:val="10"/>
                <w:u w:val="single" w:color="auto"/>
                <w:color w:val="auto"/>
                <w:w w:val="79"/>
              </w:rPr>
              <w:t>$</w:t>
            </w:r>
          </w:p>
        </w:tc>
        <w:tc>
          <w:tcPr>
            <w:tcW w:w="400" w:type="dxa"/>
            <w:vAlign w:val="bottom"/>
            <w:tcBorders>
              <w:top w:val="single" w:sz="8" w:color="auto"/>
              <w:bottom w:val="single" w:sz="8" w:color="auto"/>
            </w:tcBorders>
          </w:tcPr>
          <w:p>
            <w:pPr>
              <w:jc w:val="right"/>
              <w:spacing w:after="0" w:line="87" w:lineRule="exact"/>
              <w:rPr>
                <w:sz w:val="20"/>
                <w:szCs w:val="20"/>
                <w:color w:val="auto"/>
              </w:rPr>
            </w:pPr>
            <w:r>
              <w:rPr>
                <w:rFonts w:ascii="Times New Roman" w:cs="Times New Roman" w:eastAsia="Times New Roman" w:hAnsi="Times New Roman"/>
                <w:sz w:val="10"/>
                <w:szCs w:val="10"/>
                <w:color w:val="auto"/>
                <w:w w:val="94"/>
              </w:rPr>
              <w:t>1,369,257</w:t>
            </w:r>
          </w:p>
        </w:tc>
        <w:tc>
          <w:tcPr>
            <w:tcW w:w="160" w:type="dxa"/>
            <w:vAlign w:val="bottom"/>
          </w:tcPr>
          <w:p>
            <w:pPr>
              <w:spacing w:after="0"/>
              <w:rPr>
                <w:sz w:val="7"/>
                <w:szCs w:val="7"/>
                <w:color w:val="auto"/>
              </w:rPr>
            </w:pPr>
          </w:p>
        </w:tc>
        <w:tc>
          <w:tcPr>
            <w:tcW w:w="3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14"/>
        </w:trPr>
        <w:tc>
          <w:tcPr>
            <w:tcW w:w="1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80" w:type="dxa"/>
            <w:vAlign w:val="bottom"/>
            <w:gridSpan w:val="3"/>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48,277</w:t>
            </w:r>
          </w:p>
        </w:tc>
        <w:tc>
          <w:tcPr>
            <w:tcW w:w="80" w:type="dxa"/>
            <w:vAlign w:val="bottom"/>
          </w:tcPr>
          <w:p>
            <w:pPr>
              <w:spacing w:after="0"/>
              <w:rPr>
                <w:sz w:val="24"/>
                <w:szCs w:val="24"/>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0"/>
                <w:szCs w:val="10"/>
                <w:color w:val="auto"/>
              </w:rPr>
              <w:t>48,277</w:t>
            </w:r>
          </w:p>
        </w:tc>
        <w:tc>
          <w:tcPr>
            <w:tcW w:w="3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w:t>
            </w:r>
          </w:p>
        </w:tc>
        <w:tc>
          <w:tcPr>
            <w:tcW w:w="0" w:type="dxa"/>
            <w:vAlign w:val="bottom"/>
          </w:tcPr>
          <w:p>
            <w:pPr>
              <w:spacing w:after="0"/>
              <w:rPr>
                <w:sz w:val="1"/>
                <w:szCs w:val="1"/>
                <w:color w:val="auto"/>
              </w:rPr>
            </w:pPr>
          </w:p>
        </w:tc>
      </w:tr>
      <w:tr>
        <w:trPr>
          <w:trHeight w:val="106"/>
        </w:trPr>
        <w:tc>
          <w:tcPr>
            <w:tcW w:w="1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Borders>
              <w:top w:val="single" w:sz="8" w:color="auto"/>
              <w:bottom w:val="single" w:sz="8" w:color="auto"/>
            </w:tcBorders>
            <w:gridSpan w:val="2"/>
          </w:tcPr>
          <w:p>
            <w:pPr>
              <w:jc w:val="right"/>
              <w:spacing w:after="0" w:line="106" w:lineRule="exact"/>
              <w:rPr>
                <w:sz w:val="20"/>
                <w:szCs w:val="20"/>
                <w:color w:val="auto"/>
              </w:rPr>
            </w:pPr>
            <w:r>
              <w:rPr>
                <w:rFonts w:ascii="Times New Roman" w:cs="Times New Roman" w:eastAsia="Times New Roman" w:hAnsi="Times New Roman"/>
                <w:sz w:val="10"/>
                <w:szCs w:val="10"/>
                <w:color w:val="auto"/>
                <w:w w:val="79"/>
              </w:rPr>
              <w:t>$</w:t>
            </w:r>
          </w:p>
        </w:tc>
        <w:tc>
          <w:tcPr>
            <w:tcW w:w="400" w:type="dxa"/>
            <w:vAlign w:val="bottom"/>
            <w:tcBorders>
              <w:top w:val="single" w:sz="8" w:color="auto"/>
              <w:bottom w:val="single" w:sz="8" w:color="auto"/>
            </w:tcBorders>
          </w:tcPr>
          <w:p>
            <w:pPr>
              <w:jc w:val="right"/>
              <w:spacing w:after="0" w:line="106" w:lineRule="exact"/>
              <w:rPr>
                <w:sz w:val="20"/>
                <w:szCs w:val="20"/>
                <w:color w:val="auto"/>
              </w:rPr>
            </w:pPr>
            <w:r>
              <w:rPr>
                <w:rFonts w:ascii="Times New Roman" w:cs="Times New Roman" w:eastAsia="Times New Roman" w:hAnsi="Times New Roman"/>
                <w:sz w:val="10"/>
                <w:szCs w:val="10"/>
                <w:color w:val="auto"/>
              </w:rPr>
              <w:t>48,277</w:t>
            </w:r>
          </w:p>
        </w:tc>
        <w:tc>
          <w:tcPr>
            <w:tcW w:w="80" w:type="dxa"/>
            <w:vAlign w:val="bottom"/>
          </w:tcPr>
          <w:p>
            <w:pPr>
              <w:spacing w:after="0"/>
              <w:rPr>
                <w:sz w:val="9"/>
                <w:szCs w:val="9"/>
                <w:color w:val="auto"/>
              </w:rPr>
            </w:pPr>
          </w:p>
        </w:tc>
        <w:tc>
          <w:tcPr>
            <w:tcW w:w="60" w:type="dxa"/>
            <w:vAlign w:val="bottom"/>
            <w:tcBorders>
              <w:top w:val="single" w:sz="8" w:color="auto"/>
              <w:bottom w:val="single" w:sz="8" w:color="auto"/>
            </w:tcBorders>
          </w:tcPr>
          <w:p>
            <w:pPr>
              <w:jc w:val="right"/>
              <w:spacing w:after="0" w:line="106" w:lineRule="exact"/>
              <w:rPr>
                <w:sz w:val="20"/>
                <w:szCs w:val="20"/>
                <w:color w:val="auto"/>
              </w:rPr>
            </w:pPr>
            <w:r>
              <w:rPr>
                <w:rFonts w:ascii="Times New Roman" w:cs="Times New Roman" w:eastAsia="Times New Roman" w:hAnsi="Times New Roman"/>
                <w:sz w:val="10"/>
                <w:szCs w:val="10"/>
                <w:color w:val="auto"/>
                <w:w w:val="79"/>
              </w:rPr>
              <w:t>$</w:t>
            </w:r>
          </w:p>
        </w:tc>
        <w:tc>
          <w:tcPr>
            <w:tcW w:w="400" w:type="dxa"/>
            <w:vAlign w:val="bottom"/>
            <w:tcBorders>
              <w:top w:val="single" w:sz="8" w:color="auto"/>
              <w:bottom w:val="single" w:sz="8" w:color="auto"/>
            </w:tcBorders>
          </w:tcPr>
          <w:p>
            <w:pPr>
              <w:jc w:val="right"/>
              <w:spacing w:after="0" w:line="106" w:lineRule="exact"/>
              <w:rPr>
                <w:sz w:val="20"/>
                <w:szCs w:val="20"/>
                <w:color w:val="auto"/>
              </w:rPr>
            </w:pPr>
            <w:r>
              <w:rPr>
                <w:rFonts w:ascii="Times New Roman" w:cs="Times New Roman" w:eastAsia="Times New Roman" w:hAnsi="Times New Roman"/>
                <w:sz w:val="10"/>
                <w:szCs w:val="10"/>
                <w:color w:val="auto"/>
              </w:rPr>
              <w:t>48,277</w:t>
            </w:r>
          </w:p>
        </w:tc>
        <w:tc>
          <w:tcPr>
            <w:tcW w:w="160" w:type="dxa"/>
            <w:vAlign w:val="bottom"/>
          </w:tcPr>
          <w:p>
            <w:pPr>
              <w:spacing w:after="0"/>
              <w:rPr>
                <w:sz w:val="9"/>
                <w:szCs w:val="9"/>
                <w:color w:val="auto"/>
              </w:rPr>
            </w:pPr>
          </w:p>
        </w:tc>
        <w:tc>
          <w:tcPr>
            <w:tcW w:w="380" w:type="dxa"/>
            <w:vAlign w:val="bottom"/>
          </w:tcPr>
          <w:p>
            <w:pPr>
              <w:jc w:val="right"/>
              <w:spacing w:after="0" w:line="106" w:lineRule="exact"/>
              <w:rPr>
                <w:sz w:val="20"/>
                <w:szCs w:val="20"/>
                <w:color w:val="auto"/>
              </w:rPr>
            </w:pPr>
            <w:r>
              <w:rPr>
                <w:rFonts w:ascii="Times New Roman" w:cs="Times New Roman" w:eastAsia="Times New Roman" w:hAnsi="Times New Roman"/>
                <w:sz w:val="10"/>
                <w:szCs w:val="10"/>
                <w:color w:val="auto"/>
              </w:rPr>
              <w:t>6%</w:t>
            </w: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1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80" w:type="dxa"/>
            <w:vAlign w:val="bottom"/>
            <w:gridSpan w:val="3"/>
          </w:tcPr>
          <w:p>
            <w:pPr>
              <w:jc w:val="right"/>
              <w:spacing w:after="0"/>
              <w:rPr>
                <w:sz w:val="20"/>
                <w:szCs w:val="20"/>
                <w:color w:val="auto"/>
              </w:rPr>
            </w:pPr>
            <w:r>
              <w:rPr>
                <w:rFonts w:ascii="Times New Roman" w:cs="Times New Roman" w:eastAsia="Times New Roman" w:hAnsi="Times New Roman"/>
                <w:sz w:val="10"/>
                <w:szCs w:val="10"/>
                <w:u w:val="single" w:color="auto"/>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94"/>
              </w:rPr>
              <w:t>1,384,412</w:t>
            </w:r>
          </w:p>
        </w:tc>
        <w:tc>
          <w:tcPr>
            <w:tcW w:w="80" w:type="dxa"/>
            <w:vAlign w:val="bottom"/>
          </w:tcPr>
          <w:p>
            <w:pPr>
              <w:spacing w:after="0"/>
              <w:rPr>
                <w:sz w:val="16"/>
                <w:szCs w:val="16"/>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0"/>
                <w:szCs w:val="10"/>
                <w:u w:val="single" w:color="auto"/>
                <w:color w:val="auto"/>
                <w:w w:val="79"/>
              </w:rPr>
              <w:t>$</w:t>
            </w: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0"/>
                <w:szCs w:val="10"/>
                <w:color w:val="auto"/>
                <w:w w:val="94"/>
              </w:rPr>
              <w:t>1,417,534</w:t>
            </w:r>
          </w:p>
        </w:tc>
        <w:tc>
          <w:tcPr>
            <w:tcW w:w="3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191%</w:t>
            </w: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-1907540</wp:posOffset>
            </wp:positionH>
            <wp:positionV relativeFrom="paragraph">
              <wp:posOffset>-2078990</wp:posOffset>
            </wp:positionV>
            <wp:extent cx="5422265" cy="6667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68">
                      <a:extLst>
                        <a:ext uri="{28A0092B-C50C-407E-A947-70E740481C1C}"/>
                      </a:extLst>
                    </a:blip>
                    <a:srcRect/>
                    <a:stretch>
                      <a:fillRect/>
                    </a:stretch>
                  </pic:blipFill>
                  <pic:spPr bwMode="auto">
                    <a:xfrm>
                      <a:off x="0" y="0"/>
                      <a:ext cx="5422265" cy="66675"/>
                    </a:xfrm>
                    <a:prstGeom prst="rect">
                      <a:avLst/>
                    </a:prstGeom>
                    <a:noFill/>
                  </pic:spPr>
                </pic:pic>
              </a:graphicData>
            </a:graphic>
          </wp:anchor>
        </w:drawing>
        <w:drawing>
          <wp:anchor simplePos="0" relativeHeight="251657728" behindDoc="1" locked="0" layoutInCell="0" allowOverlap="1">
            <wp:simplePos x="0" y="0"/>
            <wp:positionH relativeFrom="column">
              <wp:posOffset>-1907540</wp:posOffset>
            </wp:positionH>
            <wp:positionV relativeFrom="paragraph">
              <wp:posOffset>-1879600</wp:posOffset>
            </wp:positionV>
            <wp:extent cx="5422265" cy="1993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69">
                      <a:extLst>
                        <a:ext uri="{28A0092B-C50C-407E-A947-70E740481C1C}"/>
                      </a:extLst>
                    </a:blip>
                    <a:srcRect/>
                    <a:stretch>
                      <a:fillRect/>
                    </a:stretch>
                  </pic:blipFill>
                  <pic:spPr bwMode="auto">
                    <a:xfrm>
                      <a:off x="0" y="0"/>
                      <a:ext cx="5422265" cy="199390"/>
                    </a:xfrm>
                    <a:prstGeom prst="rect">
                      <a:avLst/>
                    </a:prstGeom>
                    <a:noFill/>
                  </pic:spPr>
                </pic:pic>
              </a:graphicData>
            </a:graphic>
          </wp:anchor>
        </w:drawing>
        <w:drawing>
          <wp:anchor simplePos="0" relativeHeight="251657728" behindDoc="1" locked="0" layoutInCell="0" allowOverlap="1">
            <wp:simplePos x="0" y="0"/>
            <wp:positionH relativeFrom="column">
              <wp:posOffset>-1907540</wp:posOffset>
            </wp:positionH>
            <wp:positionV relativeFrom="paragraph">
              <wp:posOffset>-1600835</wp:posOffset>
            </wp:positionV>
            <wp:extent cx="5422265" cy="13271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70">
                      <a:extLst>
                        <a:ext uri="{28A0092B-C50C-407E-A947-70E740481C1C}"/>
                      </a:extLst>
                    </a:blip>
                    <a:srcRect/>
                    <a:stretch>
                      <a:fillRect/>
                    </a:stretch>
                  </pic:blipFill>
                  <pic:spPr bwMode="auto">
                    <a:xfrm>
                      <a:off x="0" y="0"/>
                      <a:ext cx="5422265" cy="132715"/>
                    </a:xfrm>
                    <a:prstGeom prst="rect">
                      <a:avLst/>
                    </a:prstGeom>
                    <a:noFill/>
                  </pic:spPr>
                </pic:pic>
              </a:graphicData>
            </a:graphic>
          </wp:anchor>
        </w:drawing>
        <w:drawing>
          <wp:anchor simplePos="0" relativeHeight="251657728" behindDoc="1" locked="0" layoutInCell="0" allowOverlap="1">
            <wp:simplePos x="0" y="0"/>
            <wp:positionH relativeFrom="column">
              <wp:posOffset>-1907540</wp:posOffset>
            </wp:positionH>
            <wp:positionV relativeFrom="paragraph">
              <wp:posOffset>-1334770</wp:posOffset>
            </wp:positionV>
            <wp:extent cx="5422265" cy="1993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71">
                      <a:extLst>
                        <a:ext uri="{28A0092B-C50C-407E-A947-70E740481C1C}"/>
                      </a:extLst>
                    </a:blip>
                    <a:srcRect/>
                    <a:stretch>
                      <a:fillRect/>
                    </a:stretch>
                  </pic:blipFill>
                  <pic:spPr bwMode="auto">
                    <a:xfrm>
                      <a:off x="0" y="0"/>
                      <a:ext cx="5422265" cy="199390"/>
                    </a:xfrm>
                    <a:prstGeom prst="rect">
                      <a:avLst/>
                    </a:prstGeom>
                    <a:noFill/>
                  </pic:spPr>
                </pic:pic>
              </a:graphicData>
            </a:graphic>
          </wp:anchor>
        </w:drawing>
        <w:drawing>
          <wp:anchor simplePos="0" relativeHeight="251657728" behindDoc="1" locked="0" layoutInCell="0" allowOverlap="1">
            <wp:simplePos x="0" y="0"/>
            <wp:positionH relativeFrom="column">
              <wp:posOffset>-1907540</wp:posOffset>
            </wp:positionH>
            <wp:positionV relativeFrom="paragraph">
              <wp:posOffset>-1042670</wp:posOffset>
            </wp:positionV>
            <wp:extent cx="5422265" cy="1993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72">
                      <a:extLst>
                        <a:ext uri="{28A0092B-C50C-407E-A947-70E740481C1C}"/>
                      </a:extLst>
                    </a:blip>
                    <a:srcRect/>
                    <a:stretch>
                      <a:fillRect/>
                    </a:stretch>
                  </pic:blipFill>
                  <pic:spPr bwMode="auto">
                    <a:xfrm>
                      <a:off x="0" y="0"/>
                      <a:ext cx="5422265" cy="199390"/>
                    </a:xfrm>
                    <a:prstGeom prst="rect">
                      <a:avLst/>
                    </a:prstGeom>
                    <a:noFill/>
                  </pic:spPr>
                </pic:pic>
              </a:graphicData>
            </a:graphic>
          </wp:anchor>
        </w:drawing>
        <w:drawing>
          <wp:anchor simplePos="0" relativeHeight="251657728" behindDoc="1" locked="0" layoutInCell="0" allowOverlap="1">
            <wp:simplePos x="0" y="0"/>
            <wp:positionH relativeFrom="column">
              <wp:posOffset>-1907540</wp:posOffset>
            </wp:positionH>
            <wp:positionV relativeFrom="paragraph">
              <wp:posOffset>-723900</wp:posOffset>
            </wp:positionV>
            <wp:extent cx="5422265" cy="1993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73">
                      <a:extLst>
                        <a:ext uri="{28A0092B-C50C-407E-A947-70E740481C1C}"/>
                      </a:extLst>
                    </a:blip>
                    <a:srcRect/>
                    <a:stretch>
                      <a:fillRect/>
                    </a:stretch>
                  </pic:blipFill>
                  <pic:spPr bwMode="auto">
                    <a:xfrm>
                      <a:off x="0" y="0"/>
                      <a:ext cx="5422265" cy="199390"/>
                    </a:xfrm>
                    <a:prstGeom prst="rect">
                      <a:avLst/>
                    </a:prstGeom>
                    <a:noFill/>
                  </pic:spPr>
                </pic:pic>
              </a:graphicData>
            </a:graphic>
          </wp:anchor>
        </w:drawing>
        <w:drawing>
          <wp:anchor simplePos="0" relativeHeight="251657728" behindDoc="1" locked="0" layoutInCell="0" allowOverlap="1">
            <wp:simplePos x="0" y="0"/>
            <wp:positionH relativeFrom="column">
              <wp:posOffset>-1907540</wp:posOffset>
            </wp:positionH>
            <wp:positionV relativeFrom="paragraph">
              <wp:posOffset>-245110</wp:posOffset>
            </wp:positionV>
            <wp:extent cx="5422265" cy="6667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74">
                      <a:extLst>
                        <a:ext uri="{28A0092B-C50C-407E-A947-70E740481C1C}"/>
                      </a:extLst>
                    </a:blip>
                    <a:srcRect/>
                    <a:stretch>
                      <a:fillRect/>
                    </a:stretch>
                  </pic:blipFill>
                  <pic:spPr bwMode="auto">
                    <a:xfrm>
                      <a:off x="0" y="0"/>
                      <a:ext cx="5422265" cy="66675"/>
                    </a:xfrm>
                    <a:prstGeom prst="rect">
                      <a:avLst/>
                    </a:prstGeom>
                    <a:noFill/>
                  </pic:spPr>
                </pic:pic>
              </a:graphicData>
            </a:graphic>
          </wp:anchor>
        </w:drawing>
      </w:r>
    </w:p>
    <w:p>
      <w:pPr>
        <w:spacing w:after="0" w:line="140" w:lineRule="exact"/>
        <w:rPr>
          <w:sz w:val="20"/>
          <w:szCs w:val="20"/>
          <w:color w:val="auto"/>
        </w:rPr>
      </w:pPr>
    </w:p>
    <w:p>
      <w:pPr>
        <w:sectPr>
          <w:pgSz w:w="11900" w:h="16838" w:orient="portrait"/>
          <w:cols w:equalWidth="0" w:num="2">
            <w:col w:w="4340" w:space="40"/>
            <w:col w:w="5779"/>
          </w:cols>
          <w:pgMar w:left="300" w:top="384" w:right="1440" w:bottom="1440" w:gutter="0" w:footer="0" w:header="0"/>
          <w:type w:val="continuous"/>
        </w:sectPr>
      </w:pPr>
    </w:p>
    <w:p>
      <w:pPr>
        <w:ind w:left="1700" w:hanging="325"/>
        <w:spacing w:after="0"/>
        <w:tabs>
          <w:tab w:leader="none" w:pos="1700" w:val="left"/>
        </w:tabs>
        <w:numPr>
          <w:ilvl w:val="0"/>
          <w:numId w:val="38"/>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See Note 3 to the consolidated financial statements included in our most recent Quarterly Report on Form 10-Q for portfolio composition by geographic location.</w:t>
      </w:r>
    </w:p>
    <w:p>
      <w:pPr>
        <w:ind w:left="1700" w:hanging="325"/>
        <w:spacing w:after="0" w:line="218" w:lineRule="auto"/>
        <w:tabs>
          <w:tab w:leader="none" w:pos="1700" w:val="left"/>
        </w:tabs>
        <w:numPr>
          <w:ilvl w:val="0"/>
          <w:numId w:val="38"/>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Equity ownership may be held in shares or units of companies related to the portfolio companies.</w:t>
      </w:r>
    </w:p>
    <w:p>
      <w:pPr>
        <w:ind w:left="1700" w:hanging="325"/>
        <w:spacing w:after="0" w:line="218" w:lineRule="auto"/>
        <w:tabs>
          <w:tab w:leader="none" w:pos="1700" w:val="left"/>
        </w:tabs>
        <w:numPr>
          <w:ilvl w:val="0"/>
          <w:numId w:val="38"/>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All debt investments are income producing, unless otherwise indicated. Equity investments are non-income producing unless otherwise noted.</w:t>
      </w:r>
    </w:p>
    <w:p>
      <w:pPr>
        <w:ind w:left="1700" w:right="319" w:hanging="325"/>
        <w:spacing w:after="0" w:line="218" w:lineRule="auto"/>
        <w:tabs>
          <w:tab w:leader="none" w:pos="1700" w:val="left"/>
        </w:tabs>
        <w:numPr>
          <w:ilvl w:val="0"/>
          <w:numId w:val="38"/>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Variable rate investments bear interest at a rate indexed to prime (P) or Secured Overnight Financing Rate (“SOFR”) (S), which are reset monthly, bimonthly, quarterly, or semi-annually. Certain variable rate investments also include a Prime or SOFR interest rate floor. For each investment, the Company has provided the spread over the reference rate and the Prime or SOFR floor, if any, as of March 31, 2026.</w:t>
      </w:r>
    </w:p>
    <w:p>
      <w:pPr>
        <w:ind w:left="1700" w:right="279" w:hanging="325"/>
        <w:spacing w:after="0" w:line="218" w:lineRule="auto"/>
        <w:tabs>
          <w:tab w:leader="none" w:pos="1700" w:val="left"/>
        </w:tabs>
        <w:numPr>
          <w:ilvl w:val="0"/>
          <w:numId w:val="38"/>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Rate includes the cash interest or dividend rate and paid-in-kind interest or dividend rate, if any, as of March 31, 2026. Generally, payment-in-kind interest can be paid-in-kind or all in cash.</w:t>
      </w:r>
    </w:p>
    <w:p>
      <w:pPr>
        <w:ind w:left="1700" w:hanging="325"/>
        <w:spacing w:after="0" w:line="218" w:lineRule="auto"/>
        <w:tabs>
          <w:tab w:leader="none" w:pos="1700" w:val="left"/>
        </w:tabs>
        <w:numPr>
          <w:ilvl w:val="0"/>
          <w:numId w:val="38"/>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Investment date represents the date of the initial investment in the security.</w:t>
      </w:r>
    </w:p>
    <w:p>
      <w:pPr>
        <w:ind w:left="1700" w:right="519" w:hanging="325"/>
        <w:spacing w:after="0" w:line="218" w:lineRule="auto"/>
        <w:tabs>
          <w:tab w:leader="none" w:pos="1700" w:val="left"/>
        </w:tabs>
        <w:numPr>
          <w:ilvl w:val="0"/>
          <w:numId w:val="38"/>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Except as otherwise noted, the Company’s investment portfolio is comprised of debt and equity securities of privately held companies for which quoted prices falling within the categories of Level 1 and Level 2 inputs are not available. Therefore, the Company values all of its portfolio investments at fair value, as determined in good faith by the board of directors, using significant unobservable Level 3 inputs.</w:t>
      </w:r>
    </w:p>
    <w:p>
      <w:pPr>
        <w:ind w:left="1700" w:hanging="325"/>
        <w:spacing w:after="0" w:line="218" w:lineRule="auto"/>
        <w:tabs>
          <w:tab w:leader="none" w:pos="1700" w:val="left"/>
        </w:tabs>
        <w:numPr>
          <w:ilvl w:val="0"/>
          <w:numId w:val="38"/>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Investment is held by a taxable subsidiary of the Company.</w:t>
      </w:r>
    </w:p>
    <w:p>
      <w:pPr>
        <w:ind w:left="1700" w:right="399" w:hanging="325"/>
        <w:spacing w:after="0" w:line="235" w:lineRule="auto"/>
        <w:tabs>
          <w:tab w:leader="none" w:pos="1700" w:val="left"/>
        </w:tabs>
        <w:numPr>
          <w:ilvl w:val="0"/>
          <w:numId w:val="38"/>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disclosed commitment represents the unfunded amount as of March 31, 2026. The Company is earning 0.50% interest on the unfunded balance of the commitment. The interest rate disclosed represents the rate which will be earned if the commitment is funded.</w:t>
      </w:r>
    </w:p>
    <w:p>
      <w:pPr>
        <w:spacing w:after="0" w:line="8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58</w:t>
      </w:r>
    </w:p>
    <w:p>
      <w:pPr>
        <w:sectPr>
          <w:pgSz w:w="11900" w:h="16838" w:orient="portrait"/>
          <w:cols w:equalWidth="0" w:num="1">
            <w:col w:w="10159"/>
          </w:cols>
          <w:pgMar w:left="300" w:top="384" w:right="1440" w:bottom="1440" w:gutter="0" w:footer="0" w:header="0"/>
          <w:type w:val="continuous"/>
        </w:sectPr>
      </w:pPr>
    </w:p>
    <w:bookmarkStart w:id="62" w:name="page63"/>
    <w:bookmarkEnd w:id="6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75">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7" w:lineRule="exact"/>
        <w:rPr>
          <w:sz w:val="20"/>
          <w:szCs w:val="20"/>
          <w:color w:val="auto"/>
        </w:rPr>
      </w:pPr>
    </w:p>
    <w:p>
      <w:pPr>
        <w:jc w:val="both"/>
        <w:ind w:left="1700" w:right="259" w:hanging="325"/>
        <w:spacing w:after="0" w:line="225" w:lineRule="auto"/>
        <w:tabs>
          <w:tab w:leader="none" w:pos="1700" w:val="left"/>
        </w:tabs>
        <w:numPr>
          <w:ilvl w:val="0"/>
          <w:numId w:val="39"/>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investments of FIC Funding, LLC (the “SPV”) are pledged as collateral to the SPV’s financing credit facility (the “SPV Credit Facility”) and, as a result, are not directly available to the creditors of the Company to satisfy any obligations of the Company other than the Company’s obligations under the SPV Credit Facility (see Note 6 to the consolidated financial statements).</w:t>
      </w:r>
    </w:p>
    <w:p>
      <w:pPr>
        <w:spacing w:after="0" w:line="1" w:lineRule="exact"/>
        <w:rPr>
          <w:rFonts w:ascii="Times New Roman" w:cs="Times New Roman" w:eastAsia="Times New Roman" w:hAnsi="Times New Roman"/>
          <w:sz w:val="11"/>
          <w:szCs w:val="11"/>
          <w:color w:val="auto"/>
        </w:rPr>
      </w:pPr>
    </w:p>
    <w:p>
      <w:pPr>
        <w:ind w:left="1700" w:right="339" w:hanging="325"/>
        <w:spacing w:after="0" w:line="218" w:lineRule="auto"/>
        <w:tabs>
          <w:tab w:leader="none" w:pos="1700" w:val="left"/>
        </w:tabs>
        <w:numPr>
          <w:ilvl w:val="0"/>
          <w:numId w:val="39"/>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portion of the investment not held by the SBIC Funds is pledged as collateral for the SPV Credit Facility and, as a result, is not directly available to the creditors of the Company to satisfy any obligations of the Company other than the Company’s obligations under the SPV Credit Facility (see Note 6 to the consolidated financial statements).</w:t>
      </w:r>
    </w:p>
    <w:p>
      <w:pPr>
        <w:ind w:left="1700" w:right="319" w:hanging="325"/>
        <w:spacing w:after="0" w:line="218" w:lineRule="auto"/>
        <w:tabs>
          <w:tab w:leader="none" w:pos="1700" w:val="left"/>
        </w:tabs>
        <w:numPr>
          <w:ilvl w:val="0"/>
          <w:numId w:val="39"/>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As defined in the 1940 Act, the Company is deemed to be an “Affiliated Person” of this portfolio company because it owns 5% or more of the portfolio company’s outstanding voting securities or it has the power to exercise control over the management or policies of such portfolio company. Transactions in which the issuer was an Affiliated Person are detailed in Note 3 to the consolidated financial statements.</w:t>
      </w:r>
    </w:p>
    <w:p>
      <w:pPr>
        <w:ind w:left="1700" w:right="359" w:hanging="325"/>
        <w:spacing w:after="0" w:line="218" w:lineRule="auto"/>
        <w:tabs>
          <w:tab w:leader="none" w:pos="1700" w:val="left"/>
        </w:tabs>
        <w:numPr>
          <w:ilvl w:val="0"/>
          <w:numId w:val="39"/>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Warrants entitle the Company to purchase a predetermined number of shares or units of common equity, and are non-income producing. The purchase price and number of shares are subject to adjustment under certain conditions until the expiration date, if any.</w:t>
      </w:r>
    </w:p>
    <w:p>
      <w:pPr>
        <w:ind w:left="1700" w:hanging="325"/>
        <w:spacing w:after="0" w:line="218" w:lineRule="auto"/>
        <w:tabs>
          <w:tab w:leader="none" w:pos="1700" w:val="left"/>
        </w:tabs>
        <w:numPr>
          <w:ilvl w:val="0"/>
          <w:numId w:val="39"/>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Investment in portfolio company that has sold its operations and is in the process of winding down.</w:t>
      </w:r>
    </w:p>
    <w:p>
      <w:pPr>
        <w:ind w:left="1700" w:right="299" w:hanging="325"/>
        <w:spacing w:after="0" w:line="218" w:lineRule="auto"/>
        <w:tabs>
          <w:tab w:leader="none" w:pos="1700" w:val="left"/>
        </w:tabs>
        <w:numPr>
          <w:ilvl w:val="0"/>
          <w:numId w:val="39"/>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 addition to the interest earned based on the stated interest rate of this security, the Company is entitled to receive an additional interest amount of 2.27%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ind w:left="1700" w:right="299" w:hanging="325"/>
        <w:spacing w:after="0" w:line="218" w:lineRule="auto"/>
        <w:tabs>
          <w:tab w:leader="none" w:pos="1700" w:val="left"/>
        </w:tabs>
        <w:numPr>
          <w:ilvl w:val="0"/>
          <w:numId w:val="39"/>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 addition to the interest earned based on the stated interest rate of this security, the Company is entitled to receive an additional interest amount of 3.50%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ind w:left="1700" w:right="299" w:hanging="325"/>
        <w:spacing w:after="0" w:line="218" w:lineRule="auto"/>
        <w:tabs>
          <w:tab w:leader="none" w:pos="1700" w:val="left"/>
        </w:tabs>
        <w:numPr>
          <w:ilvl w:val="0"/>
          <w:numId w:val="39"/>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 addition to the interest earned based on the stated interest rate of this security, the Company is entitled to receive an additional interest amount of 2.94%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ind w:left="1700" w:right="299" w:hanging="325"/>
        <w:spacing w:after="0" w:line="218" w:lineRule="auto"/>
        <w:tabs>
          <w:tab w:leader="none" w:pos="1700" w:val="left"/>
        </w:tabs>
        <w:numPr>
          <w:ilvl w:val="0"/>
          <w:numId w:val="39"/>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 addition to the interest earned based on the stated interest rate of this security, the Company is entitled to receive an additional interest amount of 2.68%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ind w:left="1700" w:right="299" w:hanging="325"/>
        <w:spacing w:after="0" w:line="218" w:lineRule="auto"/>
        <w:tabs>
          <w:tab w:leader="none" w:pos="1700" w:val="left"/>
        </w:tabs>
        <w:numPr>
          <w:ilvl w:val="0"/>
          <w:numId w:val="39"/>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 addition to the interest earned based on the stated interest rate of this security, the Company is entitled to receive an additional interest amount of 1.50%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ind w:left="1700" w:right="339" w:hanging="325"/>
        <w:spacing w:after="0" w:line="218" w:lineRule="auto"/>
        <w:tabs>
          <w:tab w:leader="none" w:pos="1700" w:val="left"/>
        </w:tabs>
        <w:numPr>
          <w:ilvl w:val="0"/>
          <w:numId w:val="39"/>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As defined in the 1940 Act, the Company is deemed to be both an “Affiliated Person” of and “Control” this portfolio company because it owns 25% or more of the portfolio company’s outstanding voting securities or it has the power to exercise control over the management or policies of such portfolio company. Transactions in which the issuer was both an Affiliated Person and a portfolio company that the Company is deemed to Control are detailed in Note 3 to the consolidated financial statements.</w:t>
      </w:r>
    </w:p>
    <w:p>
      <w:pPr>
        <w:ind w:left="1700" w:right="299" w:hanging="325"/>
        <w:spacing w:after="0" w:line="218" w:lineRule="auto"/>
        <w:tabs>
          <w:tab w:leader="none" w:pos="1700" w:val="left"/>
        </w:tabs>
        <w:numPr>
          <w:ilvl w:val="0"/>
          <w:numId w:val="39"/>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 addition to the interest earned based on the stated interest rate of this security, the Company is entitled to receive an additional interest amount of 2.26%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ind w:left="1700" w:right="299" w:hanging="325"/>
        <w:spacing w:after="0" w:line="218" w:lineRule="auto"/>
        <w:tabs>
          <w:tab w:leader="none" w:pos="1700" w:val="left"/>
        </w:tabs>
        <w:numPr>
          <w:ilvl w:val="0"/>
          <w:numId w:val="39"/>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 addition to the interest earned based on the stated interest rate of this security, the Company is entitled to receive an additional interest amount of 1.06%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ind w:left="1700" w:right="399" w:hanging="325"/>
        <w:spacing w:after="0" w:line="218" w:lineRule="auto"/>
        <w:tabs>
          <w:tab w:leader="none" w:pos="1700" w:val="left"/>
        </w:tabs>
        <w:numPr>
          <w:ilvl w:val="0"/>
          <w:numId w:val="39"/>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disclosed commitment represents the unfunded amount as of March 31, 2026. The Company is earning 0.75% interest on the unfunded balance of the commitment. The interest rate disclosed represents the rate earned on the outstanding, funded balance of the commitment.</w:t>
      </w:r>
    </w:p>
    <w:p>
      <w:pPr>
        <w:ind w:left="1700" w:right="399" w:hanging="325"/>
        <w:spacing w:after="0" w:line="218" w:lineRule="auto"/>
        <w:tabs>
          <w:tab w:leader="none" w:pos="1700" w:val="left"/>
        </w:tabs>
        <w:numPr>
          <w:ilvl w:val="0"/>
          <w:numId w:val="39"/>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disclosed commitment represents the unfunded amount as of March 31, 2026. The Company is earning 1.00% interest on the unfunded balance of the commitment. The interest rate disclosed represents the rate earned on the outstanding, funded balance of the commitment.</w:t>
      </w:r>
    </w:p>
    <w:p>
      <w:pPr>
        <w:ind w:left="1700" w:hanging="325"/>
        <w:spacing w:after="0" w:line="218" w:lineRule="auto"/>
        <w:tabs>
          <w:tab w:leader="none" w:pos="1700" w:val="left"/>
        </w:tabs>
        <w:numPr>
          <w:ilvl w:val="0"/>
          <w:numId w:val="39"/>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Investment was on non-accrual status as of March 31, 2026.</w:t>
      </w:r>
    </w:p>
    <w:p>
      <w:pPr>
        <w:ind w:left="1700" w:right="299" w:hanging="325"/>
        <w:spacing w:after="0" w:line="218" w:lineRule="auto"/>
        <w:tabs>
          <w:tab w:leader="none" w:pos="1700" w:val="left"/>
        </w:tabs>
        <w:numPr>
          <w:ilvl w:val="0"/>
          <w:numId w:val="39"/>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 addition to the interest earned based on the stated interest rate of this security, the Company is entitled to receive an additional interest amount of 2.50% on its “last out” tranche of the portfolio company’s senior term debt, which was previously syndicated into “first out” and “last out” tranches, whereby the “first out” tranche will have priority as to the “last out”</w:t>
      </w:r>
    </w:p>
    <w:p>
      <w:pPr>
        <w:ind w:left="1700"/>
        <w:spacing w:after="0" w:line="219" w:lineRule="auto"/>
        <w:rPr>
          <w:sz w:val="20"/>
          <w:szCs w:val="20"/>
          <w:color w:val="auto"/>
        </w:rPr>
      </w:pPr>
      <w:r>
        <w:rPr>
          <w:rFonts w:ascii="Times New Roman" w:cs="Times New Roman" w:eastAsia="Times New Roman" w:hAnsi="Times New Roman"/>
          <w:sz w:val="11"/>
          <w:szCs w:val="11"/>
          <w:color w:val="auto"/>
        </w:rPr>
        <w:t>tranche with respect to payments of principal, interest and any other amounts due thereunder.</w:t>
      </w:r>
    </w:p>
    <w:p>
      <w:pPr>
        <w:ind w:left="1700" w:right="259" w:hanging="325"/>
        <w:spacing w:after="0" w:line="235" w:lineRule="auto"/>
        <w:tabs>
          <w:tab w:leader="none" w:pos="1700" w:val="left"/>
        </w:tabs>
        <w:numPr>
          <w:ilvl w:val="0"/>
          <w:numId w:val="40"/>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Company sold a participating interest of approximately $4.0 million in aggregate principal amount of the portfolio company’s first lien senior secured term loan. As the transaction did not qualify as a “true sale” in accordance with GAAP, the Company recorded a corresponding secured borrowing in the Consolidated Statements of Assets and Liabilities.</w:t>
      </w:r>
    </w:p>
    <w:p>
      <w:pPr>
        <w:spacing w:after="0" w:line="8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59</w:t>
      </w:r>
    </w:p>
    <w:p>
      <w:pPr>
        <w:sectPr>
          <w:pgSz w:w="11900" w:h="16838" w:orient="portrait"/>
          <w:cols w:equalWidth="0" w:num="1">
            <w:col w:w="10159"/>
          </w:cols>
          <w:pgMar w:left="300" w:top="384" w:right="1440"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76">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35" w:lineRule="exact"/>
        <w:rPr>
          <w:sz w:val="20"/>
          <w:szCs w:val="20"/>
          <w:color w:val="auto"/>
        </w:rPr>
      </w:pPr>
    </w:p>
    <w:tbl>
      <w:tblPr>
        <w:tblLayout w:type="fixed"/>
        <w:tblInd w:w="1380" w:type="dxa"/>
        <w:tblCellMar>
          <w:top w:w="0" w:type="dxa"/>
          <w:left w:w="0" w:type="dxa"/>
          <w:bottom w:w="0" w:type="dxa"/>
          <w:right w:w="0" w:type="dxa"/>
        </w:tblCellMar>
      </w:tblPr>
      <w:tr>
        <w:trPr>
          <w:trHeight w:val="126"/>
        </w:trPr>
        <w:tc>
          <w:tcPr>
            <w:tcW w:w="260" w:type="dxa"/>
            <w:vAlign w:val="bottom"/>
          </w:tcPr>
          <w:p>
            <w:pPr>
              <w:spacing w:after="0"/>
              <w:rPr>
                <w:sz w:val="20"/>
                <w:szCs w:val="20"/>
                <w:color w:val="auto"/>
              </w:rPr>
            </w:pPr>
            <w:r>
              <w:rPr>
                <w:rFonts w:ascii="Times New Roman" w:cs="Times New Roman" w:eastAsia="Times New Roman" w:hAnsi="Times New Roman"/>
                <w:sz w:val="11"/>
                <w:szCs w:val="11"/>
                <w:color w:val="auto"/>
              </w:rPr>
              <w:t>(ab)</w:t>
            </w:r>
          </w:p>
        </w:tc>
        <w:tc>
          <w:tcPr>
            <w:tcW w:w="822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In addition to the interest earned based on the stated interest rate of this security, the Company is entitled to receive an additional interest amount of 1.92% on its “last out” tranche of</w:t>
            </w:r>
          </w:p>
        </w:tc>
        <w:tc>
          <w:tcPr>
            <w:tcW w:w="0" w:type="dxa"/>
            <w:vAlign w:val="bottom"/>
          </w:tcPr>
          <w:p>
            <w:pPr>
              <w:spacing w:after="0"/>
              <w:rPr>
                <w:sz w:val="1"/>
                <w:szCs w:val="1"/>
                <w:color w:val="auto"/>
              </w:rPr>
            </w:pPr>
          </w:p>
        </w:tc>
      </w:tr>
      <w:tr>
        <w:trPr>
          <w:trHeight w:val="115"/>
        </w:trPr>
        <w:tc>
          <w:tcPr>
            <w:tcW w:w="260" w:type="dxa"/>
            <w:vAlign w:val="bottom"/>
          </w:tcPr>
          <w:p>
            <w:pPr>
              <w:spacing w:after="0"/>
              <w:rPr>
                <w:sz w:val="10"/>
                <w:szCs w:val="10"/>
                <w:color w:val="auto"/>
              </w:rPr>
            </w:pPr>
          </w:p>
        </w:tc>
        <w:tc>
          <w:tcPr>
            <w:tcW w:w="8220" w:type="dxa"/>
            <w:vAlign w:val="bottom"/>
          </w:tcPr>
          <w:p>
            <w:pPr>
              <w:ind w:left="60"/>
              <w:spacing w:after="0" w:line="115" w:lineRule="exact"/>
              <w:rPr>
                <w:sz w:val="20"/>
                <w:szCs w:val="20"/>
                <w:color w:val="auto"/>
              </w:rPr>
            </w:pPr>
            <w:r>
              <w:rPr>
                <w:rFonts w:ascii="Times New Roman" w:cs="Times New Roman" w:eastAsia="Times New Roman" w:hAnsi="Times New Roman"/>
                <w:sz w:val="11"/>
                <w:szCs w:val="11"/>
                <w:color w:val="auto"/>
              </w:rPr>
              <w:t>the portfolio company’s senior term debt, which was previously syndicated into “first out” and “last out” tranches, whereby the “first out” tranche will have priority as to the “last out”</w:t>
            </w:r>
          </w:p>
        </w:tc>
        <w:tc>
          <w:tcPr>
            <w:tcW w:w="0" w:type="dxa"/>
            <w:vAlign w:val="bottom"/>
          </w:tcPr>
          <w:p>
            <w:pPr>
              <w:spacing w:after="0"/>
              <w:rPr>
                <w:sz w:val="1"/>
                <w:szCs w:val="1"/>
                <w:color w:val="auto"/>
              </w:rPr>
            </w:pPr>
          </w:p>
        </w:tc>
      </w:tr>
      <w:tr>
        <w:trPr>
          <w:trHeight w:val="115"/>
        </w:trPr>
        <w:tc>
          <w:tcPr>
            <w:tcW w:w="260" w:type="dxa"/>
            <w:vAlign w:val="bottom"/>
            <w:vMerge w:val="restart"/>
          </w:tcPr>
          <w:p>
            <w:pPr>
              <w:spacing w:after="0"/>
              <w:rPr>
                <w:sz w:val="20"/>
                <w:szCs w:val="20"/>
                <w:color w:val="auto"/>
              </w:rPr>
            </w:pPr>
            <w:r>
              <w:rPr>
                <w:rFonts w:ascii="Times New Roman" w:cs="Times New Roman" w:eastAsia="Times New Roman" w:hAnsi="Times New Roman"/>
                <w:sz w:val="11"/>
                <w:szCs w:val="11"/>
                <w:color w:val="auto"/>
              </w:rPr>
              <w:t>(ac)</w:t>
            </w:r>
          </w:p>
        </w:tc>
        <w:tc>
          <w:tcPr>
            <w:tcW w:w="8220" w:type="dxa"/>
            <w:vAlign w:val="bottom"/>
          </w:tcPr>
          <w:p>
            <w:pPr>
              <w:ind w:left="60"/>
              <w:spacing w:after="0" w:line="115" w:lineRule="exact"/>
              <w:rPr>
                <w:sz w:val="20"/>
                <w:szCs w:val="20"/>
                <w:color w:val="auto"/>
              </w:rPr>
            </w:pPr>
            <w:r>
              <w:rPr>
                <w:rFonts w:ascii="Times New Roman" w:cs="Times New Roman" w:eastAsia="Times New Roman" w:hAnsi="Times New Roman"/>
                <w:sz w:val="11"/>
                <w:szCs w:val="11"/>
                <w:color w:val="auto"/>
              </w:rPr>
              <w:t>tranche with respect to payments of principal, interest and any other amounts due thereunder.</w:t>
            </w:r>
          </w:p>
        </w:tc>
        <w:tc>
          <w:tcPr>
            <w:tcW w:w="0" w:type="dxa"/>
            <w:vAlign w:val="bottom"/>
          </w:tcPr>
          <w:p>
            <w:pPr>
              <w:spacing w:after="0"/>
              <w:rPr>
                <w:sz w:val="1"/>
                <w:szCs w:val="1"/>
                <w:color w:val="auto"/>
              </w:rPr>
            </w:pPr>
          </w:p>
        </w:tc>
      </w:tr>
      <w:tr>
        <w:trPr>
          <w:trHeight w:val="115"/>
        </w:trPr>
        <w:tc>
          <w:tcPr>
            <w:tcW w:w="260" w:type="dxa"/>
            <w:vAlign w:val="bottom"/>
            <w:vMerge w:val="continue"/>
          </w:tcPr>
          <w:p>
            <w:pPr>
              <w:spacing w:after="0"/>
              <w:rPr>
                <w:sz w:val="10"/>
                <w:szCs w:val="10"/>
                <w:color w:val="auto"/>
              </w:rPr>
            </w:pPr>
          </w:p>
        </w:tc>
        <w:tc>
          <w:tcPr>
            <w:tcW w:w="8220" w:type="dxa"/>
            <w:vAlign w:val="bottom"/>
          </w:tcPr>
          <w:p>
            <w:pPr>
              <w:ind w:left="60"/>
              <w:spacing w:after="0" w:line="115" w:lineRule="exact"/>
              <w:rPr>
                <w:sz w:val="20"/>
                <w:szCs w:val="20"/>
                <w:color w:val="auto"/>
              </w:rPr>
            </w:pPr>
            <w:r>
              <w:rPr>
                <w:rFonts w:ascii="Times New Roman" w:cs="Times New Roman" w:eastAsia="Times New Roman" w:hAnsi="Times New Roman"/>
                <w:sz w:val="11"/>
                <w:szCs w:val="11"/>
                <w:color w:val="auto"/>
              </w:rPr>
              <w:t>In addition to the interest earned based on the stated interest rate of this security, the Company is entitled to receive an additional cash interest amount of 2.85% and PIK interest</w:t>
            </w:r>
          </w:p>
        </w:tc>
        <w:tc>
          <w:tcPr>
            <w:tcW w:w="0" w:type="dxa"/>
            <w:vAlign w:val="bottom"/>
          </w:tcPr>
          <w:p>
            <w:pPr>
              <w:spacing w:after="0"/>
              <w:rPr>
                <w:sz w:val="1"/>
                <w:szCs w:val="1"/>
                <w:color w:val="auto"/>
              </w:rPr>
            </w:pPr>
          </w:p>
        </w:tc>
      </w:tr>
      <w:tr>
        <w:trPr>
          <w:trHeight w:val="115"/>
        </w:trPr>
        <w:tc>
          <w:tcPr>
            <w:tcW w:w="260" w:type="dxa"/>
            <w:vAlign w:val="bottom"/>
          </w:tcPr>
          <w:p>
            <w:pPr>
              <w:spacing w:after="0"/>
              <w:rPr>
                <w:sz w:val="10"/>
                <w:szCs w:val="10"/>
                <w:color w:val="auto"/>
              </w:rPr>
            </w:pPr>
          </w:p>
        </w:tc>
        <w:tc>
          <w:tcPr>
            <w:tcW w:w="8220" w:type="dxa"/>
            <w:vAlign w:val="bottom"/>
          </w:tcPr>
          <w:p>
            <w:pPr>
              <w:ind w:left="60"/>
              <w:spacing w:after="0" w:line="115" w:lineRule="exact"/>
              <w:rPr>
                <w:sz w:val="20"/>
                <w:szCs w:val="20"/>
                <w:color w:val="auto"/>
              </w:rPr>
            </w:pPr>
            <w:r>
              <w:rPr>
                <w:rFonts w:ascii="Times New Roman" w:cs="Times New Roman" w:eastAsia="Times New Roman" w:hAnsi="Times New Roman"/>
                <w:sz w:val="11"/>
                <w:szCs w:val="11"/>
                <w:color w:val="auto"/>
              </w:rPr>
              <w:t>amount of 1.26% on its “last out” tranche of the portfolio company’s senior term debt, which was previously syndicated into “first out” and “last out” tranches, whereby the “first out”</w:t>
            </w:r>
          </w:p>
        </w:tc>
        <w:tc>
          <w:tcPr>
            <w:tcW w:w="0" w:type="dxa"/>
            <w:vAlign w:val="bottom"/>
          </w:tcPr>
          <w:p>
            <w:pPr>
              <w:spacing w:after="0"/>
              <w:rPr>
                <w:sz w:val="1"/>
                <w:szCs w:val="1"/>
                <w:color w:val="auto"/>
              </w:rPr>
            </w:pPr>
          </w:p>
        </w:tc>
      </w:tr>
      <w:tr>
        <w:trPr>
          <w:trHeight w:val="115"/>
        </w:trPr>
        <w:tc>
          <w:tcPr>
            <w:tcW w:w="260" w:type="dxa"/>
            <w:vAlign w:val="bottom"/>
            <w:vMerge w:val="restart"/>
          </w:tcPr>
          <w:p>
            <w:pPr>
              <w:spacing w:after="0"/>
              <w:rPr>
                <w:sz w:val="20"/>
                <w:szCs w:val="20"/>
                <w:color w:val="auto"/>
              </w:rPr>
            </w:pPr>
            <w:r>
              <w:rPr>
                <w:rFonts w:ascii="Times New Roman" w:cs="Times New Roman" w:eastAsia="Times New Roman" w:hAnsi="Times New Roman"/>
                <w:sz w:val="11"/>
                <w:szCs w:val="11"/>
                <w:color w:val="auto"/>
              </w:rPr>
              <w:t>(ad)</w:t>
            </w:r>
          </w:p>
        </w:tc>
        <w:tc>
          <w:tcPr>
            <w:tcW w:w="8220" w:type="dxa"/>
            <w:vAlign w:val="bottom"/>
          </w:tcPr>
          <w:p>
            <w:pPr>
              <w:ind w:left="60"/>
              <w:spacing w:after="0" w:line="115" w:lineRule="exact"/>
              <w:rPr>
                <w:sz w:val="20"/>
                <w:szCs w:val="20"/>
                <w:color w:val="auto"/>
              </w:rPr>
            </w:pPr>
            <w:r>
              <w:rPr>
                <w:rFonts w:ascii="Times New Roman" w:cs="Times New Roman" w:eastAsia="Times New Roman" w:hAnsi="Times New Roman"/>
                <w:sz w:val="11"/>
                <w:szCs w:val="11"/>
                <w:color w:val="auto"/>
              </w:rPr>
              <w:t>tranche will have priority as to the “last out” tranche with respect to payments of principal, interest and any other amounts due thereunder.</w:t>
            </w:r>
          </w:p>
        </w:tc>
        <w:tc>
          <w:tcPr>
            <w:tcW w:w="0" w:type="dxa"/>
            <w:vAlign w:val="bottom"/>
          </w:tcPr>
          <w:p>
            <w:pPr>
              <w:spacing w:after="0"/>
              <w:rPr>
                <w:sz w:val="1"/>
                <w:szCs w:val="1"/>
                <w:color w:val="auto"/>
              </w:rPr>
            </w:pPr>
          </w:p>
        </w:tc>
      </w:tr>
      <w:tr>
        <w:trPr>
          <w:trHeight w:val="115"/>
        </w:trPr>
        <w:tc>
          <w:tcPr>
            <w:tcW w:w="260" w:type="dxa"/>
            <w:vAlign w:val="bottom"/>
            <w:vMerge w:val="continue"/>
          </w:tcPr>
          <w:p>
            <w:pPr>
              <w:spacing w:after="0"/>
              <w:rPr>
                <w:sz w:val="10"/>
                <w:szCs w:val="10"/>
                <w:color w:val="auto"/>
              </w:rPr>
            </w:pPr>
          </w:p>
        </w:tc>
        <w:tc>
          <w:tcPr>
            <w:tcW w:w="8220" w:type="dxa"/>
            <w:vAlign w:val="bottom"/>
          </w:tcPr>
          <w:p>
            <w:pPr>
              <w:ind w:left="60"/>
              <w:spacing w:after="0" w:line="115" w:lineRule="exact"/>
              <w:rPr>
                <w:sz w:val="20"/>
                <w:szCs w:val="20"/>
                <w:color w:val="auto"/>
              </w:rPr>
            </w:pPr>
            <w:r>
              <w:rPr>
                <w:rFonts w:ascii="Times New Roman" w:cs="Times New Roman" w:eastAsia="Times New Roman" w:hAnsi="Times New Roman"/>
                <w:sz w:val="11"/>
                <w:szCs w:val="11"/>
                <w:color w:val="auto"/>
              </w:rPr>
              <w:t>This investment is classified as a Level 1 investment. For further detail on the fair value measurements, see Note 4 to the consolidated financial statements.</w:t>
            </w:r>
          </w:p>
        </w:tc>
        <w:tc>
          <w:tcPr>
            <w:tcW w:w="0" w:type="dxa"/>
            <w:vAlign w:val="bottom"/>
          </w:tcPr>
          <w:p>
            <w:pPr>
              <w:spacing w:after="0"/>
              <w:rPr>
                <w:sz w:val="1"/>
                <w:szCs w:val="1"/>
                <w:color w:val="auto"/>
              </w:rPr>
            </w:pPr>
          </w:p>
        </w:tc>
      </w:tr>
      <w:tr>
        <w:trPr>
          <w:trHeight w:val="115"/>
        </w:trPr>
        <w:tc>
          <w:tcPr>
            <w:tcW w:w="260" w:type="dxa"/>
            <w:vAlign w:val="bottom"/>
          </w:tcPr>
          <w:p>
            <w:pPr>
              <w:spacing w:after="0" w:line="115" w:lineRule="exact"/>
              <w:rPr>
                <w:sz w:val="20"/>
                <w:szCs w:val="20"/>
                <w:color w:val="auto"/>
              </w:rPr>
            </w:pPr>
            <w:r>
              <w:rPr>
                <w:rFonts w:ascii="Times New Roman" w:cs="Times New Roman" w:eastAsia="Times New Roman" w:hAnsi="Times New Roman"/>
                <w:sz w:val="11"/>
                <w:szCs w:val="11"/>
                <w:color w:val="auto"/>
              </w:rPr>
              <w:t>(ae)</w:t>
            </w:r>
          </w:p>
        </w:tc>
        <w:tc>
          <w:tcPr>
            <w:tcW w:w="8220" w:type="dxa"/>
            <w:vAlign w:val="bottom"/>
          </w:tcPr>
          <w:p>
            <w:pPr>
              <w:ind w:left="60"/>
              <w:spacing w:after="0" w:line="115" w:lineRule="exact"/>
              <w:rPr>
                <w:sz w:val="20"/>
                <w:szCs w:val="20"/>
                <w:color w:val="auto"/>
              </w:rPr>
            </w:pPr>
            <w:r>
              <w:rPr>
                <w:rFonts w:ascii="Times New Roman" w:cs="Times New Roman" w:eastAsia="Times New Roman" w:hAnsi="Times New Roman"/>
                <w:sz w:val="11"/>
                <w:szCs w:val="11"/>
                <w:color w:val="auto"/>
              </w:rPr>
              <w:t>In addition to the interest earned based on the stated interest rate of this security, the Company is entitled to receive an additional interest amount of 2.18% on its “last out” tranche of</w:t>
            </w:r>
          </w:p>
        </w:tc>
        <w:tc>
          <w:tcPr>
            <w:tcW w:w="0" w:type="dxa"/>
            <w:vAlign w:val="bottom"/>
          </w:tcPr>
          <w:p>
            <w:pPr>
              <w:spacing w:after="0"/>
              <w:rPr>
                <w:sz w:val="1"/>
                <w:szCs w:val="1"/>
                <w:color w:val="auto"/>
              </w:rPr>
            </w:pPr>
          </w:p>
        </w:tc>
      </w:tr>
      <w:tr>
        <w:trPr>
          <w:trHeight w:val="115"/>
        </w:trPr>
        <w:tc>
          <w:tcPr>
            <w:tcW w:w="260" w:type="dxa"/>
            <w:vAlign w:val="bottom"/>
          </w:tcPr>
          <w:p>
            <w:pPr>
              <w:spacing w:after="0"/>
              <w:rPr>
                <w:sz w:val="10"/>
                <w:szCs w:val="10"/>
                <w:color w:val="auto"/>
              </w:rPr>
            </w:pPr>
          </w:p>
        </w:tc>
        <w:tc>
          <w:tcPr>
            <w:tcW w:w="8220" w:type="dxa"/>
            <w:vAlign w:val="bottom"/>
          </w:tcPr>
          <w:p>
            <w:pPr>
              <w:ind w:left="60"/>
              <w:spacing w:after="0" w:line="115" w:lineRule="exact"/>
              <w:rPr>
                <w:sz w:val="20"/>
                <w:szCs w:val="20"/>
                <w:color w:val="auto"/>
              </w:rPr>
            </w:pPr>
            <w:r>
              <w:rPr>
                <w:rFonts w:ascii="Times New Roman" w:cs="Times New Roman" w:eastAsia="Times New Roman" w:hAnsi="Times New Roman"/>
                <w:sz w:val="11"/>
                <w:szCs w:val="11"/>
                <w:color w:val="auto"/>
              </w:rPr>
              <w:t>the portfolio company’s senior term debt, which was previously syndicated into “first out” and “last out” tranches, whereby the “first out” tranche will have priority as to the “last out”</w:t>
            </w:r>
          </w:p>
        </w:tc>
        <w:tc>
          <w:tcPr>
            <w:tcW w:w="0" w:type="dxa"/>
            <w:vAlign w:val="bottom"/>
          </w:tcPr>
          <w:p>
            <w:pPr>
              <w:spacing w:after="0"/>
              <w:rPr>
                <w:sz w:val="1"/>
                <w:szCs w:val="1"/>
                <w:color w:val="auto"/>
              </w:rPr>
            </w:pPr>
          </w:p>
        </w:tc>
      </w:tr>
      <w:tr>
        <w:trPr>
          <w:trHeight w:val="115"/>
        </w:trPr>
        <w:tc>
          <w:tcPr>
            <w:tcW w:w="260" w:type="dxa"/>
            <w:vAlign w:val="bottom"/>
            <w:vMerge w:val="restart"/>
          </w:tcPr>
          <w:p>
            <w:pPr>
              <w:spacing w:after="0"/>
              <w:rPr>
                <w:sz w:val="20"/>
                <w:szCs w:val="20"/>
                <w:color w:val="auto"/>
              </w:rPr>
            </w:pPr>
            <w:r>
              <w:rPr>
                <w:rFonts w:ascii="Times New Roman" w:cs="Times New Roman" w:eastAsia="Times New Roman" w:hAnsi="Times New Roman"/>
                <w:sz w:val="11"/>
                <w:szCs w:val="11"/>
                <w:color w:val="auto"/>
              </w:rPr>
              <w:t>(af)</w:t>
            </w:r>
          </w:p>
        </w:tc>
        <w:tc>
          <w:tcPr>
            <w:tcW w:w="8220" w:type="dxa"/>
            <w:vAlign w:val="bottom"/>
          </w:tcPr>
          <w:p>
            <w:pPr>
              <w:ind w:left="60"/>
              <w:spacing w:after="0" w:line="115" w:lineRule="exact"/>
              <w:rPr>
                <w:sz w:val="20"/>
                <w:szCs w:val="20"/>
                <w:color w:val="auto"/>
              </w:rPr>
            </w:pPr>
            <w:r>
              <w:rPr>
                <w:rFonts w:ascii="Times New Roman" w:cs="Times New Roman" w:eastAsia="Times New Roman" w:hAnsi="Times New Roman"/>
                <w:sz w:val="11"/>
                <w:szCs w:val="11"/>
                <w:color w:val="auto"/>
              </w:rPr>
              <w:t>tranche with respect to payments of principal, interest and any other amounts due thereunder.</w:t>
            </w:r>
          </w:p>
        </w:tc>
        <w:tc>
          <w:tcPr>
            <w:tcW w:w="0" w:type="dxa"/>
            <w:vAlign w:val="bottom"/>
          </w:tcPr>
          <w:p>
            <w:pPr>
              <w:spacing w:after="0"/>
              <w:rPr>
                <w:sz w:val="1"/>
                <w:szCs w:val="1"/>
                <w:color w:val="auto"/>
              </w:rPr>
            </w:pPr>
          </w:p>
        </w:tc>
      </w:tr>
      <w:tr>
        <w:trPr>
          <w:trHeight w:val="115"/>
        </w:trPr>
        <w:tc>
          <w:tcPr>
            <w:tcW w:w="260" w:type="dxa"/>
            <w:vAlign w:val="bottom"/>
            <w:vMerge w:val="continue"/>
          </w:tcPr>
          <w:p>
            <w:pPr>
              <w:spacing w:after="0"/>
              <w:rPr>
                <w:sz w:val="10"/>
                <w:szCs w:val="10"/>
                <w:color w:val="auto"/>
              </w:rPr>
            </w:pPr>
          </w:p>
        </w:tc>
        <w:tc>
          <w:tcPr>
            <w:tcW w:w="8220" w:type="dxa"/>
            <w:vAlign w:val="bottom"/>
          </w:tcPr>
          <w:p>
            <w:pPr>
              <w:ind w:left="60"/>
              <w:spacing w:after="0" w:line="115" w:lineRule="exact"/>
              <w:rPr>
                <w:sz w:val="20"/>
                <w:szCs w:val="20"/>
                <w:color w:val="auto"/>
              </w:rPr>
            </w:pPr>
            <w:r>
              <w:rPr>
                <w:rFonts w:ascii="Times New Roman" w:cs="Times New Roman" w:eastAsia="Times New Roman" w:hAnsi="Times New Roman"/>
                <w:sz w:val="11"/>
                <w:szCs w:val="11"/>
                <w:color w:val="auto"/>
              </w:rPr>
              <w:t>In addition to the interest earned based on the stated interest rate of this security, the Company is entitled to receive an additional interest amount of 3.28% on its “last out” tranche of</w:t>
            </w:r>
          </w:p>
        </w:tc>
        <w:tc>
          <w:tcPr>
            <w:tcW w:w="0" w:type="dxa"/>
            <w:vAlign w:val="bottom"/>
          </w:tcPr>
          <w:p>
            <w:pPr>
              <w:spacing w:after="0"/>
              <w:rPr>
                <w:sz w:val="1"/>
                <w:szCs w:val="1"/>
                <w:color w:val="auto"/>
              </w:rPr>
            </w:pPr>
          </w:p>
        </w:tc>
      </w:tr>
      <w:tr>
        <w:trPr>
          <w:trHeight w:val="115"/>
        </w:trPr>
        <w:tc>
          <w:tcPr>
            <w:tcW w:w="260" w:type="dxa"/>
            <w:vAlign w:val="bottom"/>
          </w:tcPr>
          <w:p>
            <w:pPr>
              <w:spacing w:after="0"/>
              <w:rPr>
                <w:sz w:val="10"/>
                <w:szCs w:val="10"/>
                <w:color w:val="auto"/>
              </w:rPr>
            </w:pPr>
          </w:p>
        </w:tc>
        <w:tc>
          <w:tcPr>
            <w:tcW w:w="8220" w:type="dxa"/>
            <w:vAlign w:val="bottom"/>
          </w:tcPr>
          <w:p>
            <w:pPr>
              <w:ind w:left="60"/>
              <w:spacing w:after="0" w:line="115" w:lineRule="exact"/>
              <w:rPr>
                <w:sz w:val="20"/>
                <w:szCs w:val="20"/>
                <w:color w:val="auto"/>
              </w:rPr>
            </w:pPr>
            <w:r>
              <w:rPr>
                <w:rFonts w:ascii="Times New Roman" w:cs="Times New Roman" w:eastAsia="Times New Roman" w:hAnsi="Times New Roman"/>
                <w:sz w:val="11"/>
                <w:szCs w:val="11"/>
                <w:color w:val="auto"/>
              </w:rPr>
              <w:t>the portfolio company’s senior term debt, which was previously syndicated into “first out” and “last out” tranches, whereby the “first out” tranche will have priority as to the “last out”</w:t>
            </w:r>
          </w:p>
        </w:tc>
        <w:tc>
          <w:tcPr>
            <w:tcW w:w="0" w:type="dxa"/>
            <w:vAlign w:val="bottom"/>
          </w:tcPr>
          <w:p>
            <w:pPr>
              <w:spacing w:after="0"/>
              <w:rPr>
                <w:sz w:val="1"/>
                <w:szCs w:val="1"/>
                <w:color w:val="auto"/>
              </w:rPr>
            </w:pPr>
          </w:p>
        </w:tc>
      </w:tr>
      <w:tr>
        <w:trPr>
          <w:trHeight w:val="115"/>
        </w:trPr>
        <w:tc>
          <w:tcPr>
            <w:tcW w:w="260" w:type="dxa"/>
            <w:vAlign w:val="bottom"/>
            <w:vMerge w:val="restart"/>
          </w:tcPr>
          <w:p>
            <w:pPr>
              <w:spacing w:after="0"/>
              <w:rPr>
                <w:sz w:val="20"/>
                <w:szCs w:val="20"/>
                <w:color w:val="auto"/>
              </w:rPr>
            </w:pPr>
            <w:r>
              <w:rPr>
                <w:rFonts w:ascii="Times New Roman" w:cs="Times New Roman" w:eastAsia="Times New Roman" w:hAnsi="Times New Roman"/>
                <w:sz w:val="11"/>
                <w:szCs w:val="11"/>
                <w:color w:val="auto"/>
              </w:rPr>
              <w:t>(ag)</w:t>
            </w:r>
          </w:p>
        </w:tc>
        <w:tc>
          <w:tcPr>
            <w:tcW w:w="8220" w:type="dxa"/>
            <w:vAlign w:val="bottom"/>
          </w:tcPr>
          <w:p>
            <w:pPr>
              <w:ind w:left="60"/>
              <w:spacing w:after="0" w:line="115" w:lineRule="exact"/>
              <w:rPr>
                <w:sz w:val="20"/>
                <w:szCs w:val="20"/>
                <w:color w:val="auto"/>
              </w:rPr>
            </w:pPr>
            <w:r>
              <w:rPr>
                <w:rFonts w:ascii="Times New Roman" w:cs="Times New Roman" w:eastAsia="Times New Roman" w:hAnsi="Times New Roman"/>
                <w:sz w:val="11"/>
                <w:szCs w:val="11"/>
                <w:color w:val="auto"/>
              </w:rPr>
              <w:t>tranche with respect to payments of principal, interest and any other amounts due thereunder.</w:t>
            </w:r>
          </w:p>
        </w:tc>
        <w:tc>
          <w:tcPr>
            <w:tcW w:w="0" w:type="dxa"/>
            <w:vAlign w:val="bottom"/>
          </w:tcPr>
          <w:p>
            <w:pPr>
              <w:spacing w:after="0"/>
              <w:rPr>
                <w:sz w:val="1"/>
                <w:szCs w:val="1"/>
                <w:color w:val="auto"/>
              </w:rPr>
            </w:pPr>
          </w:p>
        </w:tc>
      </w:tr>
      <w:tr>
        <w:trPr>
          <w:trHeight w:val="115"/>
        </w:trPr>
        <w:tc>
          <w:tcPr>
            <w:tcW w:w="260" w:type="dxa"/>
            <w:vAlign w:val="bottom"/>
            <w:vMerge w:val="continue"/>
          </w:tcPr>
          <w:p>
            <w:pPr>
              <w:spacing w:after="0"/>
              <w:rPr>
                <w:sz w:val="10"/>
                <w:szCs w:val="10"/>
                <w:color w:val="auto"/>
              </w:rPr>
            </w:pPr>
          </w:p>
        </w:tc>
        <w:tc>
          <w:tcPr>
            <w:tcW w:w="8220" w:type="dxa"/>
            <w:vAlign w:val="bottom"/>
          </w:tcPr>
          <w:p>
            <w:pPr>
              <w:ind w:left="60"/>
              <w:spacing w:after="0" w:line="115" w:lineRule="exact"/>
              <w:rPr>
                <w:sz w:val="20"/>
                <w:szCs w:val="20"/>
                <w:color w:val="auto"/>
              </w:rPr>
            </w:pPr>
            <w:r>
              <w:rPr>
                <w:rFonts w:ascii="Times New Roman" w:cs="Times New Roman" w:eastAsia="Times New Roman" w:hAnsi="Times New Roman"/>
                <w:sz w:val="11"/>
                <w:szCs w:val="11"/>
                <w:color w:val="auto"/>
              </w:rPr>
              <w:t>In addition to the interest earned based on the stated interest rate of this security, the Company is entitled to receive an additional interest amount of 1.53% on its “last out” tranche of</w:t>
            </w:r>
          </w:p>
        </w:tc>
        <w:tc>
          <w:tcPr>
            <w:tcW w:w="0" w:type="dxa"/>
            <w:vAlign w:val="bottom"/>
          </w:tcPr>
          <w:p>
            <w:pPr>
              <w:spacing w:after="0"/>
              <w:rPr>
                <w:sz w:val="1"/>
                <w:szCs w:val="1"/>
                <w:color w:val="auto"/>
              </w:rPr>
            </w:pPr>
          </w:p>
        </w:tc>
      </w:tr>
      <w:tr>
        <w:trPr>
          <w:trHeight w:val="115"/>
        </w:trPr>
        <w:tc>
          <w:tcPr>
            <w:tcW w:w="260" w:type="dxa"/>
            <w:vAlign w:val="bottom"/>
          </w:tcPr>
          <w:p>
            <w:pPr>
              <w:spacing w:after="0"/>
              <w:rPr>
                <w:sz w:val="10"/>
                <w:szCs w:val="10"/>
                <w:color w:val="auto"/>
              </w:rPr>
            </w:pPr>
          </w:p>
        </w:tc>
        <w:tc>
          <w:tcPr>
            <w:tcW w:w="8220" w:type="dxa"/>
            <w:vAlign w:val="bottom"/>
          </w:tcPr>
          <w:p>
            <w:pPr>
              <w:ind w:left="60"/>
              <w:spacing w:after="0" w:line="115" w:lineRule="exact"/>
              <w:rPr>
                <w:sz w:val="20"/>
                <w:szCs w:val="20"/>
                <w:color w:val="auto"/>
              </w:rPr>
            </w:pPr>
            <w:r>
              <w:rPr>
                <w:rFonts w:ascii="Times New Roman" w:cs="Times New Roman" w:eastAsia="Times New Roman" w:hAnsi="Times New Roman"/>
                <w:sz w:val="11"/>
                <w:szCs w:val="11"/>
                <w:color w:val="auto"/>
              </w:rPr>
              <w:t>the portfolio company’s senior term debt, which was previously syndicated into “first out” and “last out” tranches, whereby the “first out” tranche will have priority as to the “last out”</w:t>
            </w:r>
          </w:p>
        </w:tc>
        <w:tc>
          <w:tcPr>
            <w:tcW w:w="0" w:type="dxa"/>
            <w:vAlign w:val="bottom"/>
          </w:tcPr>
          <w:p>
            <w:pPr>
              <w:spacing w:after="0"/>
              <w:rPr>
                <w:sz w:val="1"/>
                <w:szCs w:val="1"/>
                <w:color w:val="auto"/>
              </w:rPr>
            </w:pPr>
          </w:p>
        </w:tc>
      </w:tr>
      <w:tr>
        <w:trPr>
          <w:trHeight w:val="115"/>
        </w:trPr>
        <w:tc>
          <w:tcPr>
            <w:tcW w:w="260" w:type="dxa"/>
            <w:vAlign w:val="bottom"/>
            <w:vMerge w:val="restart"/>
          </w:tcPr>
          <w:p>
            <w:pPr>
              <w:spacing w:after="0"/>
              <w:rPr>
                <w:sz w:val="20"/>
                <w:szCs w:val="20"/>
                <w:color w:val="auto"/>
              </w:rPr>
            </w:pPr>
            <w:r>
              <w:rPr>
                <w:rFonts w:ascii="Times New Roman" w:cs="Times New Roman" w:eastAsia="Times New Roman" w:hAnsi="Times New Roman"/>
                <w:sz w:val="11"/>
                <w:szCs w:val="11"/>
                <w:color w:val="auto"/>
              </w:rPr>
              <w:t>(ah)</w:t>
            </w:r>
          </w:p>
        </w:tc>
        <w:tc>
          <w:tcPr>
            <w:tcW w:w="8220" w:type="dxa"/>
            <w:vAlign w:val="bottom"/>
          </w:tcPr>
          <w:p>
            <w:pPr>
              <w:ind w:left="60"/>
              <w:spacing w:after="0" w:line="115" w:lineRule="exact"/>
              <w:rPr>
                <w:sz w:val="20"/>
                <w:szCs w:val="20"/>
                <w:color w:val="auto"/>
              </w:rPr>
            </w:pPr>
            <w:r>
              <w:rPr>
                <w:rFonts w:ascii="Times New Roman" w:cs="Times New Roman" w:eastAsia="Times New Roman" w:hAnsi="Times New Roman"/>
                <w:sz w:val="11"/>
                <w:szCs w:val="11"/>
                <w:color w:val="auto"/>
              </w:rPr>
              <w:t>tranche with respect to payments of principal, interest and any other amounts due thereunder.</w:t>
            </w:r>
          </w:p>
        </w:tc>
        <w:tc>
          <w:tcPr>
            <w:tcW w:w="0" w:type="dxa"/>
            <w:vAlign w:val="bottom"/>
          </w:tcPr>
          <w:p>
            <w:pPr>
              <w:spacing w:after="0"/>
              <w:rPr>
                <w:sz w:val="1"/>
                <w:szCs w:val="1"/>
                <w:color w:val="auto"/>
              </w:rPr>
            </w:pPr>
          </w:p>
        </w:tc>
      </w:tr>
      <w:tr>
        <w:trPr>
          <w:trHeight w:val="115"/>
        </w:trPr>
        <w:tc>
          <w:tcPr>
            <w:tcW w:w="260" w:type="dxa"/>
            <w:vAlign w:val="bottom"/>
            <w:vMerge w:val="continue"/>
          </w:tcPr>
          <w:p>
            <w:pPr>
              <w:spacing w:after="0"/>
              <w:rPr>
                <w:sz w:val="10"/>
                <w:szCs w:val="10"/>
                <w:color w:val="auto"/>
              </w:rPr>
            </w:pPr>
          </w:p>
        </w:tc>
        <w:tc>
          <w:tcPr>
            <w:tcW w:w="8220" w:type="dxa"/>
            <w:vAlign w:val="bottom"/>
          </w:tcPr>
          <w:p>
            <w:pPr>
              <w:ind w:left="60"/>
              <w:spacing w:after="0" w:line="115" w:lineRule="exact"/>
              <w:rPr>
                <w:sz w:val="20"/>
                <w:szCs w:val="20"/>
                <w:color w:val="auto"/>
              </w:rPr>
            </w:pPr>
            <w:r>
              <w:rPr>
                <w:rFonts w:ascii="Times New Roman" w:cs="Times New Roman" w:eastAsia="Times New Roman" w:hAnsi="Times New Roman"/>
                <w:sz w:val="11"/>
                <w:szCs w:val="11"/>
                <w:color w:val="auto"/>
              </w:rPr>
              <w:t>In addition to the interest earned based on the stated interest rate of this security, the Company is entitled to receive an additional interest amount of 3.75% on its “last out” tranche of</w:t>
            </w:r>
          </w:p>
        </w:tc>
        <w:tc>
          <w:tcPr>
            <w:tcW w:w="0" w:type="dxa"/>
            <w:vAlign w:val="bottom"/>
          </w:tcPr>
          <w:p>
            <w:pPr>
              <w:spacing w:after="0"/>
              <w:rPr>
                <w:sz w:val="1"/>
                <w:szCs w:val="1"/>
                <w:color w:val="auto"/>
              </w:rPr>
            </w:pPr>
          </w:p>
        </w:tc>
      </w:tr>
      <w:tr>
        <w:trPr>
          <w:trHeight w:val="115"/>
        </w:trPr>
        <w:tc>
          <w:tcPr>
            <w:tcW w:w="260" w:type="dxa"/>
            <w:vAlign w:val="bottom"/>
          </w:tcPr>
          <w:p>
            <w:pPr>
              <w:spacing w:after="0"/>
              <w:rPr>
                <w:sz w:val="10"/>
                <w:szCs w:val="10"/>
                <w:color w:val="auto"/>
              </w:rPr>
            </w:pPr>
          </w:p>
        </w:tc>
        <w:tc>
          <w:tcPr>
            <w:tcW w:w="8220" w:type="dxa"/>
            <w:vAlign w:val="bottom"/>
          </w:tcPr>
          <w:p>
            <w:pPr>
              <w:ind w:left="60"/>
              <w:spacing w:after="0" w:line="115" w:lineRule="exact"/>
              <w:rPr>
                <w:sz w:val="20"/>
                <w:szCs w:val="20"/>
                <w:color w:val="auto"/>
              </w:rPr>
            </w:pPr>
            <w:r>
              <w:rPr>
                <w:rFonts w:ascii="Times New Roman" w:cs="Times New Roman" w:eastAsia="Times New Roman" w:hAnsi="Times New Roman"/>
                <w:sz w:val="11"/>
                <w:szCs w:val="11"/>
                <w:color w:val="auto"/>
              </w:rPr>
              <w:t>the portfolio company’s senior term debt, which was previously syndicated into “first out” and “last out” tranches, whereby the “first out” tranche will have priority as to the “last out”</w:t>
            </w:r>
          </w:p>
        </w:tc>
        <w:tc>
          <w:tcPr>
            <w:tcW w:w="0" w:type="dxa"/>
            <w:vAlign w:val="bottom"/>
          </w:tcPr>
          <w:p>
            <w:pPr>
              <w:spacing w:after="0"/>
              <w:rPr>
                <w:sz w:val="1"/>
                <w:szCs w:val="1"/>
                <w:color w:val="auto"/>
              </w:rPr>
            </w:pPr>
          </w:p>
        </w:tc>
      </w:tr>
      <w:tr>
        <w:trPr>
          <w:trHeight w:val="115"/>
        </w:trPr>
        <w:tc>
          <w:tcPr>
            <w:tcW w:w="260" w:type="dxa"/>
            <w:vAlign w:val="bottom"/>
            <w:vMerge w:val="restart"/>
          </w:tcPr>
          <w:p>
            <w:pPr>
              <w:spacing w:after="0"/>
              <w:rPr>
                <w:sz w:val="20"/>
                <w:szCs w:val="20"/>
                <w:color w:val="auto"/>
              </w:rPr>
            </w:pPr>
            <w:r>
              <w:rPr>
                <w:rFonts w:ascii="Times New Roman" w:cs="Times New Roman" w:eastAsia="Times New Roman" w:hAnsi="Times New Roman"/>
                <w:sz w:val="11"/>
                <w:szCs w:val="11"/>
                <w:color w:val="auto"/>
              </w:rPr>
              <w:t>(ai)</w:t>
            </w:r>
          </w:p>
        </w:tc>
        <w:tc>
          <w:tcPr>
            <w:tcW w:w="8220" w:type="dxa"/>
            <w:vAlign w:val="bottom"/>
          </w:tcPr>
          <w:p>
            <w:pPr>
              <w:ind w:left="60"/>
              <w:spacing w:after="0" w:line="115" w:lineRule="exact"/>
              <w:rPr>
                <w:sz w:val="20"/>
                <w:szCs w:val="20"/>
                <w:color w:val="auto"/>
              </w:rPr>
            </w:pPr>
            <w:r>
              <w:rPr>
                <w:rFonts w:ascii="Times New Roman" w:cs="Times New Roman" w:eastAsia="Times New Roman" w:hAnsi="Times New Roman"/>
                <w:sz w:val="11"/>
                <w:szCs w:val="11"/>
                <w:color w:val="auto"/>
              </w:rPr>
              <w:t>tranche with respect to payments of principal, interest and any other amounts due thereunder.</w:t>
            </w:r>
          </w:p>
        </w:tc>
        <w:tc>
          <w:tcPr>
            <w:tcW w:w="0" w:type="dxa"/>
            <w:vAlign w:val="bottom"/>
          </w:tcPr>
          <w:p>
            <w:pPr>
              <w:spacing w:after="0"/>
              <w:rPr>
                <w:sz w:val="1"/>
                <w:szCs w:val="1"/>
                <w:color w:val="auto"/>
              </w:rPr>
            </w:pPr>
          </w:p>
        </w:tc>
      </w:tr>
      <w:tr>
        <w:trPr>
          <w:trHeight w:val="115"/>
        </w:trPr>
        <w:tc>
          <w:tcPr>
            <w:tcW w:w="260" w:type="dxa"/>
            <w:vAlign w:val="bottom"/>
            <w:vMerge w:val="continue"/>
          </w:tcPr>
          <w:p>
            <w:pPr>
              <w:spacing w:after="0"/>
              <w:rPr>
                <w:sz w:val="10"/>
                <w:szCs w:val="10"/>
                <w:color w:val="auto"/>
              </w:rPr>
            </w:pPr>
          </w:p>
        </w:tc>
        <w:tc>
          <w:tcPr>
            <w:tcW w:w="8220" w:type="dxa"/>
            <w:vAlign w:val="bottom"/>
          </w:tcPr>
          <w:p>
            <w:pPr>
              <w:ind w:left="60"/>
              <w:spacing w:after="0" w:line="115" w:lineRule="exact"/>
              <w:rPr>
                <w:sz w:val="20"/>
                <w:szCs w:val="20"/>
                <w:color w:val="auto"/>
              </w:rPr>
            </w:pPr>
            <w:r>
              <w:rPr>
                <w:rFonts w:ascii="Times New Roman" w:cs="Times New Roman" w:eastAsia="Times New Roman" w:hAnsi="Times New Roman"/>
                <w:sz w:val="11"/>
                <w:szCs w:val="11"/>
                <w:color w:val="auto"/>
              </w:rPr>
              <w:t>In addition to the interest earned based on the stated interest rate of this security, the Company is entitled to receive an additional interest amount of 2.78% on its “last out” tranche of</w:t>
            </w:r>
          </w:p>
        </w:tc>
        <w:tc>
          <w:tcPr>
            <w:tcW w:w="0" w:type="dxa"/>
            <w:vAlign w:val="bottom"/>
          </w:tcPr>
          <w:p>
            <w:pPr>
              <w:spacing w:after="0"/>
              <w:rPr>
                <w:sz w:val="1"/>
                <w:szCs w:val="1"/>
                <w:color w:val="auto"/>
              </w:rPr>
            </w:pPr>
          </w:p>
        </w:tc>
      </w:tr>
      <w:tr>
        <w:trPr>
          <w:trHeight w:val="115"/>
        </w:trPr>
        <w:tc>
          <w:tcPr>
            <w:tcW w:w="260" w:type="dxa"/>
            <w:vAlign w:val="bottom"/>
          </w:tcPr>
          <w:p>
            <w:pPr>
              <w:spacing w:after="0"/>
              <w:rPr>
                <w:sz w:val="10"/>
                <w:szCs w:val="10"/>
                <w:color w:val="auto"/>
              </w:rPr>
            </w:pPr>
          </w:p>
        </w:tc>
        <w:tc>
          <w:tcPr>
            <w:tcW w:w="8220" w:type="dxa"/>
            <w:vAlign w:val="bottom"/>
          </w:tcPr>
          <w:p>
            <w:pPr>
              <w:ind w:left="60"/>
              <w:spacing w:after="0" w:line="115" w:lineRule="exact"/>
              <w:rPr>
                <w:sz w:val="20"/>
                <w:szCs w:val="20"/>
                <w:color w:val="auto"/>
              </w:rPr>
            </w:pPr>
            <w:r>
              <w:rPr>
                <w:rFonts w:ascii="Times New Roman" w:cs="Times New Roman" w:eastAsia="Times New Roman" w:hAnsi="Times New Roman"/>
                <w:sz w:val="11"/>
                <w:szCs w:val="11"/>
                <w:color w:val="auto"/>
              </w:rPr>
              <w:t>the portfolio company’s senior term debt, which was previously syndicated into “first out” and “last out” tranches, whereby the “first out” tranche will have priority as to the “last out”</w:t>
            </w:r>
          </w:p>
        </w:tc>
        <w:tc>
          <w:tcPr>
            <w:tcW w:w="0" w:type="dxa"/>
            <w:vAlign w:val="bottom"/>
          </w:tcPr>
          <w:p>
            <w:pPr>
              <w:spacing w:after="0"/>
              <w:rPr>
                <w:sz w:val="1"/>
                <w:szCs w:val="1"/>
                <w:color w:val="auto"/>
              </w:rPr>
            </w:pPr>
          </w:p>
        </w:tc>
      </w:tr>
      <w:tr>
        <w:trPr>
          <w:trHeight w:val="115"/>
        </w:trPr>
        <w:tc>
          <w:tcPr>
            <w:tcW w:w="260" w:type="dxa"/>
            <w:vAlign w:val="bottom"/>
            <w:vMerge w:val="restart"/>
          </w:tcPr>
          <w:p>
            <w:pPr>
              <w:spacing w:after="0"/>
              <w:rPr>
                <w:sz w:val="20"/>
                <w:szCs w:val="20"/>
                <w:color w:val="auto"/>
              </w:rPr>
            </w:pPr>
            <w:r>
              <w:rPr>
                <w:rFonts w:ascii="Times New Roman" w:cs="Times New Roman" w:eastAsia="Times New Roman" w:hAnsi="Times New Roman"/>
                <w:sz w:val="11"/>
                <w:szCs w:val="11"/>
                <w:color w:val="auto"/>
              </w:rPr>
              <w:t>(aj)</w:t>
            </w:r>
          </w:p>
        </w:tc>
        <w:tc>
          <w:tcPr>
            <w:tcW w:w="8220" w:type="dxa"/>
            <w:vAlign w:val="bottom"/>
          </w:tcPr>
          <w:p>
            <w:pPr>
              <w:ind w:left="60"/>
              <w:spacing w:after="0" w:line="115" w:lineRule="exact"/>
              <w:rPr>
                <w:sz w:val="20"/>
                <w:szCs w:val="20"/>
                <w:color w:val="auto"/>
              </w:rPr>
            </w:pPr>
            <w:r>
              <w:rPr>
                <w:rFonts w:ascii="Times New Roman" w:cs="Times New Roman" w:eastAsia="Times New Roman" w:hAnsi="Times New Roman"/>
                <w:sz w:val="11"/>
                <w:szCs w:val="11"/>
                <w:color w:val="auto"/>
              </w:rPr>
              <w:t>tranche with respect to payments of principal, interest and any other amounts due thereunder.</w:t>
            </w:r>
          </w:p>
        </w:tc>
        <w:tc>
          <w:tcPr>
            <w:tcW w:w="0" w:type="dxa"/>
            <w:vAlign w:val="bottom"/>
          </w:tcPr>
          <w:p>
            <w:pPr>
              <w:spacing w:after="0"/>
              <w:rPr>
                <w:sz w:val="1"/>
                <w:szCs w:val="1"/>
                <w:color w:val="auto"/>
              </w:rPr>
            </w:pPr>
          </w:p>
        </w:tc>
      </w:tr>
      <w:tr>
        <w:trPr>
          <w:trHeight w:val="115"/>
        </w:trPr>
        <w:tc>
          <w:tcPr>
            <w:tcW w:w="260" w:type="dxa"/>
            <w:vAlign w:val="bottom"/>
            <w:vMerge w:val="continue"/>
          </w:tcPr>
          <w:p>
            <w:pPr>
              <w:spacing w:after="0"/>
              <w:rPr>
                <w:sz w:val="10"/>
                <w:szCs w:val="10"/>
                <w:color w:val="auto"/>
              </w:rPr>
            </w:pPr>
          </w:p>
        </w:tc>
        <w:tc>
          <w:tcPr>
            <w:tcW w:w="8220" w:type="dxa"/>
            <w:vAlign w:val="bottom"/>
          </w:tcPr>
          <w:p>
            <w:pPr>
              <w:ind w:left="60"/>
              <w:spacing w:after="0" w:line="115" w:lineRule="exact"/>
              <w:rPr>
                <w:sz w:val="20"/>
                <w:szCs w:val="20"/>
                <w:color w:val="auto"/>
              </w:rPr>
            </w:pPr>
            <w:r>
              <w:rPr>
                <w:rFonts w:ascii="Times New Roman" w:cs="Times New Roman" w:eastAsia="Times New Roman" w:hAnsi="Times New Roman"/>
                <w:sz w:val="11"/>
                <w:szCs w:val="11"/>
                <w:color w:val="auto"/>
              </w:rPr>
              <w:t>In addition to the interest earned based on the stated interest rate of this security, the Company is entitled to receive an additional interest amount of 4.85% on its “last out” tranche of</w:t>
            </w:r>
          </w:p>
        </w:tc>
        <w:tc>
          <w:tcPr>
            <w:tcW w:w="0" w:type="dxa"/>
            <w:vAlign w:val="bottom"/>
          </w:tcPr>
          <w:p>
            <w:pPr>
              <w:spacing w:after="0"/>
              <w:rPr>
                <w:sz w:val="1"/>
                <w:szCs w:val="1"/>
                <w:color w:val="auto"/>
              </w:rPr>
            </w:pPr>
          </w:p>
        </w:tc>
      </w:tr>
      <w:tr>
        <w:trPr>
          <w:trHeight w:val="115"/>
        </w:trPr>
        <w:tc>
          <w:tcPr>
            <w:tcW w:w="260" w:type="dxa"/>
            <w:vAlign w:val="bottom"/>
          </w:tcPr>
          <w:p>
            <w:pPr>
              <w:spacing w:after="0"/>
              <w:rPr>
                <w:sz w:val="10"/>
                <w:szCs w:val="10"/>
                <w:color w:val="auto"/>
              </w:rPr>
            </w:pPr>
          </w:p>
        </w:tc>
        <w:tc>
          <w:tcPr>
            <w:tcW w:w="8220" w:type="dxa"/>
            <w:vAlign w:val="bottom"/>
          </w:tcPr>
          <w:p>
            <w:pPr>
              <w:ind w:left="60"/>
              <w:spacing w:after="0" w:line="115" w:lineRule="exact"/>
              <w:rPr>
                <w:sz w:val="20"/>
                <w:szCs w:val="20"/>
                <w:color w:val="auto"/>
              </w:rPr>
            </w:pPr>
            <w:r>
              <w:rPr>
                <w:rFonts w:ascii="Times New Roman" w:cs="Times New Roman" w:eastAsia="Times New Roman" w:hAnsi="Times New Roman"/>
                <w:sz w:val="11"/>
                <w:szCs w:val="11"/>
                <w:color w:val="auto"/>
              </w:rPr>
              <w:t>the portfolio company’s senior term debt, which was previously syndicated into “first out” and “last out” tranches, whereby the “first out” tranche will have priority as to the “last out”</w:t>
            </w:r>
          </w:p>
        </w:tc>
        <w:tc>
          <w:tcPr>
            <w:tcW w:w="0" w:type="dxa"/>
            <w:vAlign w:val="bottom"/>
          </w:tcPr>
          <w:p>
            <w:pPr>
              <w:spacing w:after="0"/>
              <w:rPr>
                <w:sz w:val="1"/>
                <w:szCs w:val="1"/>
                <w:color w:val="auto"/>
              </w:rPr>
            </w:pPr>
          </w:p>
        </w:tc>
      </w:tr>
      <w:tr>
        <w:trPr>
          <w:trHeight w:val="115"/>
        </w:trPr>
        <w:tc>
          <w:tcPr>
            <w:tcW w:w="260" w:type="dxa"/>
            <w:vAlign w:val="bottom"/>
            <w:vMerge w:val="restart"/>
          </w:tcPr>
          <w:p>
            <w:pPr>
              <w:spacing w:after="0"/>
              <w:rPr>
                <w:sz w:val="20"/>
                <w:szCs w:val="20"/>
                <w:color w:val="auto"/>
              </w:rPr>
            </w:pPr>
            <w:r>
              <w:rPr>
                <w:rFonts w:ascii="Times New Roman" w:cs="Times New Roman" w:eastAsia="Times New Roman" w:hAnsi="Times New Roman"/>
                <w:sz w:val="11"/>
                <w:szCs w:val="11"/>
                <w:color w:val="auto"/>
              </w:rPr>
              <w:t>(ak)</w:t>
            </w:r>
          </w:p>
        </w:tc>
        <w:tc>
          <w:tcPr>
            <w:tcW w:w="8220" w:type="dxa"/>
            <w:vAlign w:val="bottom"/>
          </w:tcPr>
          <w:p>
            <w:pPr>
              <w:ind w:left="60"/>
              <w:spacing w:after="0" w:line="115" w:lineRule="exact"/>
              <w:rPr>
                <w:sz w:val="20"/>
                <w:szCs w:val="20"/>
                <w:color w:val="auto"/>
              </w:rPr>
            </w:pPr>
            <w:r>
              <w:rPr>
                <w:rFonts w:ascii="Times New Roman" w:cs="Times New Roman" w:eastAsia="Times New Roman" w:hAnsi="Times New Roman"/>
                <w:sz w:val="11"/>
                <w:szCs w:val="11"/>
                <w:color w:val="auto"/>
              </w:rPr>
              <w:t>tranche with respect to payments of principal, interest and any other amounts due thereunder.</w:t>
            </w:r>
          </w:p>
        </w:tc>
        <w:tc>
          <w:tcPr>
            <w:tcW w:w="0" w:type="dxa"/>
            <w:vAlign w:val="bottom"/>
          </w:tcPr>
          <w:p>
            <w:pPr>
              <w:spacing w:after="0"/>
              <w:rPr>
                <w:sz w:val="1"/>
                <w:szCs w:val="1"/>
                <w:color w:val="auto"/>
              </w:rPr>
            </w:pPr>
          </w:p>
        </w:tc>
      </w:tr>
      <w:tr>
        <w:trPr>
          <w:trHeight w:val="115"/>
        </w:trPr>
        <w:tc>
          <w:tcPr>
            <w:tcW w:w="260" w:type="dxa"/>
            <w:vAlign w:val="bottom"/>
            <w:vMerge w:val="continue"/>
          </w:tcPr>
          <w:p>
            <w:pPr>
              <w:spacing w:after="0"/>
              <w:rPr>
                <w:sz w:val="10"/>
                <w:szCs w:val="10"/>
                <w:color w:val="auto"/>
              </w:rPr>
            </w:pPr>
          </w:p>
        </w:tc>
        <w:tc>
          <w:tcPr>
            <w:tcW w:w="8220" w:type="dxa"/>
            <w:vAlign w:val="bottom"/>
          </w:tcPr>
          <w:p>
            <w:pPr>
              <w:ind w:left="60"/>
              <w:spacing w:after="0" w:line="115" w:lineRule="exact"/>
              <w:rPr>
                <w:sz w:val="20"/>
                <w:szCs w:val="20"/>
                <w:color w:val="auto"/>
              </w:rPr>
            </w:pPr>
            <w:r>
              <w:rPr>
                <w:rFonts w:ascii="Times New Roman" w:cs="Times New Roman" w:eastAsia="Times New Roman" w:hAnsi="Times New Roman"/>
                <w:sz w:val="11"/>
                <w:szCs w:val="11"/>
                <w:color w:val="auto"/>
              </w:rPr>
              <w:t>In addition to the interest earned based on the stated interest rate of this security, the Company is entitled to receive an additional interest amount of 3.42% on its “last out” tranche of</w:t>
            </w:r>
          </w:p>
        </w:tc>
        <w:tc>
          <w:tcPr>
            <w:tcW w:w="0" w:type="dxa"/>
            <w:vAlign w:val="bottom"/>
          </w:tcPr>
          <w:p>
            <w:pPr>
              <w:spacing w:after="0"/>
              <w:rPr>
                <w:sz w:val="1"/>
                <w:szCs w:val="1"/>
                <w:color w:val="auto"/>
              </w:rPr>
            </w:pPr>
          </w:p>
        </w:tc>
      </w:tr>
      <w:tr>
        <w:trPr>
          <w:trHeight w:val="115"/>
        </w:trPr>
        <w:tc>
          <w:tcPr>
            <w:tcW w:w="260" w:type="dxa"/>
            <w:vAlign w:val="bottom"/>
          </w:tcPr>
          <w:p>
            <w:pPr>
              <w:spacing w:after="0"/>
              <w:rPr>
                <w:sz w:val="10"/>
                <w:szCs w:val="10"/>
                <w:color w:val="auto"/>
              </w:rPr>
            </w:pPr>
          </w:p>
        </w:tc>
        <w:tc>
          <w:tcPr>
            <w:tcW w:w="8220" w:type="dxa"/>
            <w:vAlign w:val="bottom"/>
          </w:tcPr>
          <w:p>
            <w:pPr>
              <w:ind w:left="60"/>
              <w:spacing w:after="0" w:line="115" w:lineRule="exact"/>
              <w:rPr>
                <w:sz w:val="20"/>
                <w:szCs w:val="20"/>
                <w:color w:val="auto"/>
              </w:rPr>
            </w:pPr>
            <w:r>
              <w:rPr>
                <w:rFonts w:ascii="Times New Roman" w:cs="Times New Roman" w:eastAsia="Times New Roman" w:hAnsi="Times New Roman"/>
                <w:sz w:val="11"/>
                <w:szCs w:val="11"/>
                <w:color w:val="auto"/>
              </w:rPr>
              <w:t>the portfolio company’s senior term debt, which was previously syndicated into “first out” and “last out” tranches, whereby the “first out” tranche will have priority as to the “last out”</w:t>
            </w:r>
          </w:p>
        </w:tc>
        <w:tc>
          <w:tcPr>
            <w:tcW w:w="0" w:type="dxa"/>
            <w:vAlign w:val="bottom"/>
          </w:tcPr>
          <w:p>
            <w:pPr>
              <w:spacing w:after="0"/>
              <w:rPr>
                <w:sz w:val="1"/>
                <w:szCs w:val="1"/>
                <w:color w:val="auto"/>
              </w:rPr>
            </w:pPr>
          </w:p>
        </w:tc>
      </w:tr>
      <w:tr>
        <w:trPr>
          <w:trHeight w:val="115"/>
        </w:trPr>
        <w:tc>
          <w:tcPr>
            <w:tcW w:w="260" w:type="dxa"/>
            <w:vAlign w:val="bottom"/>
            <w:vMerge w:val="restart"/>
          </w:tcPr>
          <w:p>
            <w:pPr>
              <w:spacing w:after="0"/>
              <w:rPr>
                <w:sz w:val="20"/>
                <w:szCs w:val="20"/>
                <w:color w:val="auto"/>
              </w:rPr>
            </w:pPr>
            <w:r>
              <w:rPr>
                <w:rFonts w:ascii="Times New Roman" w:cs="Times New Roman" w:eastAsia="Times New Roman" w:hAnsi="Times New Roman"/>
                <w:sz w:val="11"/>
                <w:szCs w:val="11"/>
                <w:color w:val="auto"/>
              </w:rPr>
              <w:t>(al)</w:t>
            </w:r>
          </w:p>
        </w:tc>
        <w:tc>
          <w:tcPr>
            <w:tcW w:w="8220" w:type="dxa"/>
            <w:vAlign w:val="bottom"/>
          </w:tcPr>
          <w:p>
            <w:pPr>
              <w:ind w:left="60"/>
              <w:spacing w:after="0" w:line="115" w:lineRule="exact"/>
              <w:rPr>
                <w:sz w:val="20"/>
                <w:szCs w:val="20"/>
                <w:color w:val="auto"/>
              </w:rPr>
            </w:pPr>
            <w:r>
              <w:rPr>
                <w:rFonts w:ascii="Times New Roman" w:cs="Times New Roman" w:eastAsia="Times New Roman" w:hAnsi="Times New Roman"/>
                <w:sz w:val="11"/>
                <w:szCs w:val="11"/>
                <w:color w:val="auto"/>
              </w:rPr>
              <w:t>tranche with respect to payments of principal, interest and any other amounts due thereunder.</w:t>
            </w:r>
          </w:p>
        </w:tc>
        <w:tc>
          <w:tcPr>
            <w:tcW w:w="0" w:type="dxa"/>
            <w:vAlign w:val="bottom"/>
          </w:tcPr>
          <w:p>
            <w:pPr>
              <w:spacing w:after="0"/>
              <w:rPr>
                <w:sz w:val="1"/>
                <w:szCs w:val="1"/>
                <w:color w:val="auto"/>
              </w:rPr>
            </w:pPr>
          </w:p>
        </w:tc>
      </w:tr>
      <w:tr>
        <w:trPr>
          <w:trHeight w:val="115"/>
        </w:trPr>
        <w:tc>
          <w:tcPr>
            <w:tcW w:w="260" w:type="dxa"/>
            <w:vAlign w:val="bottom"/>
            <w:vMerge w:val="continue"/>
          </w:tcPr>
          <w:p>
            <w:pPr>
              <w:spacing w:after="0"/>
              <w:rPr>
                <w:sz w:val="10"/>
                <w:szCs w:val="10"/>
                <w:color w:val="auto"/>
              </w:rPr>
            </w:pPr>
          </w:p>
        </w:tc>
        <w:tc>
          <w:tcPr>
            <w:tcW w:w="8220" w:type="dxa"/>
            <w:vAlign w:val="bottom"/>
          </w:tcPr>
          <w:p>
            <w:pPr>
              <w:ind w:left="60"/>
              <w:spacing w:after="0" w:line="115" w:lineRule="exact"/>
              <w:rPr>
                <w:sz w:val="20"/>
                <w:szCs w:val="20"/>
                <w:color w:val="auto"/>
              </w:rPr>
            </w:pPr>
            <w:r>
              <w:rPr>
                <w:rFonts w:ascii="Times New Roman" w:cs="Times New Roman" w:eastAsia="Times New Roman" w:hAnsi="Times New Roman"/>
                <w:sz w:val="11"/>
                <w:szCs w:val="11"/>
                <w:color w:val="auto"/>
              </w:rPr>
              <w:t>In addition to the interest earned based on the stated interest rate of this security, the Company is entitled to receive an additional interest amount of 3.89% on its “last out” tranche of</w:t>
            </w:r>
          </w:p>
        </w:tc>
        <w:tc>
          <w:tcPr>
            <w:tcW w:w="0" w:type="dxa"/>
            <w:vAlign w:val="bottom"/>
          </w:tcPr>
          <w:p>
            <w:pPr>
              <w:spacing w:after="0"/>
              <w:rPr>
                <w:sz w:val="1"/>
                <w:szCs w:val="1"/>
                <w:color w:val="auto"/>
              </w:rPr>
            </w:pPr>
          </w:p>
        </w:tc>
      </w:tr>
      <w:tr>
        <w:trPr>
          <w:trHeight w:val="115"/>
        </w:trPr>
        <w:tc>
          <w:tcPr>
            <w:tcW w:w="260" w:type="dxa"/>
            <w:vAlign w:val="bottom"/>
          </w:tcPr>
          <w:p>
            <w:pPr>
              <w:spacing w:after="0"/>
              <w:rPr>
                <w:sz w:val="10"/>
                <w:szCs w:val="10"/>
                <w:color w:val="auto"/>
              </w:rPr>
            </w:pPr>
          </w:p>
        </w:tc>
        <w:tc>
          <w:tcPr>
            <w:tcW w:w="8220" w:type="dxa"/>
            <w:vAlign w:val="bottom"/>
          </w:tcPr>
          <w:p>
            <w:pPr>
              <w:ind w:left="60"/>
              <w:spacing w:after="0" w:line="115" w:lineRule="exact"/>
              <w:rPr>
                <w:sz w:val="20"/>
                <w:szCs w:val="20"/>
                <w:color w:val="auto"/>
              </w:rPr>
            </w:pPr>
            <w:r>
              <w:rPr>
                <w:rFonts w:ascii="Times New Roman" w:cs="Times New Roman" w:eastAsia="Times New Roman" w:hAnsi="Times New Roman"/>
                <w:sz w:val="11"/>
                <w:szCs w:val="11"/>
                <w:color w:val="auto"/>
              </w:rPr>
              <w:t>the portfolio company’s senior term debt, which was previously syndicated into “first out” and “last out” tranches, whereby the “first out” tranche will have priority as to the “last out”</w:t>
            </w:r>
          </w:p>
        </w:tc>
        <w:tc>
          <w:tcPr>
            <w:tcW w:w="0" w:type="dxa"/>
            <w:vAlign w:val="bottom"/>
          </w:tcPr>
          <w:p>
            <w:pPr>
              <w:spacing w:after="0"/>
              <w:rPr>
                <w:sz w:val="1"/>
                <w:szCs w:val="1"/>
                <w:color w:val="auto"/>
              </w:rPr>
            </w:pPr>
          </w:p>
        </w:tc>
      </w:tr>
      <w:tr>
        <w:trPr>
          <w:trHeight w:val="115"/>
        </w:trPr>
        <w:tc>
          <w:tcPr>
            <w:tcW w:w="260" w:type="dxa"/>
            <w:vAlign w:val="bottom"/>
            <w:vMerge w:val="restart"/>
          </w:tcPr>
          <w:p>
            <w:pPr>
              <w:spacing w:after="0"/>
              <w:rPr>
                <w:sz w:val="20"/>
                <w:szCs w:val="20"/>
                <w:color w:val="auto"/>
              </w:rPr>
            </w:pPr>
            <w:r>
              <w:rPr>
                <w:rFonts w:ascii="Times New Roman" w:cs="Times New Roman" w:eastAsia="Times New Roman" w:hAnsi="Times New Roman"/>
                <w:sz w:val="11"/>
                <w:szCs w:val="11"/>
                <w:color w:val="auto"/>
              </w:rPr>
              <w:t>(am)</w:t>
            </w:r>
          </w:p>
        </w:tc>
        <w:tc>
          <w:tcPr>
            <w:tcW w:w="8220" w:type="dxa"/>
            <w:vAlign w:val="bottom"/>
          </w:tcPr>
          <w:p>
            <w:pPr>
              <w:ind w:left="60"/>
              <w:spacing w:after="0" w:line="115" w:lineRule="exact"/>
              <w:rPr>
                <w:sz w:val="20"/>
                <w:szCs w:val="20"/>
                <w:color w:val="auto"/>
              </w:rPr>
            </w:pPr>
            <w:r>
              <w:rPr>
                <w:rFonts w:ascii="Times New Roman" w:cs="Times New Roman" w:eastAsia="Times New Roman" w:hAnsi="Times New Roman"/>
                <w:sz w:val="11"/>
                <w:szCs w:val="11"/>
                <w:color w:val="auto"/>
              </w:rPr>
              <w:t>tranche with respect to payments of principal, interest and any other amounts due thereunder.</w:t>
            </w:r>
          </w:p>
        </w:tc>
        <w:tc>
          <w:tcPr>
            <w:tcW w:w="0" w:type="dxa"/>
            <w:vAlign w:val="bottom"/>
          </w:tcPr>
          <w:p>
            <w:pPr>
              <w:spacing w:after="0"/>
              <w:rPr>
                <w:sz w:val="1"/>
                <w:szCs w:val="1"/>
                <w:color w:val="auto"/>
              </w:rPr>
            </w:pPr>
          </w:p>
        </w:tc>
      </w:tr>
      <w:tr>
        <w:trPr>
          <w:trHeight w:val="115"/>
        </w:trPr>
        <w:tc>
          <w:tcPr>
            <w:tcW w:w="260" w:type="dxa"/>
            <w:vAlign w:val="bottom"/>
            <w:vMerge w:val="continue"/>
          </w:tcPr>
          <w:p>
            <w:pPr>
              <w:spacing w:after="0"/>
              <w:rPr>
                <w:sz w:val="10"/>
                <w:szCs w:val="10"/>
                <w:color w:val="auto"/>
              </w:rPr>
            </w:pPr>
          </w:p>
        </w:tc>
        <w:tc>
          <w:tcPr>
            <w:tcW w:w="8220" w:type="dxa"/>
            <w:vAlign w:val="bottom"/>
          </w:tcPr>
          <w:p>
            <w:pPr>
              <w:ind w:left="60"/>
              <w:spacing w:after="0" w:line="115" w:lineRule="exact"/>
              <w:rPr>
                <w:sz w:val="20"/>
                <w:szCs w:val="20"/>
                <w:color w:val="auto"/>
              </w:rPr>
            </w:pPr>
            <w:r>
              <w:rPr>
                <w:rFonts w:ascii="Times New Roman" w:cs="Times New Roman" w:eastAsia="Times New Roman" w:hAnsi="Times New Roman"/>
                <w:sz w:val="11"/>
                <w:szCs w:val="11"/>
                <w:color w:val="auto"/>
              </w:rPr>
              <w:t>In addition to the interest earned based on the stated interest rate of this security, the Company is entitled to receive an additional interest amount of 3.76% on its “last out” tranche of</w:t>
            </w:r>
          </w:p>
        </w:tc>
        <w:tc>
          <w:tcPr>
            <w:tcW w:w="0" w:type="dxa"/>
            <w:vAlign w:val="bottom"/>
          </w:tcPr>
          <w:p>
            <w:pPr>
              <w:spacing w:after="0"/>
              <w:rPr>
                <w:sz w:val="1"/>
                <w:szCs w:val="1"/>
                <w:color w:val="auto"/>
              </w:rPr>
            </w:pPr>
          </w:p>
        </w:tc>
      </w:tr>
      <w:tr>
        <w:trPr>
          <w:trHeight w:val="115"/>
        </w:trPr>
        <w:tc>
          <w:tcPr>
            <w:tcW w:w="260" w:type="dxa"/>
            <w:vAlign w:val="bottom"/>
          </w:tcPr>
          <w:p>
            <w:pPr>
              <w:spacing w:after="0"/>
              <w:rPr>
                <w:sz w:val="10"/>
                <w:szCs w:val="10"/>
                <w:color w:val="auto"/>
              </w:rPr>
            </w:pPr>
          </w:p>
        </w:tc>
        <w:tc>
          <w:tcPr>
            <w:tcW w:w="8220" w:type="dxa"/>
            <w:vAlign w:val="bottom"/>
          </w:tcPr>
          <w:p>
            <w:pPr>
              <w:ind w:left="60"/>
              <w:spacing w:after="0" w:line="115" w:lineRule="exact"/>
              <w:rPr>
                <w:sz w:val="20"/>
                <w:szCs w:val="20"/>
                <w:color w:val="auto"/>
              </w:rPr>
            </w:pPr>
            <w:r>
              <w:rPr>
                <w:rFonts w:ascii="Times New Roman" w:cs="Times New Roman" w:eastAsia="Times New Roman" w:hAnsi="Times New Roman"/>
                <w:sz w:val="11"/>
                <w:szCs w:val="11"/>
                <w:color w:val="auto"/>
              </w:rPr>
              <w:t>the portfolio company’s senior term debt, which was previously syndicated into “first out” and “last out” tranches, whereby the “first out” tranche will have priority as to the “last out”</w:t>
            </w:r>
          </w:p>
        </w:tc>
        <w:tc>
          <w:tcPr>
            <w:tcW w:w="0" w:type="dxa"/>
            <w:vAlign w:val="bottom"/>
          </w:tcPr>
          <w:p>
            <w:pPr>
              <w:spacing w:after="0"/>
              <w:rPr>
                <w:sz w:val="1"/>
                <w:szCs w:val="1"/>
                <w:color w:val="auto"/>
              </w:rPr>
            </w:pPr>
          </w:p>
        </w:tc>
      </w:tr>
      <w:tr>
        <w:trPr>
          <w:trHeight w:val="115"/>
        </w:trPr>
        <w:tc>
          <w:tcPr>
            <w:tcW w:w="260" w:type="dxa"/>
            <w:vAlign w:val="bottom"/>
            <w:vMerge w:val="restart"/>
          </w:tcPr>
          <w:p>
            <w:pPr>
              <w:spacing w:after="0"/>
              <w:rPr>
                <w:sz w:val="20"/>
                <w:szCs w:val="20"/>
                <w:color w:val="auto"/>
              </w:rPr>
            </w:pPr>
            <w:r>
              <w:rPr>
                <w:rFonts w:ascii="Times New Roman" w:cs="Times New Roman" w:eastAsia="Times New Roman" w:hAnsi="Times New Roman"/>
                <w:sz w:val="11"/>
                <w:szCs w:val="11"/>
                <w:color w:val="auto"/>
              </w:rPr>
              <w:t>(an)</w:t>
            </w:r>
          </w:p>
        </w:tc>
        <w:tc>
          <w:tcPr>
            <w:tcW w:w="8220" w:type="dxa"/>
            <w:vAlign w:val="bottom"/>
          </w:tcPr>
          <w:p>
            <w:pPr>
              <w:ind w:left="60"/>
              <w:spacing w:after="0" w:line="115" w:lineRule="exact"/>
              <w:rPr>
                <w:sz w:val="20"/>
                <w:szCs w:val="20"/>
                <w:color w:val="auto"/>
              </w:rPr>
            </w:pPr>
            <w:r>
              <w:rPr>
                <w:rFonts w:ascii="Times New Roman" w:cs="Times New Roman" w:eastAsia="Times New Roman" w:hAnsi="Times New Roman"/>
                <w:sz w:val="11"/>
                <w:szCs w:val="11"/>
                <w:color w:val="auto"/>
              </w:rPr>
              <w:t>tranche with respect to payments of principal, interest and any other amounts due thereunder.</w:t>
            </w:r>
          </w:p>
        </w:tc>
        <w:tc>
          <w:tcPr>
            <w:tcW w:w="0" w:type="dxa"/>
            <w:vAlign w:val="bottom"/>
          </w:tcPr>
          <w:p>
            <w:pPr>
              <w:spacing w:after="0"/>
              <w:rPr>
                <w:sz w:val="1"/>
                <w:szCs w:val="1"/>
                <w:color w:val="auto"/>
              </w:rPr>
            </w:pPr>
          </w:p>
        </w:tc>
      </w:tr>
      <w:tr>
        <w:trPr>
          <w:trHeight w:val="115"/>
        </w:trPr>
        <w:tc>
          <w:tcPr>
            <w:tcW w:w="260" w:type="dxa"/>
            <w:vAlign w:val="bottom"/>
            <w:vMerge w:val="continue"/>
          </w:tcPr>
          <w:p>
            <w:pPr>
              <w:spacing w:after="0"/>
              <w:rPr>
                <w:sz w:val="10"/>
                <w:szCs w:val="10"/>
                <w:color w:val="auto"/>
              </w:rPr>
            </w:pPr>
          </w:p>
        </w:tc>
        <w:tc>
          <w:tcPr>
            <w:tcW w:w="8220" w:type="dxa"/>
            <w:vAlign w:val="bottom"/>
          </w:tcPr>
          <w:p>
            <w:pPr>
              <w:ind w:left="60"/>
              <w:spacing w:after="0" w:line="115" w:lineRule="exact"/>
              <w:rPr>
                <w:sz w:val="20"/>
                <w:szCs w:val="20"/>
                <w:color w:val="auto"/>
              </w:rPr>
            </w:pPr>
            <w:r>
              <w:rPr>
                <w:rFonts w:ascii="Times New Roman" w:cs="Times New Roman" w:eastAsia="Times New Roman" w:hAnsi="Times New Roman"/>
                <w:sz w:val="11"/>
                <w:szCs w:val="11"/>
                <w:color w:val="auto"/>
              </w:rPr>
              <w:t>The Company sold a participating interest of approximately $13.5 million in aggregate principal amount of the portfolio company’s first lien senior secured term loan. As the</w:t>
            </w:r>
          </w:p>
        </w:tc>
        <w:tc>
          <w:tcPr>
            <w:tcW w:w="0" w:type="dxa"/>
            <w:vAlign w:val="bottom"/>
          </w:tcPr>
          <w:p>
            <w:pPr>
              <w:spacing w:after="0"/>
              <w:rPr>
                <w:sz w:val="1"/>
                <w:szCs w:val="1"/>
                <w:color w:val="auto"/>
              </w:rPr>
            </w:pPr>
          </w:p>
        </w:tc>
      </w:tr>
      <w:tr>
        <w:trPr>
          <w:trHeight w:val="115"/>
        </w:trPr>
        <w:tc>
          <w:tcPr>
            <w:tcW w:w="260" w:type="dxa"/>
            <w:vAlign w:val="bottom"/>
          </w:tcPr>
          <w:p>
            <w:pPr>
              <w:spacing w:after="0"/>
              <w:rPr>
                <w:sz w:val="10"/>
                <w:szCs w:val="10"/>
                <w:color w:val="auto"/>
              </w:rPr>
            </w:pPr>
          </w:p>
        </w:tc>
        <w:tc>
          <w:tcPr>
            <w:tcW w:w="8220" w:type="dxa"/>
            <w:vAlign w:val="bottom"/>
          </w:tcPr>
          <w:p>
            <w:pPr>
              <w:ind w:left="60"/>
              <w:spacing w:after="0" w:line="115" w:lineRule="exact"/>
              <w:rPr>
                <w:sz w:val="20"/>
                <w:szCs w:val="20"/>
                <w:color w:val="auto"/>
              </w:rPr>
            </w:pPr>
            <w:r>
              <w:rPr>
                <w:rFonts w:ascii="Times New Roman" w:cs="Times New Roman" w:eastAsia="Times New Roman" w:hAnsi="Times New Roman"/>
                <w:sz w:val="11"/>
                <w:szCs w:val="11"/>
                <w:color w:val="auto"/>
              </w:rPr>
              <w:t>transaction did not qualify as a “true sale” in accordance with GAAP, the Company recorded a corresponding secured borrowing in the Consolidated Statements of Assets and</w:t>
            </w:r>
          </w:p>
        </w:tc>
        <w:tc>
          <w:tcPr>
            <w:tcW w:w="0" w:type="dxa"/>
            <w:vAlign w:val="bottom"/>
          </w:tcPr>
          <w:p>
            <w:pPr>
              <w:spacing w:after="0"/>
              <w:rPr>
                <w:sz w:val="1"/>
                <w:szCs w:val="1"/>
                <w:color w:val="auto"/>
              </w:rPr>
            </w:pPr>
          </w:p>
        </w:tc>
      </w:tr>
      <w:tr>
        <w:trPr>
          <w:trHeight w:val="115"/>
        </w:trPr>
        <w:tc>
          <w:tcPr>
            <w:tcW w:w="260" w:type="dxa"/>
            <w:vAlign w:val="bottom"/>
            <w:vMerge w:val="restart"/>
          </w:tcPr>
          <w:p>
            <w:pPr>
              <w:spacing w:after="0"/>
              <w:rPr>
                <w:sz w:val="20"/>
                <w:szCs w:val="20"/>
                <w:color w:val="auto"/>
              </w:rPr>
            </w:pPr>
            <w:r>
              <w:rPr>
                <w:rFonts w:ascii="Times New Roman" w:cs="Times New Roman" w:eastAsia="Times New Roman" w:hAnsi="Times New Roman"/>
                <w:sz w:val="11"/>
                <w:szCs w:val="11"/>
                <w:color w:val="auto"/>
              </w:rPr>
              <w:t>(ao)</w:t>
            </w:r>
          </w:p>
        </w:tc>
        <w:tc>
          <w:tcPr>
            <w:tcW w:w="8220" w:type="dxa"/>
            <w:vAlign w:val="bottom"/>
          </w:tcPr>
          <w:p>
            <w:pPr>
              <w:ind w:left="60"/>
              <w:spacing w:after="0" w:line="115" w:lineRule="exact"/>
              <w:rPr>
                <w:sz w:val="20"/>
                <w:szCs w:val="20"/>
                <w:color w:val="auto"/>
              </w:rPr>
            </w:pPr>
            <w:r>
              <w:rPr>
                <w:rFonts w:ascii="Times New Roman" w:cs="Times New Roman" w:eastAsia="Times New Roman" w:hAnsi="Times New Roman"/>
                <w:sz w:val="11"/>
                <w:szCs w:val="11"/>
                <w:color w:val="auto"/>
              </w:rPr>
              <w:t>Liabilities.</w:t>
            </w:r>
          </w:p>
        </w:tc>
        <w:tc>
          <w:tcPr>
            <w:tcW w:w="0" w:type="dxa"/>
            <w:vAlign w:val="bottom"/>
          </w:tcPr>
          <w:p>
            <w:pPr>
              <w:spacing w:after="0"/>
              <w:rPr>
                <w:sz w:val="1"/>
                <w:szCs w:val="1"/>
                <w:color w:val="auto"/>
              </w:rPr>
            </w:pPr>
          </w:p>
        </w:tc>
      </w:tr>
      <w:tr>
        <w:trPr>
          <w:trHeight w:val="115"/>
        </w:trPr>
        <w:tc>
          <w:tcPr>
            <w:tcW w:w="260" w:type="dxa"/>
            <w:vAlign w:val="bottom"/>
            <w:vMerge w:val="continue"/>
          </w:tcPr>
          <w:p>
            <w:pPr>
              <w:spacing w:after="0"/>
              <w:rPr>
                <w:sz w:val="10"/>
                <w:szCs w:val="10"/>
                <w:color w:val="auto"/>
              </w:rPr>
            </w:pPr>
          </w:p>
        </w:tc>
        <w:tc>
          <w:tcPr>
            <w:tcW w:w="8220" w:type="dxa"/>
            <w:vAlign w:val="bottom"/>
          </w:tcPr>
          <w:p>
            <w:pPr>
              <w:ind w:left="60"/>
              <w:spacing w:after="0" w:line="115" w:lineRule="exact"/>
              <w:rPr>
                <w:sz w:val="20"/>
                <w:szCs w:val="20"/>
                <w:color w:val="auto"/>
              </w:rPr>
            </w:pPr>
            <w:r>
              <w:rPr>
                <w:rFonts w:ascii="Times New Roman" w:cs="Times New Roman" w:eastAsia="Times New Roman" w:hAnsi="Times New Roman"/>
                <w:sz w:val="11"/>
                <w:szCs w:val="11"/>
                <w:color w:val="auto"/>
              </w:rPr>
              <w:t>The investment is treated as a non-qualifying asset under Section 55(a) of the Investment Company Act of 1940, as amended (the “1940 Act”). Under the 1940 Act, the Company can</w:t>
            </w:r>
          </w:p>
        </w:tc>
        <w:tc>
          <w:tcPr>
            <w:tcW w:w="0" w:type="dxa"/>
            <w:vAlign w:val="bottom"/>
          </w:tcPr>
          <w:p>
            <w:pPr>
              <w:spacing w:after="0"/>
              <w:rPr>
                <w:sz w:val="1"/>
                <w:szCs w:val="1"/>
                <w:color w:val="auto"/>
              </w:rPr>
            </w:pPr>
          </w:p>
        </w:tc>
      </w:tr>
      <w:tr>
        <w:trPr>
          <w:trHeight w:val="115"/>
        </w:trPr>
        <w:tc>
          <w:tcPr>
            <w:tcW w:w="260" w:type="dxa"/>
            <w:vAlign w:val="bottom"/>
          </w:tcPr>
          <w:p>
            <w:pPr>
              <w:spacing w:after="0"/>
              <w:rPr>
                <w:sz w:val="10"/>
                <w:szCs w:val="10"/>
                <w:color w:val="auto"/>
              </w:rPr>
            </w:pPr>
          </w:p>
        </w:tc>
        <w:tc>
          <w:tcPr>
            <w:tcW w:w="8220" w:type="dxa"/>
            <w:vAlign w:val="bottom"/>
          </w:tcPr>
          <w:p>
            <w:pPr>
              <w:ind w:left="60"/>
              <w:spacing w:after="0" w:line="115" w:lineRule="exact"/>
              <w:rPr>
                <w:sz w:val="20"/>
                <w:szCs w:val="20"/>
                <w:color w:val="auto"/>
              </w:rPr>
            </w:pPr>
            <w:r>
              <w:rPr>
                <w:rFonts w:ascii="Times New Roman" w:cs="Times New Roman" w:eastAsia="Times New Roman" w:hAnsi="Times New Roman"/>
                <w:sz w:val="11"/>
                <w:szCs w:val="11"/>
                <w:color w:val="auto"/>
              </w:rPr>
              <w:t>not acquire any non-qualifying asset unless, at the time the acquisition is made, qualifying assets represent at least 70% of the Company’s total assets. As of March 31, 2026, total</w:t>
            </w:r>
          </w:p>
        </w:tc>
        <w:tc>
          <w:tcPr>
            <w:tcW w:w="0" w:type="dxa"/>
            <w:vAlign w:val="bottom"/>
          </w:tcPr>
          <w:p>
            <w:pPr>
              <w:spacing w:after="0"/>
              <w:rPr>
                <w:sz w:val="1"/>
                <w:szCs w:val="1"/>
                <w:color w:val="auto"/>
              </w:rPr>
            </w:pPr>
          </w:p>
        </w:tc>
      </w:tr>
      <w:tr>
        <w:trPr>
          <w:trHeight w:val="115"/>
        </w:trPr>
        <w:tc>
          <w:tcPr>
            <w:tcW w:w="260" w:type="dxa"/>
            <w:vAlign w:val="bottom"/>
            <w:vMerge w:val="restart"/>
          </w:tcPr>
          <w:p>
            <w:pPr>
              <w:spacing w:after="0"/>
              <w:rPr>
                <w:sz w:val="20"/>
                <w:szCs w:val="20"/>
                <w:color w:val="auto"/>
              </w:rPr>
            </w:pPr>
            <w:r>
              <w:rPr>
                <w:rFonts w:ascii="Times New Roman" w:cs="Times New Roman" w:eastAsia="Times New Roman" w:hAnsi="Times New Roman"/>
                <w:sz w:val="11"/>
                <w:szCs w:val="11"/>
                <w:color w:val="auto"/>
              </w:rPr>
              <w:t>(ap)</w:t>
            </w:r>
          </w:p>
        </w:tc>
        <w:tc>
          <w:tcPr>
            <w:tcW w:w="8220" w:type="dxa"/>
            <w:vAlign w:val="bottom"/>
          </w:tcPr>
          <w:p>
            <w:pPr>
              <w:ind w:left="60"/>
              <w:spacing w:after="0" w:line="115" w:lineRule="exact"/>
              <w:rPr>
                <w:sz w:val="20"/>
                <w:szCs w:val="20"/>
                <w:color w:val="auto"/>
              </w:rPr>
            </w:pPr>
            <w:r>
              <w:rPr>
                <w:rFonts w:ascii="Times New Roman" w:cs="Times New Roman" w:eastAsia="Times New Roman" w:hAnsi="Times New Roman"/>
                <w:sz w:val="11"/>
                <w:szCs w:val="11"/>
                <w:color w:val="auto"/>
              </w:rPr>
              <w:t>non-qualifying assets at fair value represented 1.11% of the Company’s total assets calculated in accordance with the 1940 Act.</w:t>
            </w:r>
          </w:p>
        </w:tc>
        <w:tc>
          <w:tcPr>
            <w:tcW w:w="0" w:type="dxa"/>
            <w:vAlign w:val="bottom"/>
          </w:tcPr>
          <w:p>
            <w:pPr>
              <w:spacing w:after="0"/>
              <w:rPr>
                <w:sz w:val="1"/>
                <w:szCs w:val="1"/>
                <w:color w:val="auto"/>
              </w:rPr>
            </w:pPr>
          </w:p>
        </w:tc>
      </w:tr>
      <w:tr>
        <w:trPr>
          <w:trHeight w:val="115"/>
        </w:trPr>
        <w:tc>
          <w:tcPr>
            <w:tcW w:w="260" w:type="dxa"/>
            <w:vAlign w:val="bottom"/>
            <w:vMerge w:val="continue"/>
          </w:tcPr>
          <w:p>
            <w:pPr>
              <w:spacing w:after="0"/>
              <w:rPr>
                <w:sz w:val="10"/>
                <w:szCs w:val="10"/>
                <w:color w:val="auto"/>
              </w:rPr>
            </w:pPr>
          </w:p>
        </w:tc>
        <w:tc>
          <w:tcPr>
            <w:tcW w:w="8220" w:type="dxa"/>
            <w:vAlign w:val="bottom"/>
          </w:tcPr>
          <w:p>
            <w:pPr>
              <w:ind w:left="60"/>
              <w:spacing w:after="0" w:line="115" w:lineRule="exact"/>
              <w:rPr>
                <w:sz w:val="20"/>
                <w:szCs w:val="20"/>
                <w:color w:val="auto"/>
              </w:rPr>
            </w:pPr>
            <w:r>
              <w:rPr>
                <w:rFonts w:ascii="Times New Roman" w:cs="Times New Roman" w:eastAsia="Times New Roman" w:hAnsi="Times New Roman"/>
                <w:sz w:val="11"/>
                <w:szCs w:val="11"/>
                <w:color w:val="auto"/>
              </w:rPr>
              <w:t>In addition to the interest earned based on the stated interest rate of this security, the Company is entitled to receive an additional cash interest amount of 0.45% and PIK interest</w:t>
            </w:r>
          </w:p>
        </w:tc>
        <w:tc>
          <w:tcPr>
            <w:tcW w:w="0" w:type="dxa"/>
            <w:vAlign w:val="bottom"/>
          </w:tcPr>
          <w:p>
            <w:pPr>
              <w:spacing w:after="0"/>
              <w:rPr>
                <w:sz w:val="1"/>
                <w:szCs w:val="1"/>
                <w:color w:val="auto"/>
              </w:rPr>
            </w:pPr>
          </w:p>
        </w:tc>
      </w:tr>
      <w:tr>
        <w:trPr>
          <w:trHeight w:val="115"/>
        </w:trPr>
        <w:tc>
          <w:tcPr>
            <w:tcW w:w="260" w:type="dxa"/>
            <w:vAlign w:val="bottom"/>
          </w:tcPr>
          <w:p>
            <w:pPr>
              <w:spacing w:after="0"/>
              <w:rPr>
                <w:sz w:val="10"/>
                <w:szCs w:val="10"/>
                <w:color w:val="auto"/>
              </w:rPr>
            </w:pPr>
          </w:p>
        </w:tc>
        <w:tc>
          <w:tcPr>
            <w:tcW w:w="8220" w:type="dxa"/>
            <w:vAlign w:val="bottom"/>
          </w:tcPr>
          <w:p>
            <w:pPr>
              <w:ind w:left="60"/>
              <w:spacing w:after="0" w:line="115" w:lineRule="exact"/>
              <w:rPr>
                <w:sz w:val="20"/>
                <w:szCs w:val="20"/>
                <w:color w:val="auto"/>
              </w:rPr>
            </w:pPr>
            <w:r>
              <w:rPr>
                <w:rFonts w:ascii="Times New Roman" w:cs="Times New Roman" w:eastAsia="Times New Roman" w:hAnsi="Times New Roman"/>
                <w:sz w:val="11"/>
                <w:szCs w:val="11"/>
                <w:color w:val="auto"/>
              </w:rPr>
              <w:t>amount of 1.81% on its “last out” tranche of the portfolio company’s senior term debt, which was previously syndicated into “first out” and “last out” tranches, whereby the “first out”</w:t>
            </w:r>
          </w:p>
        </w:tc>
        <w:tc>
          <w:tcPr>
            <w:tcW w:w="0" w:type="dxa"/>
            <w:vAlign w:val="bottom"/>
          </w:tcPr>
          <w:p>
            <w:pPr>
              <w:spacing w:after="0"/>
              <w:rPr>
                <w:sz w:val="1"/>
                <w:szCs w:val="1"/>
                <w:color w:val="auto"/>
              </w:rPr>
            </w:pPr>
          </w:p>
        </w:tc>
      </w:tr>
      <w:tr>
        <w:trPr>
          <w:trHeight w:val="115"/>
        </w:trPr>
        <w:tc>
          <w:tcPr>
            <w:tcW w:w="260" w:type="dxa"/>
            <w:vAlign w:val="bottom"/>
            <w:vMerge w:val="restart"/>
          </w:tcPr>
          <w:p>
            <w:pPr>
              <w:spacing w:after="0"/>
              <w:rPr>
                <w:sz w:val="20"/>
                <w:szCs w:val="20"/>
                <w:color w:val="auto"/>
              </w:rPr>
            </w:pPr>
            <w:r>
              <w:rPr>
                <w:rFonts w:ascii="Times New Roman" w:cs="Times New Roman" w:eastAsia="Times New Roman" w:hAnsi="Times New Roman"/>
                <w:sz w:val="11"/>
                <w:szCs w:val="11"/>
                <w:color w:val="auto"/>
              </w:rPr>
              <w:t>(aq)</w:t>
            </w:r>
          </w:p>
        </w:tc>
        <w:tc>
          <w:tcPr>
            <w:tcW w:w="8220" w:type="dxa"/>
            <w:vAlign w:val="bottom"/>
          </w:tcPr>
          <w:p>
            <w:pPr>
              <w:ind w:left="60"/>
              <w:spacing w:after="0" w:line="115" w:lineRule="exact"/>
              <w:rPr>
                <w:sz w:val="20"/>
                <w:szCs w:val="20"/>
                <w:color w:val="auto"/>
              </w:rPr>
            </w:pPr>
            <w:r>
              <w:rPr>
                <w:rFonts w:ascii="Times New Roman" w:cs="Times New Roman" w:eastAsia="Times New Roman" w:hAnsi="Times New Roman"/>
                <w:sz w:val="11"/>
                <w:szCs w:val="11"/>
                <w:color w:val="auto"/>
              </w:rPr>
              <w:t>tranche will have priority as to the “last out” tranche with respect to payments of principal, interest and any other amounts due thereunder.</w:t>
            </w:r>
          </w:p>
        </w:tc>
        <w:tc>
          <w:tcPr>
            <w:tcW w:w="0" w:type="dxa"/>
            <w:vAlign w:val="bottom"/>
          </w:tcPr>
          <w:p>
            <w:pPr>
              <w:spacing w:after="0"/>
              <w:rPr>
                <w:sz w:val="1"/>
                <w:szCs w:val="1"/>
                <w:color w:val="auto"/>
              </w:rPr>
            </w:pPr>
          </w:p>
        </w:tc>
      </w:tr>
      <w:tr>
        <w:trPr>
          <w:trHeight w:val="115"/>
        </w:trPr>
        <w:tc>
          <w:tcPr>
            <w:tcW w:w="260" w:type="dxa"/>
            <w:vAlign w:val="bottom"/>
            <w:vMerge w:val="continue"/>
          </w:tcPr>
          <w:p>
            <w:pPr>
              <w:spacing w:after="0"/>
              <w:rPr>
                <w:sz w:val="10"/>
                <w:szCs w:val="10"/>
                <w:color w:val="auto"/>
              </w:rPr>
            </w:pPr>
          </w:p>
        </w:tc>
        <w:tc>
          <w:tcPr>
            <w:tcW w:w="8220" w:type="dxa"/>
            <w:vAlign w:val="bottom"/>
          </w:tcPr>
          <w:p>
            <w:pPr>
              <w:ind w:left="60"/>
              <w:spacing w:after="0" w:line="115" w:lineRule="exact"/>
              <w:rPr>
                <w:sz w:val="20"/>
                <w:szCs w:val="20"/>
                <w:color w:val="auto"/>
              </w:rPr>
            </w:pPr>
            <w:r>
              <w:rPr>
                <w:rFonts w:ascii="Times New Roman" w:cs="Times New Roman" w:eastAsia="Times New Roman" w:hAnsi="Times New Roman"/>
                <w:sz w:val="11"/>
                <w:szCs w:val="11"/>
                <w:color w:val="auto"/>
              </w:rPr>
              <w:t>The headquarters of this portfolio company is located in Canada.</w:t>
            </w:r>
          </w:p>
        </w:tc>
        <w:tc>
          <w:tcPr>
            <w:tcW w:w="0" w:type="dxa"/>
            <w:vAlign w:val="bottom"/>
          </w:tcPr>
          <w:p>
            <w:pPr>
              <w:spacing w:after="0"/>
              <w:rPr>
                <w:sz w:val="1"/>
                <w:szCs w:val="1"/>
                <w:color w:val="auto"/>
              </w:rPr>
            </w:pPr>
          </w:p>
        </w:tc>
      </w:tr>
      <w:tr>
        <w:trPr>
          <w:trHeight w:val="115"/>
        </w:trPr>
        <w:tc>
          <w:tcPr>
            <w:tcW w:w="260" w:type="dxa"/>
            <w:vAlign w:val="bottom"/>
          </w:tcPr>
          <w:p>
            <w:pPr>
              <w:spacing w:after="0" w:line="115" w:lineRule="exact"/>
              <w:rPr>
                <w:sz w:val="20"/>
                <w:szCs w:val="20"/>
                <w:color w:val="auto"/>
              </w:rPr>
            </w:pPr>
            <w:r>
              <w:rPr>
                <w:rFonts w:ascii="Times New Roman" w:cs="Times New Roman" w:eastAsia="Times New Roman" w:hAnsi="Times New Roman"/>
                <w:sz w:val="11"/>
                <w:szCs w:val="11"/>
                <w:color w:val="auto"/>
              </w:rPr>
              <w:t>(ar)</w:t>
            </w:r>
          </w:p>
        </w:tc>
        <w:tc>
          <w:tcPr>
            <w:tcW w:w="8220" w:type="dxa"/>
            <w:vAlign w:val="bottom"/>
          </w:tcPr>
          <w:p>
            <w:pPr>
              <w:ind w:left="60"/>
              <w:spacing w:after="0" w:line="115" w:lineRule="exact"/>
              <w:rPr>
                <w:sz w:val="20"/>
                <w:szCs w:val="20"/>
                <w:color w:val="auto"/>
              </w:rPr>
            </w:pPr>
            <w:r>
              <w:rPr>
                <w:rFonts w:ascii="Times New Roman" w:cs="Times New Roman" w:eastAsia="Times New Roman" w:hAnsi="Times New Roman"/>
                <w:sz w:val="11"/>
                <w:szCs w:val="11"/>
                <w:color w:val="auto"/>
              </w:rPr>
              <w:t>In addition to the interest earned based on the stated interest rate of this security, the Company is entitled to receive an additional interest amount of 2.58% on its “last out” tranche of</w:t>
            </w:r>
          </w:p>
        </w:tc>
        <w:tc>
          <w:tcPr>
            <w:tcW w:w="0" w:type="dxa"/>
            <w:vAlign w:val="bottom"/>
          </w:tcPr>
          <w:p>
            <w:pPr>
              <w:spacing w:after="0"/>
              <w:rPr>
                <w:sz w:val="1"/>
                <w:szCs w:val="1"/>
                <w:color w:val="auto"/>
              </w:rPr>
            </w:pPr>
          </w:p>
        </w:tc>
      </w:tr>
      <w:tr>
        <w:trPr>
          <w:trHeight w:val="115"/>
        </w:trPr>
        <w:tc>
          <w:tcPr>
            <w:tcW w:w="260" w:type="dxa"/>
            <w:vAlign w:val="bottom"/>
          </w:tcPr>
          <w:p>
            <w:pPr>
              <w:spacing w:after="0"/>
              <w:rPr>
                <w:sz w:val="10"/>
                <w:szCs w:val="10"/>
                <w:color w:val="auto"/>
              </w:rPr>
            </w:pPr>
          </w:p>
        </w:tc>
        <w:tc>
          <w:tcPr>
            <w:tcW w:w="8220" w:type="dxa"/>
            <w:vAlign w:val="bottom"/>
          </w:tcPr>
          <w:p>
            <w:pPr>
              <w:ind w:left="60"/>
              <w:spacing w:after="0" w:line="115" w:lineRule="exact"/>
              <w:rPr>
                <w:sz w:val="20"/>
                <w:szCs w:val="20"/>
                <w:color w:val="auto"/>
              </w:rPr>
            </w:pPr>
            <w:r>
              <w:rPr>
                <w:rFonts w:ascii="Times New Roman" w:cs="Times New Roman" w:eastAsia="Times New Roman" w:hAnsi="Times New Roman"/>
                <w:sz w:val="11"/>
                <w:szCs w:val="11"/>
                <w:color w:val="auto"/>
              </w:rPr>
              <w:t>the portfolio company’s senior term debt, which was previously syndicated into “first out” and “last out” tranches, whereby the “first out” tranche will have priority as to the “last out”</w:t>
            </w:r>
          </w:p>
        </w:tc>
        <w:tc>
          <w:tcPr>
            <w:tcW w:w="0" w:type="dxa"/>
            <w:vAlign w:val="bottom"/>
          </w:tcPr>
          <w:p>
            <w:pPr>
              <w:spacing w:after="0"/>
              <w:rPr>
                <w:sz w:val="1"/>
                <w:szCs w:val="1"/>
                <w:color w:val="auto"/>
              </w:rPr>
            </w:pPr>
          </w:p>
        </w:tc>
      </w:tr>
      <w:tr>
        <w:trPr>
          <w:trHeight w:val="145"/>
        </w:trPr>
        <w:tc>
          <w:tcPr>
            <w:tcW w:w="260" w:type="dxa"/>
            <w:vAlign w:val="bottom"/>
          </w:tcPr>
          <w:p>
            <w:pPr>
              <w:spacing w:after="0"/>
              <w:rPr>
                <w:sz w:val="12"/>
                <w:szCs w:val="12"/>
                <w:color w:val="auto"/>
              </w:rPr>
            </w:pPr>
          </w:p>
        </w:tc>
        <w:tc>
          <w:tcPr>
            <w:tcW w:w="822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tranche with respect to payments of principal, interest and any other amounts due thereunder.</w:t>
            </w:r>
          </w:p>
        </w:tc>
        <w:tc>
          <w:tcPr>
            <w:tcW w:w="0" w:type="dxa"/>
            <w:vAlign w:val="bottom"/>
          </w:tcPr>
          <w:p>
            <w:pPr>
              <w:spacing w:after="0"/>
              <w:rPr>
                <w:sz w:val="1"/>
                <w:szCs w:val="1"/>
                <w:color w:val="auto"/>
              </w:rPr>
            </w:pPr>
          </w:p>
        </w:tc>
      </w:tr>
      <w:tr>
        <w:trPr>
          <w:trHeight w:val="270"/>
        </w:trPr>
        <w:tc>
          <w:tcPr>
            <w:tcW w:w="260" w:type="dxa"/>
            <w:vAlign w:val="bottom"/>
          </w:tcPr>
          <w:p>
            <w:pPr>
              <w:spacing w:after="0"/>
              <w:rPr>
                <w:sz w:val="23"/>
                <w:szCs w:val="23"/>
                <w:color w:val="auto"/>
              </w:rPr>
            </w:pPr>
          </w:p>
        </w:tc>
        <w:tc>
          <w:tcPr>
            <w:tcW w:w="8220" w:type="dxa"/>
            <w:vAlign w:val="bottom"/>
          </w:tcPr>
          <w:p>
            <w:pPr>
              <w:ind w:left="3940"/>
              <w:spacing w:after="0"/>
              <w:rPr>
                <w:sz w:val="20"/>
                <w:szCs w:val="20"/>
                <w:color w:val="auto"/>
              </w:rPr>
            </w:pPr>
            <w:r>
              <w:rPr>
                <w:rFonts w:ascii="Times New Roman" w:cs="Times New Roman" w:eastAsia="Times New Roman" w:hAnsi="Times New Roman"/>
                <w:sz w:val="14"/>
                <w:szCs w:val="14"/>
                <w:color w:val="auto"/>
              </w:rPr>
              <w:t>60</w:t>
            </w:r>
          </w:p>
        </w:tc>
        <w:tc>
          <w:tcPr>
            <w:tcW w:w="0" w:type="dxa"/>
            <w:vAlign w:val="bottom"/>
          </w:tcPr>
          <w:p>
            <w:pPr>
              <w:spacing w:after="0"/>
              <w:rPr>
                <w:sz w:val="1"/>
                <w:szCs w:val="1"/>
                <w:color w:val="auto"/>
              </w:rPr>
            </w:pPr>
          </w:p>
        </w:tc>
      </w:tr>
    </w:tbl>
    <w:p>
      <w:pPr>
        <w:sectPr>
          <w:pgSz w:w="11900" w:h="16838" w:orient="portrait"/>
          <w:cols w:equalWidth="0" w:num="1">
            <w:col w:w="10159"/>
          </w:cols>
          <w:pgMar w:left="300" w:top="384" w:right="1440"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77">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35" w:lineRule="exact"/>
        <w:rPr>
          <w:sz w:val="20"/>
          <w:szCs w:val="20"/>
          <w:color w:val="auto"/>
        </w:rPr>
      </w:pPr>
    </w:p>
    <w:tbl>
      <w:tblPr>
        <w:tblLayout w:type="fixed"/>
        <w:tblInd w:w="1380" w:type="dxa"/>
        <w:tblCellMar>
          <w:top w:w="0" w:type="dxa"/>
          <w:left w:w="0" w:type="dxa"/>
          <w:bottom w:w="0" w:type="dxa"/>
          <w:right w:w="0" w:type="dxa"/>
        </w:tblCellMar>
      </w:tblPr>
      <w:tr>
        <w:trPr>
          <w:trHeight w:val="126"/>
        </w:trPr>
        <w:tc>
          <w:tcPr>
            <w:tcW w:w="260" w:type="dxa"/>
            <w:vAlign w:val="bottom"/>
          </w:tcPr>
          <w:p>
            <w:pPr>
              <w:spacing w:after="0"/>
              <w:rPr>
                <w:sz w:val="20"/>
                <w:szCs w:val="20"/>
                <w:color w:val="auto"/>
              </w:rPr>
            </w:pPr>
            <w:r>
              <w:rPr>
                <w:rFonts w:ascii="Times New Roman" w:cs="Times New Roman" w:eastAsia="Times New Roman" w:hAnsi="Times New Roman"/>
                <w:sz w:val="11"/>
                <w:szCs w:val="11"/>
                <w:color w:val="auto"/>
              </w:rPr>
              <w:t>(as)</w:t>
            </w:r>
          </w:p>
        </w:tc>
        <w:tc>
          <w:tcPr>
            <w:tcW w:w="822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In addition to the interest earned based on the stated interest rate of this security, the Company is entitled to receive an additional cash interest amount of 0.30% and PIK interest</w:t>
            </w:r>
          </w:p>
        </w:tc>
        <w:tc>
          <w:tcPr>
            <w:tcW w:w="0" w:type="dxa"/>
            <w:vAlign w:val="bottom"/>
          </w:tcPr>
          <w:p>
            <w:pPr>
              <w:spacing w:after="0"/>
              <w:rPr>
                <w:sz w:val="1"/>
                <w:szCs w:val="1"/>
                <w:color w:val="auto"/>
              </w:rPr>
            </w:pPr>
          </w:p>
        </w:tc>
      </w:tr>
      <w:tr>
        <w:trPr>
          <w:trHeight w:val="115"/>
        </w:trPr>
        <w:tc>
          <w:tcPr>
            <w:tcW w:w="260" w:type="dxa"/>
            <w:vAlign w:val="bottom"/>
          </w:tcPr>
          <w:p>
            <w:pPr>
              <w:spacing w:after="0"/>
              <w:rPr>
                <w:sz w:val="10"/>
                <w:szCs w:val="10"/>
                <w:color w:val="auto"/>
              </w:rPr>
            </w:pPr>
          </w:p>
        </w:tc>
        <w:tc>
          <w:tcPr>
            <w:tcW w:w="8220" w:type="dxa"/>
            <w:vAlign w:val="bottom"/>
          </w:tcPr>
          <w:p>
            <w:pPr>
              <w:ind w:left="60"/>
              <w:spacing w:after="0" w:line="115" w:lineRule="exact"/>
              <w:rPr>
                <w:sz w:val="20"/>
                <w:szCs w:val="20"/>
                <w:color w:val="auto"/>
              </w:rPr>
            </w:pPr>
            <w:r>
              <w:rPr>
                <w:rFonts w:ascii="Times New Roman" w:cs="Times New Roman" w:eastAsia="Times New Roman" w:hAnsi="Times New Roman"/>
                <w:sz w:val="11"/>
                <w:szCs w:val="11"/>
                <w:color w:val="auto"/>
              </w:rPr>
              <w:t>amount of 0.58% on its “last out” tranche of the portfolio company’s senior term debt, which was previously syndicated into “first out” and “last out” tranches, whereby the “first out”</w:t>
            </w:r>
          </w:p>
        </w:tc>
        <w:tc>
          <w:tcPr>
            <w:tcW w:w="0" w:type="dxa"/>
            <w:vAlign w:val="bottom"/>
          </w:tcPr>
          <w:p>
            <w:pPr>
              <w:spacing w:after="0"/>
              <w:rPr>
                <w:sz w:val="1"/>
                <w:szCs w:val="1"/>
                <w:color w:val="auto"/>
              </w:rPr>
            </w:pPr>
          </w:p>
        </w:tc>
      </w:tr>
      <w:tr>
        <w:trPr>
          <w:trHeight w:val="115"/>
        </w:trPr>
        <w:tc>
          <w:tcPr>
            <w:tcW w:w="260" w:type="dxa"/>
            <w:vAlign w:val="bottom"/>
            <w:vMerge w:val="restart"/>
          </w:tcPr>
          <w:p>
            <w:pPr>
              <w:spacing w:after="0"/>
              <w:rPr>
                <w:sz w:val="20"/>
                <w:szCs w:val="20"/>
                <w:color w:val="auto"/>
              </w:rPr>
            </w:pPr>
            <w:r>
              <w:rPr>
                <w:rFonts w:ascii="Times New Roman" w:cs="Times New Roman" w:eastAsia="Times New Roman" w:hAnsi="Times New Roman"/>
                <w:sz w:val="11"/>
                <w:szCs w:val="11"/>
                <w:color w:val="auto"/>
              </w:rPr>
              <w:t>(at)</w:t>
            </w:r>
          </w:p>
        </w:tc>
        <w:tc>
          <w:tcPr>
            <w:tcW w:w="8220" w:type="dxa"/>
            <w:vAlign w:val="bottom"/>
          </w:tcPr>
          <w:p>
            <w:pPr>
              <w:ind w:left="60"/>
              <w:spacing w:after="0" w:line="115" w:lineRule="exact"/>
              <w:rPr>
                <w:sz w:val="20"/>
                <w:szCs w:val="20"/>
                <w:color w:val="auto"/>
              </w:rPr>
            </w:pPr>
            <w:r>
              <w:rPr>
                <w:rFonts w:ascii="Times New Roman" w:cs="Times New Roman" w:eastAsia="Times New Roman" w:hAnsi="Times New Roman"/>
                <w:sz w:val="11"/>
                <w:szCs w:val="11"/>
                <w:color w:val="auto"/>
              </w:rPr>
              <w:t>tranche will have priority as to the “last out” tranche with respect to payments of principal, interest and any other amounts due thereunder.</w:t>
            </w:r>
          </w:p>
        </w:tc>
        <w:tc>
          <w:tcPr>
            <w:tcW w:w="0" w:type="dxa"/>
            <w:vAlign w:val="bottom"/>
          </w:tcPr>
          <w:p>
            <w:pPr>
              <w:spacing w:after="0"/>
              <w:rPr>
                <w:sz w:val="1"/>
                <w:szCs w:val="1"/>
                <w:color w:val="auto"/>
              </w:rPr>
            </w:pPr>
          </w:p>
        </w:tc>
      </w:tr>
      <w:tr>
        <w:trPr>
          <w:trHeight w:val="115"/>
        </w:trPr>
        <w:tc>
          <w:tcPr>
            <w:tcW w:w="260" w:type="dxa"/>
            <w:vAlign w:val="bottom"/>
            <w:vMerge w:val="continue"/>
          </w:tcPr>
          <w:p>
            <w:pPr>
              <w:spacing w:after="0"/>
              <w:rPr>
                <w:sz w:val="10"/>
                <w:szCs w:val="10"/>
                <w:color w:val="auto"/>
              </w:rPr>
            </w:pPr>
          </w:p>
        </w:tc>
        <w:tc>
          <w:tcPr>
            <w:tcW w:w="8220" w:type="dxa"/>
            <w:vAlign w:val="bottom"/>
          </w:tcPr>
          <w:p>
            <w:pPr>
              <w:ind w:left="60"/>
              <w:spacing w:after="0" w:line="115" w:lineRule="exact"/>
              <w:rPr>
                <w:sz w:val="20"/>
                <w:szCs w:val="20"/>
                <w:color w:val="auto"/>
              </w:rPr>
            </w:pPr>
            <w:r>
              <w:rPr>
                <w:rFonts w:ascii="Times New Roman" w:cs="Times New Roman" w:eastAsia="Times New Roman" w:hAnsi="Times New Roman"/>
                <w:sz w:val="11"/>
                <w:szCs w:val="11"/>
                <w:color w:val="auto"/>
              </w:rPr>
              <w:t>In addition to the interest earned based on the stated interest rate of this security, the Company is entitled to receive an additional interest amount of 2.27% on its “last out” tranche of</w:t>
            </w:r>
          </w:p>
        </w:tc>
        <w:tc>
          <w:tcPr>
            <w:tcW w:w="0" w:type="dxa"/>
            <w:vAlign w:val="bottom"/>
          </w:tcPr>
          <w:p>
            <w:pPr>
              <w:spacing w:after="0"/>
              <w:rPr>
                <w:sz w:val="1"/>
                <w:szCs w:val="1"/>
                <w:color w:val="auto"/>
              </w:rPr>
            </w:pPr>
          </w:p>
        </w:tc>
      </w:tr>
      <w:tr>
        <w:trPr>
          <w:trHeight w:val="115"/>
        </w:trPr>
        <w:tc>
          <w:tcPr>
            <w:tcW w:w="260" w:type="dxa"/>
            <w:vAlign w:val="bottom"/>
          </w:tcPr>
          <w:p>
            <w:pPr>
              <w:spacing w:after="0"/>
              <w:rPr>
                <w:sz w:val="10"/>
                <w:szCs w:val="10"/>
                <w:color w:val="auto"/>
              </w:rPr>
            </w:pPr>
          </w:p>
        </w:tc>
        <w:tc>
          <w:tcPr>
            <w:tcW w:w="8220" w:type="dxa"/>
            <w:vAlign w:val="bottom"/>
          </w:tcPr>
          <w:p>
            <w:pPr>
              <w:ind w:left="60"/>
              <w:spacing w:after="0" w:line="115" w:lineRule="exact"/>
              <w:rPr>
                <w:sz w:val="20"/>
                <w:szCs w:val="20"/>
                <w:color w:val="auto"/>
              </w:rPr>
            </w:pPr>
            <w:r>
              <w:rPr>
                <w:rFonts w:ascii="Times New Roman" w:cs="Times New Roman" w:eastAsia="Times New Roman" w:hAnsi="Times New Roman"/>
                <w:sz w:val="11"/>
                <w:szCs w:val="11"/>
                <w:color w:val="auto"/>
              </w:rPr>
              <w:t>the portfolio company’s senior term debt, which was previously syndicated into “first out” and “last out” tranches, whereby the “first out” tranche will have priority as to the “last out”</w:t>
            </w:r>
          </w:p>
        </w:tc>
        <w:tc>
          <w:tcPr>
            <w:tcW w:w="0" w:type="dxa"/>
            <w:vAlign w:val="bottom"/>
          </w:tcPr>
          <w:p>
            <w:pPr>
              <w:spacing w:after="0"/>
              <w:rPr>
                <w:sz w:val="1"/>
                <w:szCs w:val="1"/>
                <w:color w:val="auto"/>
              </w:rPr>
            </w:pPr>
          </w:p>
        </w:tc>
      </w:tr>
      <w:tr>
        <w:trPr>
          <w:trHeight w:val="115"/>
        </w:trPr>
        <w:tc>
          <w:tcPr>
            <w:tcW w:w="260" w:type="dxa"/>
            <w:vAlign w:val="bottom"/>
            <w:vMerge w:val="restart"/>
          </w:tcPr>
          <w:p>
            <w:pPr>
              <w:spacing w:after="0"/>
              <w:rPr>
                <w:sz w:val="20"/>
                <w:szCs w:val="20"/>
                <w:color w:val="auto"/>
              </w:rPr>
            </w:pPr>
            <w:r>
              <w:rPr>
                <w:rFonts w:ascii="Times New Roman" w:cs="Times New Roman" w:eastAsia="Times New Roman" w:hAnsi="Times New Roman"/>
                <w:sz w:val="11"/>
                <w:szCs w:val="11"/>
                <w:color w:val="auto"/>
              </w:rPr>
              <w:t>(au)</w:t>
            </w:r>
          </w:p>
        </w:tc>
        <w:tc>
          <w:tcPr>
            <w:tcW w:w="8220" w:type="dxa"/>
            <w:vAlign w:val="bottom"/>
          </w:tcPr>
          <w:p>
            <w:pPr>
              <w:ind w:left="60"/>
              <w:spacing w:after="0" w:line="115" w:lineRule="exact"/>
              <w:rPr>
                <w:sz w:val="20"/>
                <w:szCs w:val="20"/>
                <w:color w:val="auto"/>
              </w:rPr>
            </w:pPr>
            <w:r>
              <w:rPr>
                <w:rFonts w:ascii="Times New Roman" w:cs="Times New Roman" w:eastAsia="Times New Roman" w:hAnsi="Times New Roman"/>
                <w:sz w:val="11"/>
                <w:szCs w:val="11"/>
                <w:color w:val="auto"/>
              </w:rPr>
              <w:t>tranche with respect to payments of principal, interest and any other amounts due thereunder.</w:t>
            </w:r>
          </w:p>
        </w:tc>
        <w:tc>
          <w:tcPr>
            <w:tcW w:w="0" w:type="dxa"/>
            <w:vAlign w:val="bottom"/>
          </w:tcPr>
          <w:p>
            <w:pPr>
              <w:spacing w:after="0"/>
              <w:rPr>
                <w:sz w:val="1"/>
                <w:szCs w:val="1"/>
                <w:color w:val="auto"/>
              </w:rPr>
            </w:pPr>
          </w:p>
        </w:tc>
      </w:tr>
      <w:tr>
        <w:trPr>
          <w:trHeight w:val="115"/>
        </w:trPr>
        <w:tc>
          <w:tcPr>
            <w:tcW w:w="260" w:type="dxa"/>
            <w:vAlign w:val="bottom"/>
            <w:vMerge w:val="continue"/>
          </w:tcPr>
          <w:p>
            <w:pPr>
              <w:spacing w:after="0"/>
              <w:rPr>
                <w:sz w:val="10"/>
                <w:szCs w:val="10"/>
                <w:color w:val="auto"/>
              </w:rPr>
            </w:pPr>
          </w:p>
        </w:tc>
        <w:tc>
          <w:tcPr>
            <w:tcW w:w="8220" w:type="dxa"/>
            <w:vAlign w:val="bottom"/>
          </w:tcPr>
          <w:p>
            <w:pPr>
              <w:ind w:left="60"/>
              <w:spacing w:after="0" w:line="115" w:lineRule="exact"/>
              <w:rPr>
                <w:sz w:val="20"/>
                <w:szCs w:val="20"/>
                <w:color w:val="auto"/>
              </w:rPr>
            </w:pPr>
            <w:r>
              <w:rPr>
                <w:rFonts w:ascii="Times New Roman" w:cs="Times New Roman" w:eastAsia="Times New Roman" w:hAnsi="Times New Roman"/>
                <w:sz w:val="11"/>
                <w:szCs w:val="11"/>
                <w:color w:val="auto"/>
              </w:rPr>
              <w:t>In addition to the interest earned based on the stated interest rate of this security, the Company is entitled to receive an additional interest amount of 2.16% on its “last out” tranche of</w:t>
            </w:r>
          </w:p>
        </w:tc>
        <w:tc>
          <w:tcPr>
            <w:tcW w:w="0" w:type="dxa"/>
            <w:vAlign w:val="bottom"/>
          </w:tcPr>
          <w:p>
            <w:pPr>
              <w:spacing w:after="0"/>
              <w:rPr>
                <w:sz w:val="1"/>
                <w:szCs w:val="1"/>
                <w:color w:val="auto"/>
              </w:rPr>
            </w:pPr>
          </w:p>
        </w:tc>
      </w:tr>
      <w:tr>
        <w:trPr>
          <w:trHeight w:val="115"/>
        </w:trPr>
        <w:tc>
          <w:tcPr>
            <w:tcW w:w="260" w:type="dxa"/>
            <w:vAlign w:val="bottom"/>
          </w:tcPr>
          <w:p>
            <w:pPr>
              <w:spacing w:after="0"/>
              <w:rPr>
                <w:sz w:val="10"/>
                <w:szCs w:val="10"/>
                <w:color w:val="auto"/>
              </w:rPr>
            </w:pPr>
          </w:p>
        </w:tc>
        <w:tc>
          <w:tcPr>
            <w:tcW w:w="8220" w:type="dxa"/>
            <w:vAlign w:val="bottom"/>
          </w:tcPr>
          <w:p>
            <w:pPr>
              <w:ind w:left="60"/>
              <w:spacing w:after="0" w:line="115" w:lineRule="exact"/>
              <w:rPr>
                <w:sz w:val="20"/>
                <w:szCs w:val="20"/>
                <w:color w:val="auto"/>
              </w:rPr>
            </w:pPr>
            <w:r>
              <w:rPr>
                <w:rFonts w:ascii="Times New Roman" w:cs="Times New Roman" w:eastAsia="Times New Roman" w:hAnsi="Times New Roman"/>
                <w:sz w:val="11"/>
                <w:szCs w:val="11"/>
                <w:color w:val="auto"/>
              </w:rPr>
              <w:t>the portfolio company’s senior term debt, which was previously syndicated into “first out” and “last out” tranches, whereby the “first out” tranche will have priority as to the “last out”</w:t>
            </w:r>
          </w:p>
        </w:tc>
        <w:tc>
          <w:tcPr>
            <w:tcW w:w="0" w:type="dxa"/>
            <w:vAlign w:val="bottom"/>
          </w:tcPr>
          <w:p>
            <w:pPr>
              <w:spacing w:after="0"/>
              <w:rPr>
                <w:sz w:val="1"/>
                <w:szCs w:val="1"/>
                <w:color w:val="auto"/>
              </w:rPr>
            </w:pPr>
          </w:p>
        </w:tc>
      </w:tr>
      <w:tr>
        <w:trPr>
          <w:trHeight w:val="115"/>
        </w:trPr>
        <w:tc>
          <w:tcPr>
            <w:tcW w:w="260" w:type="dxa"/>
            <w:vAlign w:val="bottom"/>
            <w:vMerge w:val="restart"/>
          </w:tcPr>
          <w:p>
            <w:pPr>
              <w:spacing w:after="0"/>
              <w:rPr>
                <w:sz w:val="20"/>
                <w:szCs w:val="20"/>
                <w:color w:val="auto"/>
              </w:rPr>
            </w:pPr>
            <w:r>
              <w:rPr>
                <w:rFonts w:ascii="Times New Roman" w:cs="Times New Roman" w:eastAsia="Times New Roman" w:hAnsi="Times New Roman"/>
                <w:sz w:val="11"/>
                <w:szCs w:val="11"/>
                <w:color w:val="auto"/>
              </w:rPr>
              <w:t>(av)</w:t>
            </w:r>
          </w:p>
        </w:tc>
        <w:tc>
          <w:tcPr>
            <w:tcW w:w="8220" w:type="dxa"/>
            <w:vAlign w:val="bottom"/>
          </w:tcPr>
          <w:p>
            <w:pPr>
              <w:ind w:left="60"/>
              <w:spacing w:after="0" w:line="115" w:lineRule="exact"/>
              <w:rPr>
                <w:sz w:val="20"/>
                <w:szCs w:val="20"/>
                <w:color w:val="auto"/>
              </w:rPr>
            </w:pPr>
            <w:r>
              <w:rPr>
                <w:rFonts w:ascii="Times New Roman" w:cs="Times New Roman" w:eastAsia="Times New Roman" w:hAnsi="Times New Roman"/>
                <w:sz w:val="11"/>
                <w:szCs w:val="11"/>
                <w:color w:val="auto"/>
              </w:rPr>
              <w:t>tranche with respect to payments of principal, interest and any other amounts due thereunder.</w:t>
            </w:r>
          </w:p>
        </w:tc>
        <w:tc>
          <w:tcPr>
            <w:tcW w:w="0" w:type="dxa"/>
            <w:vAlign w:val="bottom"/>
          </w:tcPr>
          <w:p>
            <w:pPr>
              <w:spacing w:after="0"/>
              <w:rPr>
                <w:sz w:val="1"/>
                <w:szCs w:val="1"/>
                <w:color w:val="auto"/>
              </w:rPr>
            </w:pPr>
          </w:p>
        </w:tc>
      </w:tr>
      <w:tr>
        <w:trPr>
          <w:trHeight w:val="115"/>
        </w:trPr>
        <w:tc>
          <w:tcPr>
            <w:tcW w:w="260" w:type="dxa"/>
            <w:vAlign w:val="bottom"/>
            <w:vMerge w:val="continue"/>
          </w:tcPr>
          <w:p>
            <w:pPr>
              <w:spacing w:after="0"/>
              <w:rPr>
                <w:sz w:val="10"/>
                <w:szCs w:val="10"/>
                <w:color w:val="auto"/>
              </w:rPr>
            </w:pPr>
          </w:p>
        </w:tc>
        <w:tc>
          <w:tcPr>
            <w:tcW w:w="8220" w:type="dxa"/>
            <w:vAlign w:val="bottom"/>
          </w:tcPr>
          <w:p>
            <w:pPr>
              <w:ind w:left="60"/>
              <w:spacing w:after="0" w:line="115" w:lineRule="exact"/>
              <w:rPr>
                <w:sz w:val="20"/>
                <w:szCs w:val="20"/>
                <w:color w:val="auto"/>
              </w:rPr>
            </w:pPr>
            <w:r>
              <w:rPr>
                <w:rFonts w:ascii="Times New Roman" w:cs="Times New Roman" w:eastAsia="Times New Roman" w:hAnsi="Times New Roman"/>
                <w:sz w:val="11"/>
                <w:szCs w:val="11"/>
                <w:color w:val="auto"/>
              </w:rPr>
              <w:t>In addition to the interest earned based on the stated interest rate of this security, the Company is entitled to receive an additional interest amount of 2.67% on its “last out” tranche of</w:t>
            </w:r>
          </w:p>
        </w:tc>
        <w:tc>
          <w:tcPr>
            <w:tcW w:w="0" w:type="dxa"/>
            <w:vAlign w:val="bottom"/>
          </w:tcPr>
          <w:p>
            <w:pPr>
              <w:spacing w:after="0"/>
              <w:rPr>
                <w:sz w:val="1"/>
                <w:szCs w:val="1"/>
                <w:color w:val="auto"/>
              </w:rPr>
            </w:pPr>
          </w:p>
        </w:tc>
      </w:tr>
      <w:tr>
        <w:trPr>
          <w:trHeight w:val="115"/>
        </w:trPr>
        <w:tc>
          <w:tcPr>
            <w:tcW w:w="260" w:type="dxa"/>
            <w:vAlign w:val="bottom"/>
          </w:tcPr>
          <w:p>
            <w:pPr>
              <w:spacing w:after="0"/>
              <w:rPr>
                <w:sz w:val="10"/>
                <w:szCs w:val="10"/>
                <w:color w:val="auto"/>
              </w:rPr>
            </w:pPr>
          </w:p>
        </w:tc>
        <w:tc>
          <w:tcPr>
            <w:tcW w:w="8220" w:type="dxa"/>
            <w:vAlign w:val="bottom"/>
          </w:tcPr>
          <w:p>
            <w:pPr>
              <w:ind w:left="60"/>
              <w:spacing w:after="0" w:line="115" w:lineRule="exact"/>
              <w:rPr>
                <w:sz w:val="20"/>
                <w:szCs w:val="20"/>
                <w:color w:val="auto"/>
              </w:rPr>
            </w:pPr>
            <w:r>
              <w:rPr>
                <w:rFonts w:ascii="Times New Roman" w:cs="Times New Roman" w:eastAsia="Times New Roman" w:hAnsi="Times New Roman"/>
                <w:sz w:val="11"/>
                <w:szCs w:val="11"/>
                <w:color w:val="auto"/>
              </w:rPr>
              <w:t>the portfolio company’s senior term debt, which was previously syndicated into “first out” and “last out” tranches, whereby the “first out” tranche will have priority as to the “last out”</w:t>
            </w:r>
          </w:p>
        </w:tc>
        <w:tc>
          <w:tcPr>
            <w:tcW w:w="0" w:type="dxa"/>
            <w:vAlign w:val="bottom"/>
          </w:tcPr>
          <w:p>
            <w:pPr>
              <w:spacing w:after="0"/>
              <w:rPr>
                <w:sz w:val="1"/>
                <w:szCs w:val="1"/>
                <w:color w:val="auto"/>
              </w:rPr>
            </w:pPr>
          </w:p>
        </w:tc>
      </w:tr>
      <w:tr>
        <w:trPr>
          <w:trHeight w:val="115"/>
        </w:trPr>
        <w:tc>
          <w:tcPr>
            <w:tcW w:w="260" w:type="dxa"/>
            <w:vAlign w:val="bottom"/>
            <w:vMerge w:val="restart"/>
          </w:tcPr>
          <w:p>
            <w:pPr>
              <w:spacing w:after="0"/>
              <w:rPr>
                <w:sz w:val="20"/>
                <w:szCs w:val="20"/>
                <w:color w:val="auto"/>
              </w:rPr>
            </w:pPr>
            <w:r>
              <w:rPr>
                <w:rFonts w:ascii="Times New Roman" w:cs="Times New Roman" w:eastAsia="Times New Roman" w:hAnsi="Times New Roman"/>
                <w:sz w:val="11"/>
                <w:szCs w:val="11"/>
                <w:color w:val="auto"/>
              </w:rPr>
              <w:t>(aw)</w:t>
            </w:r>
          </w:p>
        </w:tc>
        <w:tc>
          <w:tcPr>
            <w:tcW w:w="8220" w:type="dxa"/>
            <w:vAlign w:val="bottom"/>
          </w:tcPr>
          <w:p>
            <w:pPr>
              <w:ind w:left="60"/>
              <w:spacing w:after="0" w:line="115" w:lineRule="exact"/>
              <w:rPr>
                <w:sz w:val="20"/>
                <w:szCs w:val="20"/>
                <w:color w:val="auto"/>
              </w:rPr>
            </w:pPr>
            <w:r>
              <w:rPr>
                <w:rFonts w:ascii="Times New Roman" w:cs="Times New Roman" w:eastAsia="Times New Roman" w:hAnsi="Times New Roman"/>
                <w:sz w:val="11"/>
                <w:szCs w:val="11"/>
                <w:color w:val="auto"/>
              </w:rPr>
              <w:t>tranche with respect to payments of principal, interest and any other amounts due thereunder.</w:t>
            </w:r>
          </w:p>
        </w:tc>
        <w:tc>
          <w:tcPr>
            <w:tcW w:w="0" w:type="dxa"/>
            <w:vAlign w:val="bottom"/>
          </w:tcPr>
          <w:p>
            <w:pPr>
              <w:spacing w:after="0"/>
              <w:rPr>
                <w:sz w:val="1"/>
                <w:szCs w:val="1"/>
                <w:color w:val="auto"/>
              </w:rPr>
            </w:pPr>
          </w:p>
        </w:tc>
      </w:tr>
      <w:tr>
        <w:trPr>
          <w:trHeight w:val="115"/>
        </w:trPr>
        <w:tc>
          <w:tcPr>
            <w:tcW w:w="260" w:type="dxa"/>
            <w:vAlign w:val="bottom"/>
            <w:vMerge w:val="continue"/>
          </w:tcPr>
          <w:p>
            <w:pPr>
              <w:spacing w:after="0"/>
              <w:rPr>
                <w:sz w:val="10"/>
                <w:szCs w:val="10"/>
                <w:color w:val="auto"/>
              </w:rPr>
            </w:pPr>
          </w:p>
        </w:tc>
        <w:tc>
          <w:tcPr>
            <w:tcW w:w="8220" w:type="dxa"/>
            <w:vAlign w:val="bottom"/>
          </w:tcPr>
          <w:p>
            <w:pPr>
              <w:ind w:left="60"/>
              <w:spacing w:after="0" w:line="115" w:lineRule="exact"/>
              <w:rPr>
                <w:sz w:val="20"/>
                <w:szCs w:val="20"/>
                <w:color w:val="auto"/>
              </w:rPr>
            </w:pPr>
            <w:r>
              <w:rPr>
                <w:rFonts w:ascii="Times New Roman" w:cs="Times New Roman" w:eastAsia="Times New Roman" w:hAnsi="Times New Roman"/>
                <w:sz w:val="11"/>
                <w:szCs w:val="11"/>
                <w:color w:val="auto"/>
              </w:rPr>
              <w:t>In addition to the interest earned based on the stated interest rate of this security, the Company is entitled to receive an additional interest amount of 2.00% on its “last out” tranche of</w:t>
            </w:r>
          </w:p>
        </w:tc>
        <w:tc>
          <w:tcPr>
            <w:tcW w:w="0" w:type="dxa"/>
            <w:vAlign w:val="bottom"/>
          </w:tcPr>
          <w:p>
            <w:pPr>
              <w:spacing w:after="0"/>
              <w:rPr>
                <w:sz w:val="1"/>
                <w:szCs w:val="1"/>
                <w:color w:val="auto"/>
              </w:rPr>
            </w:pPr>
          </w:p>
        </w:tc>
      </w:tr>
      <w:tr>
        <w:trPr>
          <w:trHeight w:val="115"/>
        </w:trPr>
        <w:tc>
          <w:tcPr>
            <w:tcW w:w="260" w:type="dxa"/>
            <w:vAlign w:val="bottom"/>
          </w:tcPr>
          <w:p>
            <w:pPr>
              <w:spacing w:after="0"/>
              <w:rPr>
                <w:sz w:val="10"/>
                <w:szCs w:val="10"/>
                <w:color w:val="auto"/>
              </w:rPr>
            </w:pPr>
          </w:p>
        </w:tc>
        <w:tc>
          <w:tcPr>
            <w:tcW w:w="8220" w:type="dxa"/>
            <w:vAlign w:val="bottom"/>
          </w:tcPr>
          <w:p>
            <w:pPr>
              <w:ind w:left="60"/>
              <w:spacing w:after="0" w:line="115" w:lineRule="exact"/>
              <w:rPr>
                <w:sz w:val="20"/>
                <w:szCs w:val="20"/>
                <w:color w:val="auto"/>
              </w:rPr>
            </w:pPr>
            <w:r>
              <w:rPr>
                <w:rFonts w:ascii="Times New Roman" w:cs="Times New Roman" w:eastAsia="Times New Roman" w:hAnsi="Times New Roman"/>
                <w:sz w:val="11"/>
                <w:szCs w:val="11"/>
                <w:color w:val="auto"/>
              </w:rPr>
              <w:t>the portfolio company’s senior term debt, which was previously syndicated into “first out” and “last out” tranches, whereby the “first out” tranche will have priority as to the “last out”</w:t>
            </w:r>
          </w:p>
        </w:tc>
        <w:tc>
          <w:tcPr>
            <w:tcW w:w="0" w:type="dxa"/>
            <w:vAlign w:val="bottom"/>
          </w:tcPr>
          <w:p>
            <w:pPr>
              <w:spacing w:after="0"/>
              <w:rPr>
                <w:sz w:val="1"/>
                <w:szCs w:val="1"/>
                <w:color w:val="auto"/>
              </w:rPr>
            </w:pPr>
          </w:p>
        </w:tc>
      </w:tr>
      <w:tr>
        <w:trPr>
          <w:trHeight w:val="115"/>
        </w:trPr>
        <w:tc>
          <w:tcPr>
            <w:tcW w:w="260" w:type="dxa"/>
            <w:vAlign w:val="bottom"/>
            <w:vMerge w:val="restart"/>
          </w:tcPr>
          <w:p>
            <w:pPr>
              <w:spacing w:after="0"/>
              <w:rPr>
                <w:sz w:val="20"/>
                <w:szCs w:val="20"/>
                <w:color w:val="auto"/>
              </w:rPr>
            </w:pPr>
            <w:r>
              <w:rPr>
                <w:rFonts w:ascii="Times New Roman" w:cs="Times New Roman" w:eastAsia="Times New Roman" w:hAnsi="Times New Roman"/>
                <w:sz w:val="11"/>
                <w:szCs w:val="11"/>
                <w:color w:val="auto"/>
              </w:rPr>
              <w:t>(ax)</w:t>
            </w:r>
          </w:p>
        </w:tc>
        <w:tc>
          <w:tcPr>
            <w:tcW w:w="8220" w:type="dxa"/>
            <w:vAlign w:val="bottom"/>
          </w:tcPr>
          <w:p>
            <w:pPr>
              <w:ind w:left="60"/>
              <w:spacing w:after="0" w:line="115" w:lineRule="exact"/>
              <w:rPr>
                <w:sz w:val="20"/>
                <w:szCs w:val="20"/>
                <w:color w:val="auto"/>
              </w:rPr>
            </w:pPr>
            <w:r>
              <w:rPr>
                <w:rFonts w:ascii="Times New Roman" w:cs="Times New Roman" w:eastAsia="Times New Roman" w:hAnsi="Times New Roman"/>
                <w:sz w:val="11"/>
                <w:szCs w:val="11"/>
                <w:color w:val="auto"/>
              </w:rPr>
              <w:t>tranche with respect to payments of principal, interest and any other amounts due thereunder.</w:t>
            </w:r>
          </w:p>
        </w:tc>
        <w:tc>
          <w:tcPr>
            <w:tcW w:w="0" w:type="dxa"/>
            <w:vAlign w:val="bottom"/>
          </w:tcPr>
          <w:p>
            <w:pPr>
              <w:spacing w:after="0"/>
              <w:rPr>
                <w:sz w:val="1"/>
                <w:szCs w:val="1"/>
                <w:color w:val="auto"/>
              </w:rPr>
            </w:pPr>
          </w:p>
        </w:tc>
      </w:tr>
      <w:tr>
        <w:trPr>
          <w:trHeight w:val="115"/>
        </w:trPr>
        <w:tc>
          <w:tcPr>
            <w:tcW w:w="260" w:type="dxa"/>
            <w:vAlign w:val="bottom"/>
            <w:vMerge w:val="continue"/>
          </w:tcPr>
          <w:p>
            <w:pPr>
              <w:spacing w:after="0"/>
              <w:rPr>
                <w:sz w:val="10"/>
                <w:szCs w:val="10"/>
                <w:color w:val="auto"/>
              </w:rPr>
            </w:pPr>
          </w:p>
        </w:tc>
        <w:tc>
          <w:tcPr>
            <w:tcW w:w="8220" w:type="dxa"/>
            <w:vAlign w:val="bottom"/>
          </w:tcPr>
          <w:p>
            <w:pPr>
              <w:ind w:left="60"/>
              <w:spacing w:after="0" w:line="115" w:lineRule="exact"/>
              <w:rPr>
                <w:sz w:val="20"/>
                <w:szCs w:val="20"/>
                <w:color w:val="auto"/>
              </w:rPr>
            </w:pPr>
            <w:r>
              <w:rPr>
                <w:rFonts w:ascii="Times New Roman" w:cs="Times New Roman" w:eastAsia="Times New Roman" w:hAnsi="Times New Roman"/>
                <w:sz w:val="11"/>
                <w:szCs w:val="11"/>
                <w:color w:val="auto"/>
              </w:rPr>
              <w:t>In addition to the interest earned based on the stated interest rate of this security, the Company is entitled to receive an additional interest amount of 1.01% on its “last out” tranche of</w:t>
            </w:r>
          </w:p>
        </w:tc>
        <w:tc>
          <w:tcPr>
            <w:tcW w:w="0" w:type="dxa"/>
            <w:vAlign w:val="bottom"/>
          </w:tcPr>
          <w:p>
            <w:pPr>
              <w:spacing w:after="0"/>
              <w:rPr>
                <w:sz w:val="1"/>
                <w:szCs w:val="1"/>
                <w:color w:val="auto"/>
              </w:rPr>
            </w:pPr>
          </w:p>
        </w:tc>
      </w:tr>
      <w:tr>
        <w:trPr>
          <w:trHeight w:val="115"/>
        </w:trPr>
        <w:tc>
          <w:tcPr>
            <w:tcW w:w="260" w:type="dxa"/>
            <w:vAlign w:val="bottom"/>
          </w:tcPr>
          <w:p>
            <w:pPr>
              <w:spacing w:after="0"/>
              <w:rPr>
                <w:sz w:val="10"/>
                <w:szCs w:val="10"/>
                <w:color w:val="auto"/>
              </w:rPr>
            </w:pPr>
          </w:p>
        </w:tc>
        <w:tc>
          <w:tcPr>
            <w:tcW w:w="8220" w:type="dxa"/>
            <w:vAlign w:val="bottom"/>
          </w:tcPr>
          <w:p>
            <w:pPr>
              <w:ind w:left="60"/>
              <w:spacing w:after="0" w:line="115" w:lineRule="exact"/>
              <w:rPr>
                <w:sz w:val="20"/>
                <w:szCs w:val="20"/>
                <w:color w:val="auto"/>
              </w:rPr>
            </w:pPr>
            <w:r>
              <w:rPr>
                <w:rFonts w:ascii="Times New Roman" w:cs="Times New Roman" w:eastAsia="Times New Roman" w:hAnsi="Times New Roman"/>
                <w:sz w:val="11"/>
                <w:szCs w:val="11"/>
                <w:color w:val="auto"/>
              </w:rPr>
              <w:t>the portfolio company’s senior term debt, which was previously syndicated into “first out” and “last out” tranches, whereby the “first out” tranche will have priority as to the “last out”</w:t>
            </w:r>
          </w:p>
        </w:tc>
        <w:tc>
          <w:tcPr>
            <w:tcW w:w="0" w:type="dxa"/>
            <w:vAlign w:val="bottom"/>
          </w:tcPr>
          <w:p>
            <w:pPr>
              <w:spacing w:after="0"/>
              <w:rPr>
                <w:sz w:val="1"/>
                <w:szCs w:val="1"/>
                <w:color w:val="auto"/>
              </w:rPr>
            </w:pPr>
          </w:p>
        </w:tc>
      </w:tr>
      <w:tr>
        <w:trPr>
          <w:trHeight w:val="115"/>
        </w:trPr>
        <w:tc>
          <w:tcPr>
            <w:tcW w:w="260" w:type="dxa"/>
            <w:vAlign w:val="bottom"/>
            <w:vMerge w:val="restart"/>
          </w:tcPr>
          <w:p>
            <w:pPr>
              <w:spacing w:after="0"/>
              <w:rPr>
                <w:sz w:val="20"/>
                <w:szCs w:val="20"/>
                <w:color w:val="auto"/>
              </w:rPr>
            </w:pPr>
            <w:r>
              <w:rPr>
                <w:rFonts w:ascii="Times New Roman" w:cs="Times New Roman" w:eastAsia="Times New Roman" w:hAnsi="Times New Roman"/>
                <w:sz w:val="11"/>
                <w:szCs w:val="11"/>
                <w:color w:val="auto"/>
              </w:rPr>
              <w:t>(ay)</w:t>
            </w:r>
          </w:p>
        </w:tc>
        <w:tc>
          <w:tcPr>
            <w:tcW w:w="8220" w:type="dxa"/>
            <w:vAlign w:val="bottom"/>
          </w:tcPr>
          <w:p>
            <w:pPr>
              <w:ind w:left="60"/>
              <w:spacing w:after="0" w:line="115" w:lineRule="exact"/>
              <w:rPr>
                <w:sz w:val="20"/>
                <w:szCs w:val="20"/>
                <w:color w:val="auto"/>
              </w:rPr>
            </w:pPr>
            <w:r>
              <w:rPr>
                <w:rFonts w:ascii="Times New Roman" w:cs="Times New Roman" w:eastAsia="Times New Roman" w:hAnsi="Times New Roman"/>
                <w:sz w:val="11"/>
                <w:szCs w:val="11"/>
                <w:color w:val="auto"/>
              </w:rPr>
              <w:t>tranche with respect to payments of principal, interest and any other amounts due thereunder.</w:t>
            </w:r>
          </w:p>
        </w:tc>
        <w:tc>
          <w:tcPr>
            <w:tcW w:w="0" w:type="dxa"/>
            <w:vAlign w:val="bottom"/>
          </w:tcPr>
          <w:p>
            <w:pPr>
              <w:spacing w:after="0"/>
              <w:rPr>
                <w:sz w:val="1"/>
                <w:szCs w:val="1"/>
                <w:color w:val="auto"/>
              </w:rPr>
            </w:pPr>
          </w:p>
        </w:tc>
      </w:tr>
      <w:tr>
        <w:trPr>
          <w:trHeight w:val="115"/>
        </w:trPr>
        <w:tc>
          <w:tcPr>
            <w:tcW w:w="260" w:type="dxa"/>
            <w:vAlign w:val="bottom"/>
            <w:vMerge w:val="continue"/>
          </w:tcPr>
          <w:p>
            <w:pPr>
              <w:spacing w:after="0"/>
              <w:rPr>
                <w:sz w:val="10"/>
                <w:szCs w:val="10"/>
                <w:color w:val="auto"/>
              </w:rPr>
            </w:pPr>
          </w:p>
        </w:tc>
        <w:tc>
          <w:tcPr>
            <w:tcW w:w="8220" w:type="dxa"/>
            <w:vAlign w:val="bottom"/>
          </w:tcPr>
          <w:p>
            <w:pPr>
              <w:ind w:left="60"/>
              <w:spacing w:after="0" w:line="115" w:lineRule="exact"/>
              <w:rPr>
                <w:sz w:val="20"/>
                <w:szCs w:val="20"/>
                <w:color w:val="auto"/>
              </w:rPr>
            </w:pPr>
            <w:r>
              <w:rPr>
                <w:rFonts w:ascii="Times New Roman" w:cs="Times New Roman" w:eastAsia="Times New Roman" w:hAnsi="Times New Roman"/>
                <w:sz w:val="11"/>
                <w:szCs w:val="11"/>
                <w:color w:val="auto"/>
              </w:rPr>
              <w:t>In addition to the interest earned based on the stated interest rate of this security, the Company is entitled to receive an additional interest amount of 2.03% on its “last out” tranche of</w:t>
            </w:r>
          </w:p>
        </w:tc>
        <w:tc>
          <w:tcPr>
            <w:tcW w:w="0" w:type="dxa"/>
            <w:vAlign w:val="bottom"/>
          </w:tcPr>
          <w:p>
            <w:pPr>
              <w:spacing w:after="0"/>
              <w:rPr>
                <w:sz w:val="1"/>
                <w:szCs w:val="1"/>
                <w:color w:val="auto"/>
              </w:rPr>
            </w:pPr>
          </w:p>
        </w:tc>
      </w:tr>
      <w:tr>
        <w:trPr>
          <w:trHeight w:val="115"/>
        </w:trPr>
        <w:tc>
          <w:tcPr>
            <w:tcW w:w="260" w:type="dxa"/>
            <w:vAlign w:val="bottom"/>
          </w:tcPr>
          <w:p>
            <w:pPr>
              <w:spacing w:after="0"/>
              <w:rPr>
                <w:sz w:val="10"/>
                <w:szCs w:val="10"/>
                <w:color w:val="auto"/>
              </w:rPr>
            </w:pPr>
          </w:p>
        </w:tc>
        <w:tc>
          <w:tcPr>
            <w:tcW w:w="8220" w:type="dxa"/>
            <w:vAlign w:val="bottom"/>
          </w:tcPr>
          <w:p>
            <w:pPr>
              <w:ind w:left="60"/>
              <w:spacing w:after="0" w:line="115" w:lineRule="exact"/>
              <w:rPr>
                <w:sz w:val="20"/>
                <w:szCs w:val="20"/>
                <w:color w:val="auto"/>
              </w:rPr>
            </w:pPr>
            <w:r>
              <w:rPr>
                <w:rFonts w:ascii="Times New Roman" w:cs="Times New Roman" w:eastAsia="Times New Roman" w:hAnsi="Times New Roman"/>
                <w:sz w:val="11"/>
                <w:szCs w:val="11"/>
                <w:color w:val="auto"/>
              </w:rPr>
              <w:t>the portfolio company’s senior term debt, which was previously syndicated into “first out” and “last out” tranches, whereby the “first out” tranche will have priority as to the “last out”</w:t>
            </w:r>
          </w:p>
        </w:tc>
        <w:tc>
          <w:tcPr>
            <w:tcW w:w="0" w:type="dxa"/>
            <w:vAlign w:val="bottom"/>
          </w:tcPr>
          <w:p>
            <w:pPr>
              <w:spacing w:after="0"/>
              <w:rPr>
                <w:sz w:val="1"/>
                <w:szCs w:val="1"/>
                <w:color w:val="auto"/>
              </w:rPr>
            </w:pPr>
          </w:p>
        </w:tc>
      </w:tr>
      <w:tr>
        <w:trPr>
          <w:trHeight w:val="115"/>
        </w:trPr>
        <w:tc>
          <w:tcPr>
            <w:tcW w:w="260" w:type="dxa"/>
            <w:vAlign w:val="bottom"/>
            <w:vMerge w:val="restart"/>
          </w:tcPr>
          <w:p>
            <w:pPr>
              <w:spacing w:after="0"/>
              <w:rPr>
                <w:sz w:val="20"/>
                <w:szCs w:val="20"/>
                <w:color w:val="auto"/>
              </w:rPr>
            </w:pPr>
            <w:r>
              <w:rPr>
                <w:rFonts w:ascii="Times New Roman" w:cs="Times New Roman" w:eastAsia="Times New Roman" w:hAnsi="Times New Roman"/>
                <w:sz w:val="11"/>
                <w:szCs w:val="11"/>
                <w:color w:val="auto"/>
              </w:rPr>
              <w:t>(az)</w:t>
            </w:r>
          </w:p>
        </w:tc>
        <w:tc>
          <w:tcPr>
            <w:tcW w:w="8220" w:type="dxa"/>
            <w:vAlign w:val="bottom"/>
          </w:tcPr>
          <w:p>
            <w:pPr>
              <w:ind w:left="60"/>
              <w:spacing w:after="0" w:line="115" w:lineRule="exact"/>
              <w:rPr>
                <w:sz w:val="20"/>
                <w:szCs w:val="20"/>
                <w:color w:val="auto"/>
              </w:rPr>
            </w:pPr>
            <w:r>
              <w:rPr>
                <w:rFonts w:ascii="Times New Roman" w:cs="Times New Roman" w:eastAsia="Times New Roman" w:hAnsi="Times New Roman"/>
                <w:sz w:val="11"/>
                <w:szCs w:val="11"/>
                <w:color w:val="auto"/>
              </w:rPr>
              <w:t>tranche with respect to payments of principal, interest and any other amounts due thereunder.</w:t>
            </w:r>
          </w:p>
        </w:tc>
        <w:tc>
          <w:tcPr>
            <w:tcW w:w="0" w:type="dxa"/>
            <w:vAlign w:val="bottom"/>
          </w:tcPr>
          <w:p>
            <w:pPr>
              <w:spacing w:after="0"/>
              <w:rPr>
                <w:sz w:val="1"/>
                <w:szCs w:val="1"/>
                <w:color w:val="auto"/>
              </w:rPr>
            </w:pPr>
          </w:p>
        </w:tc>
      </w:tr>
      <w:tr>
        <w:trPr>
          <w:trHeight w:val="115"/>
        </w:trPr>
        <w:tc>
          <w:tcPr>
            <w:tcW w:w="260" w:type="dxa"/>
            <w:vAlign w:val="bottom"/>
            <w:vMerge w:val="continue"/>
          </w:tcPr>
          <w:p>
            <w:pPr>
              <w:spacing w:after="0"/>
              <w:rPr>
                <w:sz w:val="10"/>
                <w:szCs w:val="10"/>
                <w:color w:val="auto"/>
              </w:rPr>
            </w:pPr>
          </w:p>
        </w:tc>
        <w:tc>
          <w:tcPr>
            <w:tcW w:w="8220" w:type="dxa"/>
            <w:vAlign w:val="bottom"/>
          </w:tcPr>
          <w:p>
            <w:pPr>
              <w:ind w:left="60"/>
              <w:spacing w:after="0" w:line="115" w:lineRule="exact"/>
              <w:rPr>
                <w:sz w:val="20"/>
                <w:szCs w:val="20"/>
                <w:color w:val="auto"/>
              </w:rPr>
            </w:pPr>
            <w:r>
              <w:rPr>
                <w:rFonts w:ascii="Times New Roman" w:cs="Times New Roman" w:eastAsia="Times New Roman" w:hAnsi="Times New Roman"/>
                <w:sz w:val="11"/>
                <w:szCs w:val="11"/>
                <w:color w:val="auto"/>
              </w:rPr>
              <w:t>In addition to the interest earned based on the stated interest rate of this security, the Company is entitled to receive an additional interest amount of 2.35% on its “last out” tranche of</w:t>
            </w:r>
          </w:p>
        </w:tc>
        <w:tc>
          <w:tcPr>
            <w:tcW w:w="0" w:type="dxa"/>
            <w:vAlign w:val="bottom"/>
          </w:tcPr>
          <w:p>
            <w:pPr>
              <w:spacing w:after="0"/>
              <w:rPr>
                <w:sz w:val="1"/>
                <w:szCs w:val="1"/>
                <w:color w:val="auto"/>
              </w:rPr>
            </w:pPr>
          </w:p>
        </w:tc>
      </w:tr>
      <w:tr>
        <w:trPr>
          <w:trHeight w:val="115"/>
        </w:trPr>
        <w:tc>
          <w:tcPr>
            <w:tcW w:w="260" w:type="dxa"/>
            <w:vAlign w:val="bottom"/>
          </w:tcPr>
          <w:p>
            <w:pPr>
              <w:spacing w:after="0"/>
              <w:rPr>
                <w:sz w:val="10"/>
                <w:szCs w:val="10"/>
                <w:color w:val="auto"/>
              </w:rPr>
            </w:pPr>
          </w:p>
        </w:tc>
        <w:tc>
          <w:tcPr>
            <w:tcW w:w="8220" w:type="dxa"/>
            <w:vAlign w:val="bottom"/>
          </w:tcPr>
          <w:p>
            <w:pPr>
              <w:ind w:left="60"/>
              <w:spacing w:after="0" w:line="115" w:lineRule="exact"/>
              <w:rPr>
                <w:sz w:val="20"/>
                <w:szCs w:val="20"/>
                <w:color w:val="auto"/>
              </w:rPr>
            </w:pPr>
            <w:r>
              <w:rPr>
                <w:rFonts w:ascii="Times New Roman" w:cs="Times New Roman" w:eastAsia="Times New Roman" w:hAnsi="Times New Roman"/>
                <w:sz w:val="11"/>
                <w:szCs w:val="11"/>
                <w:color w:val="auto"/>
              </w:rPr>
              <w:t>the portfolio company’s senior term debt, which was previously syndicated into “first out” and “last out” tranches, whereby the “first out” tranche will have priority as to the “last out”</w:t>
            </w:r>
          </w:p>
        </w:tc>
        <w:tc>
          <w:tcPr>
            <w:tcW w:w="0" w:type="dxa"/>
            <w:vAlign w:val="bottom"/>
          </w:tcPr>
          <w:p>
            <w:pPr>
              <w:spacing w:after="0"/>
              <w:rPr>
                <w:sz w:val="1"/>
                <w:szCs w:val="1"/>
                <w:color w:val="auto"/>
              </w:rPr>
            </w:pPr>
          </w:p>
        </w:tc>
      </w:tr>
      <w:tr>
        <w:trPr>
          <w:trHeight w:val="115"/>
        </w:trPr>
        <w:tc>
          <w:tcPr>
            <w:tcW w:w="260" w:type="dxa"/>
            <w:vAlign w:val="bottom"/>
            <w:vMerge w:val="restart"/>
          </w:tcPr>
          <w:p>
            <w:pPr>
              <w:spacing w:after="0"/>
              <w:rPr>
                <w:sz w:val="20"/>
                <w:szCs w:val="20"/>
                <w:color w:val="auto"/>
              </w:rPr>
            </w:pPr>
            <w:r>
              <w:rPr>
                <w:rFonts w:ascii="Times New Roman" w:cs="Times New Roman" w:eastAsia="Times New Roman" w:hAnsi="Times New Roman"/>
                <w:sz w:val="11"/>
                <w:szCs w:val="11"/>
                <w:color w:val="auto"/>
              </w:rPr>
              <w:t>(ba)</w:t>
            </w:r>
          </w:p>
        </w:tc>
        <w:tc>
          <w:tcPr>
            <w:tcW w:w="8220" w:type="dxa"/>
            <w:vAlign w:val="bottom"/>
          </w:tcPr>
          <w:p>
            <w:pPr>
              <w:ind w:left="60"/>
              <w:spacing w:after="0" w:line="115" w:lineRule="exact"/>
              <w:rPr>
                <w:sz w:val="20"/>
                <w:szCs w:val="20"/>
                <w:color w:val="auto"/>
              </w:rPr>
            </w:pPr>
            <w:r>
              <w:rPr>
                <w:rFonts w:ascii="Times New Roman" w:cs="Times New Roman" w:eastAsia="Times New Roman" w:hAnsi="Times New Roman"/>
                <w:sz w:val="11"/>
                <w:szCs w:val="11"/>
                <w:color w:val="auto"/>
              </w:rPr>
              <w:t>tranche with respect to payments of principal, interest and any other amounts due thereunder.</w:t>
            </w:r>
          </w:p>
        </w:tc>
        <w:tc>
          <w:tcPr>
            <w:tcW w:w="0" w:type="dxa"/>
            <w:vAlign w:val="bottom"/>
          </w:tcPr>
          <w:p>
            <w:pPr>
              <w:spacing w:after="0"/>
              <w:rPr>
                <w:sz w:val="1"/>
                <w:szCs w:val="1"/>
                <w:color w:val="auto"/>
              </w:rPr>
            </w:pPr>
          </w:p>
        </w:tc>
      </w:tr>
      <w:tr>
        <w:trPr>
          <w:trHeight w:val="115"/>
        </w:trPr>
        <w:tc>
          <w:tcPr>
            <w:tcW w:w="260" w:type="dxa"/>
            <w:vAlign w:val="bottom"/>
            <w:vMerge w:val="continue"/>
          </w:tcPr>
          <w:p>
            <w:pPr>
              <w:spacing w:after="0"/>
              <w:rPr>
                <w:sz w:val="10"/>
                <w:szCs w:val="10"/>
                <w:color w:val="auto"/>
              </w:rPr>
            </w:pPr>
          </w:p>
        </w:tc>
        <w:tc>
          <w:tcPr>
            <w:tcW w:w="8220" w:type="dxa"/>
            <w:vAlign w:val="bottom"/>
          </w:tcPr>
          <w:p>
            <w:pPr>
              <w:ind w:left="60"/>
              <w:spacing w:after="0" w:line="115" w:lineRule="exact"/>
              <w:rPr>
                <w:sz w:val="20"/>
                <w:szCs w:val="20"/>
                <w:color w:val="auto"/>
              </w:rPr>
            </w:pPr>
            <w:r>
              <w:rPr>
                <w:rFonts w:ascii="Times New Roman" w:cs="Times New Roman" w:eastAsia="Times New Roman" w:hAnsi="Times New Roman"/>
                <w:sz w:val="11"/>
                <w:szCs w:val="11"/>
                <w:color w:val="auto"/>
              </w:rPr>
              <w:t>The Company sold a participating interest of approximately $0.005 million in aggregate principal amount of the portfolio company’s first lien senior secured term loan. As the</w:t>
            </w:r>
          </w:p>
        </w:tc>
        <w:tc>
          <w:tcPr>
            <w:tcW w:w="0" w:type="dxa"/>
            <w:vAlign w:val="bottom"/>
          </w:tcPr>
          <w:p>
            <w:pPr>
              <w:spacing w:after="0"/>
              <w:rPr>
                <w:sz w:val="1"/>
                <w:szCs w:val="1"/>
                <w:color w:val="auto"/>
              </w:rPr>
            </w:pPr>
          </w:p>
        </w:tc>
      </w:tr>
      <w:tr>
        <w:trPr>
          <w:trHeight w:val="115"/>
        </w:trPr>
        <w:tc>
          <w:tcPr>
            <w:tcW w:w="260" w:type="dxa"/>
            <w:vAlign w:val="bottom"/>
          </w:tcPr>
          <w:p>
            <w:pPr>
              <w:spacing w:after="0"/>
              <w:rPr>
                <w:sz w:val="10"/>
                <w:szCs w:val="10"/>
                <w:color w:val="auto"/>
              </w:rPr>
            </w:pPr>
          </w:p>
        </w:tc>
        <w:tc>
          <w:tcPr>
            <w:tcW w:w="8220" w:type="dxa"/>
            <w:vAlign w:val="bottom"/>
          </w:tcPr>
          <w:p>
            <w:pPr>
              <w:ind w:left="60"/>
              <w:spacing w:after="0" w:line="115" w:lineRule="exact"/>
              <w:rPr>
                <w:sz w:val="20"/>
                <w:szCs w:val="20"/>
                <w:color w:val="auto"/>
              </w:rPr>
            </w:pPr>
            <w:r>
              <w:rPr>
                <w:rFonts w:ascii="Times New Roman" w:cs="Times New Roman" w:eastAsia="Times New Roman" w:hAnsi="Times New Roman"/>
                <w:sz w:val="11"/>
                <w:szCs w:val="11"/>
                <w:color w:val="auto"/>
              </w:rPr>
              <w:t>transaction did not qualify as a “true sale” in accordance with GAAP, the Company recorded a corresponding secured borrowing in the Consolidated Statements of Assets and</w:t>
            </w:r>
          </w:p>
        </w:tc>
        <w:tc>
          <w:tcPr>
            <w:tcW w:w="0" w:type="dxa"/>
            <w:vAlign w:val="bottom"/>
          </w:tcPr>
          <w:p>
            <w:pPr>
              <w:spacing w:after="0"/>
              <w:rPr>
                <w:sz w:val="1"/>
                <w:szCs w:val="1"/>
                <w:color w:val="auto"/>
              </w:rPr>
            </w:pPr>
          </w:p>
        </w:tc>
      </w:tr>
      <w:tr>
        <w:trPr>
          <w:trHeight w:val="127"/>
        </w:trPr>
        <w:tc>
          <w:tcPr>
            <w:tcW w:w="260" w:type="dxa"/>
            <w:vAlign w:val="bottom"/>
          </w:tcPr>
          <w:p>
            <w:pPr>
              <w:spacing w:after="0"/>
              <w:rPr>
                <w:sz w:val="11"/>
                <w:szCs w:val="11"/>
                <w:color w:val="auto"/>
              </w:rPr>
            </w:pPr>
          </w:p>
        </w:tc>
        <w:tc>
          <w:tcPr>
            <w:tcW w:w="822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Liabilities.</w:t>
            </w:r>
          </w:p>
        </w:tc>
        <w:tc>
          <w:tcPr>
            <w:tcW w:w="0" w:type="dxa"/>
            <w:vAlign w:val="bottom"/>
          </w:tcPr>
          <w:p>
            <w:pPr>
              <w:spacing w:after="0"/>
              <w:rPr>
                <w:sz w:val="1"/>
                <w:szCs w:val="1"/>
                <w:color w:val="auto"/>
              </w:rPr>
            </w:pPr>
          </w:p>
        </w:tc>
      </w:tr>
    </w:tbl>
    <w:p>
      <w:pPr>
        <w:ind w:left="1700" w:hanging="325"/>
        <w:spacing w:after="0" w:line="218" w:lineRule="auto"/>
        <w:tabs>
          <w:tab w:leader="none" w:pos="1700" w:val="left"/>
        </w:tabs>
        <w:numPr>
          <w:ilvl w:val="0"/>
          <w:numId w:val="4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 addition to the interest earned based on the stated interest rate of this security, the Company is entitled to receive an additional interest amount of 3.15% on its “last out” tranche of</w:t>
      </w:r>
    </w:p>
    <w:tbl>
      <w:tblPr>
        <w:tblLayout w:type="fixed"/>
        <w:tblInd w:w="1380" w:type="dxa"/>
        <w:tblCellMar>
          <w:top w:w="0" w:type="dxa"/>
          <w:left w:w="0" w:type="dxa"/>
          <w:bottom w:w="0" w:type="dxa"/>
          <w:right w:w="0" w:type="dxa"/>
        </w:tblCellMar>
      </w:tblPr>
      <w:tr>
        <w:trPr>
          <w:trHeight w:val="103"/>
        </w:trPr>
        <w:tc>
          <w:tcPr>
            <w:tcW w:w="260" w:type="dxa"/>
            <w:vAlign w:val="bottom"/>
          </w:tcPr>
          <w:p>
            <w:pPr>
              <w:spacing w:after="0"/>
              <w:rPr>
                <w:sz w:val="8"/>
                <w:szCs w:val="8"/>
                <w:color w:val="auto"/>
              </w:rPr>
            </w:pPr>
          </w:p>
        </w:tc>
        <w:tc>
          <w:tcPr>
            <w:tcW w:w="8220" w:type="dxa"/>
            <w:vAlign w:val="bottom"/>
          </w:tcPr>
          <w:p>
            <w:pPr>
              <w:ind w:left="60"/>
              <w:spacing w:after="0" w:line="104" w:lineRule="exact"/>
              <w:rPr>
                <w:sz w:val="20"/>
                <w:szCs w:val="20"/>
                <w:color w:val="auto"/>
              </w:rPr>
            </w:pPr>
            <w:r>
              <w:rPr>
                <w:rFonts w:ascii="Times New Roman" w:cs="Times New Roman" w:eastAsia="Times New Roman" w:hAnsi="Times New Roman"/>
                <w:sz w:val="11"/>
                <w:szCs w:val="11"/>
                <w:color w:val="auto"/>
              </w:rPr>
              <w:t>the portfolio company’s senior term debt, which was previously syndicated into “first out” and “last out” tranches, whereby the “first out” tranche will have priority as to the “last out”</w:t>
            </w:r>
          </w:p>
        </w:tc>
        <w:tc>
          <w:tcPr>
            <w:tcW w:w="0" w:type="dxa"/>
            <w:vAlign w:val="bottom"/>
          </w:tcPr>
          <w:p>
            <w:pPr>
              <w:spacing w:after="0"/>
              <w:rPr>
                <w:sz w:val="1"/>
                <w:szCs w:val="1"/>
                <w:color w:val="auto"/>
              </w:rPr>
            </w:pPr>
          </w:p>
        </w:tc>
      </w:tr>
      <w:tr>
        <w:trPr>
          <w:trHeight w:val="115"/>
        </w:trPr>
        <w:tc>
          <w:tcPr>
            <w:tcW w:w="260" w:type="dxa"/>
            <w:vAlign w:val="bottom"/>
            <w:vMerge w:val="restart"/>
          </w:tcPr>
          <w:p>
            <w:pPr>
              <w:spacing w:after="0"/>
              <w:rPr>
                <w:sz w:val="20"/>
                <w:szCs w:val="20"/>
                <w:color w:val="auto"/>
              </w:rPr>
            </w:pPr>
            <w:r>
              <w:rPr>
                <w:rFonts w:ascii="Times New Roman" w:cs="Times New Roman" w:eastAsia="Times New Roman" w:hAnsi="Times New Roman"/>
                <w:sz w:val="11"/>
                <w:szCs w:val="11"/>
                <w:color w:val="auto"/>
              </w:rPr>
              <w:t>(bc)</w:t>
            </w:r>
          </w:p>
        </w:tc>
        <w:tc>
          <w:tcPr>
            <w:tcW w:w="8220" w:type="dxa"/>
            <w:vAlign w:val="bottom"/>
          </w:tcPr>
          <w:p>
            <w:pPr>
              <w:ind w:left="60"/>
              <w:spacing w:after="0" w:line="115" w:lineRule="exact"/>
              <w:rPr>
                <w:sz w:val="20"/>
                <w:szCs w:val="20"/>
                <w:color w:val="auto"/>
              </w:rPr>
            </w:pPr>
            <w:r>
              <w:rPr>
                <w:rFonts w:ascii="Times New Roman" w:cs="Times New Roman" w:eastAsia="Times New Roman" w:hAnsi="Times New Roman"/>
                <w:sz w:val="11"/>
                <w:szCs w:val="11"/>
                <w:color w:val="auto"/>
              </w:rPr>
              <w:t>tranche with respect to payments of principal, interest and any other amounts due thereunder.</w:t>
            </w:r>
          </w:p>
        </w:tc>
        <w:tc>
          <w:tcPr>
            <w:tcW w:w="0" w:type="dxa"/>
            <w:vAlign w:val="bottom"/>
          </w:tcPr>
          <w:p>
            <w:pPr>
              <w:spacing w:after="0"/>
              <w:rPr>
                <w:sz w:val="1"/>
                <w:szCs w:val="1"/>
                <w:color w:val="auto"/>
              </w:rPr>
            </w:pPr>
          </w:p>
        </w:tc>
      </w:tr>
      <w:tr>
        <w:trPr>
          <w:trHeight w:val="115"/>
        </w:trPr>
        <w:tc>
          <w:tcPr>
            <w:tcW w:w="260" w:type="dxa"/>
            <w:vAlign w:val="bottom"/>
            <w:vMerge w:val="continue"/>
          </w:tcPr>
          <w:p>
            <w:pPr>
              <w:spacing w:after="0"/>
              <w:rPr>
                <w:sz w:val="10"/>
                <w:szCs w:val="10"/>
                <w:color w:val="auto"/>
              </w:rPr>
            </w:pPr>
          </w:p>
        </w:tc>
        <w:tc>
          <w:tcPr>
            <w:tcW w:w="8220" w:type="dxa"/>
            <w:vAlign w:val="bottom"/>
          </w:tcPr>
          <w:p>
            <w:pPr>
              <w:ind w:left="60"/>
              <w:spacing w:after="0" w:line="115" w:lineRule="exact"/>
              <w:rPr>
                <w:sz w:val="20"/>
                <w:szCs w:val="20"/>
                <w:color w:val="auto"/>
              </w:rPr>
            </w:pPr>
            <w:r>
              <w:rPr>
                <w:rFonts w:ascii="Times New Roman" w:cs="Times New Roman" w:eastAsia="Times New Roman" w:hAnsi="Times New Roman"/>
                <w:sz w:val="11"/>
                <w:szCs w:val="11"/>
                <w:color w:val="auto"/>
              </w:rPr>
              <w:t>In addition to the interest earned based on the stated interest rate of this security, the Company is entitled to receive an additional cash interest amount of 2.21% and PIK interest</w:t>
            </w:r>
          </w:p>
        </w:tc>
        <w:tc>
          <w:tcPr>
            <w:tcW w:w="0" w:type="dxa"/>
            <w:vAlign w:val="bottom"/>
          </w:tcPr>
          <w:p>
            <w:pPr>
              <w:spacing w:after="0"/>
              <w:rPr>
                <w:sz w:val="1"/>
                <w:szCs w:val="1"/>
                <w:color w:val="auto"/>
              </w:rPr>
            </w:pPr>
          </w:p>
        </w:tc>
      </w:tr>
      <w:tr>
        <w:trPr>
          <w:trHeight w:val="115"/>
        </w:trPr>
        <w:tc>
          <w:tcPr>
            <w:tcW w:w="260" w:type="dxa"/>
            <w:vAlign w:val="bottom"/>
          </w:tcPr>
          <w:p>
            <w:pPr>
              <w:spacing w:after="0"/>
              <w:rPr>
                <w:sz w:val="10"/>
                <w:szCs w:val="10"/>
                <w:color w:val="auto"/>
              </w:rPr>
            </w:pPr>
          </w:p>
        </w:tc>
        <w:tc>
          <w:tcPr>
            <w:tcW w:w="8220" w:type="dxa"/>
            <w:vAlign w:val="bottom"/>
          </w:tcPr>
          <w:p>
            <w:pPr>
              <w:ind w:left="60"/>
              <w:spacing w:after="0" w:line="115" w:lineRule="exact"/>
              <w:rPr>
                <w:sz w:val="20"/>
                <w:szCs w:val="20"/>
                <w:color w:val="auto"/>
              </w:rPr>
            </w:pPr>
            <w:r>
              <w:rPr>
                <w:rFonts w:ascii="Times New Roman" w:cs="Times New Roman" w:eastAsia="Times New Roman" w:hAnsi="Times New Roman"/>
                <w:sz w:val="11"/>
                <w:szCs w:val="11"/>
                <w:color w:val="auto"/>
              </w:rPr>
              <w:t>amount of 0.74% on its “last out” tranche of the portfolio company’s senior term debt, which was previously syndicated into “first out” and “last out” tranches, whereby the “first out”</w:t>
            </w:r>
          </w:p>
        </w:tc>
        <w:tc>
          <w:tcPr>
            <w:tcW w:w="0" w:type="dxa"/>
            <w:vAlign w:val="bottom"/>
          </w:tcPr>
          <w:p>
            <w:pPr>
              <w:spacing w:after="0"/>
              <w:rPr>
                <w:sz w:val="1"/>
                <w:szCs w:val="1"/>
                <w:color w:val="auto"/>
              </w:rPr>
            </w:pPr>
          </w:p>
        </w:tc>
      </w:tr>
      <w:tr>
        <w:trPr>
          <w:trHeight w:val="115"/>
        </w:trPr>
        <w:tc>
          <w:tcPr>
            <w:tcW w:w="260" w:type="dxa"/>
            <w:vAlign w:val="bottom"/>
            <w:vMerge w:val="restart"/>
          </w:tcPr>
          <w:p>
            <w:pPr>
              <w:spacing w:after="0"/>
              <w:rPr>
                <w:sz w:val="20"/>
                <w:szCs w:val="20"/>
                <w:color w:val="auto"/>
              </w:rPr>
            </w:pPr>
            <w:r>
              <w:rPr>
                <w:rFonts w:ascii="Times New Roman" w:cs="Times New Roman" w:eastAsia="Times New Roman" w:hAnsi="Times New Roman"/>
                <w:sz w:val="11"/>
                <w:szCs w:val="11"/>
                <w:color w:val="auto"/>
              </w:rPr>
              <w:t>(bd)</w:t>
            </w:r>
          </w:p>
        </w:tc>
        <w:tc>
          <w:tcPr>
            <w:tcW w:w="8220" w:type="dxa"/>
            <w:vAlign w:val="bottom"/>
          </w:tcPr>
          <w:p>
            <w:pPr>
              <w:ind w:left="60"/>
              <w:spacing w:after="0" w:line="115" w:lineRule="exact"/>
              <w:rPr>
                <w:sz w:val="20"/>
                <w:szCs w:val="20"/>
                <w:color w:val="auto"/>
              </w:rPr>
            </w:pPr>
            <w:r>
              <w:rPr>
                <w:rFonts w:ascii="Times New Roman" w:cs="Times New Roman" w:eastAsia="Times New Roman" w:hAnsi="Times New Roman"/>
                <w:sz w:val="11"/>
                <w:szCs w:val="11"/>
                <w:color w:val="auto"/>
              </w:rPr>
              <w:t>tranche will have priority as to the “last out” tranche with respect to payments of principal, interest and any other amounts due thereunder.</w:t>
            </w:r>
          </w:p>
        </w:tc>
        <w:tc>
          <w:tcPr>
            <w:tcW w:w="0" w:type="dxa"/>
            <w:vAlign w:val="bottom"/>
          </w:tcPr>
          <w:p>
            <w:pPr>
              <w:spacing w:after="0"/>
              <w:rPr>
                <w:sz w:val="1"/>
                <w:szCs w:val="1"/>
                <w:color w:val="auto"/>
              </w:rPr>
            </w:pPr>
          </w:p>
        </w:tc>
      </w:tr>
      <w:tr>
        <w:trPr>
          <w:trHeight w:val="115"/>
        </w:trPr>
        <w:tc>
          <w:tcPr>
            <w:tcW w:w="260" w:type="dxa"/>
            <w:vAlign w:val="bottom"/>
            <w:vMerge w:val="continue"/>
          </w:tcPr>
          <w:p>
            <w:pPr>
              <w:spacing w:after="0"/>
              <w:rPr>
                <w:sz w:val="10"/>
                <w:szCs w:val="10"/>
                <w:color w:val="auto"/>
              </w:rPr>
            </w:pPr>
          </w:p>
        </w:tc>
        <w:tc>
          <w:tcPr>
            <w:tcW w:w="8220" w:type="dxa"/>
            <w:vAlign w:val="bottom"/>
          </w:tcPr>
          <w:p>
            <w:pPr>
              <w:ind w:left="60"/>
              <w:spacing w:after="0" w:line="115" w:lineRule="exact"/>
              <w:rPr>
                <w:sz w:val="20"/>
                <w:szCs w:val="20"/>
                <w:color w:val="auto"/>
              </w:rPr>
            </w:pPr>
            <w:r>
              <w:rPr>
                <w:rFonts w:ascii="Times New Roman" w:cs="Times New Roman" w:eastAsia="Times New Roman" w:hAnsi="Times New Roman"/>
                <w:sz w:val="11"/>
                <w:szCs w:val="11"/>
                <w:color w:val="auto"/>
              </w:rPr>
              <w:t>In addition to the interest earned based on the stated interest rate of this security, the Company is entitled to receive an additional interest amount of 3.05% on its “last out” tranche of</w:t>
            </w:r>
          </w:p>
        </w:tc>
        <w:tc>
          <w:tcPr>
            <w:tcW w:w="0" w:type="dxa"/>
            <w:vAlign w:val="bottom"/>
          </w:tcPr>
          <w:p>
            <w:pPr>
              <w:spacing w:after="0"/>
              <w:rPr>
                <w:sz w:val="1"/>
                <w:szCs w:val="1"/>
                <w:color w:val="auto"/>
              </w:rPr>
            </w:pPr>
          </w:p>
        </w:tc>
      </w:tr>
      <w:tr>
        <w:trPr>
          <w:trHeight w:val="115"/>
        </w:trPr>
        <w:tc>
          <w:tcPr>
            <w:tcW w:w="260" w:type="dxa"/>
            <w:vAlign w:val="bottom"/>
          </w:tcPr>
          <w:p>
            <w:pPr>
              <w:spacing w:after="0"/>
              <w:rPr>
                <w:sz w:val="10"/>
                <w:szCs w:val="10"/>
                <w:color w:val="auto"/>
              </w:rPr>
            </w:pPr>
          </w:p>
        </w:tc>
        <w:tc>
          <w:tcPr>
            <w:tcW w:w="8220" w:type="dxa"/>
            <w:vAlign w:val="bottom"/>
          </w:tcPr>
          <w:p>
            <w:pPr>
              <w:ind w:left="60"/>
              <w:spacing w:after="0" w:line="115" w:lineRule="exact"/>
              <w:rPr>
                <w:sz w:val="20"/>
                <w:szCs w:val="20"/>
                <w:color w:val="auto"/>
              </w:rPr>
            </w:pPr>
            <w:r>
              <w:rPr>
                <w:rFonts w:ascii="Times New Roman" w:cs="Times New Roman" w:eastAsia="Times New Roman" w:hAnsi="Times New Roman"/>
                <w:sz w:val="11"/>
                <w:szCs w:val="11"/>
                <w:color w:val="auto"/>
              </w:rPr>
              <w:t>the portfolio company’s senior term debt, which was previously syndicated into “first out” and “last out” tranches, whereby the “first out” tranche will have priority as to the “last out”</w:t>
            </w:r>
          </w:p>
        </w:tc>
        <w:tc>
          <w:tcPr>
            <w:tcW w:w="0" w:type="dxa"/>
            <w:vAlign w:val="bottom"/>
          </w:tcPr>
          <w:p>
            <w:pPr>
              <w:spacing w:after="0"/>
              <w:rPr>
                <w:sz w:val="1"/>
                <w:szCs w:val="1"/>
                <w:color w:val="auto"/>
              </w:rPr>
            </w:pPr>
          </w:p>
        </w:tc>
      </w:tr>
      <w:tr>
        <w:trPr>
          <w:trHeight w:val="115"/>
        </w:trPr>
        <w:tc>
          <w:tcPr>
            <w:tcW w:w="260" w:type="dxa"/>
            <w:vAlign w:val="bottom"/>
            <w:vMerge w:val="restart"/>
          </w:tcPr>
          <w:p>
            <w:pPr>
              <w:spacing w:after="0"/>
              <w:rPr>
                <w:sz w:val="20"/>
                <w:szCs w:val="20"/>
                <w:color w:val="auto"/>
              </w:rPr>
            </w:pPr>
            <w:r>
              <w:rPr>
                <w:rFonts w:ascii="Times New Roman" w:cs="Times New Roman" w:eastAsia="Times New Roman" w:hAnsi="Times New Roman"/>
                <w:sz w:val="11"/>
                <w:szCs w:val="11"/>
                <w:color w:val="auto"/>
              </w:rPr>
              <w:t>(be)</w:t>
            </w:r>
          </w:p>
        </w:tc>
        <w:tc>
          <w:tcPr>
            <w:tcW w:w="8220" w:type="dxa"/>
            <w:vAlign w:val="bottom"/>
          </w:tcPr>
          <w:p>
            <w:pPr>
              <w:ind w:left="60"/>
              <w:spacing w:after="0" w:line="115" w:lineRule="exact"/>
              <w:rPr>
                <w:sz w:val="20"/>
                <w:szCs w:val="20"/>
                <w:color w:val="auto"/>
              </w:rPr>
            </w:pPr>
            <w:r>
              <w:rPr>
                <w:rFonts w:ascii="Times New Roman" w:cs="Times New Roman" w:eastAsia="Times New Roman" w:hAnsi="Times New Roman"/>
                <w:sz w:val="11"/>
                <w:szCs w:val="11"/>
                <w:color w:val="auto"/>
              </w:rPr>
              <w:t>tranche with respect to payments of principal, interest and any other amounts due thereunder.</w:t>
            </w:r>
          </w:p>
        </w:tc>
        <w:tc>
          <w:tcPr>
            <w:tcW w:w="0" w:type="dxa"/>
            <w:vAlign w:val="bottom"/>
          </w:tcPr>
          <w:p>
            <w:pPr>
              <w:spacing w:after="0"/>
              <w:rPr>
                <w:sz w:val="1"/>
                <w:szCs w:val="1"/>
                <w:color w:val="auto"/>
              </w:rPr>
            </w:pPr>
          </w:p>
        </w:tc>
      </w:tr>
      <w:tr>
        <w:trPr>
          <w:trHeight w:val="115"/>
        </w:trPr>
        <w:tc>
          <w:tcPr>
            <w:tcW w:w="260" w:type="dxa"/>
            <w:vAlign w:val="bottom"/>
            <w:vMerge w:val="continue"/>
          </w:tcPr>
          <w:p>
            <w:pPr>
              <w:spacing w:after="0"/>
              <w:rPr>
                <w:sz w:val="10"/>
                <w:szCs w:val="10"/>
                <w:color w:val="auto"/>
              </w:rPr>
            </w:pPr>
          </w:p>
        </w:tc>
        <w:tc>
          <w:tcPr>
            <w:tcW w:w="8220" w:type="dxa"/>
            <w:vAlign w:val="bottom"/>
          </w:tcPr>
          <w:p>
            <w:pPr>
              <w:ind w:left="60"/>
              <w:spacing w:after="0" w:line="115" w:lineRule="exact"/>
              <w:rPr>
                <w:sz w:val="20"/>
                <w:szCs w:val="20"/>
                <w:color w:val="auto"/>
              </w:rPr>
            </w:pPr>
            <w:r>
              <w:rPr>
                <w:rFonts w:ascii="Times New Roman" w:cs="Times New Roman" w:eastAsia="Times New Roman" w:hAnsi="Times New Roman"/>
                <w:sz w:val="11"/>
                <w:szCs w:val="11"/>
                <w:color w:val="auto"/>
              </w:rPr>
              <w:t>In addition to the interest earned based on the stated interest rate of this security, the Company is entitled to receive an additional interest amount of 2.96% on its “last out” tranche of</w:t>
            </w:r>
          </w:p>
        </w:tc>
        <w:tc>
          <w:tcPr>
            <w:tcW w:w="0" w:type="dxa"/>
            <w:vAlign w:val="bottom"/>
          </w:tcPr>
          <w:p>
            <w:pPr>
              <w:spacing w:after="0"/>
              <w:rPr>
                <w:sz w:val="1"/>
                <w:szCs w:val="1"/>
                <w:color w:val="auto"/>
              </w:rPr>
            </w:pPr>
          </w:p>
        </w:tc>
      </w:tr>
      <w:tr>
        <w:trPr>
          <w:trHeight w:val="115"/>
        </w:trPr>
        <w:tc>
          <w:tcPr>
            <w:tcW w:w="260" w:type="dxa"/>
            <w:vAlign w:val="bottom"/>
          </w:tcPr>
          <w:p>
            <w:pPr>
              <w:spacing w:after="0"/>
              <w:rPr>
                <w:sz w:val="10"/>
                <w:szCs w:val="10"/>
                <w:color w:val="auto"/>
              </w:rPr>
            </w:pPr>
          </w:p>
        </w:tc>
        <w:tc>
          <w:tcPr>
            <w:tcW w:w="8220" w:type="dxa"/>
            <w:vAlign w:val="bottom"/>
          </w:tcPr>
          <w:p>
            <w:pPr>
              <w:ind w:left="60"/>
              <w:spacing w:after="0" w:line="115" w:lineRule="exact"/>
              <w:rPr>
                <w:sz w:val="20"/>
                <w:szCs w:val="20"/>
                <w:color w:val="auto"/>
              </w:rPr>
            </w:pPr>
            <w:r>
              <w:rPr>
                <w:rFonts w:ascii="Times New Roman" w:cs="Times New Roman" w:eastAsia="Times New Roman" w:hAnsi="Times New Roman"/>
                <w:sz w:val="11"/>
                <w:szCs w:val="11"/>
                <w:color w:val="auto"/>
              </w:rPr>
              <w:t>the portfolio company’s senior term debt, which was previously syndicated into “first out” and “last out” tranches, whereby the “first out” tranche will have priority as to the “last out”</w:t>
            </w:r>
          </w:p>
        </w:tc>
        <w:tc>
          <w:tcPr>
            <w:tcW w:w="0" w:type="dxa"/>
            <w:vAlign w:val="bottom"/>
          </w:tcPr>
          <w:p>
            <w:pPr>
              <w:spacing w:after="0"/>
              <w:rPr>
                <w:sz w:val="1"/>
                <w:szCs w:val="1"/>
                <w:color w:val="auto"/>
              </w:rPr>
            </w:pPr>
          </w:p>
        </w:tc>
      </w:tr>
      <w:tr>
        <w:trPr>
          <w:trHeight w:val="115"/>
        </w:trPr>
        <w:tc>
          <w:tcPr>
            <w:tcW w:w="260" w:type="dxa"/>
            <w:vAlign w:val="bottom"/>
            <w:vMerge w:val="restart"/>
          </w:tcPr>
          <w:p>
            <w:pPr>
              <w:spacing w:after="0"/>
              <w:rPr>
                <w:sz w:val="20"/>
                <w:szCs w:val="20"/>
                <w:color w:val="auto"/>
              </w:rPr>
            </w:pPr>
            <w:r>
              <w:rPr>
                <w:rFonts w:ascii="Times New Roman" w:cs="Times New Roman" w:eastAsia="Times New Roman" w:hAnsi="Times New Roman"/>
                <w:sz w:val="11"/>
                <w:szCs w:val="11"/>
                <w:color w:val="auto"/>
              </w:rPr>
              <w:t>(bf)</w:t>
            </w:r>
          </w:p>
        </w:tc>
        <w:tc>
          <w:tcPr>
            <w:tcW w:w="8220" w:type="dxa"/>
            <w:vAlign w:val="bottom"/>
          </w:tcPr>
          <w:p>
            <w:pPr>
              <w:ind w:left="60"/>
              <w:spacing w:after="0" w:line="115" w:lineRule="exact"/>
              <w:rPr>
                <w:sz w:val="20"/>
                <w:szCs w:val="20"/>
                <w:color w:val="auto"/>
              </w:rPr>
            </w:pPr>
            <w:r>
              <w:rPr>
                <w:rFonts w:ascii="Times New Roman" w:cs="Times New Roman" w:eastAsia="Times New Roman" w:hAnsi="Times New Roman"/>
                <w:sz w:val="11"/>
                <w:szCs w:val="11"/>
                <w:color w:val="auto"/>
              </w:rPr>
              <w:t>tranche with respect to payments of principal, interest and any other amounts due thereunder.</w:t>
            </w:r>
          </w:p>
        </w:tc>
        <w:tc>
          <w:tcPr>
            <w:tcW w:w="0" w:type="dxa"/>
            <w:vAlign w:val="bottom"/>
          </w:tcPr>
          <w:p>
            <w:pPr>
              <w:spacing w:after="0"/>
              <w:rPr>
                <w:sz w:val="1"/>
                <w:szCs w:val="1"/>
                <w:color w:val="auto"/>
              </w:rPr>
            </w:pPr>
          </w:p>
        </w:tc>
      </w:tr>
      <w:tr>
        <w:trPr>
          <w:trHeight w:val="115"/>
        </w:trPr>
        <w:tc>
          <w:tcPr>
            <w:tcW w:w="260" w:type="dxa"/>
            <w:vAlign w:val="bottom"/>
            <w:vMerge w:val="continue"/>
          </w:tcPr>
          <w:p>
            <w:pPr>
              <w:spacing w:after="0"/>
              <w:rPr>
                <w:sz w:val="10"/>
                <w:szCs w:val="10"/>
                <w:color w:val="auto"/>
              </w:rPr>
            </w:pPr>
          </w:p>
        </w:tc>
        <w:tc>
          <w:tcPr>
            <w:tcW w:w="8220" w:type="dxa"/>
            <w:vAlign w:val="bottom"/>
          </w:tcPr>
          <w:p>
            <w:pPr>
              <w:ind w:left="60"/>
              <w:spacing w:after="0" w:line="115" w:lineRule="exact"/>
              <w:rPr>
                <w:sz w:val="20"/>
                <w:szCs w:val="20"/>
                <w:color w:val="auto"/>
              </w:rPr>
            </w:pPr>
            <w:r>
              <w:rPr>
                <w:rFonts w:ascii="Times New Roman" w:cs="Times New Roman" w:eastAsia="Times New Roman" w:hAnsi="Times New Roman"/>
                <w:sz w:val="11"/>
                <w:szCs w:val="11"/>
                <w:color w:val="auto"/>
              </w:rPr>
              <w:t>In addition to the interest earned based on the stated interest rate of this security, the Company is entitled to receive an additional interest amount of 2.39% on its “last out” tranche of</w:t>
            </w:r>
          </w:p>
        </w:tc>
        <w:tc>
          <w:tcPr>
            <w:tcW w:w="0" w:type="dxa"/>
            <w:vAlign w:val="bottom"/>
          </w:tcPr>
          <w:p>
            <w:pPr>
              <w:spacing w:after="0"/>
              <w:rPr>
                <w:sz w:val="1"/>
                <w:szCs w:val="1"/>
                <w:color w:val="auto"/>
              </w:rPr>
            </w:pPr>
          </w:p>
        </w:tc>
      </w:tr>
      <w:tr>
        <w:trPr>
          <w:trHeight w:val="115"/>
        </w:trPr>
        <w:tc>
          <w:tcPr>
            <w:tcW w:w="260" w:type="dxa"/>
            <w:vAlign w:val="bottom"/>
          </w:tcPr>
          <w:p>
            <w:pPr>
              <w:spacing w:after="0"/>
              <w:rPr>
                <w:sz w:val="10"/>
                <w:szCs w:val="10"/>
                <w:color w:val="auto"/>
              </w:rPr>
            </w:pPr>
          </w:p>
        </w:tc>
        <w:tc>
          <w:tcPr>
            <w:tcW w:w="8220" w:type="dxa"/>
            <w:vAlign w:val="bottom"/>
          </w:tcPr>
          <w:p>
            <w:pPr>
              <w:ind w:left="60"/>
              <w:spacing w:after="0" w:line="115" w:lineRule="exact"/>
              <w:rPr>
                <w:sz w:val="20"/>
                <w:szCs w:val="20"/>
                <w:color w:val="auto"/>
              </w:rPr>
            </w:pPr>
            <w:r>
              <w:rPr>
                <w:rFonts w:ascii="Times New Roman" w:cs="Times New Roman" w:eastAsia="Times New Roman" w:hAnsi="Times New Roman"/>
                <w:sz w:val="11"/>
                <w:szCs w:val="11"/>
                <w:color w:val="auto"/>
              </w:rPr>
              <w:t>the portfolio company’s senior term debt, which was previously syndicated into “first out” and “last out” tranches, whereby the “first out” tranche will have priority as to the “last out”</w:t>
            </w:r>
          </w:p>
        </w:tc>
        <w:tc>
          <w:tcPr>
            <w:tcW w:w="0" w:type="dxa"/>
            <w:vAlign w:val="bottom"/>
          </w:tcPr>
          <w:p>
            <w:pPr>
              <w:spacing w:after="0"/>
              <w:rPr>
                <w:sz w:val="1"/>
                <w:szCs w:val="1"/>
                <w:color w:val="auto"/>
              </w:rPr>
            </w:pPr>
          </w:p>
        </w:tc>
      </w:tr>
      <w:tr>
        <w:trPr>
          <w:trHeight w:val="115"/>
        </w:trPr>
        <w:tc>
          <w:tcPr>
            <w:tcW w:w="260" w:type="dxa"/>
            <w:vAlign w:val="bottom"/>
            <w:vMerge w:val="restart"/>
          </w:tcPr>
          <w:p>
            <w:pPr>
              <w:spacing w:after="0"/>
              <w:rPr>
                <w:sz w:val="20"/>
                <w:szCs w:val="20"/>
                <w:color w:val="auto"/>
              </w:rPr>
            </w:pPr>
            <w:r>
              <w:rPr>
                <w:rFonts w:ascii="Times New Roman" w:cs="Times New Roman" w:eastAsia="Times New Roman" w:hAnsi="Times New Roman"/>
                <w:sz w:val="11"/>
                <w:szCs w:val="11"/>
                <w:color w:val="auto"/>
              </w:rPr>
              <w:t>(bg)</w:t>
            </w:r>
          </w:p>
        </w:tc>
        <w:tc>
          <w:tcPr>
            <w:tcW w:w="8220" w:type="dxa"/>
            <w:vAlign w:val="bottom"/>
          </w:tcPr>
          <w:p>
            <w:pPr>
              <w:ind w:left="60"/>
              <w:spacing w:after="0" w:line="115" w:lineRule="exact"/>
              <w:rPr>
                <w:sz w:val="20"/>
                <w:szCs w:val="20"/>
                <w:color w:val="auto"/>
              </w:rPr>
            </w:pPr>
            <w:r>
              <w:rPr>
                <w:rFonts w:ascii="Times New Roman" w:cs="Times New Roman" w:eastAsia="Times New Roman" w:hAnsi="Times New Roman"/>
                <w:sz w:val="11"/>
                <w:szCs w:val="11"/>
                <w:color w:val="auto"/>
              </w:rPr>
              <w:t>tranche with respect to payments of principal, interest and any other amounts due thereunder.</w:t>
            </w:r>
          </w:p>
        </w:tc>
        <w:tc>
          <w:tcPr>
            <w:tcW w:w="0" w:type="dxa"/>
            <w:vAlign w:val="bottom"/>
          </w:tcPr>
          <w:p>
            <w:pPr>
              <w:spacing w:after="0"/>
              <w:rPr>
                <w:sz w:val="1"/>
                <w:szCs w:val="1"/>
                <w:color w:val="auto"/>
              </w:rPr>
            </w:pPr>
          </w:p>
        </w:tc>
      </w:tr>
      <w:tr>
        <w:trPr>
          <w:trHeight w:val="115"/>
        </w:trPr>
        <w:tc>
          <w:tcPr>
            <w:tcW w:w="260" w:type="dxa"/>
            <w:vAlign w:val="bottom"/>
            <w:vMerge w:val="continue"/>
          </w:tcPr>
          <w:p>
            <w:pPr>
              <w:spacing w:after="0"/>
              <w:rPr>
                <w:sz w:val="10"/>
                <w:szCs w:val="10"/>
                <w:color w:val="auto"/>
              </w:rPr>
            </w:pPr>
          </w:p>
        </w:tc>
        <w:tc>
          <w:tcPr>
            <w:tcW w:w="8220" w:type="dxa"/>
            <w:vAlign w:val="bottom"/>
          </w:tcPr>
          <w:p>
            <w:pPr>
              <w:ind w:left="60"/>
              <w:spacing w:after="0" w:line="115" w:lineRule="exact"/>
              <w:rPr>
                <w:sz w:val="20"/>
                <w:szCs w:val="20"/>
                <w:color w:val="auto"/>
              </w:rPr>
            </w:pPr>
            <w:r>
              <w:rPr>
                <w:rFonts w:ascii="Times New Roman" w:cs="Times New Roman" w:eastAsia="Times New Roman" w:hAnsi="Times New Roman"/>
                <w:sz w:val="11"/>
                <w:szCs w:val="11"/>
                <w:color w:val="auto"/>
              </w:rPr>
              <w:t>As of March 31, 2026, the Company is earning an incremental 0.60% interest on the outstanding principal balance.</w:t>
            </w:r>
          </w:p>
        </w:tc>
        <w:tc>
          <w:tcPr>
            <w:tcW w:w="0" w:type="dxa"/>
            <w:vAlign w:val="bottom"/>
          </w:tcPr>
          <w:p>
            <w:pPr>
              <w:spacing w:after="0"/>
              <w:rPr>
                <w:sz w:val="1"/>
                <w:szCs w:val="1"/>
                <w:color w:val="auto"/>
              </w:rPr>
            </w:pPr>
          </w:p>
        </w:tc>
      </w:tr>
      <w:tr>
        <w:trPr>
          <w:trHeight w:val="115"/>
        </w:trPr>
        <w:tc>
          <w:tcPr>
            <w:tcW w:w="260" w:type="dxa"/>
            <w:vAlign w:val="bottom"/>
          </w:tcPr>
          <w:p>
            <w:pPr>
              <w:spacing w:after="0" w:line="115" w:lineRule="exact"/>
              <w:rPr>
                <w:sz w:val="20"/>
                <w:szCs w:val="20"/>
                <w:color w:val="auto"/>
              </w:rPr>
            </w:pPr>
            <w:r>
              <w:rPr>
                <w:rFonts w:ascii="Times New Roman" w:cs="Times New Roman" w:eastAsia="Times New Roman" w:hAnsi="Times New Roman"/>
                <w:sz w:val="11"/>
                <w:szCs w:val="11"/>
                <w:color w:val="auto"/>
              </w:rPr>
              <w:t>(bh)</w:t>
            </w:r>
          </w:p>
        </w:tc>
        <w:tc>
          <w:tcPr>
            <w:tcW w:w="8220" w:type="dxa"/>
            <w:vAlign w:val="bottom"/>
          </w:tcPr>
          <w:p>
            <w:pPr>
              <w:ind w:left="60"/>
              <w:spacing w:after="0" w:line="115" w:lineRule="exact"/>
              <w:rPr>
                <w:sz w:val="20"/>
                <w:szCs w:val="20"/>
                <w:color w:val="auto"/>
              </w:rPr>
            </w:pPr>
            <w:r>
              <w:rPr>
                <w:rFonts w:ascii="Times New Roman" w:cs="Times New Roman" w:eastAsia="Times New Roman" w:hAnsi="Times New Roman"/>
                <w:sz w:val="11"/>
                <w:szCs w:val="11"/>
                <w:color w:val="auto"/>
              </w:rPr>
              <w:t>In addition to the interest earned based on the stated interest rate of this security, the Company is entitled to receive an additional interest amount of 3.97% on its “last out” tranche of</w:t>
            </w:r>
          </w:p>
        </w:tc>
        <w:tc>
          <w:tcPr>
            <w:tcW w:w="0" w:type="dxa"/>
            <w:vAlign w:val="bottom"/>
          </w:tcPr>
          <w:p>
            <w:pPr>
              <w:spacing w:after="0"/>
              <w:rPr>
                <w:sz w:val="1"/>
                <w:szCs w:val="1"/>
                <w:color w:val="auto"/>
              </w:rPr>
            </w:pPr>
          </w:p>
        </w:tc>
      </w:tr>
      <w:tr>
        <w:trPr>
          <w:trHeight w:val="115"/>
        </w:trPr>
        <w:tc>
          <w:tcPr>
            <w:tcW w:w="260" w:type="dxa"/>
            <w:vAlign w:val="bottom"/>
          </w:tcPr>
          <w:p>
            <w:pPr>
              <w:spacing w:after="0"/>
              <w:rPr>
                <w:sz w:val="10"/>
                <w:szCs w:val="10"/>
                <w:color w:val="auto"/>
              </w:rPr>
            </w:pPr>
          </w:p>
        </w:tc>
        <w:tc>
          <w:tcPr>
            <w:tcW w:w="8220" w:type="dxa"/>
            <w:vAlign w:val="bottom"/>
          </w:tcPr>
          <w:p>
            <w:pPr>
              <w:ind w:left="60"/>
              <w:spacing w:after="0" w:line="115" w:lineRule="exact"/>
              <w:rPr>
                <w:sz w:val="20"/>
                <w:szCs w:val="20"/>
                <w:color w:val="auto"/>
              </w:rPr>
            </w:pPr>
            <w:r>
              <w:rPr>
                <w:rFonts w:ascii="Times New Roman" w:cs="Times New Roman" w:eastAsia="Times New Roman" w:hAnsi="Times New Roman"/>
                <w:sz w:val="11"/>
                <w:szCs w:val="11"/>
                <w:color w:val="auto"/>
              </w:rPr>
              <w:t>the portfolio company’s senior term debt, which was previously syndicated into “first out” and “last out” tranches, whereby the “first out” tranche will have priority as to the “last out”</w:t>
            </w:r>
          </w:p>
        </w:tc>
        <w:tc>
          <w:tcPr>
            <w:tcW w:w="0" w:type="dxa"/>
            <w:vAlign w:val="bottom"/>
          </w:tcPr>
          <w:p>
            <w:pPr>
              <w:spacing w:after="0"/>
              <w:rPr>
                <w:sz w:val="1"/>
                <w:szCs w:val="1"/>
                <w:color w:val="auto"/>
              </w:rPr>
            </w:pPr>
          </w:p>
        </w:tc>
      </w:tr>
      <w:tr>
        <w:trPr>
          <w:trHeight w:val="145"/>
        </w:trPr>
        <w:tc>
          <w:tcPr>
            <w:tcW w:w="260" w:type="dxa"/>
            <w:vAlign w:val="bottom"/>
          </w:tcPr>
          <w:p>
            <w:pPr>
              <w:spacing w:after="0"/>
              <w:rPr>
                <w:sz w:val="12"/>
                <w:szCs w:val="12"/>
                <w:color w:val="auto"/>
              </w:rPr>
            </w:pPr>
          </w:p>
        </w:tc>
        <w:tc>
          <w:tcPr>
            <w:tcW w:w="822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tranche with respect to payments of principal, interest and any other amounts due thereunder.</w:t>
            </w:r>
          </w:p>
        </w:tc>
        <w:tc>
          <w:tcPr>
            <w:tcW w:w="0" w:type="dxa"/>
            <w:vAlign w:val="bottom"/>
          </w:tcPr>
          <w:p>
            <w:pPr>
              <w:spacing w:after="0"/>
              <w:rPr>
                <w:sz w:val="1"/>
                <w:szCs w:val="1"/>
                <w:color w:val="auto"/>
              </w:rPr>
            </w:pPr>
          </w:p>
        </w:tc>
      </w:tr>
      <w:tr>
        <w:trPr>
          <w:trHeight w:val="270"/>
        </w:trPr>
        <w:tc>
          <w:tcPr>
            <w:tcW w:w="260" w:type="dxa"/>
            <w:vAlign w:val="bottom"/>
          </w:tcPr>
          <w:p>
            <w:pPr>
              <w:spacing w:after="0"/>
              <w:rPr>
                <w:sz w:val="23"/>
                <w:szCs w:val="23"/>
                <w:color w:val="auto"/>
              </w:rPr>
            </w:pPr>
          </w:p>
        </w:tc>
        <w:tc>
          <w:tcPr>
            <w:tcW w:w="8220" w:type="dxa"/>
            <w:vAlign w:val="bottom"/>
          </w:tcPr>
          <w:p>
            <w:pPr>
              <w:ind w:left="3940"/>
              <w:spacing w:after="0"/>
              <w:rPr>
                <w:sz w:val="20"/>
                <w:szCs w:val="20"/>
                <w:color w:val="auto"/>
              </w:rPr>
            </w:pPr>
            <w:r>
              <w:rPr>
                <w:rFonts w:ascii="Times New Roman" w:cs="Times New Roman" w:eastAsia="Times New Roman" w:hAnsi="Times New Roman"/>
                <w:sz w:val="14"/>
                <w:szCs w:val="14"/>
                <w:color w:val="auto"/>
              </w:rPr>
              <w:t>61</w:t>
            </w:r>
          </w:p>
        </w:tc>
        <w:tc>
          <w:tcPr>
            <w:tcW w:w="0" w:type="dxa"/>
            <w:vAlign w:val="bottom"/>
          </w:tcPr>
          <w:p>
            <w:pPr>
              <w:spacing w:after="0"/>
              <w:rPr>
                <w:sz w:val="1"/>
                <w:szCs w:val="1"/>
                <w:color w:val="auto"/>
              </w:rPr>
            </w:pPr>
          </w:p>
        </w:tc>
      </w:tr>
    </w:tbl>
    <w:p>
      <w:pPr>
        <w:sectPr>
          <w:pgSz w:w="11900" w:h="16838" w:orient="portrait"/>
          <w:cols w:equalWidth="0" w:num="1">
            <w:col w:w="10159"/>
          </w:cols>
          <w:pgMar w:left="300" w:top="384" w:right="1440"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78">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35" w:lineRule="exact"/>
        <w:rPr>
          <w:sz w:val="20"/>
          <w:szCs w:val="20"/>
          <w:color w:val="auto"/>
        </w:rPr>
      </w:pPr>
    </w:p>
    <w:tbl>
      <w:tblPr>
        <w:tblLayout w:type="fixed"/>
        <w:tblInd w:w="1380" w:type="dxa"/>
        <w:tblCellMar>
          <w:top w:w="0" w:type="dxa"/>
          <w:left w:w="0" w:type="dxa"/>
          <w:bottom w:w="0" w:type="dxa"/>
          <w:right w:w="0" w:type="dxa"/>
        </w:tblCellMar>
      </w:tblPr>
      <w:tr>
        <w:trPr>
          <w:trHeight w:val="126"/>
        </w:trPr>
        <w:tc>
          <w:tcPr>
            <w:tcW w:w="280" w:type="dxa"/>
            <w:vAlign w:val="bottom"/>
          </w:tcPr>
          <w:p>
            <w:pPr>
              <w:spacing w:after="0"/>
              <w:rPr>
                <w:sz w:val="20"/>
                <w:szCs w:val="20"/>
                <w:color w:val="auto"/>
              </w:rPr>
            </w:pPr>
            <w:r>
              <w:rPr>
                <w:rFonts w:ascii="Times New Roman" w:cs="Times New Roman" w:eastAsia="Times New Roman" w:hAnsi="Times New Roman"/>
                <w:sz w:val="11"/>
                <w:szCs w:val="11"/>
                <w:color w:val="auto"/>
              </w:rPr>
              <w:t>(bi)</w:t>
            </w:r>
          </w:p>
        </w:tc>
        <w:tc>
          <w:tcPr>
            <w:tcW w:w="820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In addition to the interest earned based on the stated interest rate of this security, the Company is entitled to receive an additional interest amount of 1.25% on its “last out” tranche of</w:t>
            </w:r>
          </w:p>
        </w:tc>
        <w:tc>
          <w:tcPr>
            <w:tcW w:w="0" w:type="dxa"/>
            <w:vAlign w:val="bottom"/>
          </w:tcPr>
          <w:p>
            <w:pPr>
              <w:spacing w:after="0"/>
              <w:rPr>
                <w:sz w:val="1"/>
                <w:szCs w:val="1"/>
                <w:color w:val="auto"/>
              </w:rPr>
            </w:pPr>
          </w:p>
        </w:tc>
      </w:tr>
      <w:tr>
        <w:trPr>
          <w:trHeight w:val="115"/>
        </w:trPr>
        <w:tc>
          <w:tcPr>
            <w:tcW w:w="280" w:type="dxa"/>
            <w:vAlign w:val="bottom"/>
          </w:tcPr>
          <w:p>
            <w:pPr>
              <w:spacing w:after="0"/>
              <w:rPr>
                <w:sz w:val="10"/>
                <w:szCs w:val="10"/>
                <w:color w:val="auto"/>
              </w:rPr>
            </w:pPr>
          </w:p>
        </w:tc>
        <w:tc>
          <w:tcPr>
            <w:tcW w:w="8200" w:type="dxa"/>
            <w:vAlign w:val="bottom"/>
          </w:tcPr>
          <w:p>
            <w:pPr>
              <w:ind w:left="40"/>
              <w:spacing w:after="0" w:line="115" w:lineRule="exact"/>
              <w:rPr>
                <w:sz w:val="20"/>
                <w:szCs w:val="20"/>
                <w:color w:val="auto"/>
              </w:rPr>
            </w:pPr>
            <w:r>
              <w:rPr>
                <w:rFonts w:ascii="Times New Roman" w:cs="Times New Roman" w:eastAsia="Times New Roman" w:hAnsi="Times New Roman"/>
                <w:sz w:val="11"/>
                <w:szCs w:val="11"/>
                <w:color w:val="auto"/>
              </w:rPr>
              <w:t>the portfolio company’s senior term debt, which was previously syndicated into “first out” and “last out” tranches, whereby the “first out” tranche will have priority as to the “last out”</w:t>
            </w:r>
          </w:p>
        </w:tc>
        <w:tc>
          <w:tcPr>
            <w:tcW w:w="0" w:type="dxa"/>
            <w:vAlign w:val="bottom"/>
          </w:tcPr>
          <w:p>
            <w:pPr>
              <w:spacing w:after="0"/>
              <w:rPr>
                <w:sz w:val="1"/>
                <w:szCs w:val="1"/>
                <w:color w:val="auto"/>
              </w:rPr>
            </w:pPr>
          </w:p>
        </w:tc>
      </w:tr>
      <w:tr>
        <w:trPr>
          <w:trHeight w:val="115"/>
        </w:trPr>
        <w:tc>
          <w:tcPr>
            <w:tcW w:w="280" w:type="dxa"/>
            <w:vAlign w:val="bottom"/>
            <w:vMerge w:val="restart"/>
          </w:tcPr>
          <w:p>
            <w:pPr>
              <w:spacing w:after="0"/>
              <w:rPr>
                <w:sz w:val="20"/>
                <w:szCs w:val="20"/>
                <w:color w:val="auto"/>
              </w:rPr>
            </w:pPr>
            <w:r>
              <w:rPr>
                <w:rFonts w:ascii="Times New Roman" w:cs="Times New Roman" w:eastAsia="Times New Roman" w:hAnsi="Times New Roman"/>
                <w:sz w:val="11"/>
                <w:szCs w:val="11"/>
                <w:color w:val="auto"/>
              </w:rPr>
              <w:t>(bj)</w:t>
            </w:r>
          </w:p>
        </w:tc>
        <w:tc>
          <w:tcPr>
            <w:tcW w:w="8200" w:type="dxa"/>
            <w:vAlign w:val="bottom"/>
          </w:tcPr>
          <w:p>
            <w:pPr>
              <w:ind w:left="40"/>
              <w:spacing w:after="0" w:line="115" w:lineRule="exact"/>
              <w:rPr>
                <w:sz w:val="20"/>
                <w:szCs w:val="20"/>
                <w:color w:val="auto"/>
              </w:rPr>
            </w:pPr>
            <w:r>
              <w:rPr>
                <w:rFonts w:ascii="Times New Roman" w:cs="Times New Roman" w:eastAsia="Times New Roman" w:hAnsi="Times New Roman"/>
                <w:sz w:val="11"/>
                <w:szCs w:val="11"/>
                <w:color w:val="auto"/>
              </w:rPr>
              <w:t>tranche with respect to payments of principal, interest and any other amounts due thereunder.</w:t>
            </w:r>
          </w:p>
        </w:tc>
        <w:tc>
          <w:tcPr>
            <w:tcW w:w="0" w:type="dxa"/>
            <w:vAlign w:val="bottom"/>
          </w:tcPr>
          <w:p>
            <w:pPr>
              <w:spacing w:after="0"/>
              <w:rPr>
                <w:sz w:val="1"/>
                <w:szCs w:val="1"/>
                <w:color w:val="auto"/>
              </w:rPr>
            </w:pPr>
          </w:p>
        </w:tc>
      </w:tr>
      <w:tr>
        <w:trPr>
          <w:trHeight w:val="115"/>
        </w:trPr>
        <w:tc>
          <w:tcPr>
            <w:tcW w:w="280" w:type="dxa"/>
            <w:vAlign w:val="bottom"/>
            <w:vMerge w:val="continue"/>
          </w:tcPr>
          <w:p>
            <w:pPr>
              <w:spacing w:after="0"/>
              <w:rPr>
                <w:sz w:val="10"/>
                <w:szCs w:val="10"/>
                <w:color w:val="auto"/>
              </w:rPr>
            </w:pPr>
          </w:p>
        </w:tc>
        <w:tc>
          <w:tcPr>
            <w:tcW w:w="8200" w:type="dxa"/>
            <w:vAlign w:val="bottom"/>
          </w:tcPr>
          <w:p>
            <w:pPr>
              <w:ind w:left="40"/>
              <w:spacing w:after="0" w:line="115" w:lineRule="exact"/>
              <w:rPr>
                <w:sz w:val="20"/>
                <w:szCs w:val="20"/>
                <w:color w:val="auto"/>
              </w:rPr>
            </w:pPr>
            <w:r>
              <w:rPr>
                <w:rFonts w:ascii="Times New Roman" w:cs="Times New Roman" w:eastAsia="Times New Roman" w:hAnsi="Times New Roman"/>
                <w:sz w:val="11"/>
                <w:szCs w:val="11"/>
                <w:color w:val="auto"/>
              </w:rPr>
              <w:t>In addition to the interest earned based on the stated interest rate of this security, the Company is entitled to receive an additional interest amount of 3.35% on its “last out” tranche of</w:t>
            </w:r>
          </w:p>
        </w:tc>
        <w:tc>
          <w:tcPr>
            <w:tcW w:w="0" w:type="dxa"/>
            <w:vAlign w:val="bottom"/>
          </w:tcPr>
          <w:p>
            <w:pPr>
              <w:spacing w:after="0"/>
              <w:rPr>
                <w:sz w:val="1"/>
                <w:szCs w:val="1"/>
                <w:color w:val="auto"/>
              </w:rPr>
            </w:pPr>
          </w:p>
        </w:tc>
      </w:tr>
      <w:tr>
        <w:trPr>
          <w:trHeight w:val="115"/>
        </w:trPr>
        <w:tc>
          <w:tcPr>
            <w:tcW w:w="280" w:type="dxa"/>
            <w:vAlign w:val="bottom"/>
          </w:tcPr>
          <w:p>
            <w:pPr>
              <w:spacing w:after="0"/>
              <w:rPr>
                <w:sz w:val="10"/>
                <w:szCs w:val="10"/>
                <w:color w:val="auto"/>
              </w:rPr>
            </w:pPr>
          </w:p>
        </w:tc>
        <w:tc>
          <w:tcPr>
            <w:tcW w:w="8200" w:type="dxa"/>
            <w:vAlign w:val="bottom"/>
          </w:tcPr>
          <w:p>
            <w:pPr>
              <w:ind w:left="40"/>
              <w:spacing w:after="0" w:line="115" w:lineRule="exact"/>
              <w:rPr>
                <w:sz w:val="20"/>
                <w:szCs w:val="20"/>
                <w:color w:val="auto"/>
              </w:rPr>
            </w:pPr>
            <w:r>
              <w:rPr>
                <w:rFonts w:ascii="Times New Roman" w:cs="Times New Roman" w:eastAsia="Times New Roman" w:hAnsi="Times New Roman"/>
                <w:sz w:val="11"/>
                <w:szCs w:val="11"/>
                <w:color w:val="auto"/>
              </w:rPr>
              <w:t>the portfolio company’s senior term debt, which was previously syndicated into “first out” and “last out” tranches, whereby the “first out” tranche will have priority as to the “last out”</w:t>
            </w:r>
          </w:p>
        </w:tc>
        <w:tc>
          <w:tcPr>
            <w:tcW w:w="0" w:type="dxa"/>
            <w:vAlign w:val="bottom"/>
          </w:tcPr>
          <w:p>
            <w:pPr>
              <w:spacing w:after="0"/>
              <w:rPr>
                <w:sz w:val="1"/>
                <w:szCs w:val="1"/>
                <w:color w:val="auto"/>
              </w:rPr>
            </w:pPr>
          </w:p>
        </w:tc>
      </w:tr>
      <w:tr>
        <w:trPr>
          <w:trHeight w:val="115"/>
        </w:trPr>
        <w:tc>
          <w:tcPr>
            <w:tcW w:w="280" w:type="dxa"/>
            <w:vAlign w:val="bottom"/>
            <w:vMerge w:val="restart"/>
          </w:tcPr>
          <w:p>
            <w:pPr>
              <w:spacing w:after="0"/>
              <w:rPr>
                <w:sz w:val="20"/>
                <w:szCs w:val="20"/>
                <w:color w:val="auto"/>
              </w:rPr>
            </w:pPr>
            <w:r>
              <w:rPr>
                <w:rFonts w:ascii="Times New Roman" w:cs="Times New Roman" w:eastAsia="Times New Roman" w:hAnsi="Times New Roman"/>
                <w:sz w:val="11"/>
                <w:szCs w:val="11"/>
                <w:color w:val="auto"/>
              </w:rPr>
              <w:t>(bk)</w:t>
            </w:r>
          </w:p>
        </w:tc>
        <w:tc>
          <w:tcPr>
            <w:tcW w:w="8200" w:type="dxa"/>
            <w:vAlign w:val="bottom"/>
          </w:tcPr>
          <w:p>
            <w:pPr>
              <w:ind w:left="40"/>
              <w:spacing w:after="0" w:line="115" w:lineRule="exact"/>
              <w:rPr>
                <w:sz w:val="20"/>
                <w:szCs w:val="20"/>
                <w:color w:val="auto"/>
              </w:rPr>
            </w:pPr>
            <w:r>
              <w:rPr>
                <w:rFonts w:ascii="Times New Roman" w:cs="Times New Roman" w:eastAsia="Times New Roman" w:hAnsi="Times New Roman"/>
                <w:sz w:val="11"/>
                <w:szCs w:val="11"/>
                <w:color w:val="auto"/>
              </w:rPr>
              <w:t>tranche with respect to payments of principal, interest and any other amounts due thereunder.</w:t>
            </w:r>
          </w:p>
        </w:tc>
        <w:tc>
          <w:tcPr>
            <w:tcW w:w="0" w:type="dxa"/>
            <w:vAlign w:val="bottom"/>
          </w:tcPr>
          <w:p>
            <w:pPr>
              <w:spacing w:after="0"/>
              <w:rPr>
                <w:sz w:val="1"/>
                <w:szCs w:val="1"/>
                <w:color w:val="auto"/>
              </w:rPr>
            </w:pPr>
          </w:p>
        </w:tc>
      </w:tr>
      <w:tr>
        <w:trPr>
          <w:trHeight w:val="115"/>
        </w:trPr>
        <w:tc>
          <w:tcPr>
            <w:tcW w:w="280" w:type="dxa"/>
            <w:vAlign w:val="bottom"/>
            <w:vMerge w:val="continue"/>
          </w:tcPr>
          <w:p>
            <w:pPr>
              <w:spacing w:after="0"/>
              <w:rPr>
                <w:sz w:val="10"/>
                <w:szCs w:val="10"/>
                <w:color w:val="auto"/>
              </w:rPr>
            </w:pPr>
          </w:p>
        </w:tc>
        <w:tc>
          <w:tcPr>
            <w:tcW w:w="8200" w:type="dxa"/>
            <w:vAlign w:val="bottom"/>
          </w:tcPr>
          <w:p>
            <w:pPr>
              <w:ind w:left="40"/>
              <w:spacing w:after="0" w:line="115" w:lineRule="exact"/>
              <w:rPr>
                <w:sz w:val="20"/>
                <w:szCs w:val="20"/>
                <w:color w:val="auto"/>
              </w:rPr>
            </w:pPr>
            <w:r>
              <w:rPr>
                <w:rFonts w:ascii="Times New Roman" w:cs="Times New Roman" w:eastAsia="Times New Roman" w:hAnsi="Times New Roman"/>
                <w:sz w:val="11"/>
                <w:szCs w:val="11"/>
                <w:color w:val="auto"/>
              </w:rPr>
              <w:t>In addition to the interest earned based on the stated interest rate of this security, the Company is entitled to receive an additional interest amount of 2.99% on its “last out” tranche of</w:t>
            </w:r>
          </w:p>
        </w:tc>
        <w:tc>
          <w:tcPr>
            <w:tcW w:w="0" w:type="dxa"/>
            <w:vAlign w:val="bottom"/>
          </w:tcPr>
          <w:p>
            <w:pPr>
              <w:spacing w:after="0"/>
              <w:rPr>
                <w:sz w:val="1"/>
                <w:szCs w:val="1"/>
                <w:color w:val="auto"/>
              </w:rPr>
            </w:pPr>
          </w:p>
        </w:tc>
      </w:tr>
      <w:tr>
        <w:trPr>
          <w:trHeight w:val="115"/>
        </w:trPr>
        <w:tc>
          <w:tcPr>
            <w:tcW w:w="280" w:type="dxa"/>
            <w:vAlign w:val="bottom"/>
          </w:tcPr>
          <w:p>
            <w:pPr>
              <w:spacing w:after="0"/>
              <w:rPr>
                <w:sz w:val="10"/>
                <w:szCs w:val="10"/>
                <w:color w:val="auto"/>
              </w:rPr>
            </w:pPr>
          </w:p>
        </w:tc>
        <w:tc>
          <w:tcPr>
            <w:tcW w:w="8200" w:type="dxa"/>
            <w:vAlign w:val="bottom"/>
          </w:tcPr>
          <w:p>
            <w:pPr>
              <w:ind w:left="40"/>
              <w:spacing w:after="0" w:line="115" w:lineRule="exact"/>
              <w:rPr>
                <w:sz w:val="20"/>
                <w:szCs w:val="20"/>
                <w:color w:val="auto"/>
              </w:rPr>
            </w:pPr>
            <w:r>
              <w:rPr>
                <w:rFonts w:ascii="Times New Roman" w:cs="Times New Roman" w:eastAsia="Times New Roman" w:hAnsi="Times New Roman"/>
                <w:sz w:val="11"/>
                <w:szCs w:val="11"/>
                <w:color w:val="auto"/>
              </w:rPr>
              <w:t>the portfolio company’s senior term debt, which was previously syndicated into “first out” and “last out” tranches, whereby the “first out” tranche will have priority as to the “last out”</w:t>
            </w:r>
          </w:p>
        </w:tc>
        <w:tc>
          <w:tcPr>
            <w:tcW w:w="0" w:type="dxa"/>
            <w:vAlign w:val="bottom"/>
          </w:tcPr>
          <w:p>
            <w:pPr>
              <w:spacing w:after="0"/>
              <w:rPr>
                <w:sz w:val="1"/>
                <w:szCs w:val="1"/>
                <w:color w:val="auto"/>
              </w:rPr>
            </w:pPr>
          </w:p>
        </w:tc>
      </w:tr>
      <w:tr>
        <w:trPr>
          <w:trHeight w:val="115"/>
        </w:trPr>
        <w:tc>
          <w:tcPr>
            <w:tcW w:w="280" w:type="dxa"/>
            <w:vAlign w:val="bottom"/>
            <w:vMerge w:val="restart"/>
          </w:tcPr>
          <w:p>
            <w:pPr>
              <w:spacing w:after="0"/>
              <w:rPr>
                <w:sz w:val="20"/>
                <w:szCs w:val="20"/>
                <w:color w:val="auto"/>
              </w:rPr>
            </w:pPr>
            <w:r>
              <w:rPr>
                <w:rFonts w:ascii="Times New Roman" w:cs="Times New Roman" w:eastAsia="Times New Roman" w:hAnsi="Times New Roman"/>
                <w:sz w:val="11"/>
                <w:szCs w:val="11"/>
                <w:color w:val="auto"/>
              </w:rPr>
              <w:t>(bl)</w:t>
            </w:r>
          </w:p>
        </w:tc>
        <w:tc>
          <w:tcPr>
            <w:tcW w:w="8200" w:type="dxa"/>
            <w:vAlign w:val="bottom"/>
          </w:tcPr>
          <w:p>
            <w:pPr>
              <w:ind w:left="40"/>
              <w:spacing w:after="0" w:line="115" w:lineRule="exact"/>
              <w:rPr>
                <w:sz w:val="20"/>
                <w:szCs w:val="20"/>
                <w:color w:val="auto"/>
              </w:rPr>
            </w:pPr>
            <w:r>
              <w:rPr>
                <w:rFonts w:ascii="Times New Roman" w:cs="Times New Roman" w:eastAsia="Times New Roman" w:hAnsi="Times New Roman"/>
                <w:sz w:val="11"/>
                <w:szCs w:val="11"/>
                <w:color w:val="auto"/>
              </w:rPr>
              <w:t>tranche with respect to payments of principal, interest and any other amounts due thereunder.</w:t>
            </w:r>
          </w:p>
        </w:tc>
        <w:tc>
          <w:tcPr>
            <w:tcW w:w="0" w:type="dxa"/>
            <w:vAlign w:val="bottom"/>
          </w:tcPr>
          <w:p>
            <w:pPr>
              <w:spacing w:after="0"/>
              <w:rPr>
                <w:sz w:val="1"/>
                <w:szCs w:val="1"/>
                <w:color w:val="auto"/>
              </w:rPr>
            </w:pPr>
          </w:p>
        </w:tc>
      </w:tr>
      <w:tr>
        <w:trPr>
          <w:trHeight w:val="115"/>
        </w:trPr>
        <w:tc>
          <w:tcPr>
            <w:tcW w:w="280" w:type="dxa"/>
            <w:vAlign w:val="bottom"/>
            <w:vMerge w:val="continue"/>
          </w:tcPr>
          <w:p>
            <w:pPr>
              <w:spacing w:after="0"/>
              <w:rPr>
                <w:sz w:val="10"/>
                <w:szCs w:val="10"/>
                <w:color w:val="auto"/>
              </w:rPr>
            </w:pPr>
          </w:p>
        </w:tc>
        <w:tc>
          <w:tcPr>
            <w:tcW w:w="8200" w:type="dxa"/>
            <w:vAlign w:val="bottom"/>
          </w:tcPr>
          <w:p>
            <w:pPr>
              <w:ind w:left="40"/>
              <w:spacing w:after="0" w:line="115" w:lineRule="exact"/>
              <w:rPr>
                <w:sz w:val="20"/>
                <w:szCs w:val="20"/>
                <w:color w:val="auto"/>
              </w:rPr>
            </w:pPr>
            <w:r>
              <w:rPr>
                <w:rFonts w:ascii="Times New Roman" w:cs="Times New Roman" w:eastAsia="Times New Roman" w:hAnsi="Times New Roman"/>
                <w:sz w:val="11"/>
                <w:szCs w:val="11"/>
                <w:color w:val="auto"/>
              </w:rPr>
              <w:t>In addition to the interest earned based on the stated interest rate of this security, the Company is entitled to receive an additional interest amount of 3.10% on its “last out” tranche of</w:t>
            </w:r>
          </w:p>
        </w:tc>
        <w:tc>
          <w:tcPr>
            <w:tcW w:w="0" w:type="dxa"/>
            <w:vAlign w:val="bottom"/>
          </w:tcPr>
          <w:p>
            <w:pPr>
              <w:spacing w:after="0"/>
              <w:rPr>
                <w:sz w:val="1"/>
                <w:szCs w:val="1"/>
                <w:color w:val="auto"/>
              </w:rPr>
            </w:pPr>
          </w:p>
        </w:tc>
      </w:tr>
      <w:tr>
        <w:trPr>
          <w:trHeight w:val="115"/>
        </w:trPr>
        <w:tc>
          <w:tcPr>
            <w:tcW w:w="280" w:type="dxa"/>
            <w:vAlign w:val="bottom"/>
          </w:tcPr>
          <w:p>
            <w:pPr>
              <w:spacing w:after="0"/>
              <w:rPr>
                <w:sz w:val="10"/>
                <w:szCs w:val="10"/>
                <w:color w:val="auto"/>
              </w:rPr>
            </w:pPr>
          </w:p>
        </w:tc>
        <w:tc>
          <w:tcPr>
            <w:tcW w:w="8200" w:type="dxa"/>
            <w:vAlign w:val="bottom"/>
          </w:tcPr>
          <w:p>
            <w:pPr>
              <w:ind w:left="40"/>
              <w:spacing w:after="0" w:line="115" w:lineRule="exact"/>
              <w:rPr>
                <w:sz w:val="20"/>
                <w:szCs w:val="20"/>
                <w:color w:val="auto"/>
              </w:rPr>
            </w:pPr>
            <w:r>
              <w:rPr>
                <w:rFonts w:ascii="Times New Roman" w:cs="Times New Roman" w:eastAsia="Times New Roman" w:hAnsi="Times New Roman"/>
                <w:sz w:val="11"/>
                <w:szCs w:val="11"/>
                <w:color w:val="auto"/>
              </w:rPr>
              <w:t>the portfolio company’s senior term debt, which was previously syndicated into “first out” and “last out” tranches, whereby the “first out” tranche will have priority as to the “last out”</w:t>
            </w:r>
          </w:p>
        </w:tc>
        <w:tc>
          <w:tcPr>
            <w:tcW w:w="0" w:type="dxa"/>
            <w:vAlign w:val="bottom"/>
          </w:tcPr>
          <w:p>
            <w:pPr>
              <w:spacing w:after="0"/>
              <w:rPr>
                <w:sz w:val="1"/>
                <w:szCs w:val="1"/>
                <w:color w:val="auto"/>
              </w:rPr>
            </w:pPr>
          </w:p>
        </w:tc>
      </w:tr>
      <w:tr>
        <w:trPr>
          <w:trHeight w:val="115"/>
        </w:trPr>
        <w:tc>
          <w:tcPr>
            <w:tcW w:w="280" w:type="dxa"/>
            <w:vAlign w:val="bottom"/>
            <w:vMerge w:val="restart"/>
          </w:tcPr>
          <w:p>
            <w:pPr>
              <w:spacing w:after="0"/>
              <w:rPr>
                <w:sz w:val="20"/>
                <w:szCs w:val="20"/>
                <w:color w:val="auto"/>
              </w:rPr>
            </w:pPr>
            <w:r>
              <w:rPr>
                <w:rFonts w:ascii="Times New Roman" w:cs="Times New Roman" w:eastAsia="Times New Roman" w:hAnsi="Times New Roman"/>
                <w:sz w:val="11"/>
                <w:szCs w:val="11"/>
                <w:color w:val="auto"/>
              </w:rPr>
              <w:t>(bm)</w:t>
            </w:r>
          </w:p>
        </w:tc>
        <w:tc>
          <w:tcPr>
            <w:tcW w:w="8200" w:type="dxa"/>
            <w:vAlign w:val="bottom"/>
          </w:tcPr>
          <w:p>
            <w:pPr>
              <w:ind w:left="40"/>
              <w:spacing w:after="0" w:line="115" w:lineRule="exact"/>
              <w:rPr>
                <w:sz w:val="20"/>
                <w:szCs w:val="20"/>
                <w:color w:val="auto"/>
              </w:rPr>
            </w:pPr>
            <w:r>
              <w:rPr>
                <w:rFonts w:ascii="Times New Roman" w:cs="Times New Roman" w:eastAsia="Times New Roman" w:hAnsi="Times New Roman"/>
                <w:sz w:val="11"/>
                <w:szCs w:val="11"/>
                <w:color w:val="auto"/>
              </w:rPr>
              <w:t>tranche with respect to payments of principal, interest and any other amounts due thereunder.</w:t>
            </w:r>
          </w:p>
        </w:tc>
        <w:tc>
          <w:tcPr>
            <w:tcW w:w="0" w:type="dxa"/>
            <w:vAlign w:val="bottom"/>
          </w:tcPr>
          <w:p>
            <w:pPr>
              <w:spacing w:after="0"/>
              <w:rPr>
                <w:sz w:val="1"/>
                <w:szCs w:val="1"/>
                <w:color w:val="auto"/>
              </w:rPr>
            </w:pPr>
          </w:p>
        </w:tc>
      </w:tr>
      <w:tr>
        <w:trPr>
          <w:trHeight w:val="115"/>
        </w:trPr>
        <w:tc>
          <w:tcPr>
            <w:tcW w:w="280" w:type="dxa"/>
            <w:vAlign w:val="bottom"/>
            <w:vMerge w:val="continue"/>
          </w:tcPr>
          <w:p>
            <w:pPr>
              <w:spacing w:after="0"/>
              <w:rPr>
                <w:sz w:val="10"/>
                <w:szCs w:val="10"/>
                <w:color w:val="auto"/>
              </w:rPr>
            </w:pPr>
          </w:p>
        </w:tc>
        <w:tc>
          <w:tcPr>
            <w:tcW w:w="8200" w:type="dxa"/>
            <w:vAlign w:val="bottom"/>
          </w:tcPr>
          <w:p>
            <w:pPr>
              <w:ind w:left="40"/>
              <w:spacing w:after="0" w:line="115" w:lineRule="exact"/>
              <w:rPr>
                <w:sz w:val="20"/>
                <w:szCs w:val="20"/>
                <w:color w:val="auto"/>
              </w:rPr>
            </w:pPr>
            <w:r>
              <w:rPr>
                <w:rFonts w:ascii="Times New Roman" w:cs="Times New Roman" w:eastAsia="Times New Roman" w:hAnsi="Times New Roman"/>
                <w:sz w:val="11"/>
                <w:szCs w:val="11"/>
                <w:color w:val="auto"/>
              </w:rPr>
              <w:t>In addition to the interest earned based on the stated interest rate of this security, the Company is entitled to receive an additional interest amount of 2.31% on its “last out” tranche of</w:t>
            </w:r>
          </w:p>
        </w:tc>
        <w:tc>
          <w:tcPr>
            <w:tcW w:w="0" w:type="dxa"/>
            <w:vAlign w:val="bottom"/>
          </w:tcPr>
          <w:p>
            <w:pPr>
              <w:spacing w:after="0"/>
              <w:rPr>
                <w:sz w:val="1"/>
                <w:szCs w:val="1"/>
                <w:color w:val="auto"/>
              </w:rPr>
            </w:pPr>
          </w:p>
        </w:tc>
      </w:tr>
      <w:tr>
        <w:trPr>
          <w:trHeight w:val="115"/>
        </w:trPr>
        <w:tc>
          <w:tcPr>
            <w:tcW w:w="280" w:type="dxa"/>
            <w:vAlign w:val="bottom"/>
          </w:tcPr>
          <w:p>
            <w:pPr>
              <w:spacing w:after="0"/>
              <w:rPr>
                <w:sz w:val="10"/>
                <w:szCs w:val="10"/>
                <w:color w:val="auto"/>
              </w:rPr>
            </w:pPr>
          </w:p>
        </w:tc>
        <w:tc>
          <w:tcPr>
            <w:tcW w:w="8200" w:type="dxa"/>
            <w:vAlign w:val="bottom"/>
          </w:tcPr>
          <w:p>
            <w:pPr>
              <w:ind w:left="40"/>
              <w:spacing w:after="0" w:line="115" w:lineRule="exact"/>
              <w:rPr>
                <w:sz w:val="20"/>
                <w:szCs w:val="20"/>
                <w:color w:val="auto"/>
              </w:rPr>
            </w:pPr>
            <w:r>
              <w:rPr>
                <w:rFonts w:ascii="Times New Roman" w:cs="Times New Roman" w:eastAsia="Times New Roman" w:hAnsi="Times New Roman"/>
                <w:sz w:val="11"/>
                <w:szCs w:val="11"/>
                <w:color w:val="auto"/>
              </w:rPr>
              <w:t>the portfolio company’s senior term debt, which was previously syndicated into “first out” and “last out” tranches, whereby the “first out” tranche will have priority as to the “last out”</w:t>
            </w:r>
          </w:p>
        </w:tc>
        <w:tc>
          <w:tcPr>
            <w:tcW w:w="0" w:type="dxa"/>
            <w:vAlign w:val="bottom"/>
          </w:tcPr>
          <w:p>
            <w:pPr>
              <w:spacing w:after="0"/>
              <w:rPr>
                <w:sz w:val="1"/>
                <w:szCs w:val="1"/>
                <w:color w:val="auto"/>
              </w:rPr>
            </w:pPr>
          </w:p>
        </w:tc>
      </w:tr>
      <w:tr>
        <w:trPr>
          <w:trHeight w:val="115"/>
        </w:trPr>
        <w:tc>
          <w:tcPr>
            <w:tcW w:w="280" w:type="dxa"/>
            <w:vAlign w:val="bottom"/>
            <w:vMerge w:val="restart"/>
          </w:tcPr>
          <w:p>
            <w:pPr>
              <w:spacing w:after="0"/>
              <w:rPr>
                <w:sz w:val="20"/>
                <w:szCs w:val="20"/>
                <w:color w:val="auto"/>
              </w:rPr>
            </w:pPr>
            <w:r>
              <w:rPr>
                <w:rFonts w:ascii="Times New Roman" w:cs="Times New Roman" w:eastAsia="Times New Roman" w:hAnsi="Times New Roman"/>
                <w:sz w:val="11"/>
                <w:szCs w:val="11"/>
                <w:color w:val="auto"/>
              </w:rPr>
              <w:t>(bn)</w:t>
            </w:r>
          </w:p>
        </w:tc>
        <w:tc>
          <w:tcPr>
            <w:tcW w:w="8200" w:type="dxa"/>
            <w:vAlign w:val="bottom"/>
          </w:tcPr>
          <w:p>
            <w:pPr>
              <w:ind w:left="40"/>
              <w:spacing w:after="0" w:line="115" w:lineRule="exact"/>
              <w:rPr>
                <w:sz w:val="20"/>
                <w:szCs w:val="20"/>
                <w:color w:val="auto"/>
              </w:rPr>
            </w:pPr>
            <w:r>
              <w:rPr>
                <w:rFonts w:ascii="Times New Roman" w:cs="Times New Roman" w:eastAsia="Times New Roman" w:hAnsi="Times New Roman"/>
                <w:sz w:val="11"/>
                <w:szCs w:val="11"/>
                <w:color w:val="auto"/>
              </w:rPr>
              <w:t>tranche with respect to payments of principal, interest and any other amounts due thereunder.</w:t>
            </w:r>
          </w:p>
        </w:tc>
        <w:tc>
          <w:tcPr>
            <w:tcW w:w="0" w:type="dxa"/>
            <w:vAlign w:val="bottom"/>
          </w:tcPr>
          <w:p>
            <w:pPr>
              <w:spacing w:after="0"/>
              <w:rPr>
                <w:sz w:val="1"/>
                <w:szCs w:val="1"/>
                <w:color w:val="auto"/>
              </w:rPr>
            </w:pPr>
          </w:p>
        </w:tc>
      </w:tr>
      <w:tr>
        <w:trPr>
          <w:trHeight w:val="145"/>
        </w:trPr>
        <w:tc>
          <w:tcPr>
            <w:tcW w:w="280" w:type="dxa"/>
            <w:vAlign w:val="bottom"/>
            <w:vMerge w:val="continue"/>
          </w:tcPr>
          <w:p>
            <w:pPr>
              <w:spacing w:after="0"/>
              <w:rPr>
                <w:sz w:val="12"/>
                <w:szCs w:val="12"/>
                <w:color w:val="auto"/>
              </w:rPr>
            </w:pPr>
          </w:p>
        </w:tc>
        <w:tc>
          <w:tcPr>
            <w:tcW w:w="820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Percentage of class held refers only to equity held, if any, calculated on a fully diluted basis.</w:t>
            </w:r>
          </w:p>
        </w:tc>
        <w:tc>
          <w:tcPr>
            <w:tcW w:w="0" w:type="dxa"/>
            <w:vAlign w:val="bottom"/>
          </w:tcPr>
          <w:p>
            <w:pPr>
              <w:spacing w:after="0"/>
              <w:rPr>
                <w:sz w:val="1"/>
                <w:szCs w:val="1"/>
                <w:color w:val="auto"/>
              </w:rPr>
            </w:pPr>
          </w:p>
        </w:tc>
      </w:tr>
      <w:tr>
        <w:trPr>
          <w:trHeight w:val="270"/>
        </w:trPr>
        <w:tc>
          <w:tcPr>
            <w:tcW w:w="280" w:type="dxa"/>
            <w:vAlign w:val="bottom"/>
          </w:tcPr>
          <w:p>
            <w:pPr>
              <w:spacing w:after="0"/>
              <w:rPr>
                <w:sz w:val="23"/>
                <w:szCs w:val="23"/>
                <w:color w:val="auto"/>
              </w:rPr>
            </w:pPr>
          </w:p>
        </w:tc>
        <w:tc>
          <w:tcPr>
            <w:tcW w:w="8200" w:type="dxa"/>
            <w:vAlign w:val="bottom"/>
          </w:tcPr>
          <w:p>
            <w:pPr>
              <w:ind w:left="3920"/>
              <w:spacing w:after="0"/>
              <w:rPr>
                <w:sz w:val="20"/>
                <w:szCs w:val="20"/>
                <w:color w:val="auto"/>
              </w:rPr>
            </w:pPr>
            <w:r>
              <w:rPr>
                <w:rFonts w:ascii="Times New Roman" w:cs="Times New Roman" w:eastAsia="Times New Roman" w:hAnsi="Times New Roman"/>
                <w:sz w:val="14"/>
                <w:szCs w:val="14"/>
                <w:color w:val="auto"/>
              </w:rPr>
              <w:t>62</w:t>
            </w:r>
          </w:p>
        </w:tc>
        <w:tc>
          <w:tcPr>
            <w:tcW w:w="0" w:type="dxa"/>
            <w:vAlign w:val="bottom"/>
          </w:tcPr>
          <w:p>
            <w:pPr>
              <w:spacing w:after="0"/>
              <w:rPr>
                <w:sz w:val="1"/>
                <w:szCs w:val="1"/>
                <w:color w:val="auto"/>
              </w:rPr>
            </w:pPr>
          </w:p>
        </w:tc>
      </w:tr>
    </w:tbl>
    <w:p>
      <w:pPr>
        <w:sectPr>
          <w:pgSz w:w="11900" w:h="16838" w:orient="portrait"/>
          <w:cols w:equalWidth="0" w:num="1">
            <w:col w:w="10159"/>
          </w:cols>
          <w:pgMar w:left="300" w:top="384" w:right="1440"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79">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MANAGEMENT OF THE COMPANY</w:t>
      </w:r>
    </w:p>
    <w:p>
      <w:pPr>
        <w:spacing w:after="0" w:line="174" w:lineRule="exact"/>
        <w:rPr>
          <w:sz w:val="20"/>
          <w:szCs w:val="20"/>
          <w:color w:val="auto"/>
        </w:rPr>
      </w:pPr>
    </w:p>
    <w:p>
      <w:pPr>
        <w:ind w:left="1380" w:right="319" w:firstLine="341"/>
        <w:spacing w:after="0" w:line="261" w:lineRule="auto"/>
        <w:rPr>
          <w:rFonts w:ascii="Times New Roman" w:cs="Times New Roman" w:eastAsia="Times New Roman" w:hAnsi="Times New Roman"/>
          <w:sz w:val="14"/>
          <w:szCs w:val="14"/>
          <w:color w:val="0000EE"/>
        </w:rPr>
      </w:pPr>
      <w:r>
        <w:rPr>
          <w:rFonts w:ascii="Times New Roman" w:cs="Times New Roman" w:eastAsia="Times New Roman" w:hAnsi="Times New Roman"/>
          <w:sz w:val="14"/>
          <w:szCs w:val="14"/>
          <w:color w:val="auto"/>
        </w:rPr>
        <w:t>The information contained under the captions “</w:t>
      </w:r>
      <w:r>
        <w:rPr>
          <w:rFonts w:ascii="Times New Roman" w:cs="Times New Roman" w:eastAsia="Times New Roman" w:hAnsi="Times New Roman"/>
          <w:sz w:val="14"/>
          <w:szCs w:val="14"/>
          <w:i w:val="1"/>
          <w:iCs w:val="1"/>
          <w:color w:val="auto"/>
        </w:rPr>
        <w:t>Proposal No. 1: Election of Class III Directors</w:t>
      </w: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i w:val="1"/>
          <w:iCs w:val="1"/>
          <w:color w:val="auto"/>
        </w:rPr>
        <w:t>Information About Executive Officer Who is not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a Director</w:t>
      </w: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i w:val="1"/>
          <w:iCs w:val="1"/>
          <w:color w:val="auto"/>
        </w:rPr>
        <w:t>Corporate Governance</w:t>
      </w: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i w:val="1"/>
          <w:iCs w:val="1"/>
          <w:color w:val="auto"/>
        </w:rPr>
        <w:t>Compensation Discussion and Analysis</w:t>
      </w: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i w:val="1"/>
          <w:iCs w:val="1"/>
          <w:color w:val="auto"/>
        </w:rPr>
        <w:t xml:space="preserve">Certain Relationships and Related Transactions—Investment </w:t>
      </w:r>
      <w:hyperlink r:id="rId280">
        <w:r>
          <w:rPr>
            <w:rFonts w:ascii="Times New Roman" w:cs="Times New Roman" w:eastAsia="Times New Roman" w:hAnsi="Times New Roman"/>
            <w:sz w:val="14"/>
            <w:szCs w:val="14"/>
            <w:i w:val="1"/>
            <w:iCs w:val="1"/>
            <w:color w:val="auto"/>
          </w:rPr>
          <w:t>Committee</w:t>
        </w:r>
        <w:r>
          <w:rPr>
            <w:rFonts w:ascii="Times New Roman" w:cs="Times New Roman" w:eastAsia="Times New Roman" w:hAnsi="Times New Roman"/>
            <w:sz w:val="14"/>
            <w:szCs w:val="14"/>
            <w:color w:val="auto"/>
          </w:rPr>
          <w:t>” and “</w:t>
        </w:r>
        <w:r>
          <w:rPr>
            <w:rFonts w:ascii="Times New Roman" w:cs="Times New Roman" w:eastAsia="Times New Roman" w:hAnsi="Times New Roman"/>
            <w:sz w:val="14"/>
            <w:szCs w:val="14"/>
            <w:i w:val="1"/>
            <w:iCs w:val="1"/>
            <w:color w:val="auto"/>
          </w:rPr>
          <w:t>Certain Relationships and Related Transactions—Portfolio Management</w:t>
        </w:r>
        <w:r>
          <w:rPr>
            <w:rFonts w:ascii="Times New Roman" w:cs="Times New Roman" w:eastAsia="Times New Roman" w:hAnsi="Times New Roman"/>
            <w:sz w:val="14"/>
            <w:szCs w:val="14"/>
            <w:color w:val="auto"/>
          </w:rPr>
          <w:t>” in our most recent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u w:val="single" w:color="auto"/>
            <w:color w:val="0000EE"/>
          </w:rPr>
          <w:t>Definitive Proxy Statement on Schedule</w:t>
        </w:r>
      </w:hyperlink>
      <w:r>
        <w:rPr>
          <w:rFonts w:ascii="Times New Roman" w:cs="Times New Roman" w:eastAsia="Times New Roman" w:hAnsi="Times New Roman"/>
          <w:sz w:val="14"/>
          <w:szCs w:val="14"/>
          <w:i w:val="1"/>
          <w:iCs w:val="1"/>
          <w:color w:val="auto"/>
        </w:rPr>
        <w:t xml:space="preserve"> </w:t>
      </w:r>
      <w:hyperlink r:id="rId280">
        <w:r>
          <w:rPr>
            <w:rFonts w:ascii="Times New Roman" w:cs="Times New Roman" w:eastAsia="Times New Roman" w:hAnsi="Times New Roman"/>
            <w:sz w:val="14"/>
            <w:szCs w:val="14"/>
            <w:u w:val="single" w:color="auto"/>
            <w:color w:val="0000EE"/>
          </w:rPr>
          <w:t>14A</w:t>
        </w:r>
        <w:r>
          <w:rPr>
            <w:rFonts w:ascii="Times New Roman" w:cs="Times New Roman" w:eastAsia="Times New Roman" w:hAnsi="Times New Roman"/>
            <w:sz w:val="14"/>
            <w:szCs w:val="14"/>
            <w:color w:val="0000EE"/>
          </w:rPr>
          <w:t xml:space="preserve"> </w:t>
        </w:r>
        <w:r>
          <w:rPr>
            <w:rFonts w:ascii="Times New Roman" w:cs="Times New Roman" w:eastAsia="Times New Roman" w:hAnsi="Times New Roman"/>
            <w:sz w:val="14"/>
            <w:szCs w:val="14"/>
            <w:color w:val="000000"/>
          </w:rPr>
          <w:t>is incorporated by reference herein.</w:t>
        </w:r>
      </w:hyperlink>
    </w:p>
    <w:p>
      <w:pPr>
        <w:spacing w:after="0" w:line="8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63</w:t>
      </w:r>
    </w:p>
    <w:p>
      <w:pPr>
        <w:sectPr>
          <w:pgSz w:w="11900" w:h="16838" w:orient="portrait"/>
          <w:cols w:equalWidth="0" w:num="1">
            <w:col w:w="10159"/>
          </w:cols>
          <w:pgMar w:left="300" w:top="384" w:right="1440"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81">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PORTFOLIO MANAGEMENT</w:t>
      </w:r>
    </w:p>
    <w:p>
      <w:pPr>
        <w:spacing w:after="0" w:line="174" w:lineRule="exact"/>
        <w:rPr>
          <w:sz w:val="20"/>
          <w:szCs w:val="20"/>
          <w:color w:val="auto"/>
        </w:rPr>
      </w:pPr>
    </w:p>
    <w:p>
      <w:pPr>
        <w:ind w:left="1380" w:right="319" w:firstLine="341"/>
        <w:spacing w:after="0" w:line="266" w:lineRule="auto"/>
        <w:rPr>
          <w:rFonts w:ascii="Times New Roman" w:cs="Times New Roman" w:eastAsia="Times New Roman" w:hAnsi="Times New Roman"/>
          <w:sz w:val="14"/>
          <w:szCs w:val="14"/>
          <w:color w:val="0000EE"/>
        </w:rPr>
      </w:pPr>
      <w:r>
        <w:rPr>
          <w:rFonts w:ascii="Times New Roman" w:cs="Times New Roman" w:eastAsia="Times New Roman" w:hAnsi="Times New Roman"/>
          <w:sz w:val="14"/>
          <w:szCs w:val="14"/>
          <w:color w:val="auto"/>
        </w:rPr>
        <w:t>The information contained under the captions “</w:t>
      </w:r>
      <w:r>
        <w:rPr>
          <w:rFonts w:ascii="Times New Roman" w:cs="Times New Roman" w:eastAsia="Times New Roman" w:hAnsi="Times New Roman"/>
          <w:sz w:val="14"/>
          <w:szCs w:val="14"/>
          <w:i w:val="1"/>
          <w:iCs w:val="1"/>
          <w:color w:val="auto"/>
        </w:rPr>
        <w:t>Certain Relationships and Related Transactions and Director Independence—Investment</w:t>
      </w:r>
      <w:r>
        <w:rPr>
          <w:rFonts w:ascii="Times New Roman" w:cs="Times New Roman" w:eastAsia="Times New Roman" w:hAnsi="Times New Roman"/>
          <w:sz w:val="14"/>
          <w:szCs w:val="14"/>
          <w:color w:val="auto"/>
        </w:rPr>
        <w:t xml:space="preserve"> </w:t>
      </w:r>
      <w:hyperlink r:id="rId280">
        <w:r>
          <w:rPr>
            <w:rFonts w:ascii="Times New Roman" w:cs="Times New Roman" w:eastAsia="Times New Roman" w:hAnsi="Times New Roman"/>
            <w:sz w:val="14"/>
            <w:szCs w:val="14"/>
            <w:i w:val="1"/>
            <w:iCs w:val="1"/>
            <w:color w:val="auto"/>
          </w:rPr>
          <w:t>Committee</w:t>
        </w: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i w:val="1"/>
            <w:iCs w:val="1"/>
            <w:color w:val="auto"/>
          </w:rPr>
          <w:t>Certain Relationships and Related Transactions and Director Independence—Portfolio Management</w:t>
        </w:r>
        <w:r>
          <w:rPr>
            <w:rFonts w:ascii="Times New Roman" w:cs="Times New Roman" w:eastAsia="Times New Roman" w:hAnsi="Times New Roman"/>
            <w:sz w:val="14"/>
            <w:szCs w:val="14"/>
            <w:color w:val="auto"/>
          </w:rPr>
          <w:t>” in our most recent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u w:val="single" w:color="auto"/>
            <w:color w:val="0000EE"/>
          </w:rPr>
          <w:t>Definitive Proxy</w:t>
        </w:r>
      </w:hyperlink>
      <w:r>
        <w:rPr>
          <w:rFonts w:ascii="Times New Roman" w:cs="Times New Roman" w:eastAsia="Times New Roman" w:hAnsi="Times New Roman"/>
          <w:sz w:val="14"/>
          <w:szCs w:val="14"/>
          <w:i w:val="1"/>
          <w:iCs w:val="1"/>
          <w:color w:val="auto"/>
        </w:rPr>
        <w:t xml:space="preserve"> </w:t>
      </w:r>
      <w:hyperlink r:id="rId280">
        <w:r>
          <w:rPr>
            <w:rFonts w:ascii="Times New Roman" w:cs="Times New Roman" w:eastAsia="Times New Roman" w:hAnsi="Times New Roman"/>
            <w:sz w:val="14"/>
            <w:szCs w:val="14"/>
            <w:u w:val="single" w:color="auto"/>
            <w:color w:val="0000EE"/>
          </w:rPr>
          <w:t>Statement on Schedule 14A</w:t>
        </w:r>
        <w:r>
          <w:rPr>
            <w:rFonts w:ascii="Times New Roman" w:cs="Times New Roman" w:eastAsia="Times New Roman" w:hAnsi="Times New Roman"/>
            <w:sz w:val="14"/>
            <w:szCs w:val="14"/>
            <w:color w:val="0000EE"/>
          </w:rPr>
          <w:t xml:space="preserve"> </w:t>
        </w:r>
        <w:r>
          <w:rPr>
            <w:rFonts w:ascii="Times New Roman" w:cs="Times New Roman" w:eastAsia="Times New Roman" w:hAnsi="Times New Roman"/>
            <w:sz w:val="14"/>
            <w:szCs w:val="14"/>
            <w:color w:val="000000"/>
          </w:rPr>
          <w:t>is incorporated by reference herein.</w:t>
        </w:r>
      </w:hyperlink>
    </w:p>
    <w:p>
      <w:pPr>
        <w:spacing w:after="0" w:line="8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64</w:t>
      </w:r>
    </w:p>
    <w:p>
      <w:pPr>
        <w:sectPr>
          <w:pgSz w:w="11900" w:h="16838" w:orient="portrait"/>
          <w:cols w:equalWidth="0" w:num="1">
            <w:col w:w="10159"/>
          </w:cols>
          <w:pgMar w:left="300" w:top="384" w:right="1440"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82">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CERTAIN RELATIONSHIPS AND RELATED PARTY TRANSACTIONS</w:t>
      </w:r>
    </w:p>
    <w:p>
      <w:pPr>
        <w:spacing w:after="0" w:line="174" w:lineRule="exact"/>
        <w:rPr>
          <w:sz w:val="20"/>
          <w:szCs w:val="20"/>
          <w:color w:val="auto"/>
        </w:rPr>
      </w:pPr>
    </w:p>
    <w:p>
      <w:pPr>
        <w:ind w:left="1380" w:right="539" w:firstLine="341"/>
        <w:spacing w:after="0" w:line="284"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under the caption “</w:t>
      </w:r>
      <w:r>
        <w:rPr>
          <w:rFonts w:ascii="Times New Roman" w:cs="Times New Roman" w:eastAsia="Times New Roman" w:hAnsi="Times New Roman"/>
          <w:sz w:val="14"/>
          <w:szCs w:val="14"/>
          <w:i w:val="1"/>
          <w:iCs w:val="1"/>
          <w:color w:val="auto"/>
        </w:rPr>
        <w:t>Certain Relationships and Related Party Transactions and Director Independence</w:t>
      </w:r>
      <w:r>
        <w:rPr>
          <w:rFonts w:ascii="Times New Roman" w:cs="Times New Roman" w:eastAsia="Times New Roman" w:hAnsi="Times New Roman"/>
          <w:sz w:val="14"/>
          <w:szCs w:val="14"/>
          <w:color w:val="auto"/>
        </w:rPr>
        <w:t xml:space="preserve">” in our most recent </w:t>
      </w:r>
      <w:hyperlink r:id="rId280">
        <w:r>
          <w:rPr>
            <w:rFonts w:ascii="Times New Roman" w:cs="Times New Roman" w:eastAsia="Times New Roman" w:hAnsi="Times New Roman"/>
            <w:sz w:val="14"/>
            <w:szCs w:val="14"/>
            <w:u w:val="single" w:color="auto"/>
            <w:color w:val="0000EE"/>
          </w:rPr>
          <w:t>Definitive Proxy Statement on Schedule 14A</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is incorporated by reference herein.</w:t>
      </w:r>
    </w:p>
    <w:p>
      <w:pPr>
        <w:spacing w:after="0" w:line="7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65</w:t>
      </w:r>
    </w:p>
    <w:p>
      <w:pPr>
        <w:sectPr>
          <w:pgSz w:w="11900" w:h="16838" w:orient="portrait"/>
          <w:cols w:equalWidth="0" w:num="1">
            <w:col w:w="10159"/>
          </w:cols>
          <w:pgMar w:left="300" w:top="384" w:right="1440"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83">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CONTROL PERSONS AND PRINCIPAL SHAREHOLDERS</w:t>
      </w:r>
    </w:p>
    <w:p>
      <w:pPr>
        <w:spacing w:after="0" w:line="176" w:lineRule="exact"/>
        <w:rPr>
          <w:sz w:val="20"/>
          <w:szCs w:val="20"/>
          <w:color w:val="auto"/>
        </w:rPr>
      </w:pPr>
    </w:p>
    <w:p>
      <w:pPr>
        <w:ind w:left="1380" w:right="259" w:firstLine="341"/>
        <w:spacing w:after="0" w:line="265" w:lineRule="auto"/>
        <w:rPr>
          <w:sz w:val="20"/>
          <w:szCs w:val="20"/>
          <w:color w:val="auto"/>
        </w:rPr>
      </w:pPr>
      <w:r>
        <w:rPr>
          <w:rFonts w:ascii="Times New Roman" w:cs="Times New Roman" w:eastAsia="Times New Roman" w:hAnsi="Times New Roman"/>
          <w:sz w:val="14"/>
          <w:szCs w:val="14"/>
          <w:color w:val="auto"/>
        </w:rPr>
        <w:t>The following table sets forth information with respect to the beneficial ownership of our common stock as of June 29, 2026, by each of our executive officers and Independent Directors and all of our directors and executive officers as a group. As of June 29, 2026, we are not aware of any five percent beneficial owners of our common stock.</w:t>
      </w:r>
    </w:p>
    <w:p>
      <w:pPr>
        <w:spacing w:after="0" w:line="136" w:lineRule="exact"/>
        <w:rPr>
          <w:sz w:val="20"/>
          <w:szCs w:val="20"/>
          <w:color w:val="auto"/>
        </w:rPr>
      </w:pPr>
    </w:p>
    <w:p>
      <w:pPr>
        <w:ind w:left="1380" w:right="259" w:firstLine="341"/>
        <w:spacing w:after="0" w:line="255" w:lineRule="auto"/>
        <w:rPr>
          <w:sz w:val="20"/>
          <w:szCs w:val="20"/>
          <w:color w:val="auto"/>
        </w:rPr>
      </w:pPr>
      <w:r>
        <w:rPr>
          <w:rFonts w:ascii="Times New Roman" w:cs="Times New Roman" w:eastAsia="Times New Roman" w:hAnsi="Times New Roman"/>
          <w:sz w:val="14"/>
          <w:szCs w:val="14"/>
          <w:color w:val="auto"/>
        </w:rPr>
        <w:t>Beneficial ownership is determined in accordance with the rules of the SEC and includes voting or investment power with respect to the securities. There is no common stock subject to options or warrants that are currently exercisable or exercisable within 60 days of the offering. Percentage of beneficial ownership is based on 37,954,364 shares of common stock outstanding as of June 29, 2026. Unless otherwise stated, the business address of each person below is 1603 Orrington Avenue, Suite 1005, Evanston, Illinois 60201. Except as otherwise described in the notes below, the following beneficial owners have sole voting power and sole investment power with respect to all shares of common stock set forth opposite their respective names.</w:t>
      </w:r>
    </w:p>
    <w:p>
      <w:pPr>
        <w:spacing w:after="0" w:line="151" w:lineRule="exact"/>
        <w:rPr>
          <w:sz w:val="20"/>
          <w:szCs w:val="20"/>
          <w:color w:val="auto"/>
        </w:rPr>
      </w:pPr>
    </w:p>
    <w:tbl>
      <w:tblPr>
        <w:tblLayout w:type="fixed"/>
        <w:tblInd w:w="2060" w:type="dxa"/>
        <w:tblCellMar>
          <w:top w:w="0" w:type="dxa"/>
          <w:left w:w="0" w:type="dxa"/>
          <w:bottom w:w="0" w:type="dxa"/>
          <w:right w:w="0" w:type="dxa"/>
        </w:tblCellMar>
      </w:tblPr>
      <w:tr>
        <w:trPr>
          <w:trHeight w:val="126"/>
        </w:trPr>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Number of</w:t>
            </w: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6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rPr>
              <w:t>Dollar Range of Equity</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3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60" w:type="dxa"/>
            <w:vAlign w:val="bottom"/>
          </w:tcPr>
          <w:p>
            <w:pPr>
              <w:jc w:val="center"/>
              <w:spacing w:after="0" w:line="115" w:lineRule="exact"/>
              <w:rPr>
                <w:sz w:val="20"/>
                <w:szCs w:val="20"/>
                <w:color w:val="auto"/>
              </w:rPr>
            </w:pPr>
            <w:r>
              <w:rPr>
                <w:rFonts w:ascii="Times New Roman" w:cs="Times New Roman" w:eastAsia="Times New Roman" w:hAnsi="Times New Roman"/>
                <w:sz w:val="11"/>
                <w:szCs w:val="11"/>
                <w:b w:val="1"/>
                <w:bCs w:val="1"/>
                <w:color w:val="auto"/>
              </w:rPr>
              <w:t>Shares</w:t>
            </w:r>
          </w:p>
        </w:tc>
        <w:tc>
          <w:tcPr>
            <w:tcW w:w="1500" w:type="dxa"/>
            <w:vAlign w:val="bottom"/>
            <w:gridSpan w:val="3"/>
            <w:vMerge w:val="restart"/>
          </w:tcPr>
          <w:p>
            <w:pPr>
              <w:jc w:val="right"/>
              <w:ind w:right="520"/>
              <w:spacing w:after="0"/>
              <w:rPr>
                <w:sz w:val="20"/>
                <w:szCs w:val="20"/>
                <w:color w:val="auto"/>
              </w:rPr>
            </w:pPr>
            <w:r>
              <w:rPr>
                <w:rFonts w:ascii="Times New Roman" w:cs="Times New Roman" w:eastAsia="Times New Roman" w:hAnsi="Times New Roman"/>
                <w:sz w:val="11"/>
                <w:szCs w:val="11"/>
                <w:b w:val="1"/>
                <w:bCs w:val="1"/>
                <w:color w:val="auto"/>
              </w:rPr>
              <w:t>Percentage</w:t>
            </w:r>
          </w:p>
        </w:tc>
        <w:tc>
          <w:tcPr>
            <w:tcW w:w="13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3300" w:type="dxa"/>
            <w:vAlign w:val="bottom"/>
            <w:gridSpan w:val="3"/>
            <w:vMerge w:val="restart"/>
          </w:tcPr>
          <w:p>
            <w:pPr>
              <w:spacing w:after="0"/>
              <w:rPr>
                <w:sz w:val="20"/>
                <w:szCs w:val="20"/>
                <w:color w:val="auto"/>
              </w:rPr>
            </w:pPr>
            <w:r>
              <w:rPr>
                <w:rFonts w:ascii="Times New Roman" w:cs="Times New Roman" w:eastAsia="Times New Roman" w:hAnsi="Times New Roman"/>
                <w:sz w:val="11"/>
                <w:szCs w:val="11"/>
                <w:b w:val="1"/>
                <w:bCs w:val="1"/>
                <w:color w:val="auto"/>
              </w:rPr>
              <w:t>Name and Address</w:t>
            </w:r>
          </w:p>
        </w:tc>
        <w:tc>
          <w:tcPr>
            <w:tcW w:w="1020" w:type="dxa"/>
            <w:vAlign w:val="bottom"/>
            <w:gridSpan w:val="2"/>
          </w:tcPr>
          <w:p>
            <w:pPr>
              <w:jc w:val="center"/>
              <w:ind w:left="372"/>
              <w:spacing w:after="0" w:line="115" w:lineRule="exact"/>
              <w:rPr>
                <w:sz w:val="20"/>
                <w:szCs w:val="20"/>
                <w:color w:val="auto"/>
              </w:rPr>
            </w:pPr>
            <w:r>
              <w:rPr>
                <w:rFonts w:ascii="Times New Roman" w:cs="Times New Roman" w:eastAsia="Times New Roman" w:hAnsi="Times New Roman"/>
                <w:sz w:val="11"/>
                <w:szCs w:val="11"/>
                <w:b w:val="1"/>
                <w:bCs w:val="1"/>
                <w:color w:val="auto"/>
                <w:w w:val="98"/>
              </w:rPr>
              <w:t>Beneficially</w:t>
            </w:r>
          </w:p>
        </w:tc>
        <w:tc>
          <w:tcPr>
            <w:tcW w:w="1500" w:type="dxa"/>
            <w:vAlign w:val="bottom"/>
            <w:gridSpan w:val="3"/>
            <w:vMerge w:val="continue"/>
          </w:tcPr>
          <w:p>
            <w:pPr>
              <w:spacing w:after="0"/>
              <w:rPr>
                <w:sz w:val="10"/>
                <w:szCs w:val="10"/>
                <w:color w:val="auto"/>
              </w:rPr>
            </w:pPr>
          </w:p>
        </w:tc>
        <w:tc>
          <w:tcPr>
            <w:tcW w:w="1360" w:type="dxa"/>
            <w:vAlign w:val="bottom"/>
            <w:gridSpan w:val="2"/>
          </w:tcPr>
          <w:p>
            <w:pPr>
              <w:jc w:val="center"/>
              <w:ind w:right="60"/>
              <w:spacing w:after="0" w:line="115" w:lineRule="exact"/>
              <w:rPr>
                <w:sz w:val="20"/>
                <w:szCs w:val="20"/>
                <w:color w:val="auto"/>
              </w:rPr>
            </w:pPr>
            <w:r>
              <w:rPr>
                <w:rFonts w:ascii="Times New Roman" w:cs="Times New Roman" w:eastAsia="Times New Roman" w:hAnsi="Times New Roman"/>
                <w:sz w:val="11"/>
                <w:szCs w:val="11"/>
                <w:b w:val="1"/>
                <w:bCs w:val="1"/>
                <w:color w:val="auto"/>
              </w:rPr>
              <w:t>Securities Beneficially</w:t>
            </w:r>
          </w:p>
        </w:tc>
        <w:tc>
          <w:tcPr>
            <w:tcW w:w="0" w:type="dxa"/>
            <w:vAlign w:val="bottom"/>
          </w:tcPr>
          <w:p>
            <w:pPr>
              <w:spacing w:after="0"/>
              <w:rPr>
                <w:sz w:val="1"/>
                <w:szCs w:val="1"/>
                <w:color w:val="auto"/>
              </w:rPr>
            </w:pPr>
          </w:p>
        </w:tc>
      </w:tr>
      <w:tr>
        <w:trPr>
          <w:trHeight w:val="124"/>
        </w:trPr>
        <w:tc>
          <w:tcPr>
            <w:tcW w:w="3300" w:type="dxa"/>
            <w:vAlign w:val="bottom"/>
            <w:gridSpan w:val="3"/>
            <w:vMerge w:val="continue"/>
          </w:tcPr>
          <w:p>
            <w:pPr>
              <w:spacing w:after="0"/>
              <w:rPr>
                <w:sz w:val="10"/>
                <w:szCs w:val="10"/>
                <w:color w:val="auto"/>
              </w:rPr>
            </w:pPr>
          </w:p>
        </w:tc>
        <w:tc>
          <w:tcPr>
            <w:tcW w:w="460" w:type="dxa"/>
            <w:vAlign w:val="bottom"/>
          </w:tcPr>
          <w:p>
            <w:pPr>
              <w:spacing w:after="0"/>
              <w:rPr>
                <w:sz w:val="10"/>
                <w:szCs w:val="10"/>
                <w:color w:val="auto"/>
              </w:rPr>
            </w:pPr>
          </w:p>
        </w:tc>
        <w:tc>
          <w:tcPr>
            <w:tcW w:w="560" w:type="dxa"/>
            <w:vAlign w:val="bottom"/>
          </w:tcPr>
          <w:p>
            <w:pPr>
              <w:jc w:val="center"/>
              <w:spacing w:after="0" w:line="124" w:lineRule="exact"/>
              <w:rPr>
                <w:sz w:val="20"/>
                <w:szCs w:val="20"/>
                <w:color w:val="auto"/>
              </w:rPr>
            </w:pPr>
            <w:r>
              <w:rPr>
                <w:rFonts w:ascii="Times New Roman" w:cs="Times New Roman" w:eastAsia="Times New Roman" w:hAnsi="Times New Roman"/>
                <w:sz w:val="11"/>
                <w:szCs w:val="11"/>
                <w:b w:val="1"/>
                <w:bCs w:val="1"/>
                <w:color w:val="auto"/>
              </w:rPr>
              <w:t>Owned</w:t>
            </w:r>
            <w:r>
              <w:rPr>
                <w:rFonts w:ascii="Times New Roman" w:cs="Times New Roman" w:eastAsia="Times New Roman" w:hAnsi="Times New Roman"/>
                <w:sz w:val="8"/>
                <w:szCs w:val="8"/>
                <w:b w:val="1"/>
                <w:bCs w:val="1"/>
                <w:color w:val="auto"/>
              </w:rPr>
              <w:t>(1)</w:t>
            </w:r>
          </w:p>
        </w:tc>
        <w:tc>
          <w:tcPr>
            <w:tcW w:w="460" w:type="dxa"/>
            <w:vAlign w:val="bottom"/>
          </w:tcPr>
          <w:p>
            <w:pPr>
              <w:spacing w:after="0"/>
              <w:rPr>
                <w:sz w:val="10"/>
                <w:szCs w:val="10"/>
                <w:color w:val="auto"/>
              </w:rPr>
            </w:pPr>
          </w:p>
        </w:tc>
        <w:tc>
          <w:tcPr>
            <w:tcW w:w="1040" w:type="dxa"/>
            <w:vAlign w:val="bottom"/>
            <w:gridSpan w:val="2"/>
          </w:tcPr>
          <w:p>
            <w:pPr>
              <w:jc w:val="right"/>
              <w:ind w:right="600"/>
              <w:spacing w:after="0" w:line="124" w:lineRule="exact"/>
              <w:rPr>
                <w:sz w:val="20"/>
                <w:szCs w:val="20"/>
                <w:color w:val="auto"/>
              </w:rPr>
            </w:pPr>
            <w:r>
              <w:rPr>
                <w:rFonts w:ascii="Times New Roman" w:cs="Times New Roman" w:eastAsia="Times New Roman" w:hAnsi="Times New Roman"/>
                <w:sz w:val="11"/>
                <w:szCs w:val="11"/>
                <w:b w:val="1"/>
                <w:bCs w:val="1"/>
                <w:color w:val="auto"/>
              </w:rPr>
              <w:t>of Class</w:t>
            </w:r>
          </w:p>
        </w:tc>
        <w:tc>
          <w:tcPr>
            <w:tcW w:w="1360" w:type="dxa"/>
            <w:vAlign w:val="bottom"/>
            <w:gridSpan w:val="2"/>
          </w:tcPr>
          <w:p>
            <w:pPr>
              <w:jc w:val="center"/>
              <w:ind w:right="60"/>
              <w:spacing w:after="0" w:line="124" w:lineRule="exact"/>
              <w:rPr>
                <w:sz w:val="20"/>
                <w:szCs w:val="20"/>
                <w:color w:val="auto"/>
              </w:rPr>
            </w:pPr>
            <w:r>
              <w:rPr>
                <w:rFonts w:ascii="Times New Roman" w:cs="Times New Roman" w:eastAsia="Times New Roman" w:hAnsi="Times New Roman"/>
                <w:sz w:val="14"/>
                <w:szCs w:val="14"/>
                <w:b w:val="1"/>
                <w:bCs w:val="1"/>
                <w:color w:val="auto"/>
                <w:vertAlign w:val="subscript"/>
              </w:rPr>
              <w:t>Owned</w:t>
            </w:r>
            <w:r>
              <w:rPr>
                <w:rFonts w:ascii="Times New Roman" w:cs="Times New Roman" w:eastAsia="Times New Roman" w:hAnsi="Times New Roman"/>
                <w:sz w:val="7"/>
                <w:szCs w:val="7"/>
                <w:b w:val="1"/>
                <w:bCs w:val="1"/>
                <w:color w:val="auto"/>
              </w:rPr>
              <w:t>(2)(3)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 w:type="dxa"/>
            <w:vAlign w:val="bottom"/>
            <w:tcBorders>
              <w:bottom w:val="single" w:sz="8" w:color="CCEEFF"/>
            </w:tcBorders>
            <w:shd w:val="clear" w:color="auto" w:fill="000000"/>
          </w:tcPr>
          <w:p>
            <w:pPr>
              <w:spacing w:after="0" w:line="20" w:lineRule="exact"/>
              <w:rPr>
                <w:sz w:val="1"/>
                <w:szCs w:val="1"/>
                <w:color w:val="auto"/>
              </w:rPr>
            </w:pPr>
          </w:p>
        </w:tc>
        <w:tc>
          <w:tcPr>
            <w:tcW w:w="23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20" w:type="dxa"/>
            <w:vAlign w:val="bottom"/>
          </w:tcPr>
          <w:p>
            <w:pPr>
              <w:spacing w:after="0"/>
              <w:rPr>
                <w:sz w:val="11"/>
                <w:szCs w:val="11"/>
                <w:color w:val="auto"/>
              </w:rPr>
            </w:pPr>
          </w:p>
        </w:tc>
        <w:tc>
          <w:tcPr>
            <w:tcW w:w="3280" w:type="dxa"/>
            <w:vAlign w:val="bottom"/>
            <w:gridSpan w:val="2"/>
            <w:shd w:val="clear" w:color="auto" w:fill="CCEEFF"/>
          </w:tcPr>
          <w:p>
            <w:pPr>
              <w:spacing w:after="0" w:line="138" w:lineRule="exact"/>
              <w:rPr>
                <w:sz w:val="20"/>
                <w:szCs w:val="20"/>
                <w:color w:val="auto"/>
              </w:rPr>
            </w:pPr>
            <w:r>
              <w:rPr>
                <w:rFonts w:ascii="Times New Roman" w:cs="Times New Roman" w:eastAsia="Times New Roman" w:hAnsi="Times New Roman"/>
                <w:sz w:val="14"/>
                <w:szCs w:val="14"/>
                <w:b w:val="1"/>
                <w:bCs w:val="1"/>
                <w:color w:val="auto"/>
              </w:rPr>
              <w:t>Interested Directors</w:t>
            </w:r>
          </w:p>
        </w:tc>
        <w:tc>
          <w:tcPr>
            <w:tcW w:w="4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2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Edward H. Ross</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177,788</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spacing w:after="0"/>
              <w:rPr>
                <w:sz w:val="14"/>
                <w:szCs w:val="14"/>
                <w:color w:val="auto"/>
              </w:rPr>
            </w:pPr>
          </w:p>
        </w:tc>
        <w:tc>
          <w:tcPr>
            <w:tcW w:w="136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color w:val="auto"/>
                <w:w w:val="99"/>
              </w:rPr>
              <w:t>Over $1,000,000</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Thomas C. Lauer</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81,600</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jc w:val="center"/>
              <w:ind w:right="20"/>
              <w:spacing w:after="0"/>
              <w:rPr>
                <w:sz w:val="20"/>
                <w:szCs w:val="20"/>
                <w:color w:val="auto"/>
              </w:rPr>
            </w:pPr>
            <w:r>
              <w:rPr>
                <w:rFonts w:ascii="Times New Roman" w:cs="Times New Roman" w:eastAsia="Times New Roman" w:hAnsi="Times New Roman"/>
                <w:sz w:val="14"/>
                <w:szCs w:val="14"/>
                <w:color w:val="auto"/>
                <w:w w:val="99"/>
              </w:rPr>
              <w:t>Over $1,000,000</w:t>
            </w:r>
          </w:p>
        </w:tc>
        <w:tc>
          <w:tcPr>
            <w:tcW w:w="0" w:type="dxa"/>
            <w:vAlign w:val="bottom"/>
          </w:tcPr>
          <w:p>
            <w:pPr>
              <w:spacing w:after="0"/>
              <w:rPr>
                <w:sz w:val="1"/>
                <w:szCs w:val="1"/>
                <w:color w:val="auto"/>
              </w:rPr>
            </w:pPr>
          </w:p>
        </w:tc>
      </w:tr>
      <w:tr>
        <w:trPr>
          <w:trHeight w:val="167"/>
        </w:trPr>
        <w:tc>
          <w:tcPr>
            <w:tcW w:w="20" w:type="dxa"/>
            <w:vAlign w:val="bottom"/>
            <w:vMerge w:val="restart"/>
          </w:tcPr>
          <w:p>
            <w:pPr>
              <w:spacing w:after="0"/>
              <w:rPr>
                <w:sz w:val="14"/>
                <w:szCs w:val="14"/>
                <w:color w:val="auto"/>
              </w:rPr>
            </w:pPr>
          </w:p>
        </w:tc>
        <w:tc>
          <w:tcPr>
            <w:tcW w:w="90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vMerge w:val="continue"/>
          </w:tcPr>
          <w:p>
            <w:pPr>
              <w:spacing w:after="0"/>
              <w:rPr>
                <w:sz w:val="14"/>
                <w:szCs w:val="14"/>
                <w:color w:val="auto"/>
              </w:rPr>
            </w:pPr>
          </w:p>
        </w:tc>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Independent Directors</w:t>
            </w:r>
          </w:p>
        </w:tc>
        <w:tc>
          <w:tcPr>
            <w:tcW w:w="4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2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Raymond L. Anstiss, Jr.</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25,896</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spacing w:after="0"/>
              <w:rPr>
                <w:sz w:val="14"/>
                <w:szCs w:val="14"/>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$100,001 - $500,000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Kelly McNamara Corley</w:t>
            </w:r>
          </w:p>
        </w:tc>
        <w:tc>
          <w:tcPr>
            <w:tcW w:w="46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jc w:val="center"/>
              <w:ind w:right="20"/>
              <w:spacing w:after="0"/>
              <w:rPr>
                <w:sz w:val="20"/>
                <w:szCs w:val="20"/>
                <w:color w:val="auto"/>
              </w:rPr>
            </w:pPr>
            <w:r>
              <w:rPr>
                <w:rFonts w:ascii="Times New Roman" w:cs="Times New Roman" w:eastAsia="Times New Roman" w:hAnsi="Times New Roman"/>
                <w:sz w:val="14"/>
                <w:szCs w:val="14"/>
                <w:color w:val="auto"/>
                <w:w w:val="98"/>
              </w:rPr>
              <w:t>None</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2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Edward X. Tune</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6,000</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spacing w:after="0"/>
              <w:rPr>
                <w:sz w:val="14"/>
                <w:szCs w:val="14"/>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$100,001 - $500,000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vMerge w:val="restart"/>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3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vMerge w:val="continue"/>
          </w:tcPr>
          <w:p>
            <w:pPr>
              <w:spacing w:after="0"/>
              <w:rPr>
                <w:sz w:val="14"/>
                <w:szCs w:val="14"/>
                <w:color w:val="auto"/>
              </w:rPr>
            </w:pPr>
          </w:p>
        </w:tc>
        <w:tc>
          <w:tcPr>
            <w:tcW w:w="32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Executive Officers Who Are Not Directors</w:t>
            </w:r>
          </w:p>
        </w:tc>
        <w:tc>
          <w:tcPr>
            <w:tcW w:w="4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Shelby E. Sherard</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31,660</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spacing w:after="0"/>
              <w:rPr>
                <w:sz w:val="14"/>
                <w:szCs w:val="14"/>
                <w:color w:val="auto"/>
              </w:rPr>
            </w:pP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$500,001 - $1,000,000</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32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All Directors and Executive Officers as a Group</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322,944</w:t>
            </w:r>
          </w:p>
        </w:tc>
        <w:tc>
          <w:tcPr>
            <w:tcW w:w="1500" w:type="dxa"/>
            <w:vAlign w:val="bottom"/>
            <w:gridSpan w:val="3"/>
          </w:tcPr>
          <w:p>
            <w:pPr>
              <w:jc w:val="right"/>
              <w:ind w:right="400"/>
              <w:spacing w:after="0"/>
              <w:rPr>
                <w:sz w:val="20"/>
                <w:szCs w:val="20"/>
                <w:color w:val="auto"/>
              </w:rPr>
            </w:pPr>
            <w:r>
              <w:rPr>
                <w:rFonts w:ascii="Times New Roman" w:cs="Times New Roman" w:eastAsia="Times New Roman" w:hAnsi="Times New Roman"/>
                <w:sz w:val="14"/>
                <w:szCs w:val="14"/>
                <w:color w:val="auto"/>
              </w:rPr>
              <w:t>0.9%</w:t>
            </w:r>
          </w:p>
        </w:tc>
        <w:tc>
          <w:tcPr>
            <w:tcW w:w="136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color w:val="auto"/>
                <w:w w:val="99"/>
              </w:rPr>
              <w:t>Over $1,000,000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873125</wp:posOffset>
            </wp:positionH>
            <wp:positionV relativeFrom="paragraph">
              <wp:posOffset>55880</wp:posOffset>
            </wp:positionV>
            <wp:extent cx="598170" cy="635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84">
                      <a:extLst>
                        <a:ext uri="{28A0092B-C50C-407E-A947-70E740481C1C}"/>
                      </a:extLst>
                    </a:blip>
                    <a:srcRect/>
                    <a:stretch>
                      <a:fillRect/>
                    </a:stretch>
                  </pic:blipFill>
                  <pic:spPr bwMode="auto">
                    <a:xfrm>
                      <a:off x="0" y="0"/>
                      <a:ext cx="598170" cy="6350"/>
                    </a:xfrm>
                    <a:prstGeom prst="rect">
                      <a:avLst/>
                    </a:prstGeom>
                    <a:noFill/>
                  </pic:spPr>
                </pic:pic>
              </a:graphicData>
            </a:graphic>
          </wp:anchor>
        </w:drawing>
      </w:r>
    </w:p>
    <w:p>
      <w:pPr>
        <w:spacing w:after="0" w:line="95" w:lineRule="exact"/>
        <w:rPr>
          <w:sz w:val="20"/>
          <w:szCs w:val="20"/>
          <w:color w:val="auto"/>
        </w:rPr>
      </w:pPr>
    </w:p>
    <w:p>
      <w:pPr>
        <w:ind w:left="1700" w:hanging="325"/>
        <w:spacing w:after="0"/>
        <w:tabs>
          <w:tab w:leader="none" w:pos="170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less than 1.0%.</w:t>
      </w:r>
    </w:p>
    <w:p>
      <w:pPr>
        <w:spacing w:after="0" w:line="21" w:lineRule="exact"/>
        <w:rPr>
          <w:sz w:val="20"/>
          <w:szCs w:val="20"/>
          <w:color w:val="auto"/>
        </w:rPr>
      </w:pPr>
    </w:p>
    <w:p>
      <w:pPr>
        <w:ind w:left="1700" w:hanging="325"/>
        <w:spacing w:after="0"/>
        <w:tabs>
          <w:tab w:leader="none" w:pos="170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Beneficial ownership has been determined in accordance with Rule 13d-3 of the Exchange Act.</w:t>
      </w:r>
    </w:p>
    <w:p>
      <w:pPr>
        <w:spacing w:after="0" w:line="6" w:lineRule="exact"/>
        <w:rPr>
          <w:rFonts w:ascii="Times New Roman" w:cs="Times New Roman" w:eastAsia="Times New Roman" w:hAnsi="Times New Roman"/>
          <w:sz w:val="14"/>
          <w:szCs w:val="14"/>
          <w:color w:val="auto"/>
        </w:rPr>
      </w:pPr>
    </w:p>
    <w:p>
      <w:pPr>
        <w:ind w:left="1700" w:hanging="325"/>
        <w:spacing w:after="0"/>
        <w:tabs>
          <w:tab w:leader="none" w:pos="170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Beneficial ownership has been determined in accordance with Rule 16a-1(a)(2) of the Exchange Act.</w:t>
      </w:r>
    </w:p>
    <w:p>
      <w:pPr>
        <w:spacing w:after="0" w:line="6" w:lineRule="exact"/>
        <w:rPr>
          <w:rFonts w:ascii="Times New Roman" w:cs="Times New Roman" w:eastAsia="Times New Roman" w:hAnsi="Times New Roman"/>
          <w:sz w:val="14"/>
          <w:szCs w:val="14"/>
          <w:color w:val="auto"/>
        </w:rPr>
      </w:pPr>
    </w:p>
    <w:p>
      <w:pPr>
        <w:jc w:val="both"/>
        <w:ind w:left="1700" w:right="419" w:hanging="325"/>
        <w:spacing w:after="0" w:line="254" w:lineRule="auto"/>
        <w:tabs>
          <w:tab w:leader="none" w:pos="170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Dollar ranges are as follows: None, $1 - $10,000, $10,001 - $50,000, $50,001 - $100,000, $100,001 - $500,000; $500,001 - $1,000,000 or Over $1,000,000. The dollar range of equity securities beneficially owned by our directors is based on a stock price of $18.94 per share as of June 29, 2026.</w:t>
      </w:r>
    </w:p>
    <w:p>
      <w:pPr>
        <w:spacing w:after="0" w:line="9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66</w:t>
      </w:r>
    </w:p>
    <w:p>
      <w:pPr>
        <w:sectPr>
          <w:pgSz w:w="11900" w:h="16838" w:orient="portrait"/>
          <w:cols w:equalWidth="0" w:num="1">
            <w:col w:w="10159"/>
          </w:cols>
          <w:pgMar w:left="300" w:top="384" w:right="1440"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85">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9" w:lineRule="exact"/>
        <w:rPr>
          <w:sz w:val="20"/>
          <w:szCs w:val="20"/>
          <w:color w:val="auto"/>
        </w:rPr>
      </w:pPr>
    </w:p>
    <w:p>
      <w:pPr>
        <w:ind w:left="1380" w:right="259" w:firstLine="341"/>
        <w:spacing w:after="0" w:line="286" w:lineRule="auto"/>
        <w:rPr>
          <w:sz w:val="20"/>
          <w:szCs w:val="20"/>
          <w:color w:val="auto"/>
        </w:rPr>
      </w:pPr>
      <w:r>
        <w:rPr>
          <w:rFonts w:ascii="Times New Roman" w:cs="Times New Roman" w:eastAsia="Times New Roman" w:hAnsi="Times New Roman"/>
          <w:sz w:val="13"/>
          <w:szCs w:val="13"/>
          <w:color w:val="auto"/>
        </w:rPr>
        <w:t>Each of our investment advisor’s investment committee members has ownership and financial interests in, and may receive compensation and/or profit distributions from, our investment advisor. Each of the members of the investment committee will receive compensation and/or profit distributions from our investment advisor. None of the members of the investment committee receives any direct compensation from us. The following table shows the dollar range of our common stock beneficially owned by each member of our investment advisor’s investment committees as of June 29, 2026:</w:t>
      </w:r>
    </w:p>
    <w:p>
      <w:pPr>
        <w:spacing w:after="0" w:line="130" w:lineRule="exact"/>
        <w:rPr>
          <w:sz w:val="20"/>
          <w:szCs w:val="20"/>
          <w:color w:val="auto"/>
        </w:rPr>
      </w:pPr>
    </w:p>
    <w:tbl>
      <w:tblPr>
        <w:tblLayout w:type="fixed"/>
        <w:tblInd w:w="2740" w:type="dxa"/>
        <w:tblCellMar>
          <w:top w:w="0" w:type="dxa"/>
          <w:left w:w="0" w:type="dxa"/>
          <w:bottom w:w="0" w:type="dxa"/>
          <w:right w:w="0" w:type="dxa"/>
        </w:tblCellMar>
      </w:tblPr>
      <w:tr>
        <w:trPr>
          <w:trHeight w:val="126"/>
        </w:trPr>
        <w:tc>
          <w:tcPr>
            <w:tcW w:w="238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Dollar Range of Equity</w:t>
            </w:r>
          </w:p>
        </w:tc>
        <w:tc>
          <w:tcPr>
            <w:tcW w:w="0" w:type="dxa"/>
            <w:vAlign w:val="bottom"/>
          </w:tcPr>
          <w:p>
            <w:pPr>
              <w:spacing w:after="0"/>
              <w:rPr>
                <w:sz w:val="1"/>
                <w:szCs w:val="1"/>
                <w:color w:val="auto"/>
              </w:rPr>
            </w:pPr>
          </w:p>
        </w:tc>
      </w:tr>
      <w:tr>
        <w:trPr>
          <w:trHeight w:val="115"/>
        </w:trPr>
        <w:tc>
          <w:tcPr>
            <w:tcW w:w="238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rPr>
              <w:t>Members of our Investment Advisor’s Investment</w:t>
            </w:r>
          </w:p>
        </w:tc>
        <w:tc>
          <w:tcPr>
            <w:tcW w:w="1620" w:type="dxa"/>
            <w:vAlign w:val="bottom"/>
          </w:tcPr>
          <w:p>
            <w:pPr>
              <w:spacing w:after="0"/>
              <w:rPr>
                <w:sz w:val="10"/>
                <w:szCs w:val="10"/>
                <w:color w:val="auto"/>
              </w:rPr>
            </w:pPr>
          </w:p>
        </w:tc>
        <w:tc>
          <w:tcPr>
            <w:tcW w:w="1800" w:type="dxa"/>
            <w:vAlign w:val="bottom"/>
          </w:tcPr>
          <w:p>
            <w:pPr>
              <w:jc w:val="center"/>
              <w:spacing w:after="0" w:line="115" w:lineRule="exact"/>
              <w:rPr>
                <w:sz w:val="20"/>
                <w:szCs w:val="20"/>
                <w:color w:val="auto"/>
              </w:rPr>
            </w:pPr>
            <w:r>
              <w:rPr>
                <w:rFonts w:ascii="Times New Roman" w:cs="Times New Roman" w:eastAsia="Times New Roman" w:hAnsi="Times New Roman"/>
                <w:sz w:val="11"/>
                <w:szCs w:val="11"/>
                <w:b w:val="1"/>
                <w:bCs w:val="1"/>
                <w:color w:val="auto"/>
              </w:rPr>
              <w:t>Securities in Fidus</w:t>
            </w:r>
          </w:p>
        </w:tc>
        <w:tc>
          <w:tcPr>
            <w:tcW w:w="0" w:type="dxa"/>
            <w:vAlign w:val="bottom"/>
          </w:tcPr>
          <w:p>
            <w:pPr>
              <w:spacing w:after="0"/>
              <w:rPr>
                <w:sz w:val="1"/>
                <w:szCs w:val="1"/>
                <w:color w:val="auto"/>
              </w:rPr>
            </w:pPr>
          </w:p>
        </w:tc>
      </w:tr>
      <w:tr>
        <w:trPr>
          <w:trHeight w:val="113"/>
        </w:trPr>
        <w:tc>
          <w:tcPr>
            <w:tcW w:w="2380" w:type="dxa"/>
            <w:vAlign w:val="bottom"/>
            <w:vMerge w:val="continue"/>
          </w:tcPr>
          <w:p>
            <w:pPr>
              <w:spacing w:after="0"/>
              <w:rPr>
                <w:sz w:val="9"/>
                <w:szCs w:val="9"/>
                <w:color w:val="auto"/>
              </w:rPr>
            </w:pPr>
          </w:p>
        </w:tc>
        <w:tc>
          <w:tcPr>
            <w:tcW w:w="1620" w:type="dxa"/>
            <w:vAlign w:val="bottom"/>
          </w:tcPr>
          <w:p>
            <w:pPr>
              <w:spacing w:after="0"/>
              <w:rPr>
                <w:sz w:val="9"/>
                <w:szCs w:val="9"/>
                <w:color w:val="auto"/>
              </w:rPr>
            </w:pPr>
          </w:p>
        </w:tc>
        <w:tc>
          <w:tcPr>
            <w:tcW w:w="1800" w:type="dxa"/>
            <w:vAlign w:val="bottom"/>
          </w:tcPr>
          <w:p>
            <w:pPr>
              <w:jc w:val="center"/>
              <w:spacing w:after="0" w:line="114" w:lineRule="exact"/>
              <w:rPr>
                <w:sz w:val="20"/>
                <w:szCs w:val="20"/>
                <w:color w:val="auto"/>
              </w:rPr>
            </w:pPr>
            <w:r>
              <w:rPr>
                <w:rFonts w:ascii="Times New Roman" w:cs="Times New Roman" w:eastAsia="Times New Roman" w:hAnsi="Times New Roman"/>
                <w:sz w:val="11"/>
                <w:szCs w:val="11"/>
                <w:b w:val="1"/>
                <w:bCs w:val="1"/>
                <w:color w:val="auto"/>
                <w:w w:val="98"/>
              </w:rPr>
              <w:t>Investment</w:t>
            </w:r>
          </w:p>
        </w:tc>
        <w:tc>
          <w:tcPr>
            <w:tcW w:w="0" w:type="dxa"/>
            <w:vAlign w:val="bottom"/>
          </w:tcPr>
          <w:p>
            <w:pPr>
              <w:spacing w:after="0"/>
              <w:rPr>
                <w:sz w:val="1"/>
                <w:szCs w:val="1"/>
                <w:color w:val="auto"/>
              </w:rPr>
            </w:pPr>
          </w:p>
        </w:tc>
      </w:tr>
      <w:tr>
        <w:trPr>
          <w:trHeight w:val="146"/>
        </w:trPr>
        <w:tc>
          <w:tcPr>
            <w:tcW w:w="2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b w:val="1"/>
                <w:bCs w:val="1"/>
                <w:color w:val="auto"/>
              </w:rPr>
              <w:t>Committee</w:t>
            </w:r>
          </w:p>
        </w:tc>
        <w:tc>
          <w:tcPr>
            <w:tcW w:w="1620" w:type="dxa"/>
            <w:vAlign w:val="bottom"/>
          </w:tcPr>
          <w:p>
            <w:pPr>
              <w:spacing w:after="0"/>
              <w:rPr>
                <w:sz w:val="12"/>
                <w:szCs w:val="12"/>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Corporation</w:t>
            </w:r>
            <w:r>
              <w:rPr>
                <w:rFonts w:ascii="Times New Roman" w:cs="Times New Roman" w:eastAsia="Times New Roman" w:hAnsi="Times New Roman"/>
                <w:sz w:val="8"/>
                <w:szCs w:val="8"/>
                <w:b w:val="1"/>
                <w:bCs w:val="1"/>
                <w:color w:val="auto"/>
                <w:w w:val="99"/>
              </w:rPr>
              <w:t>(1)</w:t>
            </w:r>
          </w:p>
        </w:tc>
        <w:tc>
          <w:tcPr>
            <w:tcW w:w="0" w:type="dxa"/>
            <w:vAlign w:val="bottom"/>
          </w:tcPr>
          <w:p>
            <w:pPr>
              <w:spacing w:after="0"/>
              <w:rPr>
                <w:sz w:val="1"/>
                <w:szCs w:val="1"/>
                <w:color w:val="auto"/>
              </w:rPr>
            </w:pPr>
          </w:p>
        </w:tc>
      </w:tr>
      <w:tr>
        <w:trPr>
          <w:trHeight w:val="148"/>
        </w:trPr>
        <w:tc>
          <w:tcPr>
            <w:tcW w:w="2380" w:type="dxa"/>
            <w:vAlign w:val="bottom"/>
            <w:tcBorders>
              <w:top w:val="single" w:sz="8" w:color="CCEEFF"/>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Edward H. Ross</w:t>
            </w:r>
          </w:p>
        </w:tc>
        <w:tc>
          <w:tcPr>
            <w:tcW w:w="1620" w:type="dxa"/>
            <w:vAlign w:val="bottom"/>
            <w:tcBorders>
              <w:top w:val="single" w:sz="8" w:color="CCEEFF"/>
            </w:tcBorders>
            <w:shd w:val="clear" w:color="auto" w:fill="CCEEFF"/>
          </w:tcPr>
          <w:p>
            <w:pPr>
              <w:spacing w:after="0"/>
              <w:rPr>
                <w:sz w:val="12"/>
                <w:szCs w:val="12"/>
                <w:color w:val="auto"/>
              </w:rPr>
            </w:pPr>
          </w:p>
        </w:tc>
        <w:tc>
          <w:tcPr>
            <w:tcW w:w="1800" w:type="dxa"/>
            <w:vAlign w:val="bottom"/>
            <w:tcBorders>
              <w:top w:val="single" w:sz="8" w:color="auto"/>
            </w:tcBorders>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Over $1,000,000</w:t>
            </w:r>
          </w:p>
        </w:tc>
        <w:tc>
          <w:tcPr>
            <w:tcW w:w="0" w:type="dxa"/>
            <w:vAlign w:val="bottom"/>
          </w:tcPr>
          <w:p>
            <w:pPr>
              <w:spacing w:after="0"/>
              <w:rPr>
                <w:sz w:val="1"/>
                <w:szCs w:val="1"/>
                <w:color w:val="auto"/>
              </w:rPr>
            </w:pPr>
          </w:p>
        </w:tc>
      </w:tr>
      <w:tr>
        <w:trPr>
          <w:trHeight w:val="167"/>
        </w:trPr>
        <w:tc>
          <w:tcPr>
            <w:tcW w:w="2380" w:type="dxa"/>
            <w:vAlign w:val="bottom"/>
          </w:tcPr>
          <w:p>
            <w:pPr>
              <w:spacing w:after="0"/>
              <w:rPr>
                <w:sz w:val="20"/>
                <w:szCs w:val="20"/>
                <w:color w:val="auto"/>
              </w:rPr>
            </w:pPr>
            <w:r>
              <w:rPr>
                <w:rFonts w:ascii="Times New Roman" w:cs="Times New Roman" w:eastAsia="Times New Roman" w:hAnsi="Times New Roman"/>
                <w:sz w:val="14"/>
                <w:szCs w:val="14"/>
                <w:color w:val="auto"/>
              </w:rPr>
              <w:t>John J. Ross, II</w:t>
            </w:r>
          </w:p>
        </w:tc>
        <w:tc>
          <w:tcPr>
            <w:tcW w:w="1620" w:type="dxa"/>
            <w:vAlign w:val="bottom"/>
          </w:tcPr>
          <w:p>
            <w:pPr>
              <w:spacing w:after="0"/>
              <w:rPr>
                <w:sz w:val="14"/>
                <w:szCs w:val="14"/>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Over $1,000,000</w:t>
            </w:r>
          </w:p>
        </w:tc>
        <w:tc>
          <w:tcPr>
            <w:tcW w:w="0" w:type="dxa"/>
            <w:vAlign w:val="bottom"/>
          </w:tcPr>
          <w:p>
            <w:pPr>
              <w:spacing w:after="0"/>
              <w:rPr>
                <w:sz w:val="1"/>
                <w:szCs w:val="1"/>
                <w:color w:val="auto"/>
              </w:rPr>
            </w:pPr>
          </w:p>
        </w:tc>
      </w:tr>
      <w:tr>
        <w:trPr>
          <w:trHeight w:val="167"/>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Thomas C. Lauer</w:t>
            </w:r>
          </w:p>
        </w:tc>
        <w:tc>
          <w:tcPr>
            <w:tcW w:w="1620" w:type="dxa"/>
            <w:vAlign w:val="bottom"/>
            <w:shd w:val="clear" w:color="auto" w:fill="CCEEFF"/>
          </w:tcPr>
          <w:p>
            <w:pPr>
              <w:spacing w:after="0"/>
              <w:rPr>
                <w:sz w:val="14"/>
                <w:szCs w:val="14"/>
                <w:color w:val="auto"/>
              </w:rPr>
            </w:pP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Over $1,000,000</w:t>
            </w:r>
          </w:p>
        </w:tc>
        <w:tc>
          <w:tcPr>
            <w:tcW w:w="0" w:type="dxa"/>
            <w:vAlign w:val="bottom"/>
          </w:tcPr>
          <w:p>
            <w:pPr>
              <w:spacing w:after="0"/>
              <w:rPr>
                <w:sz w:val="1"/>
                <w:szCs w:val="1"/>
                <w:color w:val="auto"/>
              </w:rPr>
            </w:pPr>
          </w:p>
        </w:tc>
      </w:tr>
      <w:tr>
        <w:trPr>
          <w:trHeight w:val="167"/>
        </w:trPr>
        <w:tc>
          <w:tcPr>
            <w:tcW w:w="2380" w:type="dxa"/>
            <w:vAlign w:val="bottom"/>
          </w:tcPr>
          <w:p>
            <w:pPr>
              <w:spacing w:after="0"/>
              <w:rPr>
                <w:sz w:val="20"/>
                <w:szCs w:val="20"/>
                <w:color w:val="auto"/>
              </w:rPr>
            </w:pPr>
            <w:r>
              <w:rPr>
                <w:rFonts w:ascii="Times New Roman" w:cs="Times New Roman" w:eastAsia="Times New Roman" w:hAnsi="Times New Roman"/>
                <w:sz w:val="14"/>
                <w:szCs w:val="14"/>
                <w:color w:val="auto"/>
              </w:rPr>
              <w:t>W. Andrew Worth</w:t>
            </w:r>
          </w:p>
        </w:tc>
        <w:tc>
          <w:tcPr>
            <w:tcW w:w="3420" w:type="dxa"/>
            <w:vAlign w:val="bottom"/>
            <w:gridSpan w:val="2"/>
          </w:tcPr>
          <w:p>
            <w:pPr>
              <w:jc w:val="center"/>
              <w:ind w:left="1550"/>
              <w:spacing w:after="0"/>
              <w:rPr>
                <w:sz w:val="20"/>
                <w:szCs w:val="20"/>
                <w:color w:val="auto"/>
              </w:rPr>
            </w:pPr>
            <w:r>
              <w:rPr>
                <w:rFonts w:ascii="Times New Roman" w:cs="Times New Roman" w:eastAsia="Times New Roman" w:hAnsi="Times New Roman"/>
                <w:sz w:val="14"/>
                <w:szCs w:val="14"/>
                <w:color w:val="auto"/>
              </w:rPr>
              <w:t>$500,001 - $1,000,000</w:t>
            </w:r>
          </w:p>
        </w:tc>
        <w:tc>
          <w:tcPr>
            <w:tcW w:w="0" w:type="dxa"/>
            <w:vAlign w:val="bottom"/>
          </w:tcPr>
          <w:p>
            <w:pPr>
              <w:spacing w:after="0"/>
              <w:rPr>
                <w:sz w:val="1"/>
                <w:szCs w:val="1"/>
                <w:color w:val="auto"/>
              </w:rPr>
            </w:pPr>
          </w:p>
        </w:tc>
      </w:tr>
      <w:tr>
        <w:trPr>
          <w:trHeight w:val="167"/>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Michael J. Miller</w:t>
            </w:r>
          </w:p>
        </w:tc>
        <w:tc>
          <w:tcPr>
            <w:tcW w:w="3420" w:type="dxa"/>
            <w:vAlign w:val="bottom"/>
            <w:gridSpan w:val="2"/>
            <w:shd w:val="clear" w:color="auto" w:fill="CCEEFF"/>
          </w:tcPr>
          <w:p>
            <w:pPr>
              <w:jc w:val="center"/>
              <w:ind w:left="1550"/>
              <w:spacing w:after="0"/>
              <w:rPr>
                <w:sz w:val="20"/>
                <w:szCs w:val="20"/>
                <w:color w:val="auto"/>
              </w:rPr>
            </w:pPr>
            <w:r>
              <w:rPr>
                <w:rFonts w:ascii="Times New Roman" w:cs="Times New Roman" w:eastAsia="Times New Roman" w:hAnsi="Times New Roman"/>
                <w:sz w:val="14"/>
                <w:szCs w:val="14"/>
                <w:color w:val="auto"/>
              </w:rPr>
              <w:t>$500,001 - $1,000,000</w:t>
            </w:r>
          </w:p>
        </w:tc>
        <w:tc>
          <w:tcPr>
            <w:tcW w:w="0" w:type="dxa"/>
            <w:vAlign w:val="bottom"/>
          </w:tcPr>
          <w:p>
            <w:pPr>
              <w:spacing w:after="0"/>
              <w:rPr>
                <w:sz w:val="1"/>
                <w:szCs w:val="1"/>
                <w:color w:val="auto"/>
              </w:rPr>
            </w:pPr>
          </w:p>
        </w:tc>
      </w:tr>
      <w:tr>
        <w:trPr>
          <w:trHeight w:val="167"/>
        </w:trPr>
        <w:tc>
          <w:tcPr>
            <w:tcW w:w="2380" w:type="dxa"/>
            <w:vAlign w:val="bottom"/>
          </w:tcPr>
          <w:p>
            <w:pPr>
              <w:spacing w:after="0"/>
              <w:rPr>
                <w:sz w:val="20"/>
                <w:szCs w:val="20"/>
                <w:color w:val="auto"/>
              </w:rPr>
            </w:pPr>
            <w:r>
              <w:rPr>
                <w:rFonts w:ascii="Times New Roman" w:cs="Times New Roman" w:eastAsia="Times New Roman" w:hAnsi="Times New Roman"/>
                <w:sz w:val="14"/>
                <w:szCs w:val="14"/>
                <w:color w:val="auto"/>
              </w:rPr>
              <w:t>John H. Grigg</w:t>
            </w:r>
          </w:p>
        </w:tc>
        <w:tc>
          <w:tcPr>
            <w:tcW w:w="3420" w:type="dxa"/>
            <w:vAlign w:val="bottom"/>
            <w:gridSpan w:val="2"/>
          </w:tcPr>
          <w:p>
            <w:pPr>
              <w:jc w:val="center"/>
              <w:ind w:left="1550"/>
              <w:spacing w:after="0"/>
              <w:rPr>
                <w:sz w:val="20"/>
                <w:szCs w:val="20"/>
                <w:color w:val="auto"/>
              </w:rPr>
            </w:pPr>
            <w:r>
              <w:rPr>
                <w:rFonts w:ascii="Times New Roman" w:cs="Times New Roman" w:eastAsia="Times New Roman" w:hAnsi="Times New Roman"/>
                <w:sz w:val="14"/>
                <w:szCs w:val="14"/>
                <w:color w:val="auto"/>
              </w:rPr>
              <w:t>$500,001 - $1,000,000</w:t>
            </w:r>
          </w:p>
        </w:tc>
        <w:tc>
          <w:tcPr>
            <w:tcW w:w="0" w:type="dxa"/>
            <w:vAlign w:val="bottom"/>
          </w:tcPr>
          <w:p>
            <w:pPr>
              <w:spacing w:after="0"/>
              <w:rPr>
                <w:sz w:val="1"/>
                <w:szCs w:val="1"/>
                <w:color w:val="auto"/>
              </w:rPr>
            </w:pPr>
          </w:p>
        </w:tc>
      </w:tr>
      <w:tr>
        <w:trPr>
          <w:trHeight w:val="167"/>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Robert G. Lesley</w:t>
            </w:r>
          </w:p>
        </w:tc>
        <w:tc>
          <w:tcPr>
            <w:tcW w:w="3420" w:type="dxa"/>
            <w:vAlign w:val="bottom"/>
            <w:gridSpan w:val="2"/>
            <w:shd w:val="clear" w:color="auto" w:fill="CCEEFF"/>
          </w:tcPr>
          <w:p>
            <w:pPr>
              <w:jc w:val="center"/>
              <w:ind w:left="1550"/>
              <w:spacing w:after="0"/>
              <w:rPr>
                <w:sz w:val="20"/>
                <w:szCs w:val="20"/>
                <w:color w:val="auto"/>
              </w:rPr>
            </w:pPr>
            <w:r>
              <w:rPr>
                <w:rFonts w:ascii="Times New Roman" w:cs="Times New Roman" w:eastAsia="Times New Roman" w:hAnsi="Times New Roman"/>
                <w:sz w:val="14"/>
                <w:szCs w:val="14"/>
                <w:color w:val="auto"/>
                <w:w w:val="99"/>
              </w:rPr>
              <w:t>$100,001 - $500,000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873125</wp:posOffset>
            </wp:positionH>
            <wp:positionV relativeFrom="paragraph">
              <wp:posOffset>66675</wp:posOffset>
            </wp:positionV>
            <wp:extent cx="598170" cy="635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86">
                      <a:extLst>
                        <a:ext uri="{28A0092B-C50C-407E-A947-70E740481C1C}"/>
                      </a:extLst>
                    </a:blip>
                    <a:srcRect/>
                    <a:stretch>
                      <a:fillRect/>
                    </a:stretch>
                  </pic:blipFill>
                  <pic:spPr bwMode="auto">
                    <a:xfrm>
                      <a:off x="0" y="0"/>
                      <a:ext cx="598170" cy="6350"/>
                    </a:xfrm>
                    <a:prstGeom prst="rect">
                      <a:avLst/>
                    </a:prstGeom>
                    <a:noFill/>
                  </pic:spPr>
                </pic:pic>
              </a:graphicData>
            </a:graphic>
          </wp:anchor>
        </w:drawing>
      </w:r>
    </w:p>
    <w:p>
      <w:pPr>
        <w:spacing w:after="0" w:line="112" w:lineRule="exact"/>
        <w:rPr>
          <w:sz w:val="20"/>
          <w:szCs w:val="20"/>
          <w:color w:val="auto"/>
        </w:rPr>
      </w:pPr>
    </w:p>
    <w:p>
      <w:pPr>
        <w:jc w:val="both"/>
        <w:ind w:left="1700" w:right="419" w:hanging="325"/>
        <w:spacing w:after="0" w:line="265" w:lineRule="auto"/>
        <w:tabs>
          <w:tab w:leader="none" w:pos="170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Dollar ranges are as follows: None, $1 - $10,000, $10,001 - $50,000, $50,001 - $100,000, $100,001 - $500,000; $500,001 - $1,000,000 or Over $1,000,000. The dollar range of equity securities beneficially owned by our directors is based on a stock price of $18.94 per share as of June 29, 2026.</w:t>
      </w:r>
    </w:p>
    <w:p>
      <w:pPr>
        <w:spacing w:after="0" w:line="8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67</w:t>
      </w:r>
    </w:p>
    <w:p>
      <w:pPr>
        <w:sectPr>
          <w:pgSz w:w="11900" w:h="16838" w:orient="portrait"/>
          <w:cols w:equalWidth="0" w:num="1">
            <w:col w:w="10159"/>
          </w:cols>
          <w:pgMar w:left="300" w:top="384" w:right="1440"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87">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DESCRIPTION OF OUR CAPITAL STOCK</w:t>
      </w:r>
    </w:p>
    <w:p>
      <w:pPr>
        <w:spacing w:after="0" w:line="174" w:lineRule="exact"/>
        <w:rPr>
          <w:sz w:val="20"/>
          <w:szCs w:val="20"/>
          <w:color w:val="auto"/>
        </w:rPr>
      </w:pPr>
    </w:p>
    <w:p>
      <w:pPr>
        <w:ind w:left="1380" w:right="319"/>
        <w:spacing w:after="0" w:line="266" w:lineRule="auto"/>
        <w:rPr>
          <w:sz w:val="20"/>
          <w:szCs w:val="20"/>
          <w:color w:val="auto"/>
        </w:rPr>
      </w:pPr>
      <w:r>
        <w:rPr>
          <w:rFonts w:ascii="Times New Roman" w:cs="Times New Roman" w:eastAsia="Times New Roman" w:hAnsi="Times New Roman"/>
          <w:sz w:val="14"/>
          <w:szCs w:val="14"/>
          <w:i w:val="1"/>
          <w:iCs w:val="1"/>
          <w:color w:val="auto"/>
        </w:rPr>
        <w:t>The following description is based on relevant portions of the Maryland General Corporation Law and on our charter and bylaws. This summary is not necessarily complete, and we refer you to the Maryland General Corporation Law and our charter and bylaws for a more detailed description of the provisions summarized below.</w:t>
      </w:r>
    </w:p>
    <w:p>
      <w:pPr>
        <w:spacing w:after="0" w:line="218"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b w:val="1"/>
          <w:bCs w:val="1"/>
          <w:color w:val="auto"/>
        </w:rPr>
        <w:t>Capital Stock</w:t>
      </w:r>
    </w:p>
    <w:p>
      <w:pPr>
        <w:spacing w:after="0" w:line="92" w:lineRule="exact"/>
        <w:rPr>
          <w:sz w:val="20"/>
          <w:szCs w:val="20"/>
          <w:color w:val="auto"/>
        </w:rPr>
      </w:pPr>
    </w:p>
    <w:p>
      <w:pPr>
        <w:ind w:left="1380" w:right="339" w:firstLine="341"/>
        <w:spacing w:after="0" w:line="260" w:lineRule="auto"/>
        <w:rPr>
          <w:sz w:val="20"/>
          <w:szCs w:val="20"/>
          <w:color w:val="auto"/>
        </w:rPr>
      </w:pPr>
      <w:r>
        <w:rPr>
          <w:rFonts w:ascii="Times New Roman" w:cs="Times New Roman" w:eastAsia="Times New Roman" w:hAnsi="Times New Roman"/>
          <w:sz w:val="14"/>
          <w:szCs w:val="14"/>
          <w:color w:val="auto"/>
        </w:rPr>
        <w:t>Our authorized capital stock consists of 100,000,000 shares of common stock, par value $0.001 per share, of which 37,954,364 shares were outstanding as of June 29, 2026. Our common stock trades on the Nasdaq Global Select Market under the ticker symbol “FDUS.” There are no outstanding options or warrants to purchase our stock. No stock has been authorized for issuance under any equity compensation plan. Under Maryland law, our stockholders generally are not personally liable for our debts or obligations.</w:t>
      </w:r>
    </w:p>
    <w:p>
      <w:pPr>
        <w:spacing w:after="0" w:line="140" w:lineRule="exact"/>
        <w:rPr>
          <w:sz w:val="20"/>
          <w:szCs w:val="20"/>
          <w:color w:val="auto"/>
        </w:rPr>
      </w:pPr>
    </w:p>
    <w:p>
      <w:pPr>
        <w:ind w:left="1380" w:right="339" w:firstLine="341"/>
        <w:spacing w:after="0" w:line="260" w:lineRule="auto"/>
        <w:rPr>
          <w:sz w:val="20"/>
          <w:szCs w:val="20"/>
          <w:color w:val="auto"/>
        </w:rPr>
      </w:pPr>
      <w:r>
        <w:rPr>
          <w:rFonts w:ascii="Times New Roman" w:cs="Times New Roman" w:eastAsia="Times New Roman" w:hAnsi="Times New Roman"/>
          <w:sz w:val="14"/>
          <w:szCs w:val="14"/>
          <w:color w:val="auto"/>
        </w:rPr>
        <w:t>Under our charter, our board of directors is authorized to classify and reclassify any unissued shares of stock into other classes or series of stock without obtaining stockholder approval. As permitted by the Maryland General Corporation Law, our charter provides that the board of directors, without any action by our stockholders, may amend the charter from time to time to increase or decrease the aggregate number of shares of stock or the number of shares of stock of any class or series that we have authority to issue.</w:t>
      </w:r>
    </w:p>
    <w:p>
      <w:pPr>
        <w:spacing w:after="0" w:line="221"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4"/>
          <w:szCs w:val="14"/>
          <w:b w:val="1"/>
          <w:bCs w:val="1"/>
          <w:i w:val="1"/>
          <w:iCs w:val="1"/>
          <w:color w:val="auto"/>
        </w:rPr>
        <w:t>Common Stock</w:t>
      </w:r>
    </w:p>
    <w:p>
      <w:pPr>
        <w:spacing w:after="0" w:line="92" w:lineRule="exact"/>
        <w:rPr>
          <w:sz w:val="20"/>
          <w:szCs w:val="20"/>
          <w:color w:val="auto"/>
        </w:rPr>
      </w:pPr>
    </w:p>
    <w:p>
      <w:pPr>
        <w:ind w:left="1380" w:right="259" w:firstLine="341"/>
        <w:spacing w:after="0" w:line="253" w:lineRule="auto"/>
        <w:rPr>
          <w:sz w:val="20"/>
          <w:szCs w:val="20"/>
          <w:color w:val="auto"/>
        </w:rPr>
      </w:pPr>
      <w:r>
        <w:rPr>
          <w:rFonts w:ascii="Times New Roman" w:cs="Times New Roman" w:eastAsia="Times New Roman" w:hAnsi="Times New Roman"/>
          <w:sz w:val="14"/>
          <w:szCs w:val="14"/>
          <w:color w:val="auto"/>
        </w:rPr>
        <w:t>All shares of our common stock have equal rights as to earnings, assets, voting, and distributions and, when they are issued, will be duly authorized, validly issued, fully paid and nonassessable. Distributions may be paid to the holders of our common stock if, as and when authorized by our board of directors and declared by us out of assets legally available therefor. Shares of our common stock have no preemptive, conversion or redemption rights and are freely transferable, except where their transfer is restricted by federal and state securities laws or by contract. In the event of our liquidation, dissolution or winding up, each share of our common stock would be entitled to share ratably in all of our assets that are legally available for distribution after we pay all debts and other liabilities and subject to any preferential rights of holders of our preferred stock, if any preferred stock is outstanding at such time. Each share of our common stock is entitled to one vote on all matters submitted to a vote of stockholders, including the election of directors. Except as provided with respect to any other class or series of stock, the holders of our common stock will possess exclusive voting power. There is no cumulative voting in the election of directors, which means that holders of a majority of the outstanding shares of common stock can elect all of our directors, and holders of less than a majority of such shares will be unable to elect any director.</w:t>
      </w:r>
    </w:p>
    <w:p>
      <w:pPr>
        <w:spacing w:after="0" w:line="226"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4"/>
          <w:szCs w:val="14"/>
          <w:b w:val="1"/>
          <w:bCs w:val="1"/>
          <w:i w:val="1"/>
          <w:iCs w:val="1"/>
          <w:color w:val="auto"/>
        </w:rPr>
        <w:t>Preferred Stock</w:t>
      </w:r>
    </w:p>
    <w:p>
      <w:pPr>
        <w:spacing w:after="0" w:line="92" w:lineRule="exact"/>
        <w:rPr>
          <w:sz w:val="20"/>
          <w:szCs w:val="20"/>
          <w:color w:val="auto"/>
        </w:rPr>
      </w:pPr>
    </w:p>
    <w:p>
      <w:pPr>
        <w:ind w:left="1380" w:right="299" w:firstLine="341"/>
        <w:spacing w:after="0" w:line="254" w:lineRule="auto"/>
        <w:rPr>
          <w:sz w:val="20"/>
          <w:szCs w:val="20"/>
          <w:color w:val="auto"/>
        </w:rPr>
      </w:pPr>
      <w:r>
        <w:rPr>
          <w:rFonts w:ascii="Times New Roman" w:cs="Times New Roman" w:eastAsia="Times New Roman" w:hAnsi="Times New Roman"/>
          <w:sz w:val="14"/>
          <w:szCs w:val="14"/>
          <w:color w:val="auto"/>
        </w:rPr>
        <w:t>Our charter authorizes our board of directors to classify and reclassify any unissued shares of stock into other classes or series of stock, including preferred stock. Prior to issuance of shares of each class or series, the board of directors is required by Maryland law and by our charter to set the terms, preferences, conversion or other rights, voting powers, restrictions, limitations as to dividends or other distributions, qualifications and terms and conditions of redemption for each class or series. Thus, our board of directors could authorize the issuance of shares of preferred stock with terms and conditions which could have the effect of delaying, deferring or preventing a transaction or a change in control that might involve a premium price for holders of our common stock or otherwise be in their best interest. You should note, however, that any issuance of preferred stock must comply with the requirements of the 1940 Act, Maryland law and any other limitations imposed by law.</w:t>
      </w:r>
    </w:p>
    <w:p>
      <w:pPr>
        <w:spacing w:after="0" w:line="147" w:lineRule="exact"/>
        <w:rPr>
          <w:sz w:val="20"/>
          <w:szCs w:val="20"/>
          <w:color w:val="auto"/>
        </w:rPr>
      </w:pPr>
    </w:p>
    <w:p>
      <w:pPr>
        <w:ind w:left="1380" w:right="379" w:firstLine="341"/>
        <w:spacing w:after="0" w:line="281" w:lineRule="auto"/>
        <w:rPr>
          <w:sz w:val="20"/>
          <w:szCs w:val="20"/>
          <w:color w:val="auto"/>
        </w:rPr>
      </w:pPr>
      <w:r>
        <w:rPr>
          <w:rFonts w:ascii="Times New Roman" w:cs="Times New Roman" w:eastAsia="Times New Roman" w:hAnsi="Times New Roman"/>
          <w:sz w:val="14"/>
          <w:szCs w:val="14"/>
          <w:color w:val="auto"/>
        </w:rPr>
        <w:t>The following is a general description of the terms of the preferred stock we may issue from time to time. Particular terms of any preferred stock we offer will be described in the prospectus supplement relating to such preferred stock.</w:t>
      </w:r>
    </w:p>
    <w:p>
      <w:pPr>
        <w:spacing w:after="0" w:line="7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68</w:t>
      </w:r>
    </w:p>
    <w:p>
      <w:pPr>
        <w:sectPr>
          <w:pgSz w:w="11900" w:h="16838" w:orient="portrait"/>
          <w:cols w:equalWidth="0" w:num="1">
            <w:col w:w="10159"/>
          </w:cols>
          <w:pgMar w:left="300" w:top="384" w:right="1440"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88">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9" w:lineRule="exact"/>
        <w:rPr>
          <w:sz w:val="20"/>
          <w:szCs w:val="20"/>
          <w:color w:val="auto"/>
        </w:rPr>
      </w:pPr>
    </w:p>
    <w:p>
      <w:pPr>
        <w:ind w:left="1380" w:right="519" w:firstLine="341"/>
        <w:spacing w:after="0" w:line="281" w:lineRule="auto"/>
        <w:rPr>
          <w:sz w:val="20"/>
          <w:szCs w:val="20"/>
          <w:color w:val="auto"/>
        </w:rPr>
      </w:pPr>
      <w:r>
        <w:rPr>
          <w:rFonts w:ascii="Times New Roman" w:cs="Times New Roman" w:eastAsia="Times New Roman" w:hAnsi="Times New Roman"/>
          <w:sz w:val="14"/>
          <w:szCs w:val="14"/>
          <w:color w:val="auto"/>
        </w:rPr>
        <w:t>If we issue preferred stock, it will pay dividends to the holders of the preferred stock at either a fixed rate or a rate that will be reset frequently based on short-term interest rates, as described in a prospectus supplement accompanying each preferred share offering.</w:t>
      </w:r>
    </w:p>
    <w:p>
      <w:pPr>
        <w:spacing w:after="0" w:line="125" w:lineRule="exact"/>
        <w:rPr>
          <w:sz w:val="20"/>
          <w:szCs w:val="20"/>
          <w:color w:val="auto"/>
        </w:rPr>
      </w:pPr>
    </w:p>
    <w:p>
      <w:pPr>
        <w:ind w:left="1380" w:right="259" w:firstLine="341"/>
        <w:spacing w:after="0" w:line="252" w:lineRule="auto"/>
        <w:rPr>
          <w:sz w:val="20"/>
          <w:szCs w:val="20"/>
          <w:color w:val="auto"/>
        </w:rPr>
      </w:pPr>
      <w:r>
        <w:rPr>
          <w:rFonts w:ascii="Times New Roman" w:cs="Times New Roman" w:eastAsia="Times New Roman" w:hAnsi="Times New Roman"/>
          <w:sz w:val="14"/>
          <w:szCs w:val="14"/>
          <w:color w:val="auto"/>
        </w:rPr>
        <w:t>Subject to the election described below, the 1940 Act requires, among other things, that (1) immediately after issuance and before any distribution is made with respect to our common stock and before any purchase of common stock is made, such preferred stock, together with all other senior securities, must not exceed an amount equal to 50.0% of our total assets less liabilities not represented by indebtedness, and (2) the holders of shares of preferred stock, if any are issued, must be entitled as a class to elect two directors at all times and to elect a majority of the directors if distributions on such preferred stock are in arrears by two years or more. Certain matters under the 1940 Act require the separate vote of the holders of any issued and outstanding preferred stock. For example, holders of preferred stock would vote separately from the holders of common stock on a proposal to cease operations as a BDC. Further, the 1940 Act requires that any distributions we make on preferred stock be cumulative. We believe that the availability for issuance of preferred stock will provide us with increased flexibility in structuring future financings and acquisitions. Notwithstanding the foregoing, we are currently allowed to borrow amounts such that our asset coverage, as calculated pursuant to the 1940 Act, equals at least 150% after such borrowing (i.e., we are able to borrow up to two dollars for every dollar we have in assets less all liabilities and indebtedness not represented by senior securities issued by us).</w:t>
      </w:r>
    </w:p>
    <w:p>
      <w:pPr>
        <w:spacing w:after="0" w:line="150" w:lineRule="exact"/>
        <w:rPr>
          <w:sz w:val="20"/>
          <w:szCs w:val="20"/>
          <w:color w:val="auto"/>
        </w:rPr>
      </w:pPr>
    </w:p>
    <w:p>
      <w:pPr>
        <w:ind w:left="1380" w:right="479" w:firstLine="341"/>
        <w:spacing w:after="0" w:line="281" w:lineRule="auto"/>
        <w:rPr>
          <w:sz w:val="20"/>
          <w:szCs w:val="20"/>
          <w:color w:val="auto"/>
        </w:rPr>
      </w:pPr>
      <w:r>
        <w:rPr>
          <w:rFonts w:ascii="Times New Roman" w:cs="Times New Roman" w:eastAsia="Times New Roman" w:hAnsi="Times New Roman"/>
          <w:sz w:val="14"/>
          <w:szCs w:val="14"/>
          <w:color w:val="auto"/>
        </w:rPr>
        <w:t>For any series of preferred stock that we may issue, our board of directors will determine and the prospectus supplement relating to such series will describe:</w:t>
      </w:r>
    </w:p>
    <w:p>
      <w:pPr>
        <w:spacing w:after="0" w:line="52" w:lineRule="exact"/>
        <w:rPr>
          <w:sz w:val="20"/>
          <w:szCs w:val="20"/>
          <w:color w:val="auto"/>
        </w:rPr>
      </w:pPr>
    </w:p>
    <w:p>
      <w:pPr>
        <w:ind w:left="2120" w:hanging="327"/>
        <w:spacing w:after="0"/>
        <w:tabs>
          <w:tab w:leader="none" w:pos="212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designation and number of shares of such series;</w:t>
      </w:r>
    </w:p>
    <w:p>
      <w:pPr>
        <w:spacing w:after="0" w:line="100" w:lineRule="exact"/>
        <w:rPr>
          <w:rFonts w:ascii="Times New Roman" w:cs="Times New Roman" w:eastAsia="Times New Roman" w:hAnsi="Times New Roman"/>
          <w:sz w:val="14"/>
          <w:szCs w:val="14"/>
          <w:color w:val="auto"/>
        </w:rPr>
      </w:pPr>
    </w:p>
    <w:p>
      <w:pPr>
        <w:ind w:left="2120" w:right="339" w:hanging="327"/>
        <w:spacing w:after="0" w:line="281" w:lineRule="auto"/>
        <w:tabs>
          <w:tab w:leader="none" w:pos="212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rate and time at which, and the preferences and conditions under which, any distributions will be paid on shares of such series, as well as whether such distributions are participating or non-participating;</w:t>
      </w:r>
    </w:p>
    <w:p>
      <w:pPr>
        <w:spacing w:after="0" w:line="52" w:lineRule="exact"/>
        <w:rPr>
          <w:rFonts w:ascii="Times New Roman" w:cs="Times New Roman" w:eastAsia="Times New Roman" w:hAnsi="Times New Roman"/>
          <w:sz w:val="14"/>
          <w:szCs w:val="14"/>
          <w:color w:val="auto"/>
        </w:rPr>
      </w:pPr>
    </w:p>
    <w:p>
      <w:pPr>
        <w:ind w:left="2120" w:hanging="327"/>
        <w:spacing w:after="0"/>
        <w:tabs>
          <w:tab w:leader="none" w:pos="212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provisions relating to convertibility or exchangeability of the shares of such series;</w:t>
      </w:r>
    </w:p>
    <w:p>
      <w:pPr>
        <w:spacing w:after="0" w:line="100" w:lineRule="exact"/>
        <w:rPr>
          <w:rFonts w:ascii="Times New Roman" w:cs="Times New Roman" w:eastAsia="Times New Roman" w:hAnsi="Times New Roman"/>
          <w:sz w:val="14"/>
          <w:szCs w:val="14"/>
          <w:color w:val="auto"/>
        </w:rPr>
      </w:pPr>
    </w:p>
    <w:p>
      <w:pPr>
        <w:ind w:left="2120" w:hanging="327"/>
        <w:spacing w:after="0"/>
        <w:tabs>
          <w:tab w:leader="none" w:pos="212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rights and preferences, if any, of holders of shares of such series upon our liquidation, dissolution or winding up of our affairs;</w:t>
      </w:r>
    </w:p>
    <w:p>
      <w:pPr>
        <w:spacing w:after="0" w:line="100" w:lineRule="exact"/>
        <w:rPr>
          <w:rFonts w:ascii="Times New Roman" w:cs="Times New Roman" w:eastAsia="Times New Roman" w:hAnsi="Times New Roman"/>
          <w:sz w:val="14"/>
          <w:szCs w:val="14"/>
          <w:color w:val="auto"/>
        </w:rPr>
      </w:pPr>
    </w:p>
    <w:p>
      <w:pPr>
        <w:ind w:left="2120" w:hanging="327"/>
        <w:spacing w:after="0"/>
        <w:tabs>
          <w:tab w:leader="none" w:pos="212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voting powers, if any, of the holders of shares of such series;</w:t>
      </w:r>
    </w:p>
    <w:p>
      <w:pPr>
        <w:spacing w:after="0" w:line="100" w:lineRule="exact"/>
        <w:rPr>
          <w:rFonts w:ascii="Times New Roman" w:cs="Times New Roman" w:eastAsia="Times New Roman" w:hAnsi="Times New Roman"/>
          <w:sz w:val="14"/>
          <w:szCs w:val="14"/>
          <w:color w:val="auto"/>
        </w:rPr>
      </w:pPr>
    </w:p>
    <w:p>
      <w:pPr>
        <w:ind w:left="2120" w:hanging="327"/>
        <w:spacing w:after="0"/>
        <w:tabs>
          <w:tab w:leader="none" w:pos="212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provisions relating to the redemption of the shares of such series;</w:t>
      </w:r>
    </w:p>
    <w:p>
      <w:pPr>
        <w:spacing w:after="0" w:line="100" w:lineRule="exact"/>
        <w:rPr>
          <w:rFonts w:ascii="Times New Roman" w:cs="Times New Roman" w:eastAsia="Times New Roman" w:hAnsi="Times New Roman"/>
          <w:sz w:val="14"/>
          <w:szCs w:val="14"/>
          <w:color w:val="auto"/>
        </w:rPr>
      </w:pPr>
    </w:p>
    <w:p>
      <w:pPr>
        <w:ind w:left="2120" w:hanging="327"/>
        <w:spacing w:after="0"/>
        <w:tabs>
          <w:tab w:leader="none" w:pos="212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limitations on our ability to pay distributions on, or acquire or redeem, other securities while shares of such series are outstanding;</w:t>
      </w:r>
    </w:p>
    <w:p>
      <w:pPr>
        <w:spacing w:after="0" w:line="100" w:lineRule="exact"/>
        <w:rPr>
          <w:rFonts w:ascii="Times New Roman" w:cs="Times New Roman" w:eastAsia="Times New Roman" w:hAnsi="Times New Roman"/>
          <w:sz w:val="14"/>
          <w:szCs w:val="14"/>
          <w:color w:val="auto"/>
        </w:rPr>
      </w:pPr>
    </w:p>
    <w:p>
      <w:pPr>
        <w:ind w:left="2120" w:hanging="327"/>
        <w:spacing w:after="0"/>
        <w:tabs>
          <w:tab w:leader="none" w:pos="212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conditions or restrictions on our ability to issue additional shares of such series or other securities;</w:t>
      </w:r>
    </w:p>
    <w:p>
      <w:pPr>
        <w:spacing w:after="0" w:line="100" w:lineRule="exact"/>
        <w:rPr>
          <w:rFonts w:ascii="Times New Roman" w:cs="Times New Roman" w:eastAsia="Times New Roman" w:hAnsi="Times New Roman"/>
          <w:sz w:val="14"/>
          <w:szCs w:val="14"/>
          <w:color w:val="auto"/>
        </w:rPr>
      </w:pPr>
    </w:p>
    <w:p>
      <w:pPr>
        <w:ind w:left="2120" w:hanging="327"/>
        <w:spacing w:after="0"/>
        <w:tabs>
          <w:tab w:leader="none" w:pos="212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applicable, a discussion of certain U.S. federal income tax considerations; and</w:t>
      </w:r>
    </w:p>
    <w:p>
      <w:pPr>
        <w:spacing w:after="0" w:line="100" w:lineRule="exact"/>
        <w:rPr>
          <w:rFonts w:ascii="Times New Roman" w:cs="Times New Roman" w:eastAsia="Times New Roman" w:hAnsi="Times New Roman"/>
          <w:sz w:val="14"/>
          <w:szCs w:val="14"/>
          <w:color w:val="auto"/>
        </w:rPr>
      </w:pPr>
    </w:p>
    <w:p>
      <w:pPr>
        <w:ind w:left="2120" w:right="839" w:hanging="327"/>
        <w:spacing w:after="0" w:line="281" w:lineRule="auto"/>
        <w:tabs>
          <w:tab w:leader="none" w:pos="212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relative powers, preferences and participating, optional or special rights of shares of such series, and the qualifications, limitations or restrictions thereof.</w:t>
      </w:r>
    </w:p>
    <w:p>
      <w:pPr>
        <w:spacing w:after="0" w:line="125" w:lineRule="exact"/>
        <w:rPr>
          <w:sz w:val="20"/>
          <w:szCs w:val="20"/>
          <w:color w:val="auto"/>
        </w:rPr>
      </w:pPr>
    </w:p>
    <w:p>
      <w:pPr>
        <w:ind w:left="1380" w:right="379" w:firstLine="341"/>
        <w:spacing w:after="0" w:line="254" w:lineRule="auto"/>
        <w:rPr>
          <w:sz w:val="20"/>
          <w:szCs w:val="20"/>
          <w:color w:val="auto"/>
        </w:rPr>
      </w:pPr>
      <w:r>
        <w:rPr>
          <w:rFonts w:ascii="Times New Roman" w:cs="Times New Roman" w:eastAsia="Times New Roman" w:hAnsi="Times New Roman"/>
          <w:sz w:val="14"/>
          <w:szCs w:val="14"/>
          <w:color w:val="auto"/>
        </w:rPr>
        <w:t>The preferred stock may be either fixed rate preferred stock or variable rate preferred stock, which is sometimes referred to as “auction rate” preferred stock. All shares of preferred stock that we may issue will be identical and of equal rank except as to the particular terms thereof that may be fixed by our board of directors, and all shares of each series of preferred stock will be identical and of equal rank except as to the dates from which cumulative distributions, if any, thereon will be cumulative. If we issue shares of preferred stock, holders of such preferred stock will be entitled to receive cash distributions at an annual rate that will be fixed or will vary for the successive distribution periods for each series. In general, the distribution periods for fixed rate preferred stock can range from quarterly to weekly and are subject to extension. The distribution rate to be variable and determined for each distribution period.</w:t>
      </w:r>
    </w:p>
    <w:p>
      <w:pPr>
        <w:spacing w:after="0" w:line="9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69</w:t>
      </w:r>
    </w:p>
    <w:p>
      <w:pPr>
        <w:sectPr>
          <w:pgSz w:w="11900" w:h="16838" w:orient="portrait"/>
          <w:cols w:equalWidth="0" w:num="1">
            <w:col w:w="10159"/>
          </w:cols>
          <w:pgMar w:left="300" w:top="384" w:right="1440"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89">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7"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b w:val="1"/>
          <w:bCs w:val="1"/>
          <w:color w:val="auto"/>
        </w:rPr>
        <w:t>Long-Term Debt</w:t>
      </w:r>
    </w:p>
    <w:p>
      <w:pPr>
        <w:spacing w:after="0" w:line="92" w:lineRule="exact"/>
        <w:rPr>
          <w:sz w:val="20"/>
          <w:szCs w:val="20"/>
          <w:color w:val="auto"/>
        </w:rPr>
      </w:pPr>
    </w:p>
    <w:p>
      <w:pPr>
        <w:jc w:val="both"/>
        <w:ind w:left="1380" w:right="259" w:firstLine="341"/>
        <w:spacing w:after="0" w:line="265" w:lineRule="auto"/>
        <w:rPr>
          <w:sz w:val="20"/>
          <w:szCs w:val="20"/>
          <w:color w:val="auto"/>
        </w:rPr>
      </w:pPr>
      <w:r>
        <w:rPr>
          <w:rFonts w:ascii="Times New Roman" w:cs="Times New Roman" w:eastAsia="Times New Roman" w:hAnsi="Times New Roman"/>
          <w:sz w:val="14"/>
          <w:szCs w:val="14"/>
          <w:color w:val="auto"/>
        </w:rPr>
        <w:t>The SBA debentures issued by the SBIC Funds have fixed interest rates that approximate prevailing 10-year Treasury Note rates plus a spread and have a maturity of ten years with interest payable semi-annually. The principal amount of the SBA debentures is not required to be paid before maturity but may be pre-paid at any time. As of March 31, 2026, the SBIC Funds had $260.5 million of outstanding SBA debentures.</w:t>
      </w:r>
    </w:p>
    <w:p>
      <w:pPr>
        <w:spacing w:after="0" w:line="218"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b w:val="1"/>
          <w:bCs w:val="1"/>
          <w:color w:val="auto"/>
        </w:rPr>
        <w:t>Credit Facility</w:t>
      </w:r>
    </w:p>
    <w:p>
      <w:pPr>
        <w:spacing w:after="0" w:line="92" w:lineRule="exact"/>
        <w:rPr>
          <w:sz w:val="20"/>
          <w:szCs w:val="20"/>
          <w:color w:val="auto"/>
        </w:rPr>
      </w:pPr>
    </w:p>
    <w:p>
      <w:pPr>
        <w:ind w:left="1380" w:right="259" w:firstLine="341"/>
        <w:spacing w:after="0" w:line="271" w:lineRule="auto"/>
        <w:rPr>
          <w:sz w:val="20"/>
          <w:szCs w:val="20"/>
          <w:color w:val="auto"/>
        </w:rPr>
      </w:pPr>
      <w:r>
        <w:rPr>
          <w:rFonts w:ascii="Times New Roman" w:cs="Times New Roman" w:eastAsia="Times New Roman" w:hAnsi="Times New Roman"/>
          <w:sz w:val="13"/>
          <w:szCs w:val="13"/>
          <w:color w:val="auto"/>
        </w:rPr>
        <w:t>On October 16, 2025, we entered into a credit and security agreement (the “SPV Credit Agreement”) relating to the SPV Credit Facility by and among the SPV, as borrower, us, as servicer and equityholder, ING, as administrative agent (the “Administrative Agent”) and lead arranger, Western Alliance Trust Company, N.A., as custodian, collateral agent, and collateral administrator, and the lenders from time to time parties thereto. The SPV Credit Facility is secured primarily by a pledge of 100% of the equity interest in the SPV held by the Company and the SPV’s assets, which consist of certain bank loans or securities. The SPV Credit Facility provides for $175.0 million of initial commitments, and has an accordion feature that allows for an increase of the total commitments to up to $250.0 million, subject to certain conditions (including the consent of the Administrative Agent). On December 22, 2025, the total commitments available under the SPV Credit Facility was increased from $175.0 million to $225.0 million pursuant to the accordion feature. The SPV Credit Facility has a reinvestment period until October 16, 2029 and matures on October 16, 2030. The advances under the SPV Credit Facility bear interest, subject to our election, on a per annum basis equal to one-month Term SOFR plus 0.11448% and an applicable margin ranging from 2.500% to 2.675%. The SPV pays a commitment fee that varies depending on the size of the unused portion of the SPV Credit Facility:</w:t>
      </w:r>
    </w:p>
    <w:p>
      <w:pPr>
        <w:spacing w:after="0" w:line="1" w:lineRule="exact"/>
        <w:rPr>
          <w:sz w:val="20"/>
          <w:szCs w:val="20"/>
          <w:color w:val="auto"/>
        </w:rPr>
      </w:pPr>
    </w:p>
    <w:p>
      <w:pPr>
        <w:ind w:left="1380" w:right="399" w:hanging="5"/>
        <w:spacing w:after="0" w:line="268" w:lineRule="auto"/>
        <w:tabs>
          <w:tab w:leader="none" w:pos="1577" w:val="left"/>
        </w:tabs>
        <w:numPr>
          <w:ilvl w:val="0"/>
          <w:numId w:val="4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the utilized portion of the aggregate commitments as of the close of business on such day is less than 35% of the aggregate commitments (the “Minimum Utilization Amount”), the commitment fee will equal the sum of (a) the then applicable margin multiplied by (i) the Minimum Utilization Amount minus (ii) the aggregate outstanding principal balance of the advances on such day and (b) 0.50% multiplied by 65% of the commitments and</w:t>
      </w:r>
    </w:p>
    <w:p>
      <w:pPr>
        <w:spacing w:after="0" w:line="1" w:lineRule="exact"/>
        <w:rPr>
          <w:rFonts w:ascii="Times New Roman" w:cs="Times New Roman" w:eastAsia="Times New Roman" w:hAnsi="Times New Roman"/>
          <w:sz w:val="13"/>
          <w:szCs w:val="13"/>
          <w:color w:val="auto"/>
        </w:rPr>
      </w:pPr>
    </w:p>
    <w:p>
      <w:pPr>
        <w:ind w:left="1380" w:right="519" w:hanging="5"/>
        <w:spacing w:after="0" w:line="259" w:lineRule="auto"/>
        <w:tabs>
          <w:tab w:leader="none" w:pos="1577"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utilized portion of the aggregate commitments is greater than or equal to the Minimum Utilization Amount, the commitment fee will equal 0.50% multiplied by the unused amount of the commitments.</w:t>
      </w:r>
    </w:p>
    <w:p>
      <w:pPr>
        <w:spacing w:after="0" w:line="140" w:lineRule="exact"/>
        <w:rPr>
          <w:sz w:val="20"/>
          <w:szCs w:val="20"/>
          <w:color w:val="auto"/>
        </w:rPr>
      </w:pPr>
    </w:p>
    <w:p>
      <w:pPr>
        <w:ind w:left="1380" w:right="399" w:firstLine="341"/>
        <w:spacing w:after="0" w:line="257" w:lineRule="auto"/>
        <w:rPr>
          <w:sz w:val="20"/>
          <w:szCs w:val="20"/>
          <w:color w:val="auto"/>
        </w:rPr>
      </w:pPr>
      <w:r>
        <w:rPr>
          <w:rFonts w:ascii="Times New Roman" w:cs="Times New Roman" w:eastAsia="Times New Roman" w:hAnsi="Times New Roman"/>
          <w:sz w:val="14"/>
          <w:szCs w:val="14"/>
          <w:color w:val="auto"/>
        </w:rPr>
        <w:t>Amounts available to borrow under the SPV Credit Facility are subject to a minimum borrowing/collateral base that applies an advance rate to certain investments held by the SPV. We are subject to limitations with respect to the investments securing the SPV Credit Facility, including, but not limited to, restrictions on sector concentrations, loan size, payment frequency and status and collateral interests, as well as restrictions on portfolio company leverage, which may also affect the borrowing base and therefore amounts available to borrow. As of June 29, 2026, the remaining available borrowing capacity under the SPV Credit Facility was $112.4 million.</w:t>
      </w:r>
    </w:p>
    <w:p>
      <w:pPr>
        <w:spacing w:after="0" w:line="143" w:lineRule="exact"/>
        <w:rPr>
          <w:sz w:val="20"/>
          <w:szCs w:val="20"/>
          <w:color w:val="auto"/>
        </w:rPr>
      </w:pPr>
    </w:p>
    <w:p>
      <w:pPr>
        <w:ind w:left="1380" w:right="319" w:firstLine="341"/>
        <w:spacing w:after="0" w:line="265" w:lineRule="auto"/>
        <w:rPr>
          <w:sz w:val="20"/>
          <w:szCs w:val="20"/>
          <w:color w:val="auto"/>
        </w:rPr>
      </w:pPr>
      <w:r>
        <w:rPr>
          <w:rFonts w:ascii="Times New Roman" w:cs="Times New Roman" w:eastAsia="Times New Roman" w:hAnsi="Times New Roman"/>
          <w:sz w:val="14"/>
          <w:szCs w:val="14"/>
          <w:color w:val="auto"/>
        </w:rPr>
        <w:t>We have made customary representations and warranties and we are required to comply with various covenants, reporting requirements and other customary requirements. These covenants are subject to important limitations and exceptions that are described in the documents governing the SPV Credit Facility. As of June 29, 2026, we were in compliance in all material respects with the terms of the SPV Credit Agreement.</w:t>
      </w:r>
    </w:p>
    <w:p>
      <w:pPr>
        <w:spacing w:after="0" w:line="8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70</w:t>
      </w:r>
    </w:p>
    <w:p>
      <w:pPr>
        <w:sectPr>
          <w:pgSz w:w="11900" w:h="16838" w:orient="portrait"/>
          <w:cols w:equalWidth="0" w:num="1">
            <w:col w:w="10159"/>
          </w:cols>
          <w:pgMar w:left="300" w:top="384" w:right="1440"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90">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7"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b w:val="1"/>
          <w:bCs w:val="1"/>
          <w:color w:val="auto"/>
        </w:rPr>
        <w:t>Outstanding Securities</w:t>
      </w:r>
    </w:p>
    <w:p>
      <w:pPr>
        <w:spacing w:after="0" w:line="92"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4"/>
          <w:szCs w:val="14"/>
          <w:color w:val="auto"/>
        </w:rPr>
        <w:t>The following table shows our outstanding classes of securities as of June 29, 2026:</w:t>
      </w:r>
    </w:p>
    <w:p>
      <w:pPr>
        <w:spacing w:after="0" w:line="179" w:lineRule="exact"/>
        <w:rPr>
          <w:sz w:val="20"/>
          <w:szCs w:val="20"/>
          <w:color w:val="auto"/>
        </w:rPr>
      </w:pPr>
    </w:p>
    <w:tbl>
      <w:tblPr>
        <w:tblLayout w:type="fixed"/>
        <w:tblInd w:w="2060" w:type="dxa"/>
        <w:tblCellMar>
          <w:top w:w="0" w:type="dxa"/>
          <w:left w:w="0" w:type="dxa"/>
          <w:bottom w:w="0" w:type="dxa"/>
          <w:right w:w="0" w:type="dxa"/>
        </w:tblCellMar>
      </w:tblPr>
      <w:tr>
        <w:trPr>
          <w:trHeight w:val="126"/>
        </w:trPr>
        <w:tc>
          <w:tcPr>
            <w:tcW w:w="64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00" w:type="dxa"/>
            <w:vAlign w:val="bottom"/>
            <w:gridSpan w:val="2"/>
            <w:vMerge w:val="restart"/>
          </w:tcPr>
          <w:p>
            <w:pPr>
              <w:jc w:val="center"/>
              <w:ind w:left="444"/>
              <w:spacing w:after="0"/>
              <w:rPr>
                <w:sz w:val="20"/>
                <w:szCs w:val="20"/>
                <w:color w:val="auto"/>
              </w:rPr>
            </w:pPr>
            <w:r>
              <w:rPr>
                <w:rFonts w:ascii="Times New Roman" w:cs="Times New Roman" w:eastAsia="Times New Roman" w:hAnsi="Times New Roman"/>
                <w:sz w:val="11"/>
                <w:szCs w:val="11"/>
                <w:b w:val="1"/>
                <w:bCs w:val="1"/>
                <w:color w:val="auto"/>
              </w:rPr>
              <w:t>Amount Held by</w:t>
            </w:r>
          </w:p>
        </w:tc>
        <w:tc>
          <w:tcPr>
            <w:tcW w:w="520" w:type="dxa"/>
            <w:vAlign w:val="bottom"/>
          </w:tcPr>
          <w:p>
            <w:pPr>
              <w:spacing w:after="0"/>
              <w:rPr>
                <w:sz w:val="11"/>
                <w:szCs w:val="11"/>
                <w:color w:val="auto"/>
              </w:rPr>
            </w:pPr>
          </w:p>
        </w:tc>
        <w:tc>
          <w:tcPr>
            <w:tcW w:w="820" w:type="dxa"/>
            <w:vAlign w:val="bottom"/>
            <w:gridSpan w:val="2"/>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0" w:type="dxa"/>
            <w:vAlign w:val="bottom"/>
          </w:tcPr>
          <w:p>
            <w:pPr>
              <w:spacing w:after="0"/>
              <w:rPr>
                <w:sz w:val="1"/>
                <w:szCs w:val="1"/>
                <w:color w:val="auto"/>
              </w:rPr>
            </w:pPr>
          </w:p>
        </w:tc>
      </w:tr>
      <w:tr>
        <w:trPr>
          <w:trHeight w:val="115"/>
        </w:trPr>
        <w:tc>
          <w:tcPr>
            <w:tcW w:w="64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760" w:type="dxa"/>
            <w:vAlign w:val="bottom"/>
            <w:vMerge w:val="restart"/>
          </w:tcPr>
          <w:p>
            <w:pPr>
              <w:jc w:val="right"/>
              <w:ind w:right="14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1300" w:type="dxa"/>
            <w:vAlign w:val="bottom"/>
            <w:gridSpan w:val="2"/>
            <w:vMerge w:val="continue"/>
          </w:tcPr>
          <w:p>
            <w:pPr>
              <w:spacing w:after="0"/>
              <w:rPr>
                <w:sz w:val="10"/>
                <w:szCs w:val="10"/>
                <w:color w:val="auto"/>
              </w:rPr>
            </w:pPr>
          </w:p>
        </w:tc>
        <w:tc>
          <w:tcPr>
            <w:tcW w:w="520" w:type="dxa"/>
            <w:vAlign w:val="bottom"/>
          </w:tcPr>
          <w:p>
            <w:pPr>
              <w:spacing w:after="0"/>
              <w:rPr>
                <w:sz w:val="10"/>
                <w:szCs w:val="10"/>
                <w:color w:val="auto"/>
              </w:rPr>
            </w:pPr>
          </w:p>
        </w:tc>
        <w:tc>
          <w:tcPr>
            <w:tcW w:w="820" w:type="dxa"/>
            <w:vAlign w:val="bottom"/>
            <w:gridSpan w:val="2"/>
          </w:tcPr>
          <w:p>
            <w:pPr>
              <w:jc w:val="center"/>
              <w:ind w:right="60"/>
              <w:spacing w:after="0" w:line="115" w:lineRule="exact"/>
              <w:rPr>
                <w:sz w:val="20"/>
                <w:szCs w:val="20"/>
                <w:color w:val="auto"/>
              </w:rPr>
            </w:pPr>
            <w:r>
              <w:rPr>
                <w:rFonts w:ascii="Times New Roman" w:cs="Times New Roman" w:eastAsia="Times New Roman" w:hAnsi="Times New Roman"/>
                <w:sz w:val="11"/>
                <w:szCs w:val="11"/>
                <w:b w:val="1"/>
                <w:bCs w:val="1"/>
                <w:color w:val="auto"/>
              </w:rPr>
              <w:t>Outstanding as</w:t>
            </w:r>
          </w:p>
        </w:tc>
        <w:tc>
          <w:tcPr>
            <w:tcW w:w="0" w:type="dxa"/>
            <w:vAlign w:val="bottom"/>
          </w:tcPr>
          <w:p>
            <w:pPr>
              <w:spacing w:after="0"/>
              <w:rPr>
                <w:sz w:val="1"/>
                <w:szCs w:val="1"/>
                <w:color w:val="auto"/>
              </w:rPr>
            </w:pPr>
          </w:p>
        </w:tc>
      </w:tr>
      <w:tr>
        <w:trPr>
          <w:trHeight w:val="115"/>
        </w:trPr>
        <w:tc>
          <w:tcPr>
            <w:tcW w:w="64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rPr>
              <w:t>Title of Class</w:t>
            </w:r>
          </w:p>
        </w:tc>
        <w:tc>
          <w:tcPr>
            <w:tcW w:w="1800" w:type="dxa"/>
            <w:vAlign w:val="bottom"/>
            <w:vMerge w:val="restart"/>
          </w:tcPr>
          <w:p>
            <w:pPr>
              <w:spacing w:after="0"/>
              <w:rPr>
                <w:sz w:val="10"/>
                <w:szCs w:val="10"/>
                <w:color w:val="auto"/>
              </w:rPr>
            </w:pPr>
          </w:p>
        </w:tc>
        <w:tc>
          <w:tcPr>
            <w:tcW w:w="134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500" w:type="dxa"/>
            <w:vAlign w:val="bottom"/>
          </w:tcPr>
          <w:p>
            <w:pPr>
              <w:spacing w:after="0"/>
              <w:rPr>
                <w:sz w:val="10"/>
                <w:szCs w:val="10"/>
                <w:color w:val="auto"/>
              </w:rPr>
            </w:pPr>
          </w:p>
        </w:tc>
        <w:tc>
          <w:tcPr>
            <w:tcW w:w="800" w:type="dxa"/>
            <w:vAlign w:val="bottom"/>
          </w:tcPr>
          <w:p>
            <w:pPr>
              <w:jc w:val="center"/>
              <w:spacing w:after="0" w:line="115" w:lineRule="exact"/>
              <w:rPr>
                <w:sz w:val="20"/>
                <w:szCs w:val="20"/>
                <w:color w:val="auto"/>
              </w:rPr>
            </w:pPr>
            <w:r>
              <w:rPr>
                <w:rFonts w:ascii="Times New Roman" w:cs="Times New Roman" w:eastAsia="Times New Roman" w:hAnsi="Times New Roman"/>
                <w:sz w:val="11"/>
                <w:szCs w:val="11"/>
                <w:b w:val="1"/>
                <w:bCs w:val="1"/>
                <w:color w:val="auto"/>
                <w:w w:val="99"/>
              </w:rPr>
              <w:t>Company for its</w:t>
            </w:r>
          </w:p>
        </w:tc>
        <w:tc>
          <w:tcPr>
            <w:tcW w:w="520" w:type="dxa"/>
            <w:vAlign w:val="bottom"/>
          </w:tcPr>
          <w:p>
            <w:pPr>
              <w:spacing w:after="0"/>
              <w:rPr>
                <w:sz w:val="10"/>
                <w:szCs w:val="10"/>
                <w:color w:val="auto"/>
              </w:rPr>
            </w:pPr>
          </w:p>
        </w:tc>
        <w:tc>
          <w:tcPr>
            <w:tcW w:w="820" w:type="dxa"/>
            <w:vAlign w:val="bottom"/>
            <w:gridSpan w:val="2"/>
          </w:tcPr>
          <w:p>
            <w:pPr>
              <w:jc w:val="center"/>
              <w:ind w:right="60"/>
              <w:spacing w:after="0" w:line="115" w:lineRule="exact"/>
              <w:rPr>
                <w:sz w:val="20"/>
                <w:szCs w:val="20"/>
                <w:color w:val="auto"/>
              </w:rPr>
            </w:pPr>
            <w:r>
              <w:rPr>
                <w:rFonts w:ascii="Times New Roman" w:cs="Times New Roman" w:eastAsia="Times New Roman" w:hAnsi="Times New Roman"/>
                <w:sz w:val="11"/>
                <w:szCs w:val="11"/>
                <w:b w:val="1"/>
                <w:bCs w:val="1"/>
                <w:color w:val="auto"/>
              </w:rPr>
              <w:t>of June 29,</w:t>
            </w:r>
          </w:p>
        </w:tc>
        <w:tc>
          <w:tcPr>
            <w:tcW w:w="0" w:type="dxa"/>
            <w:vAlign w:val="bottom"/>
          </w:tcPr>
          <w:p>
            <w:pPr>
              <w:spacing w:after="0"/>
              <w:rPr>
                <w:sz w:val="1"/>
                <w:szCs w:val="1"/>
                <w:color w:val="auto"/>
              </w:rPr>
            </w:pPr>
          </w:p>
        </w:tc>
      </w:tr>
      <w:tr>
        <w:trPr>
          <w:trHeight w:val="144"/>
        </w:trPr>
        <w:tc>
          <w:tcPr>
            <w:tcW w:w="640" w:type="dxa"/>
            <w:vAlign w:val="bottom"/>
            <w:tcBorders>
              <w:bottom w:val="single" w:sz="8" w:color="auto"/>
            </w:tcBorders>
            <w:vMerge w:val="continue"/>
          </w:tcPr>
          <w:p>
            <w:pPr>
              <w:spacing w:after="0"/>
              <w:rPr>
                <w:sz w:val="12"/>
                <w:szCs w:val="12"/>
                <w:color w:val="auto"/>
              </w:rPr>
            </w:pPr>
          </w:p>
        </w:tc>
        <w:tc>
          <w:tcPr>
            <w:tcW w:w="1800" w:type="dxa"/>
            <w:vAlign w:val="bottom"/>
            <w:vMerge w:val="continue"/>
          </w:tcPr>
          <w:p>
            <w:pPr>
              <w:spacing w:after="0"/>
              <w:rPr>
                <w:sz w:val="12"/>
                <w:szCs w:val="12"/>
                <w:color w:val="auto"/>
              </w:rPr>
            </w:pPr>
          </w:p>
        </w:tc>
        <w:tc>
          <w:tcPr>
            <w:tcW w:w="1340" w:type="dxa"/>
            <w:vAlign w:val="bottom"/>
          </w:tcPr>
          <w:p>
            <w:pPr>
              <w:spacing w:after="0"/>
              <w:rPr>
                <w:sz w:val="12"/>
                <w:szCs w:val="12"/>
                <w:color w:val="auto"/>
              </w:rPr>
            </w:pPr>
          </w:p>
        </w:tc>
        <w:tc>
          <w:tcPr>
            <w:tcW w:w="760" w:type="dxa"/>
            <w:vAlign w:val="bottom"/>
          </w:tcPr>
          <w:p>
            <w:pPr>
              <w:jc w:val="right"/>
              <w:spacing w:after="0" w:line="124" w:lineRule="exact"/>
              <w:rPr>
                <w:sz w:val="20"/>
                <w:szCs w:val="20"/>
                <w:color w:val="auto"/>
              </w:rPr>
            </w:pPr>
            <w:r>
              <w:rPr>
                <w:rFonts w:ascii="Times New Roman" w:cs="Times New Roman" w:eastAsia="Times New Roman" w:hAnsi="Times New Roman"/>
                <w:sz w:val="11"/>
                <w:szCs w:val="11"/>
                <w:b w:val="1"/>
                <w:bCs w:val="1"/>
                <w:color w:val="auto"/>
              </w:rPr>
              <w:t>Authorized</w:t>
            </w:r>
            <w:r>
              <w:rPr>
                <w:rFonts w:ascii="Times New Roman" w:cs="Times New Roman" w:eastAsia="Times New Roman" w:hAnsi="Times New Roman"/>
                <w:sz w:val="8"/>
                <w:szCs w:val="8"/>
                <w:b w:val="1"/>
                <w:bCs w:val="1"/>
                <w:color w:val="auto"/>
              </w:rPr>
              <w:t>(1)</w:t>
            </w:r>
          </w:p>
        </w:tc>
        <w:tc>
          <w:tcPr>
            <w:tcW w:w="500" w:type="dxa"/>
            <w:vAlign w:val="bottom"/>
          </w:tcPr>
          <w:p>
            <w:pPr>
              <w:spacing w:after="0"/>
              <w:rPr>
                <w:sz w:val="12"/>
                <w:szCs w:val="12"/>
                <w:color w:val="auto"/>
              </w:rPr>
            </w:pPr>
          </w:p>
        </w:tc>
        <w:tc>
          <w:tcPr>
            <w:tcW w:w="800" w:type="dxa"/>
            <w:vAlign w:val="bottom"/>
          </w:tcPr>
          <w:p>
            <w:pPr>
              <w:jc w:val="center"/>
              <w:spacing w:after="0" w:line="124" w:lineRule="exact"/>
              <w:rPr>
                <w:sz w:val="20"/>
                <w:szCs w:val="20"/>
                <w:color w:val="auto"/>
              </w:rPr>
            </w:pPr>
            <w:r>
              <w:rPr>
                <w:rFonts w:ascii="Times New Roman" w:cs="Times New Roman" w:eastAsia="Times New Roman" w:hAnsi="Times New Roman"/>
                <w:sz w:val="11"/>
                <w:szCs w:val="11"/>
                <w:b w:val="1"/>
                <w:bCs w:val="1"/>
                <w:color w:val="auto"/>
              </w:rPr>
              <w:t>Account</w:t>
            </w:r>
          </w:p>
        </w:tc>
        <w:tc>
          <w:tcPr>
            <w:tcW w:w="1300" w:type="dxa"/>
            <w:vAlign w:val="bottom"/>
            <w:gridSpan w:val="2"/>
          </w:tcPr>
          <w:p>
            <w:pPr>
              <w:jc w:val="center"/>
              <w:ind w:left="433"/>
              <w:spacing w:after="0" w:line="124" w:lineRule="exact"/>
              <w:rPr>
                <w:sz w:val="20"/>
                <w:szCs w:val="20"/>
                <w:color w:val="auto"/>
              </w:rPr>
            </w:pPr>
            <w:r>
              <w:rPr>
                <w:rFonts w:ascii="Times New Roman" w:cs="Times New Roman" w:eastAsia="Times New Roman" w:hAnsi="Times New Roman"/>
                <w:sz w:val="11"/>
                <w:szCs w:val="11"/>
                <w:b w:val="1"/>
                <w:bCs w:val="1"/>
                <w:color w:val="auto"/>
              </w:rPr>
              <w:t>2026</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40" w:type="dxa"/>
            <w:vAlign w:val="bottom"/>
            <w:tcBorders>
              <w:top w:val="single" w:sz="8" w:color="CCEEFF"/>
            </w:tcBorders>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Common Stock</w:t>
            </w:r>
          </w:p>
        </w:tc>
        <w:tc>
          <w:tcPr>
            <w:tcW w:w="134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100,000,000</w:t>
            </w:r>
          </w:p>
        </w:tc>
        <w:tc>
          <w:tcPr>
            <w:tcW w:w="50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ind w:left="600"/>
              <w:spacing w:after="0" w:line="149" w:lineRule="exact"/>
              <w:rPr>
                <w:sz w:val="20"/>
                <w:szCs w:val="20"/>
                <w:color w:val="auto"/>
              </w:rPr>
            </w:pPr>
            <w:r>
              <w:rPr>
                <w:rFonts w:ascii="Times New Roman" w:cs="Times New Roman" w:eastAsia="Times New Roman" w:hAnsi="Times New Roman"/>
                <w:sz w:val="14"/>
                <w:szCs w:val="14"/>
                <w:color w:val="auto"/>
                <w:w w:val="85"/>
              </w:rPr>
              <w:t>— </w:t>
            </w:r>
          </w:p>
        </w:tc>
        <w:tc>
          <w:tcPr>
            <w:tcW w:w="52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37,954,364</w:t>
            </w:r>
          </w:p>
        </w:tc>
        <w:tc>
          <w:tcPr>
            <w:tcW w:w="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440" w:type="dxa"/>
            <w:vAlign w:val="bottom"/>
            <w:gridSpan w:val="2"/>
          </w:tcPr>
          <w:p>
            <w:pPr>
              <w:spacing w:after="0" w:line="167" w:lineRule="exact"/>
              <w:rPr>
                <w:sz w:val="20"/>
                <w:szCs w:val="20"/>
                <w:color w:val="auto"/>
              </w:rPr>
            </w:pPr>
            <w:r>
              <w:rPr>
                <w:rFonts w:ascii="Times New Roman" w:cs="Times New Roman" w:eastAsia="Times New Roman" w:hAnsi="Times New Roman"/>
                <w:sz w:val="13"/>
                <w:szCs w:val="13"/>
                <w:color w:val="auto"/>
              </w:rPr>
              <w:t>SBA Debentures</w:t>
            </w:r>
            <w:r>
              <w:rPr>
                <w:rFonts w:ascii="Times New Roman" w:cs="Times New Roman" w:eastAsia="Times New Roman" w:hAnsi="Times New Roman"/>
                <w:sz w:val="19"/>
                <w:szCs w:val="19"/>
                <w:color w:val="auto"/>
                <w:vertAlign w:val="superscript"/>
              </w:rPr>
              <w:t>(2)</w:t>
            </w:r>
          </w:p>
        </w:tc>
        <w:tc>
          <w:tcPr>
            <w:tcW w:w="21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$314,500,000</w:t>
            </w:r>
          </w:p>
        </w:tc>
        <w:tc>
          <w:tcPr>
            <w:tcW w:w="500" w:type="dxa"/>
            <w:vAlign w:val="bottom"/>
          </w:tcPr>
          <w:p>
            <w:pPr>
              <w:spacing w:after="0"/>
              <w:rPr>
                <w:sz w:val="14"/>
                <w:szCs w:val="14"/>
                <w:color w:val="auto"/>
              </w:rPr>
            </w:pPr>
          </w:p>
        </w:tc>
        <w:tc>
          <w:tcPr>
            <w:tcW w:w="800" w:type="dxa"/>
            <w:vAlign w:val="bottom"/>
          </w:tcPr>
          <w:p>
            <w:pPr>
              <w:ind w:left="600"/>
              <w:spacing w:after="0"/>
              <w:rPr>
                <w:sz w:val="20"/>
                <w:szCs w:val="20"/>
                <w:color w:val="auto"/>
              </w:rPr>
            </w:pPr>
            <w:r>
              <w:rPr>
                <w:rFonts w:ascii="Times New Roman" w:cs="Times New Roman" w:eastAsia="Times New Roman" w:hAnsi="Times New Roman"/>
                <w:sz w:val="14"/>
                <w:szCs w:val="14"/>
                <w:color w:val="auto"/>
                <w:w w:val="85"/>
              </w:rPr>
              <w:t>— </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$296,000,000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SPV Credit Facility</w:t>
            </w:r>
          </w:p>
        </w:tc>
        <w:tc>
          <w:tcPr>
            <w:tcW w:w="2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$225,000,000</w:t>
            </w:r>
          </w:p>
        </w:tc>
        <w:tc>
          <w:tcPr>
            <w:tcW w:w="500" w:type="dxa"/>
            <w:vAlign w:val="bottom"/>
            <w:shd w:val="clear" w:color="auto" w:fill="CCEEFF"/>
          </w:tcPr>
          <w:p>
            <w:pPr>
              <w:spacing w:after="0"/>
              <w:rPr>
                <w:sz w:val="14"/>
                <w:szCs w:val="14"/>
                <w:color w:val="auto"/>
              </w:rPr>
            </w:pPr>
          </w:p>
        </w:tc>
        <w:tc>
          <w:tcPr>
            <w:tcW w:w="80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w w:val="85"/>
              </w:rPr>
              <w:t>— </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$112,650,000</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4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2030 Notes</w:t>
            </w:r>
          </w:p>
        </w:tc>
        <w:tc>
          <w:tcPr>
            <w:tcW w:w="21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$200,000,000</w:t>
            </w:r>
          </w:p>
        </w:tc>
        <w:tc>
          <w:tcPr>
            <w:tcW w:w="500" w:type="dxa"/>
            <w:vAlign w:val="bottom"/>
          </w:tcPr>
          <w:p>
            <w:pPr>
              <w:spacing w:after="0"/>
              <w:rPr>
                <w:sz w:val="14"/>
                <w:szCs w:val="14"/>
                <w:color w:val="auto"/>
              </w:rPr>
            </w:pPr>
          </w:p>
        </w:tc>
        <w:tc>
          <w:tcPr>
            <w:tcW w:w="800" w:type="dxa"/>
            <w:vAlign w:val="bottom"/>
          </w:tcPr>
          <w:p>
            <w:pPr>
              <w:ind w:left="600"/>
              <w:spacing w:after="0"/>
              <w:rPr>
                <w:sz w:val="20"/>
                <w:szCs w:val="20"/>
                <w:color w:val="auto"/>
              </w:rPr>
            </w:pPr>
            <w:r>
              <w:rPr>
                <w:rFonts w:ascii="Times New Roman" w:cs="Times New Roman" w:eastAsia="Times New Roman" w:hAnsi="Times New Roman"/>
                <w:sz w:val="14"/>
                <w:szCs w:val="14"/>
                <w:color w:val="auto"/>
                <w:w w:val="85"/>
              </w:rPr>
              <w:t>— </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$200,000,000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Restricted Notes</w:t>
            </w:r>
          </w:p>
        </w:tc>
        <w:tc>
          <w:tcPr>
            <w:tcW w:w="2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$120,000,000</w:t>
            </w:r>
          </w:p>
        </w:tc>
        <w:tc>
          <w:tcPr>
            <w:tcW w:w="500" w:type="dxa"/>
            <w:vAlign w:val="bottom"/>
            <w:shd w:val="clear" w:color="auto" w:fill="CCEEFF"/>
          </w:tcPr>
          <w:p>
            <w:pPr>
              <w:spacing w:after="0"/>
              <w:rPr>
                <w:sz w:val="14"/>
                <w:szCs w:val="14"/>
                <w:color w:val="auto"/>
              </w:rPr>
            </w:pPr>
          </w:p>
        </w:tc>
        <w:tc>
          <w:tcPr>
            <w:tcW w:w="80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w w:val="85"/>
              </w:rPr>
              <w:t>— </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$120,000,000</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873125</wp:posOffset>
            </wp:positionH>
            <wp:positionV relativeFrom="paragraph">
              <wp:posOffset>66675</wp:posOffset>
            </wp:positionV>
            <wp:extent cx="598170" cy="635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91">
                      <a:extLst>
                        <a:ext uri="{28A0092B-C50C-407E-A947-70E740481C1C}"/>
                      </a:extLst>
                    </a:blip>
                    <a:srcRect/>
                    <a:stretch>
                      <a:fillRect/>
                    </a:stretch>
                  </pic:blipFill>
                  <pic:spPr bwMode="auto">
                    <a:xfrm>
                      <a:off x="0" y="0"/>
                      <a:ext cx="598170" cy="6350"/>
                    </a:xfrm>
                    <a:prstGeom prst="rect">
                      <a:avLst/>
                    </a:prstGeom>
                    <a:noFill/>
                  </pic:spPr>
                </pic:pic>
              </a:graphicData>
            </a:graphic>
          </wp:anchor>
        </w:drawing>
      </w:r>
    </w:p>
    <w:p>
      <w:pPr>
        <w:spacing w:after="0" w:line="112" w:lineRule="exact"/>
        <w:rPr>
          <w:sz w:val="20"/>
          <w:szCs w:val="20"/>
          <w:color w:val="auto"/>
        </w:rPr>
      </w:pPr>
    </w:p>
    <w:p>
      <w:pPr>
        <w:ind w:left="1700" w:hanging="325"/>
        <w:spacing w:after="0"/>
        <w:tabs>
          <w:tab w:leader="none" w:pos="170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shown in number of shares of common stock.</w:t>
      </w:r>
    </w:p>
    <w:p>
      <w:pPr>
        <w:spacing w:after="0" w:line="21" w:lineRule="exact"/>
        <w:rPr>
          <w:rFonts w:ascii="Times New Roman" w:cs="Times New Roman" w:eastAsia="Times New Roman" w:hAnsi="Times New Roman"/>
          <w:sz w:val="14"/>
          <w:szCs w:val="14"/>
          <w:color w:val="auto"/>
        </w:rPr>
      </w:pPr>
    </w:p>
    <w:p>
      <w:pPr>
        <w:ind w:left="1700" w:right="379" w:hanging="325"/>
        <w:spacing w:after="0" w:line="259" w:lineRule="auto"/>
        <w:tabs>
          <w:tab w:leader="none" w:pos="170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more information regarding our limitations as to SBA debenture issuances, see “</w:t>
      </w:r>
      <w:r>
        <w:rPr>
          <w:rFonts w:ascii="Times New Roman" w:cs="Times New Roman" w:eastAsia="Times New Roman" w:hAnsi="Times New Roman"/>
          <w:sz w:val="14"/>
          <w:szCs w:val="14"/>
          <w:i w:val="1"/>
          <w:iCs w:val="1"/>
          <w:color w:val="auto"/>
        </w:rPr>
        <w:t>Regulation—Small Business Administration Regulations</w:t>
      </w:r>
      <w:r>
        <w:rPr>
          <w:rFonts w:ascii="Times New Roman" w:cs="Times New Roman" w:eastAsia="Times New Roman" w:hAnsi="Times New Roman"/>
          <w:sz w:val="14"/>
          <w:szCs w:val="14"/>
          <w:color w:val="auto"/>
        </w:rPr>
        <w:t xml:space="preserve">” in our most recent </w:t>
      </w:r>
      <w:hyperlink r:id="rId292">
        <w:r>
          <w:rPr>
            <w:rFonts w:ascii="Times New Roman" w:cs="Times New Roman" w:eastAsia="Times New Roman" w:hAnsi="Times New Roman"/>
            <w:sz w:val="14"/>
            <w:szCs w:val="14"/>
            <w:u w:val="single" w:color="auto"/>
            <w:color w:val="0000EE"/>
          </w:rPr>
          <w:t>Annual Report on Form 10-K</w:t>
        </w:r>
      </w:hyperlink>
      <w:r>
        <w:rPr>
          <w:rFonts w:ascii="Times New Roman" w:cs="Times New Roman" w:eastAsia="Times New Roman" w:hAnsi="Times New Roman"/>
          <w:sz w:val="14"/>
          <w:szCs w:val="14"/>
          <w:color w:val="auto"/>
        </w:rPr>
        <w:t>.</w:t>
      </w:r>
    </w:p>
    <w:p>
      <w:pPr>
        <w:spacing w:after="0" w:line="222"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b w:val="1"/>
          <w:bCs w:val="1"/>
          <w:color w:val="auto"/>
        </w:rPr>
        <w:t>Limitation on Liability of Directors and Officers; Indemnification and Advance of Expenses</w:t>
      </w:r>
    </w:p>
    <w:p>
      <w:pPr>
        <w:spacing w:after="0" w:line="92" w:lineRule="exact"/>
        <w:rPr>
          <w:sz w:val="20"/>
          <w:szCs w:val="20"/>
          <w:color w:val="auto"/>
        </w:rPr>
      </w:pPr>
    </w:p>
    <w:p>
      <w:pPr>
        <w:ind w:left="1380" w:right="299" w:firstLine="341"/>
        <w:spacing w:after="0" w:line="257" w:lineRule="auto"/>
        <w:rPr>
          <w:sz w:val="20"/>
          <w:szCs w:val="20"/>
          <w:color w:val="auto"/>
        </w:rPr>
      </w:pPr>
      <w:r>
        <w:rPr>
          <w:rFonts w:ascii="Times New Roman" w:cs="Times New Roman" w:eastAsia="Times New Roman" w:hAnsi="Times New Roman"/>
          <w:sz w:val="14"/>
          <w:szCs w:val="14"/>
          <w:color w:val="auto"/>
        </w:rPr>
        <w:t>Maryland law permits a Maryland corporation to include in its charter a provision limiting the liability of its directors and officers to the corporation and its stockholders for money damages except for liability resulting from (a) actual receipt of an improper benefit or profit in money, property or services or (b) active and deliberate dishonesty established by a final judgment as being material to the cause of action. Our charter contains such a provision which eliminates directors’ and officers’ liability to the maximum extent permitted by Maryland law, subject to the requirements of the 1940 Act.</w:t>
      </w:r>
    </w:p>
    <w:p>
      <w:pPr>
        <w:spacing w:after="0" w:line="143" w:lineRule="exact"/>
        <w:rPr>
          <w:sz w:val="20"/>
          <w:szCs w:val="20"/>
          <w:color w:val="auto"/>
        </w:rPr>
      </w:pPr>
    </w:p>
    <w:p>
      <w:pPr>
        <w:ind w:left="1380" w:right="339" w:firstLine="341"/>
        <w:spacing w:after="0" w:line="252" w:lineRule="auto"/>
        <w:rPr>
          <w:sz w:val="20"/>
          <w:szCs w:val="20"/>
          <w:color w:val="auto"/>
        </w:rPr>
      </w:pPr>
      <w:r>
        <w:rPr>
          <w:rFonts w:ascii="Times New Roman" w:cs="Times New Roman" w:eastAsia="Times New Roman" w:hAnsi="Times New Roman"/>
          <w:sz w:val="14"/>
          <w:szCs w:val="14"/>
          <w:color w:val="auto"/>
        </w:rPr>
        <w:t>Our charter authorizes us, to the maximum extent permitted by Maryland law and subject to the requirements of the 1940 Act, to indemnify any present or former director or officer or any individual who, while serving as our director or officer and at our request, serves or has served another corporation, real estate investment trust, partnership, joint venture, trust, employee benefit plan or other enterprise as a director, officer, partner or trustee, from and against any claim or liability to which that person may become subject or which that person may incur by reason of his or her service in any such capacity and to pay or reimburse their reasonable expenses in advance of final disposition of a proceeding. Our bylaws obligate us, to the maximum extent permitted by Maryland law and subject to the requirements of the 1940 Act, to indemnify any present or former director or officer or any individual who, while serving as our director or officer and at our request, serves or has served another corporation, real estate investment trust, partnership, joint venture, trust, employee benefit plan or other enterprise as a director, officer, partner or trustee and who is made, or threatened to be made, a party to the proceeding by reason of his or her service in that capacity from and against any claim or liability to which that person may become subject or which that person may incur by reason of his or her service in any such capacity and to pay or reimburse his or her reasonable expenses in advance of final disposition of a proceeding. The charter and bylaws also permit us to indemnify and advance expenses to any person who served a predecessor of us in any of the capacities described above and any of our employees or agents or any employees or agents of our predecessor. In accordance with the 1940 Act, we will not indemnify any person for any liability to which such person would be subject by reason of such person’s willful misfeasance, bad faith, gross negligence or reckless disregard of the duties involved in the conduct of his or her office.</w:t>
      </w:r>
    </w:p>
    <w:p>
      <w:pPr>
        <w:spacing w:after="0" w:line="145" w:lineRule="exact"/>
        <w:rPr>
          <w:sz w:val="20"/>
          <w:szCs w:val="20"/>
          <w:color w:val="auto"/>
        </w:rPr>
      </w:pPr>
    </w:p>
    <w:p>
      <w:pPr>
        <w:ind w:left="1380" w:right="299" w:firstLine="341"/>
        <w:spacing w:after="0" w:line="257" w:lineRule="auto"/>
        <w:rPr>
          <w:sz w:val="20"/>
          <w:szCs w:val="20"/>
          <w:color w:val="auto"/>
        </w:rPr>
      </w:pPr>
      <w:r>
        <w:rPr>
          <w:rFonts w:ascii="Times New Roman" w:cs="Times New Roman" w:eastAsia="Times New Roman" w:hAnsi="Times New Roman"/>
          <w:sz w:val="14"/>
          <w:szCs w:val="14"/>
          <w:color w:val="auto"/>
        </w:rPr>
        <w:t>Maryland law requires a corporation (unless its charter provides otherwise, which our charter does not) to indemnify a director or officer who has been successful in the defense of any proceeding to which he or she is made, or threatened to be made, a party by reason of his or her service in that capacity. Maryland law permits a corporation to indemnify its present and former directors and officers, among others, against judgments, penalties, fines, settlements and reasonable expenses actually incurred by them in connection with any proceeding to which they may be made, or threatened to be made, a party by reason of their service in those or</w:t>
      </w:r>
    </w:p>
    <w:p>
      <w:pPr>
        <w:spacing w:after="0" w:line="9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71</w:t>
      </w:r>
    </w:p>
    <w:p>
      <w:pPr>
        <w:sectPr>
          <w:pgSz w:w="11900" w:h="16838" w:orient="portrait"/>
          <w:cols w:equalWidth="0" w:num="1">
            <w:col w:w="10159"/>
          </w:cols>
          <w:pgMar w:left="300" w:top="384" w:right="1440"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93">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9"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color w:val="auto"/>
        </w:rPr>
        <w:t>other capacities unless it is established that (a) the act or omission of the director or officer was material to the matter giving rise to the proceeding and</w:t>
      </w:r>
    </w:p>
    <w:p>
      <w:pPr>
        <w:spacing w:after="0" w:line="21" w:lineRule="exact"/>
        <w:rPr>
          <w:sz w:val="20"/>
          <w:szCs w:val="20"/>
          <w:color w:val="auto"/>
        </w:rPr>
      </w:pPr>
    </w:p>
    <w:p>
      <w:pPr>
        <w:ind w:left="1380" w:right="259" w:hanging="5"/>
        <w:spacing w:after="0" w:line="272" w:lineRule="auto"/>
        <w:tabs>
          <w:tab w:leader="none" w:pos="1577" w:val="left"/>
        </w:tabs>
        <w:numPr>
          <w:ilvl w:val="0"/>
          <w:numId w:val="4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was committed in bad faith or (2) was the result of active and deliberate dishonesty, (b) the director or officer actually received an improper personal benefit in money, property or services or (c) in the case of any criminal proceeding, the director or officer had reasonable cause to believe that the act or omission was unlawful. However, under Maryland law, a Maryland corporation may not indemnify for an adverse judgment in a suit by or in the right of the corporation or for a judgment of liability on the basis that a personal benefit was improperly received unless, in either case, a court orders indemnification, and then only for expenses. In addition, Maryland law permits a corporation to advance reasonable expenses to a director or officer in advance of final disposition of a proceeding upon the corporation’s receipt of (a) a written affirmation by the director or officer of his or her good faith belief that he or she has met the standard of conduct necessary for indemnification by the corporation and (b) a written undertaking by him or her or on his or her behalf to repay the amount paid or reimbursed by the corporation if it is ultimately determined that the standard of conduct was not met.</w:t>
      </w:r>
    </w:p>
    <w:p>
      <w:pPr>
        <w:spacing w:after="0" w:line="137" w:lineRule="exact"/>
        <w:rPr>
          <w:sz w:val="20"/>
          <w:szCs w:val="20"/>
          <w:color w:val="auto"/>
        </w:rPr>
      </w:pPr>
    </w:p>
    <w:p>
      <w:pPr>
        <w:ind w:left="1380" w:right="759" w:firstLine="341"/>
        <w:spacing w:after="0" w:line="281" w:lineRule="auto"/>
        <w:rPr>
          <w:sz w:val="20"/>
          <w:szCs w:val="20"/>
          <w:color w:val="auto"/>
        </w:rPr>
      </w:pPr>
      <w:r>
        <w:rPr>
          <w:rFonts w:ascii="Times New Roman" w:cs="Times New Roman" w:eastAsia="Times New Roman" w:hAnsi="Times New Roman"/>
          <w:sz w:val="14"/>
          <w:szCs w:val="14"/>
          <w:color w:val="auto"/>
        </w:rPr>
        <w:t>We have entered into indemnification agreements with our directors. The indemnification agreements provide our directors the maximum indemnification permitted under Maryland law and the 1940 Act.</w:t>
      </w:r>
    </w:p>
    <w:p>
      <w:pPr>
        <w:spacing w:after="0" w:line="125" w:lineRule="exact"/>
        <w:rPr>
          <w:sz w:val="20"/>
          <w:szCs w:val="20"/>
          <w:color w:val="auto"/>
        </w:rPr>
      </w:pPr>
    </w:p>
    <w:p>
      <w:pPr>
        <w:ind w:left="1380" w:right="479" w:firstLine="341"/>
        <w:spacing w:after="0" w:line="281" w:lineRule="auto"/>
        <w:rPr>
          <w:sz w:val="20"/>
          <w:szCs w:val="20"/>
          <w:color w:val="auto"/>
        </w:rPr>
      </w:pPr>
      <w:r>
        <w:rPr>
          <w:rFonts w:ascii="Times New Roman" w:cs="Times New Roman" w:eastAsia="Times New Roman" w:hAnsi="Times New Roman"/>
          <w:sz w:val="14"/>
          <w:szCs w:val="14"/>
          <w:color w:val="auto"/>
        </w:rPr>
        <w:t>We have purchased directors’ and officers’ insurance policies covering our directors and officers and us for any acts and omissions committed, attempted or allegedly committed by any director or officer during the policy period. The policy is subject to customary exclusions.</w:t>
      </w:r>
    </w:p>
    <w:p>
      <w:pPr>
        <w:spacing w:after="0" w:line="207"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b w:val="1"/>
          <w:bCs w:val="1"/>
          <w:color w:val="auto"/>
        </w:rPr>
        <w:t>Certain Provisions of the Maryland General Corporation Law and Our Charter and Bylaws</w:t>
      </w:r>
    </w:p>
    <w:p>
      <w:pPr>
        <w:spacing w:after="0" w:line="92" w:lineRule="exact"/>
        <w:rPr>
          <w:sz w:val="20"/>
          <w:szCs w:val="20"/>
          <w:color w:val="auto"/>
        </w:rPr>
      </w:pPr>
    </w:p>
    <w:p>
      <w:pPr>
        <w:ind w:left="1380" w:right="279" w:firstLine="341"/>
        <w:spacing w:after="0" w:line="257" w:lineRule="auto"/>
        <w:rPr>
          <w:sz w:val="20"/>
          <w:szCs w:val="20"/>
          <w:color w:val="auto"/>
        </w:rPr>
      </w:pPr>
      <w:r>
        <w:rPr>
          <w:rFonts w:ascii="Times New Roman" w:cs="Times New Roman" w:eastAsia="Times New Roman" w:hAnsi="Times New Roman"/>
          <w:sz w:val="14"/>
          <w:szCs w:val="14"/>
          <w:color w:val="auto"/>
        </w:rPr>
        <w:t>The Maryland General Corporation Law and our charter and bylaws contain provisions that could make it more difficult for a potential acquiror to acquire us by means of a tender offer, proxy contest or otherwise. These provisions are expected to discourage certain coercive takeover practices and inadequate takeover bids and to encourage persons seeking to acquire control of us to negotiate first with our board of directors. We believe that the benefits of these provisions outweigh the potential disadvantages of discouraging any such acquisition proposals because, among other things, the negotiation of such proposals may improve their terms.</w:t>
      </w:r>
    </w:p>
    <w:p>
      <w:pPr>
        <w:spacing w:after="0" w:line="224"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b w:val="1"/>
          <w:bCs w:val="1"/>
          <w:color w:val="auto"/>
        </w:rPr>
        <w:t>Classified Board of Directors</w:t>
      </w:r>
    </w:p>
    <w:p>
      <w:pPr>
        <w:spacing w:after="0" w:line="92" w:lineRule="exact"/>
        <w:rPr>
          <w:sz w:val="20"/>
          <w:szCs w:val="20"/>
          <w:color w:val="auto"/>
        </w:rPr>
      </w:pPr>
    </w:p>
    <w:p>
      <w:pPr>
        <w:ind w:left="1380" w:right="339" w:firstLine="341"/>
        <w:spacing w:after="0" w:line="255" w:lineRule="auto"/>
        <w:rPr>
          <w:sz w:val="20"/>
          <w:szCs w:val="20"/>
          <w:color w:val="auto"/>
        </w:rPr>
      </w:pPr>
      <w:r>
        <w:rPr>
          <w:rFonts w:ascii="Times New Roman" w:cs="Times New Roman" w:eastAsia="Times New Roman" w:hAnsi="Times New Roman"/>
          <w:sz w:val="14"/>
          <w:szCs w:val="14"/>
          <w:color w:val="auto"/>
        </w:rPr>
        <w:t>Our board of directors is divided into three classes of directors serving staggered three-year terms. The terms of the first, second and third classes expire in 2027, 2028 and 2029, respectively, and in each case, those directors will serve until their successors are elected and qualify. Directors of each class will be elected to serve for three-year terms and until their successors are duly elected and qualify and each year one class of directors will be elected by the stockholders. A classified board may render a change in control of us or removal of our incumbent management more difficult. We believe, however, that the longer time required to elect a majority of a classified board of directors will help to ensure the continuity and stability of our management and policies.</w:t>
      </w:r>
    </w:p>
    <w:p>
      <w:pPr>
        <w:spacing w:after="0" w:line="227"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b w:val="1"/>
          <w:bCs w:val="1"/>
          <w:color w:val="auto"/>
        </w:rPr>
        <w:t>Election of Directors</w:t>
      </w:r>
    </w:p>
    <w:p>
      <w:pPr>
        <w:spacing w:after="0" w:line="92" w:lineRule="exact"/>
        <w:rPr>
          <w:sz w:val="20"/>
          <w:szCs w:val="20"/>
          <w:color w:val="auto"/>
        </w:rPr>
      </w:pPr>
    </w:p>
    <w:p>
      <w:pPr>
        <w:ind w:left="1380" w:right="299" w:firstLine="341"/>
        <w:spacing w:after="0" w:line="265" w:lineRule="auto"/>
        <w:rPr>
          <w:sz w:val="20"/>
          <w:szCs w:val="20"/>
          <w:color w:val="auto"/>
        </w:rPr>
      </w:pPr>
      <w:r>
        <w:rPr>
          <w:rFonts w:ascii="Times New Roman" w:cs="Times New Roman" w:eastAsia="Times New Roman" w:hAnsi="Times New Roman"/>
          <w:sz w:val="14"/>
          <w:szCs w:val="14"/>
          <w:color w:val="auto"/>
        </w:rPr>
        <w:t>Our charter and bylaws provide that the affirmative vote of the holders of a plurality of the outstanding shares of stock entitled to vote in the election of directors cast at a meeting of stockholders duly called and at which a quorum is present is required to elect a director. Pursuant to our bylaws our board of directors may amend the bylaws to alter the vote required to elect directors.</w:t>
      </w:r>
    </w:p>
    <w:p>
      <w:pPr>
        <w:spacing w:after="0" w:line="218"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b w:val="1"/>
          <w:bCs w:val="1"/>
          <w:color w:val="auto"/>
        </w:rPr>
        <w:t>Number of Directors; Vacancies; Removal</w:t>
      </w:r>
    </w:p>
    <w:p>
      <w:pPr>
        <w:spacing w:after="0" w:line="92" w:lineRule="exact"/>
        <w:rPr>
          <w:sz w:val="20"/>
          <w:szCs w:val="20"/>
          <w:color w:val="auto"/>
        </w:rPr>
      </w:pPr>
    </w:p>
    <w:p>
      <w:pPr>
        <w:ind w:left="1380" w:right="239" w:firstLine="341"/>
        <w:spacing w:after="0" w:line="265" w:lineRule="auto"/>
        <w:rPr>
          <w:sz w:val="20"/>
          <w:szCs w:val="20"/>
          <w:color w:val="auto"/>
        </w:rPr>
      </w:pPr>
      <w:r>
        <w:rPr>
          <w:rFonts w:ascii="Times New Roman" w:cs="Times New Roman" w:eastAsia="Times New Roman" w:hAnsi="Times New Roman"/>
          <w:sz w:val="14"/>
          <w:szCs w:val="14"/>
          <w:color w:val="auto"/>
        </w:rPr>
        <w:t>Our charter provides that the number of directors will be set only by the board of directors in accordance with our bylaws. Our bylaws provide that a majority of our entire board of directors may at any time increase or decrease the number of directors. However, unless our bylaws are amended, the number of directors may never</w:t>
      </w:r>
    </w:p>
    <w:p>
      <w:pPr>
        <w:spacing w:after="0" w:line="8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72</w:t>
      </w:r>
    </w:p>
    <w:p>
      <w:pPr>
        <w:sectPr>
          <w:pgSz w:w="11900" w:h="16838" w:orient="portrait"/>
          <w:cols w:equalWidth="0" w:num="1">
            <w:col w:w="10159"/>
          </w:cols>
          <w:pgMar w:left="300" w:top="384" w:right="1440"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94">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9" w:lineRule="exact"/>
        <w:rPr>
          <w:sz w:val="20"/>
          <w:szCs w:val="20"/>
          <w:color w:val="auto"/>
        </w:rPr>
      </w:pPr>
    </w:p>
    <w:p>
      <w:pPr>
        <w:ind w:left="1380" w:right="319"/>
        <w:spacing w:after="0" w:line="260" w:lineRule="auto"/>
        <w:rPr>
          <w:sz w:val="20"/>
          <w:szCs w:val="20"/>
          <w:color w:val="auto"/>
        </w:rPr>
      </w:pPr>
      <w:r>
        <w:rPr>
          <w:rFonts w:ascii="Times New Roman" w:cs="Times New Roman" w:eastAsia="Times New Roman" w:hAnsi="Times New Roman"/>
          <w:sz w:val="14"/>
          <w:szCs w:val="14"/>
          <w:color w:val="auto"/>
        </w:rPr>
        <w:t>be less than one nor more than eight. Except as may be provided by the board of directors in setting the terms of any class or series of preferred stock, any and all vacancies on the board of directors may be filled only by the affirmative vote of a majority of the remaining directors in office, even if the remaining directors do not constitute a quorum, and any director elected to fill a vacancy will serve for the remainder of the full term of the directorship in which the vacancy occurred and until a successor is elected and qualifies, subject to any applicable requirements of the 1940 Act.</w:t>
      </w:r>
    </w:p>
    <w:p>
      <w:pPr>
        <w:spacing w:after="0" w:line="140" w:lineRule="exact"/>
        <w:rPr>
          <w:sz w:val="20"/>
          <w:szCs w:val="20"/>
          <w:color w:val="auto"/>
        </w:rPr>
      </w:pPr>
    </w:p>
    <w:p>
      <w:pPr>
        <w:ind w:left="1380" w:right="559" w:firstLine="341"/>
        <w:spacing w:after="0" w:line="281" w:lineRule="auto"/>
        <w:rPr>
          <w:sz w:val="20"/>
          <w:szCs w:val="20"/>
          <w:color w:val="auto"/>
        </w:rPr>
      </w:pPr>
      <w:r>
        <w:rPr>
          <w:rFonts w:ascii="Times New Roman" w:cs="Times New Roman" w:eastAsia="Times New Roman" w:hAnsi="Times New Roman"/>
          <w:sz w:val="14"/>
          <w:szCs w:val="14"/>
          <w:color w:val="auto"/>
        </w:rPr>
        <w:t>Our charter provides that a director may be removed only for cause, as defined in our charter, and then only by the affirmative vote of at least two-thirds of the votes entitled to be cast in the election of directors.</w:t>
      </w:r>
    </w:p>
    <w:p>
      <w:pPr>
        <w:spacing w:after="0" w:line="207"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b w:val="1"/>
          <w:bCs w:val="1"/>
          <w:color w:val="auto"/>
        </w:rPr>
        <w:t>Action by Stockholders</w:t>
      </w:r>
    </w:p>
    <w:p>
      <w:pPr>
        <w:spacing w:after="0" w:line="92" w:lineRule="exact"/>
        <w:rPr>
          <w:sz w:val="20"/>
          <w:szCs w:val="20"/>
          <w:color w:val="auto"/>
        </w:rPr>
      </w:pPr>
    </w:p>
    <w:p>
      <w:pPr>
        <w:ind w:left="1380" w:right="299" w:firstLine="341"/>
        <w:spacing w:after="0" w:line="260" w:lineRule="auto"/>
        <w:rPr>
          <w:sz w:val="20"/>
          <w:szCs w:val="20"/>
          <w:color w:val="auto"/>
        </w:rPr>
      </w:pPr>
      <w:r>
        <w:rPr>
          <w:rFonts w:ascii="Times New Roman" w:cs="Times New Roman" w:eastAsia="Times New Roman" w:hAnsi="Times New Roman"/>
          <w:sz w:val="14"/>
          <w:szCs w:val="14"/>
          <w:color w:val="auto"/>
        </w:rPr>
        <w:t>Under the Maryland General Corporation Law, stockholder action can be taken only at an annual or special meeting of stockholders or (unless the charter provides for stockholder action by less than unanimous written consent, which our charter does not) by unanimous written consent in lieu of a meeting. These provisions, combined with the requirements of our bylaws regarding the calling of a stockholder-requested special meeting of stockholders discussed below, may have the effect of delaying consideration of a stockholder proposal until the next annual meeting.</w:t>
      </w:r>
    </w:p>
    <w:p>
      <w:pPr>
        <w:spacing w:after="0" w:line="221"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b w:val="1"/>
          <w:bCs w:val="1"/>
          <w:color w:val="auto"/>
        </w:rPr>
        <w:t>Advance Notice Provisions for Stockholder Nominations and Stockholder Proposals</w:t>
      </w:r>
    </w:p>
    <w:p>
      <w:pPr>
        <w:spacing w:after="0" w:line="92" w:lineRule="exact"/>
        <w:rPr>
          <w:sz w:val="20"/>
          <w:szCs w:val="20"/>
          <w:color w:val="auto"/>
        </w:rPr>
      </w:pPr>
    </w:p>
    <w:p>
      <w:pPr>
        <w:ind w:left="1380" w:right="279" w:firstLine="341"/>
        <w:spacing w:after="0" w:line="254" w:lineRule="auto"/>
        <w:rPr>
          <w:sz w:val="20"/>
          <w:szCs w:val="20"/>
          <w:color w:val="auto"/>
        </w:rPr>
      </w:pPr>
      <w:r>
        <w:rPr>
          <w:rFonts w:ascii="Times New Roman" w:cs="Times New Roman" w:eastAsia="Times New Roman" w:hAnsi="Times New Roman"/>
          <w:sz w:val="14"/>
          <w:szCs w:val="14"/>
          <w:color w:val="auto"/>
        </w:rPr>
        <w:t>Our bylaws provide that with respect to an annual meeting of stockholders, nominations of persons for election to the board of directors and the proposal of business to be considered by stockholders may be made only (a) pursuant to our notice of the meeting, (b) by the board of directors or (c) by a stockholder who was a stockholder of record both at the time of giving notice and at the time of the annual meeting and who is entitled to vote at the meeting and who has complied with the advance notice procedures of our bylaws. With respect to special meetings of stockholders, only the business specified in our notice of the meeting may be brought before the meeting. Nominations of persons for election to the board of directors at a special meeting may be made only (a) pursuant to our notice of the meeting, (b) by the board of directors or (c) provided that the board of directors has determined that directors will be elected at the meeting, by a stockholder who was a stockholder of record both at the time of giving notice and at the time of the annual meeting and who is entitled to vote at the meeting and who has complied with the advance notice provisions of our bylaws.</w:t>
      </w:r>
    </w:p>
    <w:p>
      <w:pPr>
        <w:spacing w:after="0" w:line="144" w:lineRule="exact"/>
        <w:rPr>
          <w:sz w:val="20"/>
          <w:szCs w:val="20"/>
          <w:color w:val="auto"/>
        </w:rPr>
      </w:pPr>
    </w:p>
    <w:p>
      <w:pPr>
        <w:ind w:left="1380" w:right="279" w:firstLine="341"/>
        <w:spacing w:after="0" w:line="254" w:lineRule="auto"/>
        <w:rPr>
          <w:sz w:val="20"/>
          <w:szCs w:val="20"/>
          <w:color w:val="auto"/>
        </w:rPr>
      </w:pPr>
      <w:r>
        <w:rPr>
          <w:rFonts w:ascii="Times New Roman" w:cs="Times New Roman" w:eastAsia="Times New Roman" w:hAnsi="Times New Roman"/>
          <w:sz w:val="14"/>
          <w:szCs w:val="14"/>
          <w:color w:val="auto"/>
        </w:rPr>
        <w:t>The purpose of requiring stockholders to give us advance notice of nominations and other business is to afford our board of directors a meaningful opportunity to consider the qualifications of the proposed nominees and the advisability of any other proposed business and, to the extent deemed necessary or desirable by our board of directors, to inform stockholders and make recommendations about such qualifications or business, as well as to provide a more orderly procedure for conducting meetings of stockholders. Although our bylaws do not give our board of directors any power to disapprove stockholder nominations for the election of directors or proposals recommending certain action, they may have the effect of (a) precluding a contest for the election of directors or the consideration of stockholder proposals if proper procedures are not followed and (b) discouraging or deterring a third party from conducting a solicitation of proxies to elect its own slate of directors or to approve its own proposal without regard to whether consideration of such nominees or proposals might be harmful or beneficial to us and our stockholders.</w:t>
      </w:r>
    </w:p>
    <w:p>
      <w:pPr>
        <w:spacing w:after="0" w:line="226"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b w:val="1"/>
          <w:bCs w:val="1"/>
          <w:color w:val="auto"/>
        </w:rPr>
        <w:t>Calling of Special Meetings of Stockholders</w:t>
      </w:r>
    </w:p>
    <w:p>
      <w:pPr>
        <w:spacing w:after="0" w:line="92" w:lineRule="exact"/>
        <w:rPr>
          <w:sz w:val="20"/>
          <w:szCs w:val="20"/>
          <w:color w:val="auto"/>
        </w:rPr>
      </w:pPr>
    </w:p>
    <w:p>
      <w:pPr>
        <w:ind w:left="1380" w:right="419" w:firstLine="341"/>
        <w:spacing w:after="0" w:line="260" w:lineRule="auto"/>
        <w:rPr>
          <w:sz w:val="20"/>
          <w:szCs w:val="20"/>
          <w:color w:val="auto"/>
        </w:rPr>
      </w:pPr>
      <w:r>
        <w:rPr>
          <w:rFonts w:ascii="Times New Roman" w:cs="Times New Roman" w:eastAsia="Times New Roman" w:hAnsi="Times New Roman"/>
          <w:sz w:val="14"/>
          <w:szCs w:val="14"/>
          <w:color w:val="auto"/>
        </w:rPr>
        <w:t>Our bylaws provide that special meetings of stockholders may be called by the chairman of our board of directors, our President or our board of directors. Additionally, our bylaws provide that, subject to the satisfaction of certain procedural and informational requirements by the stockholders requesting the special meeting, a special meeting of stockholders will be called by the secretary of the corporation upon the written request of stockholders entitled to cast not less than a majority of all the votes entitled to be cast at such meeting.</w:t>
      </w:r>
    </w:p>
    <w:p>
      <w:pPr>
        <w:spacing w:after="0" w:line="8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73</w:t>
      </w:r>
    </w:p>
    <w:p>
      <w:pPr>
        <w:sectPr>
          <w:pgSz w:w="11900" w:h="16838" w:orient="portrait"/>
          <w:cols w:equalWidth="0" w:num="1">
            <w:col w:w="10159"/>
          </w:cols>
          <w:pgMar w:left="300" w:top="384" w:right="1440"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95">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7"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b w:val="1"/>
          <w:bCs w:val="1"/>
          <w:color w:val="auto"/>
        </w:rPr>
        <w:t>Approval of Extraordinary Corporate Action; Amendment of Charter and Bylaws</w:t>
      </w:r>
    </w:p>
    <w:p>
      <w:pPr>
        <w:spacing w:after="0" w:line="92" w:lineRule="exact"/>
        <w:rPr>
          <w:sz w:val="20"/>
          <w:szCs w:val="20"/>
          <w:color w:val="auto"/>
        </w:rPr>
      </w:pPr>
    </w:p>
    <w:p>
      <w:pPr>
        <w:ind w:left="1380" w:right="299" w:firstLine="341"/>
        <w:spacing w:after="0" w:line="252" w:lineRule="auto"/>
        <w:rPr>
          <w:sz w:val="20"/>
          <w:szCs w:val="20"/>
          <w:color w:val="auto"/>
        </w:rPr>
      </w:pPr>
      <w:r>
        <w:rPr>
          <w:rFonts w:ascii="Times New Roman" w:cs="Times New Roman" w:eastAsia="Times New Roman" w:hAnsi="Times New Roman"/>
          <w:sz w:val="14"/>
          <w:szCs w:val="14"/>
          <w:color w:val="auto"/>
        </w:rPr>
        <w:t>Under Maryland law, a Maryland corporation generally cannot dissolve, amend its charter, merge, sell all or substantially all of its assets, engage in a share exchange or engage in similar transactions outside the ordinary course of business, unless approved by the affirmative vote of stockholders entitled to cast at least two-thirds of the votes entitled to be cast on the matter. However, a Maryland corporation may provide in its charter for approval of these matters by a lesser percentage, but not less than a majority of all of the votes entitled to be cast on the matter. Our charter provides that certain charter amendments, any proposal for our conversion, whether by charter amendment, merger or otherwise, from a closed-end company to an open-end company and any proposal for our liquidation or dissolution requires the approval of the stockholders entitled to cast at least 80.0% of the votes entitled to be cast on such matter. However, if such amendment or proposal is approved by a majority of our continuing directors (in addition to approval by our board of directors), such amendment or proposal may be approved by a majority of the votes entitled to be cast on such a matter. The “continuing directors” are defined in our charter as (a) our current directors, (b) those directors whose nomination for election by the stockholders or whose election by the directors to fill vacancies is approved by a majority of our current directors then on the board of directors or (c) any successor directors whose nomination for election by the stockholders or whose election by the directors to fill vacancies is approved by a majority of the continuing directors or the successor continuing directors then in office.</w:t>
      </w:r>
    </w:p>
    <w:p>
      <w:pPr>
        <w:spacing w:after="0" w:line="148"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4"/>
          <w:szCs w:val="14"/>
          <w:color w:val="auto"/>
        </w:rPr>
        <w:t>Our charter and bylaws provide that the board of directors has the exclusive power to make, alter, amend or repeal any provision of our bylaws.</w:t>
      </w:r>
    </w:p>
    <w:p>
      <w:pPr>
        <w:spacing w:after="0" w:line="256"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b w:val="1"/>
          <w:bCs w:val="1"/>
          <w:color w:val="auto"/>
        </w:rPr>
        <w:t>No Appraisal Rights</w:t>
      </w:r>
    </w:p>
    <w:p>
      <w:pPr>
        <w:spacing w:after="0" w:line="92" w:lineRule="exact"/>
        <w:rPr>
          <w:sz w:val="20"/>
          <w:szCs w:val="20"/>
          <w:color w:val="auto"/>
        </w:rPr>
      </w:pPr>
    </w:p>
    <w:p>
      <w:pPr>
        <w:jc w:val="both"/>
        <w:ind w:left="1380" w:right="379" w:firstLine="341"/>
        <w:spacing w:after="0" w:line="265" w:lineRule="auto"/>
        <w:rPr>
          <w:sz w:val="20"/>
          <w:szCs w:val="20"/>
          <w:color w:val="auto"/>
        </w:rPr>
      </w:pPr>
      <w:r>
        <w:rPr>
          <w:rFonts w:ascii="Times New Roman" w:cs="Times New Roman" w:eastAsia="Times New Roman" w:hAnsi="Times New Roman"/>
          <w:sz w:val="14"/>
          <w:szCs w:val="14"/>
          <w:color w:val="auto"/>
        </w:rPr>
        <w:t>Except with respect to appraisal rights arising in connection with the Control Share Act discussed below, as permitted by the Maryland General Corporation Law, our charter provides that stockholders will not be entitled to exercise appraisal rights unless a majority of the board of directors shall determine such rights apply.</w:t>
      </w:r>
    </w:p>
    <w:p>
      <w:pPr>
        <w:spacing w:after="0" w:line="218"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b w:val="1"/>
          <w:bCs w:val="1"/>
          <w:color w:val="auto"/>
        </w:rPr>
        <w:t>Control Share Acquisitions</w:t>
      </w:r>
    </w:p>
    <w:p>
      <w:pPr>
        <w:spacing w:after="0" w:line="92" w:lineRule="exact"/>
        <w:rPr>
          <w:sz w:val="20"/>
          <w:szCs w:val="20"/>
          <w:color w:val="auto"/>
        </w:rPr>
      </w:pPr>
    </w:p>
    <w:p>
      <w:pPr>
        <w:ind w:left="1380" w:right="259" w:firstLine="341"/>
        <w:spacing w:after="0" w:line="255" w:lineRule="auto"/>
        <w:rPr>
          <w:sz w:val="20"/>
          <w:szCs w:val="20"/>
          <w:color w:val="auto"/>
        </w:rPr>
      </w:pPr>
      <w:r>
        <w:rPr>
          <w:rFonts w:ascii="Times New Roman" w:cs="Times New Roman" w:eastAsia="Times New Roman" w:hAnsi="Times New Roman"/>
          <w:sz w:val="14"/>
          <w:szCs w:val="14"/>
          <w:color w:val="auto"/>
        </w:rPr>
        <w:t>The Maryland General Corporation Law provides that control shares of a Maryland corporation acquired in a control share acquisition have no voting rights except to the extent approved by a vote of two-thirds of the votes entitled to be cast on the matter (the “Control Share Act”). Shares owned by the acquiror, by officers or by directors who are employees of the corporation are excluded from shares entitled to vote on the matter. Control shares are voting shares of stock which, if aggregated with all other shares of stock owned by the acquiror or in respect of which the acquiror is able to exercise or direct the exercise of voting power (except solely by virtue of a revocable proxy), would entitle the acquiror to exercise voting power in electing directors within one of the following ranges of voting power:</w:t>
      </w:r>
    </w:p>
    <w:p>
      <w:pPr>
        <w:spacing w:after="0" w:line="72" w:lineRule="exact"/>
        <w:rPr>
          <w:sz w:val="20"/>
          <w:szCs w:val="20"/>
          <w:color w:val="auto"/>
        </w:rPr>
      </w:pPr>
    </w:p>
    <w:p>
      <w:pPr>
        <w:ind w:left="2120" w:hanging="327"/>
        <w:spacing w:after="0"/>
        <w:tabs>
          <w:tab w:leader="none" w:pos="212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one-tenth or more but less than one-third;</w:t>
      </w:r>
    </w:p>
    <w:p>
      <w:pPr>
        <w:spacing w:after="0" w:line="100" w:lineRule="exact"/>
        <w:rPr>
          <w:rFonts w:ascii="Times New Roman" w:cs="Times New Roman" w:eastAsia="Times New Roman" w:hAnsi="Times New Roman"/>
          <w:sz w:val="14"/>
          <w:szCs w:val="14"/>
          <w:color w:val="auto"/>
        </w:rPr>
      </w:pPr>
    </w:p>
    <w:p>
      <w:pPr>
        <w:ind w:left="2120" w:hanging="327"/>
        <w:spacing w:after="0"/>
        <w:tabs>
          <w:tab w:leader="none" w:pos="212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one-third or more but less than a majority; or</w:t>
      </w:r>
    </w:p>
    <w:p>
      <w:pPr>
        <w:spacing w:after="0" w:line="100" w:lineRule="exact"/>
        <w:rPr>
          <w:rFonts w:ascii="Times New Roman" w:cs="Times New Roman" w:eastAsia="Times New Roman" w:hAnsi="Times New Roman"/>
          <w:sz w:val="14"/>
          <w:szCs w:val="14"/>
          <w:color w:val="auto"/>
        </w:rPr>
      </w:pPr>
    </w:p>
    <w:p>
      <w:pPr>
        <w:ind w:left="2120" w:hanging="327"/>
        <w:spacing w:after="0"/>
        <w:tabs>
          <w:tab w:leader="none" w:pos="212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majority or more of all voting power.</w:t>
      </w:r>
    </w:p>
    <w:p>
      <w:pPr>
        <w:spacing w:after="0" w:line="174" w:lineRule="exact"/>
        <w:rPr>
          <w:sz w:val="20"/>
          <w:szCs w:val="20"/>
          <w:color w:val="auto"/>
        </w:rPr>
      </w:pPr>
    </w:p>
    <w:p>
      <w:pPr>
        <w:jc w:val="both"/>
        <w:ind w:left="1380" w:right="339" w:firstLine="341"/>
        <w:spacing w:after="0" w:line="265" w:lineRule="auto"/>
        <w:rPr>
          <w:sz w:val="20"/>
          <w:szCs w:val="20"/>
          <w:color w:val="auto"/>
        </w:rPr>
      </w:pPr>
      <w:r>
        <w:rPr>
          <w:rFonts w:ascii="Times New Roman" w:cs="Times New Roman" w:eastAsia="Times New Roman" w:hAnsi="Times New Roman"/>
          <w:sz w:val="14"/>
          <w:szCs w:val="14"/>
          <w:color w:val="auto"/>
        </w:rPr>
        <w:t>The requisite stockholder approval must be obtained each time an acquiror crosses one of the thresholds of voting power set forth above. Control shares do not include shares the acquiring person is then entitled to vote as a result of having previously obtained stockholder approval. A control share acquisition means the acquisition of control shares, subject to certain exceptions.</w:t>
      </w:r>
    </w:p>
    <w:p>
      <w:pPr>
        <w:spacing w:after="0" w:line="136" w:lineRule="exact"/>
        <w:rPr>
          <w:sz w:val="20"/>
          <w:szCs w:val="20"/>
          <w:color w:val="auto"/>
        </w:rPr>
      </w:pPr>
    </w:p>
    <w:p>
      <w:pPr>
        <w:ind w:left="1380" w:right="459" w:firstLine="341"/>
        <w:spacing w:after="0" w:line="260" w:lineRule="auto"/>
        <w:rPr>
          <w:sz w:val="20"/>
          <w:szCs w:val="20"/>
          <w:color w:val="auto"/>
        </w:rPr>
      </w:pPr>
      <w:r>
        <w:rPr>
          <w:rFonts w:ascii="Times New Roman" w:cs="Times New Roman" w:eastAsia="Times New Roman" w:hAnsi="Times New Roman"/>
          <w:sz w:val="14"/>
          <w:szCs w:val="14"/>
          <w:color w:val="auto"/>
        </w:rPr>
        <w:t>A person who has made or proposes to make a control share acquisition may compel the board of directors of the corporation to call a special meeting of stockholders to be held within 50 days of demand to consider the voting rights of the shares. The right to compel the calling of a special meeting is subject to the satisfaction of certain conditions, including an undertaking to pay the expenses of the meeting. If no request for a meeting is made, the corporation may itself present the question at any stockholders meeting.</w:t>
      </w:r>
    </w:p>
    <w:p>
      <w:pPr>
        <w:spacing w:after="0" w:line="8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74</w:t>
      </w:r>
    </w:p>
    <w:p>
      <w:pPr>
        <w:sectPr>
          <w:pgSz w:w="11900" w:h="16838" w:orient="portrait"/>
          <w:cols w:equalWidth="0" w:num="1">
            <w:col w:w="10159"/>
          </w:cols>
          <w:pgMar w:left="300" w:top="384" w:right="1440"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96">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9" w:lineRule="exact"/>
        <w:rPr>
          <w:sz w:val="20"/>
          <w:szCs w:val="20"/>
          <w:color w:val="auto"/>
        </w:rPr>
      </w:pPr>
    </w:p>
    <w:p>
      <w:pPr>
        <w:ind w:left="1380" w:right="279" w:firstLine="341"/>
        <w:spacing w:after="0" w:line="254" w:lineRule="auto"/>
        <w:rPr>
          <w:sz w:val="20"/>
          <w:szCs w:val="20"/>
          <w:color w:val="auto"/>
        </w:rPr>
      </w:pPr>
      <w:r>
        <w:rPr>
          <w:rFonts w:ascii="Times New Roman" w:cs="Times New Roman" w:eastAsia="Times New Roman" w:hAnsi="Times New Roman"/>
          <w:sz w:val="14"/>
          <w:szCs w:val="14"/>
          <w:color w:val="auto"/>
        </w:rPr>
        <w:t>If voting rights are not approved at the meeting or if the acquiring person does not deliver an acquiring person statement as required by the statute, then the corporation may redeem for fair value any or all of the control shares, except those for which voting rights have previously been approved. The right of the corporation to redeem control shares is subject to certain conditions and limitations, including, as provided in our bylaws compliance with the 1940 Act. Fair value is determined, without regard to the absence of voting rights for the control shares, as of the date of the last control share acquisition by the acquiror or of any meeting of stockholders at which the voting rights of the shares are considered and not approved. If voting rights for control shares are approved at a stockholders meeting and the acquiror becomes entitled to vote a majority of the shares entitled to vote, all other stockholders may exercise appraisal rights. The fair value of the shares as determined for purposes of appraisal rights may not be less than the highest price per share paid by the acquiror in the control share acquisition.</w:t>
      </w:r>
    </w:p>
    <w:p>
      <w:pPr>
        <w:spacing w:after="0" w:line="144" w:lineRule="exact"/>
        <w:rPr>
          <w:sz w:val="20"/>
          <w:szCs w:val="20"/>
          <w:color w:val="auto"/>
        </w:rPr>
      </w:pPr>
    </w:p>
    <w:p>
      <w:pPr>
        <w:ind w:left="1380" w:right="279" w:firstLine="341"/>
        <w:spacing w:after="0" w:line="255" w:lineRule="auto"/>
        <w:rPr>
          <w:sz w:val="20"/>
          <w:szCs w:val="20"/>
          <w:color w:val="auto"/>
        </w:rPr>
      </w:pPr>
      <w:r>
        <w:rPr>
          <w:rFonts w:ascii="Times New Roman" w:cs="Times New Roman" w:eastAsia="Times New Roman" w:hAnsi="Times New Roman"/>
          <w:sz w:val="14"/>
          <w:szCs w:val="14"/>
          <w:color w:val="auto"/>
        </w:rPr>
        <w:t>The Control Share Act does not apply (a) to shares acquired in a merger, consolidation or share exchange if the corporation is a party to the transaction or (b) to acquisitions approved or exempted by the charter or bylaws of the corporation. Our bylaws contain a provision exempting from the Control Share Act any and all acquisitions by any person of our shares of stock. There can be no assurance that such provision will not be amended or eliminated at any time in the future. However, we will amend our bylaws to be subject to the Control Share Act only if the board of directors determines that it would be in our best interests and if the SEC staff does not object to our determination that our being subject to the Control Share Act does not conflict with the 1940 Act.</w:t>
      </w:r>
    </w:p>
    <w:p>
      <w:pPr>
        <w:spacing w:after="0" w:line="227"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b w:val="1"/>
          <w:bCs w:val="1"/>
          <w:color w:val="auto"/>
        </w:rPr>
        <w:t>Business Combinations</w:t>
      </w:r>
    </w:p>
    <w:p>
      <w:pPr>
        <w:spacing w:after="0" w:line="92" w:lineRule="exact"/>
        <w:rPr>
          <w:sz w:val="20"/>
          <w:szCs w:val="20"/>
          <w:color w:val="auto"/>
        </w:rPr>
      </w:pPr>
    </w:p>
    <w:p>
      <w:pPr>
        <w:ind w:left="1380" w:right="279" w:firstLine="341"/>
        <w:spacing w:after="0" w:line="260" w:lineRule="auto"/>
        <w:rPr>
          <w:sz w:val="20"/>
          <w:szCs w:val="20"/>
          <w:color w:val="auto"/>
        </w:rPr>
      </w:pPr>
      <w:r>
        <w:rPr>
          <w:rFonts w:ascii="Times New Roman" w:cs="Times New Roman" w:eastAsia="Times New Roman" w:hAnsi="Times New Roman"/>
          <w:sz w:val="14"/>
          <w:szCs w:val="14"/>
          <w:color w:val="auto"/>
        </w:rPr>
        <w:t>Under Maryland law, “business combinations” between a Maryland corporation and an interested stockholder or an affiliate of an interested stockholder are prohibited for five years after the most recent date on which the interested stockholder becomes an interested stockholder (the “Business Combination Act”). These business combinations include a merger, consolidation, share exchange or, in circumstances specified in the statute, an asset transfer or issuance or reclassification of equity securities. An interested stockholder is defined as:</w:t>
      </w:r>
    </w:p>
    <w:p>
      <w:pPr>
        <w:spacing w:after="0" w:line="66" w:lineRule="exact"/>
        <w:rPr>
          <w:sz w:val="20"/>
          <w:szCs w:val="20"/>
          <w:color w:val="auto"/>
        </w:rPr>
      </w:pPr>
    </w:p>
    <w:p>
      <w:pPr>
        <w:ind w:left="2120" w:hanging="327"/>
        <w:spacing w:after="0"/>
        <w:tabs>
          <w:tab w:leader="none" w:pos="212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person who beneficially owns 10.0% or more of the voting power of the corporation’s outstanding voting stock; or</w:t>
      </w:r>
    </w:p>
    <w:p>
      <w:pPr>
        <w:spacing w:after="0" w:line="100" w:lineRule="exact"/>
        <w:rPr>
          <w:rFonts w:ascii="Times New Roman" w:cs="Times New Roman" w:eastAsia="Times New Roman" w:hAnsi="Times New Roman"/>
          <w:sz w:val="14"/>
          <w:szCs w:val="14"/>
          <w:color w:val="auto"/>
        </w:rPr>
      </w:pPr>
    </w:p>
    <w:p>
      <w:pPr>
        <w:ind w:left="2120" w:right="579" w:hanging="327"/>
        <w:spacing w:after="0" w:line="281" w:lineRule="auto"/>
        <w:tabs>
          <w:tab w:leader="none" w:pos="212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affiliate or associate of the corporation who, at any time within the two-year period prior to the date in question, was the beneficial owner of 10.0% or more of the voting power of the then outstanding voting stock of the corporation.</w:t>
      </w:r>
    </w:p>
    <w:p>
      <w:pPr>
        <w:spacing w:after="0" w:line="125" w:lineRule="exact"/>
        <w:rPr>
          <w:sz w:val="20"/>
          <w:szCs w:val="20"/>
          <w:color w:val="auto"/>
        </w:rPr>
      </w:pPr>
    </w:p>
    <w:p>
      <w:pPr>
        <w:ind w:left="1380" w:right="339" w:firstLine="341"/>
        <w:spacing w:after="0" w:line="265" w:lineRule="auto"/>
        <w:rPr>
          <w:sz w:val="20"/>
          <w:szCs w:val="20"/>
          <w:color w:val="auto"/>
        </w:rPr>
      </w:pPr>
      <w:r>
        <w:rPr>
          <w:rFonts w:ascii="Times New Roman" w:cs="Times New Roman" w:eastAsia="Times New Roman" w:hAnsi="Times New Roman"/>
          <w:sz w:val="14"/>
          <w:szCs w:val="14"/>
          <w:color w:val="auto"/>
        </w:rPr>
        <w:t>A person is not an interested stockholder under this statute if the board of directors approved in advance the transaction by which the stockholder otherwise would have become an interested stockholder. However, in approving a transaction, the board of directors may provide that its approval is subject to compliance, at or after the time of approval, with any terms and conditions determined by the board.</w:t>
      </w:r>
    </w:p>
    <w:p>
      <w:pPr>
        <w:spacing w:after="0" w:line="136" w:lineRule="exact"/>
        <w:rPr>
          <w:sz w:val="20"/>
          <w:szCs w:val="20"/>
          <w:color w:val="auto"/>
        </w:rPr>
      </w:pPr>
    </w:p>
    <w:p>
      <w:pPr>
        <w:ind w:left="1380" w:right="579" w:firstLine="341"/>
        <w:spacing w:after="0" w:line="281" w:lineRule="auto"/>
        <w:rPr>
          <w:sz w:val="20"/>
          <w:szCs w:val="20"/>
          <w:color w:val="auto"/>
        </w:rPr>
      </w:pPr>
      <w:r>
        <w:rPr>
          <w:rFonts w:ascii="Times New Roman" w:cs="Times New Roman" w:eastAsia="Times New Roman" w:hAnsi="Times New Roman"/>
          <w:sz w:val="14"/>
          <w:szCs w:val="14"/>
          <w:color w:val="auto"/>
        </w:rPr>
        <w:t>After the five-year prohibition, any business combination between the Maryland corporation and an interested stockholder generally must be recommended by the board of directors of the corporation and approved by the affirmative vote of at least:</w:t>
      </w:r>
    </w:p>
    <w:p>
      <w:pPr>
        <w:spacing w:after="0" w:line="52" w:lineRule="exact"/>
        <w:rPr>
          <w:sz w:val="20"/>
          <w:szCs w:val="20"/>
          <w:color w:val="auto"/>
        </w:rPr>
      </w:pPr>
    </w:p>
    <w:p>
      <w:pPr>
        <w:ind w:left="2120" w:hanging="327"/>
        <w:spacing w:after="0"/>
        <w:tabs>
          <w:tab w:leader="none" w:pos="212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80.0% of the votes entitled to be cast by holders of outstanding shares of voting stock of the corporation; and</w:t>
      </w:r>
    </w:p>
    <w:p>
      <w:pPr>
        <w:spacing w:after="0" w:line="100" w:lineRule="exact"/>
        <w:rPr>
          <w:rFonts w:ascii="Times New Roman" w:cs="Times New Roman" w:eastAsia="Times New Roman" w:hAnsi="Times New Roman"/>
          <w:sz w:val="14"/>
          <w:szCs w:val="14"/>
          <w:color w:val="auto"/>
        </w:rPr>
      </w:pPr>
    </w:p>
    <w:p>
      <w:pPr>
        <w:ind w:left="2120" w:right="339" w:hanging="327"/>
        <w:spacing w:after="0" w:line="265" w:lineRule="auto"/>
        <w:tabs>
          <w:tab w:leader="none" w:pos="212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two-thirds of the votes entitled to be cast by holders of voting stock of the corporation other than shares held by the interested stockholder with whom or with whose affiliate the business combination is to be effected or held by an affiliate or associate of the interested stockholder.</w:t>
      </w:r>
    </w:p>
    <w:p>
      <w:pPr>
        <w:spacing w:after="0" w:line="136" w:lineRule="exact"/>
        <w:rPr>
          <w:sz w:val="20"/>
          <w:szCs w:val="20"/>
          <w:color w:val="auto"/>
        </w:rPr>
      </w:pPr>
    </w:p>
    <w:p>
      <w:pPr>
        <w:ind w:left="1380" w:right="319" w:firstLine="341"/>
        <w:spacing w:after="0" w:line="321" w:lineRule="auto"/>
        <w:rPr>
          <w:sz w:val="20"/>
          <w:szCs w:val="20"/>
          <w:color w:val="auto"/>
        </w:rPr>
      </w:pPr>
      <w:r>
        <w:rPr>
          <w:rFonts w:ascii="Times New Roman" w:cs="Times New Roman" w:eastAsia="Times New Roman" w:hAnsi="Times New Roman"/>
          <w:sz w:val="13"/>
          <w:szCs w:val="13"/>
          <w:color w:val="auto"/>
        </w:rPr>
        <w:t>These super-majority vote requirements do not apply if the corporation’s common stockholders receive a minimum price, as defined under Maryland law, for their shares in the form of cash or other consideration in the same form as previously paid by the interested stockholder for its shares.</w:t>
      </w:r>
    </w:p>
    <w:p>
      <w:pPr>
        <w:spacing w:after="0" w:line="5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75</w:t>
      </w:r>
    </w:p>
    <w:p>
      <w:pPr>
        <w:sectPr>
          <w:pgSz w:w="11900" w:h="16838" w:orient="portrait"/>
          <w:cols w:equalWidth="0" w:num="1">
            <w:col w:w="10159"/>
          </w:cols>
          <w:pgMar w:left="300" w:top="384" w:right="1440"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97">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9" w:lineRule="exact"/>
        <w:rPr>
          <w:sz w:val="20"/>
          <w:szCs w:val="20"/>
          <w:color w:val="auto"/>
        </w:rPr>
      </w:pPr>
    </w:p>
    <w:p>
      <w:pPr>
        <w:ind w:left="1380" w:right="259" w:firstLine="341"/>
        <w:spacing w:after="0" w:line="253" w:lineRule="auto"/>
        <w:rPr>
          <w:sz w:val="20"/>
          <w:szCs w:val="20"/>
          <w:color w:val="auto"/>
        </w:rPr>
      </w:pPr>
      <w:r>
        <w:rPr>
          <w:rFonts w:ascii="Times New Roman" w:cs="Times New Roman" w:eastAsia="Times New Roman" w:hAnsi="Times New Roman"/>
          <w:sz w:val="14"/>
          <w:szCs w:val="14"/>
          <w:color w:val="auto"/>
        </w:rPr>
        <w:t>The statute permits various exemptions from its provisions, including business combinations that are exempted by the board of directors before the time that the interested stockholder becomes an interested stockholder. Our board of directors has adopted a resolution, subject to the provisions of the 1940 Act, that any business combination between us and any other person is exempted from the provisions of the Business Combination Act, provided that the business combination is first approved by the board of directors, including a majority of the directors who are not interested persons as defined in the 1940 Act. This resolution may be altered or repealed in whole or in part at any time; however, our board of directors will adopt resolutions so as to make us subject to the provisions of the Business Combination Act only if the board of directors determines that it would be in our best interests and if the SEC staff does not object to our determination that our being subject to the Business Combination Act does not conflict with the 1940 Act. If this resolution is repealed, or the board of directors does not otherwise approve a business combination, the statute may discourage others from trying to acquire control of us and increase the difficulty of consummating any offer.</w:t>
      </w:r>
    </w:p>
    <w:p>
      <w:pPr>
        <w:spacing w:after="0" w:line="229"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b w:val="1"/>
          <w:bCs w:val="1"/>
          <w:color w:val="auto"/>
        </w:rPr>
        <w:t>Conflict with 1940 Act</w:t>
      </w:r>
    </w:p>
    <w:p>
      <w:pPr>
        <w:spacing w:after="0" w:line="92" w:lineRule="exact"/>
        <w:rPr>
          <w:sz w:val="20"/>
          <w:szCs w:val="20"/>
          <w:color w:val="auto"/>
        </w:rPr>
      </w:pPr>
    </w:p>
    <w:p>
      <w:pPr>
        <w:jc w:val="both"/>
        <w:ind w:left="1380" w:right="319" w:firstLine="341"/>
        <w:spacing w:after="0" w:line="265" w:lineRule="auto"/>
        <w:rPr>
          <w:sz w:val="20"/>
          <w:szCs w:val="20"/>
          <w:color w:val="auto"/>
        </w:rPr>
      </w:pPr>
      <w:r>
        <w:rPr>
          <w:rFonts w:ascii="Times New Roman" w:cs="Times New Roman" w:eastAsia="Times New Roman" w:hAnsi="Times New Roman"/>
          <w:sz w:val="14"/>
          <w:szCs w:val="14"/>
          <w:color w:val="auto"/>
        </w:rPr>
        <w:t>Our bylaws provide that, if and to the extent that any provision of the Maryland General Corporation Law, including the Control Share Act (if we amend our bylaws to be subject to such Act) and the Business Combination Act, or any provision of our charter or bylaws conflicts with any provision of the 1940 Act, the applicable provision of the 1940 Act will control.</w:t>
      </w:r>
    </w:p>
    <w:p>
      <w:pPr>
        <w:spacing w:after="0" w:line="8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76</w:t>
      </w:r>
    </w:p>
    <w:p>
      <w:pPr>
        <w:sectPr>
          <w:pgSz w:w="11900" w:h="16838" w:orient="portrait"/>
          <w:cols w:equalWidth="0" w:num="1">
            <w:col w:w="10159"/>
          </w:cols>
          <w:pgMar w:left="300" w:top="384" w:right="1440"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98">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PLAN OF DISTRIBUTION</w:t>
      </w:r>
    </w:p>
    <w:p>
      <w:pPr>
        <w:spacing w:after="0" w:line="176" w:lineRule="exact"/>
        <w:rPr>
          <w:sz w:val="20"/>
          <w:szCs w:val="20"/>
          <w:color w:val="auto"/>
        </w:rPr>
      </w:pPr>
    </w:p>
    <w:p>
      <w:pPr>
        <w:ind w:left="1380" w:right="259" w:firstLine="341"/>
        <w:spacing w:after="0" w:line="254" w:lineRule="auto"/>
        <w:rPr>
          <w:sz w:val="20"/>
          <w:szCs w:val="20"/>
          <w:color w:val="auto"/>
        </w:rPr>
      </w:pPr>
      <w:r>
        <w:rPr>
          <w:rFonts w:ascii="Times New Roman" w:cs="Times New Roman" w:eastAsia="Times New Roman" w:hAnsi="Times New Roman"/>
          <w:sz w:val="14"/>
          <w:szCs w:val="14"/>
          <w:color w:val="auto"/>
        </w:rPr>
        <w:t>Any broker-dealer that receives Exchange Notes for its own account pursuant to the exchange offer in exchange for Restricted Notes where such Restricted Notes were acquired as a result of market-making or other trading activities must acknowledge that it will deliver a prospectus in connection with any resale or other transfer of such Exchange Notes. This prospectus, as it may be amended or supplemented from time to time, may be used by such a broker-dealer in connection with resales or other transfers of such Exchange Notes. To the extent any such broker-dealer participates in the exchange offer, we have agreed that, for a period of up to 180 days after the completion of the exchange offer, upon request of such broker-dealer, we will make this prospectus, as amended or supplemented, available to such broker-dealer for use in connection with any such resales or other transfers of Exchange Notes, and will deliver as many additional copies of this prospectus and each amendment or supplement to this prospectus and any documents incorporated by reference in this prospectus as such broker-dealer may reasonably request.</w:t>
      </w:r>
    </w:p>
    <w:p>
      <w:pPr>
        <w:spacing w:after="0" w:line="144" w:lineRule="exact"/>
        <w:rPr>
          <w:sz w:val="20"/>
          <w:szCs w:val="20"/>
          <w:color w:val="auto"/>
        </w:rPr>
      </w:pPr>
    </w:p>
    <w:p>
      <w:pPr>
        <w:ind w:left="1380" w:right="259" w:firstLine="341"/>
        <w:spacing w:after="0" w:line="252" w:lineRule="auto"/>
        <w:rPr>
          <w:sz w:val="20"/>
          <w:szCs w:val="20"/>
          <w:color w:val="auto"/>
        </w:rPr>
      </w:pPr>
      <w:r>
        <w:rPr>
          <w:rFonts w:ascii="Times New Roman" w:cs="Times New Roman" w:eastAsia="Times New Roman" w:hAnsi="Times New Roman"/>
          <w:sz w:val="14"/>
          <w:szCs w:val="14"/>
          <w:color w:val="auto"/>
        </w:rPr>
        <w:t>We will not receive any proceeds from any resales or other transfers of Exchange Notes by such broker- dealers. Exchange Notes received by such broker-dealers for their own accounts pursuant to the exchange offer may be resold from time to time in one or more transactions in the over-the-counter market, in negotiated transactions, through the writing of options on the Exchange Notes or a combination of these methods of resale, at market prices prevailing at the time of resale, at prices related to such prevailing market prices or at negotiated prices. Any such resale may be made directly to purchasers or to or through brokers or dealers who may receive compensation in the form of commissions or concessions from any such broker-dealer or the purchasers of any such Exchange Notes. Any such broker-dealer that resells Exchange Notes that were received by it for its own account pursuant to the exchange offer and any broker or dealer that participates in a distribution of such Exchange Notes may be deemed to be an “underwriter” of the Exchange Notes within the meaning of the Securities Act, and any profit on any such resale of Exchange Notes and any commissions or concessions received by any such persons may be deemed to be underwriting compensation under the Securities Act. The accompanying Letter of Transmittal states that, by acknowledging that it will deliver and by delivering a prospectus, such broker-dealer will not be deemed to admit that it is an “underwriter” of the Exchange Notes within the meaning of the Securities Act.</w:t>
      </w:r>
    </w:p>
    <w:p>
      <w:pPr>
        <w:spacing w:after="0" w:line="9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77</w:t>
      </w:r>
    </w:p>
    <w:p>
      <w:pPr>
        <w:sectPr>
          <w:pgSz w:w="11900" w:h="16838" w:orient="portrait"/>
          <w:cols w:equalWidth="0" w:num="1">
            <w:col w:w="10159"/>
          </w:cols>
          <w:pgMar w:left="300" w:top="384" w:right="1440"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99">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DISTRIBUTION REINVESTMENT PLAN</w:t>
      </w:r>
    </w:p>
    <w:p>
      <w:pPr>
        <w:spacing w:after="0" w:line="176" w:lineRule="exact"/>
        <w:rPr>
          <w:sz w:val="20"/>
          <w:szCs w:val="20"/>
          <w:color w:val="auto"/>
        </w:rPr>
      </w:pPr>
    </w:p>
    <w:p>
      <w:pPr>
        <w:ind w:left="1380" w:right="359" w:firstLine="341"/>
        <w:spacing w:after="0" w:line="260" w:lineRule="auto"/>
        <w:rPr>
          <w:sz w:val="20"/>
          <w:szCs w:val="20"/>
          <w:color w:val="auto"/>
        </w:rPr>
      </w:pPr>
      <w:r>
        <w:rPr>
          <w:rFonts w:ascii="Times New Roman" w:cs="Times New Roman" w:eastAsia="Times New Roman" w:hAnsi="Times New Roman"/>
          <w:sz w:val="14"/>
          <w:szCs w:val="14"/>
          <w:color w:val="auto"/>
        </w:rPr>
        <w:t>We have adopted a dividend reinvestment plan that provides for reinvestment of our distributions on behalf of our stockholders, unless a stockholder elects to receive cash as provided below. As a result, if our board of directors authorizes, and we declare, a cash distribution, then our stockholders who have not “opted out” of our dividend reinvestment plan will have their cash distribution automatically reinvested in additional shares of our common stock, rather than receiving the cash distribution.</w:t>
      </w:r>
    </w:p>
    <w:p>
      <w:pPr>
        <w:spacing w:after="0" w:line="140" w:lineRule="exact"/>
        <w:rPr>
          <w:sz w:val="20"/>
          <w:szCs w:val="20"/>
          <w:color w:val="auto"/>
        </w:rPr>
      </w:pPr>
    </w:p>
    <w:p>
      <w:pPr>
        <w:ind w:left="1380" w:right="319" w:firstLine="341"/>
        <w:spacing w:after="0" w:line="277" w:lineRule="auto"/>
        <w:rPr>
          <w:sz w:val="20"/>
          <w:szCs w:val="20"/>
          <w:color w:val="auto"/>
        </w:rPr>
      </w:pPr>
      <w:r>
        <w:rPr>
          <w:rFonts w:ascii="Times New Roman" w:cs="Times New Roman" w:eastAsia="Times New Roman" w:hAnsi="Times New Roman"/>
          <w:sz w:val="13"/>
          <w:szCs w:val="13"/>
          <w:color w:val="auto"/>
        </w:rPr>
        <w:t>No action is required on the part of a registered stockholder to have their cash distribution reinvested in shares of our common stock. A registered stockholder may elect to receive an entire distribution in cash by notifying Equiniti Trust Company, LLC, the plan administrator and our transfer agent and registrar, in writing so that such notice is received by the plan administrator no later than three days prior to the payment date for distributions to stockholders. The plan administrator will set up an account for shares acquired through the plan for each stockholder who has not elected to receive distributions in cash and hold such shares in non-certificated form. Upon request by a stockholder participating in the plan, received in writing not less than three days prior to the payment date, the plan administrator will, instead of crediting shares to and/or carrying shares in the participant’s account, issue a certificate registered in the participant’s name for the number of whole shares of our common stock and a check for any fractional share.</w:t>
      </w:r>
    </w:p>
    <w:p>
      <w:pPr>
        <w:spacing w:after="0" w:line="132" w:lineRule="exact"/>
        <w:rPr>
          <w:sz w:val="20"/>
          <w:szCs w:val="20"/>
          <w:color w:val="auto"/>
        </w:rPr>
      </w:pPr>
    </w:p>
    <w:p>
      <w:pPr>
        <w:ind w:left="1380" w:right="259" w:firstLine="341"/>
        <w:spacing w:after="0" w:line="281" w:lineRule="auto"/>
        <w:rPr>
          <w:sz w:val="20"/>
          <w:szCs w:val="20"/>
          <w:color w:val="auto"/>
        </w:rPr>
      </w:pPr>
      <w:r>
        <w:rPr>
          <w:rFonts w:ascii="Times New Roman" w:cs="Times New Roman" w:eastAsia="Times New Roman" w:hAnsi="Times New Roman"/>
          <w:sz w:val="14"/>
          <w:szCs w:val="14"/>
          <w:color w:val="auto"/>
        </w:rPr>
        <w:t>Those stockholders whose shares are held by a broker or other financial intermediary may receive distributions in cash by notifying their broker or other financial intermediary of their election.</w:t>
      </w:r>
    </w:p>
    <w:p>
      <w:pPr>
        <w:spacing w:after="0" w:line="125" w:lineRule="exact"/>
        <w:rPr>
          <w:sz w:val="20"/>
          <w:szCs w:val="20"/>
          <w:color w:val="auto"/>
        </w:rPr>
      </w:pPr>
    </w:p>
    <w:p>
      <w:pPr>
        <w:ind w:left="1380" w:right="299" w:firstLine="341"/>
        <w:spacing w:after="0" w:line="254" w:lineRule="auto"/>
        <w:rPr>
          <w:sz w:val="20"/>
          <w:szCs w:val="20"/>
          <w:color w:val="auto"/>
        </w:rPr>
      </w:pPr>
      <w:r>
        <w:rPr>
          <w:rFonts w:ascii="Times New Roman" w:cs="Times New Roman" w:eastAsia="Times New Roman" w:hAnsi="Times New Roman"/>
          <w:sz w:val="14"/>
          <w:szCs w:val="14"/>
          <w:color w:val="auto"/>
        </w:rPr>
        <w:t>We intend to use primarily newly issued shares to implement the plan, so long as our shares are trading at or above net asset value. If our shares are trading below net asset value, we intend to purchase shares in the open market in connection with our implementation of the plan. The number of shares to be issued to a stockholder is determined by dividing the total dollar amount of the distribution payable to such stockholder by the market price per share of our common stock at the close of regular trading on the Nasdaq Global Select Market on the valuation date fixed for such distribution. Market price per share on that date will be the closing price for such shares on the Nasdaq Global Select Market or, if no sale is reported for such day, at the average of their reported bid and asked prices. The number of shares of our common stock to be outstanding after giving effect to payment of the distribution cannot be established until the value per share at which additional shares will be issued has been determined and elections of our stockholders have been tabulated.</w:t>
      </w:r>
    </w:p>
    <w:p>
      <w:pPr>
        <w:spacing w:after="0" w:line="144" w:lineRule="exact"/>
        <w:rPr>
          <w:sz w:val="20"/>
          <w:szCs w:val="20"/>
          <w:color w:val="auto"/>
        </w:rPr>
      </w:pPr>
    </w:p>
    <w:p>
      <w:pPr>
        <w:jc w:val="both"/>
        <w:ind w:left="1380" w:right="259" w:firstLine="341"/>
        <w:spacing w:after="0" w:line="260" w:lineRule="auto"/>
        <w:rPr>
          <w:sz w:val="20"/>
          <w:szCs w:val="20"/>
          <w:color w:val="auto"/>
        </w:rPr>
      </w:pPr>
      <w:r>
        <w:rPr>
          <w:rFonts w:ascii="Times New Roman" w:cs="Times New Roman" w:eastAsia="Times New Roman" w:hAnsi="Times New Roman"/>
          <w:sz w:val="14"/>
          <w:szCs w:val="14"/>
          <w:color w:val="auto"/>
        </w:rPr>
        <w:t>There will be no brokerage charges or other charges to stockholders who participate in the plan. The plan administrator’s fees will be paid by us. If a participant elects by written notice to the plan administrator to have the plan administrator sell part or all of the shares held by the plan administrator in the participant’s account and remit the proceeds to the participant, the plan administrator is authorized to deduct a $15.00 transaction fee plus a $0.10 per share brokerage commission from the proceeds.</w:t>
      </w:r>
    </w:p>
    <w:p>
      <w:pPr>
        <w:spacing w:after="0" w:line="140" w:lineRule="exact"/>
        <w:rPr>
          <w:sz w:val="20"/>
          <w:szCs w:val="20"/>
          <w:color w:val="auto"/>
        </w:rPr>
      </w:pPr>
    </w:p>
    <w:p>
      <w:pPr>
        <w:ind w:left="1380" w:right="279" w:firstLine="341"/>
        <w:spacing w:after="0" w:line="255" w:lineRule="auto"/>
        <w:rPr>
          <w:sz w:val="20"/>
          <w:szCs w:val="20"/>
          <w:color w:val="auto"/>
        </w:rPr>
      </w:pPr>
      <w:r>
        <w:rPr>
          <w:rFonts w:ascii="Times New Roman" w:cs="Times New Roman" w:eastAsia="Times New Roman" w:hAnsi="Times New Roman"/>
          <w:sz w:val="14"/>
          <w:szCs w:val="14"/>
          <w:color w:val="auto"/>
        </w:rPr>
        <w:t>Stockholders who receive distributions in the form of stock are subject to the same U.S. federal, state and local tax consequences as are stockholders who elect to receive their distributions in cash; however, since their cash distributions will be reinvested, such stockholders will not receive cash with which to pay any applicable taxes on reinvested distributions. A stockholder’s adjusted tax basis for determining gain or loss upon the sale of stock received in a distribution from us will be equal to the total dollar amount of the distribution payable to the stockholder. Any stock received in a distribution will have a new holding period for tax purposes commencing on the day following the day on which the shares are credited to the U.S. stockholder’s account.</w:t>
      </w:r>
    </w:p>
    <w:p>
      <w:pPr>
        <w:spacing w:after="0" w:line="144" w:lineRule="exact"/>
        <w:rPr>
          <w:sz w:val="20"/>
          <w:szCs w:val="20"/>
          <w:color w:val="auto"/>
        </w:rPr>
      </w:pPr>
    </w:p>
    <w:p>
      <w:pPr>
        <w:ind w:left="1380" w:right="379" w:firstLine="341"/>
        <w:spacing w:after="0" w:line="266" w:lineRule="auto"/>
        <w:rPr>
          <w:sz w:val="20"/>
          <w:szCs w:val="20"/>
          <w:color w:val="auto"/>
        </w:rPr>
      </w:pPr>
      <w:r>
        <w:rPr>
          <w:rFonts w:ascii="Times New Roman" w:cs="Times New Roman" w:eastAsia="Times New Roman" w:hAnsi="Times New Roman"/>
          <w:sz w:val="14"/>
          <w:szCs w:val="14"/>
          <w:color w:val="auto"/>
        </w:rPr>
        <w:t xml:space="preserve">Participants may terminate their accounts under the plan by notifying the plan administrator via its website at </w:t>
      </w:r>
      <w:r>
        <w:rPr>
          <w:rFonts w:ascii="Times New Roman" w:cs="Times New Roman" w:eastAsia="Times New Roman" w:hAnsi="Times New Roman"/>
          <w:sz w:val="14"/>
          <w:szCs w:val="14"/>
          <w:i w:val="1"/>
          <w:iCs w:val="1"/>
          <w:color w:val="auto"/>
        </w:rPr>
        <w:t>www.amstock.com</w:t>
      </w:r>
      <w:r>
        <w:rPr>
          <w:rFonts w:ascii="Times New Roman" w:cs="Times New Roman" w:eastAsia="Times New Roman" w:hAnsi="Times New Roman"/>
          <w:sz w:val="14"/>
          <w:szCs w:val="14"/>
          <w:color w:val="auto"/>
        </w:rPr>
        <w:t xml:space="preserve"> or by filling out the transaction request form located at bottom of their statement and sending it to Equiniti Trust Company, LLC, Post Office Box 922, Wall Street Station, New York, New York 10269-0560 or by calling the plan administrator’s Interactive Voice Response System at 1-877-573-4005.</w:t>
      </w:r>
    </w:p>
    <w:p>
      <w:pPr>
        <w:spacing w:after="0" w:line="8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78</w:t>
      </w:r>
    </w:p>
    <w:p>
      <w:pPr>
        <w:sectPr>
          <w:pgSz w:w="11900" w:h="16838" w:orient="portrait"/>
          <w:cols w:equalWidth="0" w:num="1">
            <w:col w:w="10159"/>
          </w:cols>
          <w:pgMar w:left="300" w:top="384" w:right="1440"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00">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9" w:lineRule="exact"/>
        <w:rPr>
          <w:sz w:val="20"/>
          <w:szCs w:val="20"/>
          <w:color w:val="auto"/>
        </w:rPr>
      </w:pPr>
    </w:p>
    <w:p>
      <w:pPr>
        <w:ind w:left="1380" w:right="259" w:firstLine="341"/>
        <w:spacing w:after="0" w:line="265" w:lineRule="auto"/>
        <w:rPr>
          <w:sz w:val="20"/>
          <w:szCs w:val="20"/>
          <w:color w:val="auto"/>
        </w:rPr>
      </w:pPr>
      <w:r>
        <w:rPr>
          <w:rFonts w:ascii="Times New Roman" w:cs="Times New Roman" w:eastAsia="Times New Roman" w:hAnsi="Times New Roman"/>
          <w:sz w:val="14"/>
          <w:szCs w:val="14"/>
          <w:color w:val="auto"/>
        </w:rPr>
        <w:t>The plan may be terminated by us upon notice in writing mailed to each participant at least 30 days prior to any record date for the payment of any distribution by us. All correspondence concerning the plan should be directed to the plan administrator by mail or phone at the address and phone number noted above.</w:t>
      </w:r>
    </w:p>
    <w:p>
      <w:pPr>
        <w:spacing w:after="0" w:line="136" w:lineRule="exact"/>
        <w:rPr>
          <w:sz w:val="20"/>
          <w:szCs w:val="20"/>
          <w:color w:val="auto"/>
        </w:rPr>
      </w:pPr>
    </w:p>
    <w:p>
      <w:pPr>
        <w:ind w:left="1380" w:right="419" w:firstLine="341"/>
        <w:spacing w:after="0" w:line="281" w:lineRule="auto"/>
        <w:rPr>
          <w:sz w:val="20"/>
          <w:szCs w:val="20"/>
          <w:color w:val="auto"/>
        </w:rPr>
      </w:pPr>
      <w:r>
        <w:rPr>
          <w:rFonts w:ascii="Times New Roman" w:cs="Times New Roman" w:eastAsia="Times New Roman" w:hAnsi="Times New Roman"/>
          <w:sz w:val="14"/>
          <w:szCs w:val="14"/>
          <w:color w:val="auto"/>
        </w:rPr>
        <w:t>If you withdraw or the plan is terminated, you will receive the number of whole shares in your account under the plan and a cash adjustment for any fractional shares in your account.</w:t>
      </w:r>
    </w:p>
    <w:p>
      <w:pPr>
        <w:spacing w:after="0" w:line="125" w:lineRule="exact"/>
        <w:rPr>
          <w:sz w:val="20"/>
          <w:szCs w:val="20"/>
          <w:color w:val="auto"/>
        </w:rPr>
      </w:pPr>
    </w:p>
    <w:p>
      <w:pPr>
        <w:ind w:left="1380" w:right="359" w:firstLine="341"/>
        <w:spacing w:after="0" w:line="281" w:lineRule="auto"/>
        <w:rPr>
          <w:sz w:val="20"/>
          <w:szCs w:val="20"/>
          <w:color w:val="auto"/>
        </w:rPr>
      </w:pPr>
      <w:r>
        <w:rPr>
          <w:rFonts w:ascii="Times New Roman" w:cs="Times New Roman" w:eastAsia="Times New Roman" w:hAnsi="Times New Roman"/>
          <w:sz w:val="14"/>
          <w:szCs w:val="14"/>
          <w:color w:val="auto"/>
        </w:rPr>
        <w:t>If you hold your common stock with a brokerage firm that does not participate in the plan, you will not be able to participate in the plan, and any distribution reinvestment may be effected on different terms than those described above. Consult your financial advisor for more information.</w:t>
      </w:r>
    </w:p>
    <w:p>
      <w:pPr>
        <w:spacing w:after="0" w:line="7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79</w:t>
      </w:r>
    </w:p>
    <w:p>
      <w:pPr>
        <w:sectPr>
          <w:pgSz w:w="11900" w:h="16838" w:orient="portrait"/>
          <w:cols w:equalWidth="0" w:num="1">
            <w:col w:w="10159"/>
          </w:cols>
          <w:pgMar w:left="300" w:top="384" w:right="1440"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01">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REGULATION</w:t>
      </w:r>
    </w:p>
    <w:p>
      <w:pPr>
        <w:spacing w:after="0" w:line="174" w:lineRule="exact"/>
        <w:rPr>
          <w:sz w:val="20"/>
          <w:szCs w:val="20"/>
          <w:color w:val="auto"/>
        </w:rPr>
      </w:pPr>
    </w:p>
    <w:p>
      <w:pPr>
        <w:ind w:left="1380" w:right="579" w:firstLine="341"/>
        <w:spacing w:after="0" w:line="284"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under the caption “</w:t>
      </w:r>
      <w:r>
        <w:rPr>
          <w:rFonts w:ascii="Times New Roman" w:cs="Times New Roman" w:eastAsia="Times New Roman" w:hAnsi="Times New Roman"/>
          <w:sz w:val="14"/>
          <w:szCs w:val="14"/>
          <w:i w:val="1"/>
          <w:iCs w:val="1"/>
          <w:color w:val="auto"/>
        </w:rPr>
        <w:t>Business—Regulation</w:t>
      </w:r>
      <w:r>
        <w:rPr>
          <w:rFonts w:ascii="Times New Roman" w:cs="Times New Roman" w:eastAsia="Times New Roman" w:hAnsi="Times New Roman"/>
          <w:sz w:val="14"/>
          <w:szCs w:val="14"/>
          <w:color w:val="auto"/>
        </w:rPr>
        <w:t xml:space="preserve">” in Part I, Item 1 of our </w:t>
      </w:r>
      <w:hyperlink r:id="rId292">
        <w:r>
          <w:rPr>
            <w:rFonts w:ascii="Times New Roman" w:cs="Times New Roman" w:eastAsia="Times New Roman" w:hAnsi="Times New Roman"/>
            <w:sz w:val="14"/>
            <w:szCs w:val="14"/>
            <w:u w:val="single" w:color="auto"/>
            <w:color w:val="0000EE"/>
          </w:rPr>
          <w:t>Annual Report on Form 10-K</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for the fiscal year ended December 31, 2025 is incorporated herein by reference.</w:t>
      </w:r>
    </w:p>
    <w:p>
      <w:pPr>
        <w:spacing w:after="0" w:line="7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80</w:t>
      </w:r>
    </w:p>
    <w:p>
      <w:pPr>
        <w:sectPr>
          <w:pgSz w:w="11900" w:h="16838" w:orient="portrait"/>
          <w:cols w:equalWidth="0" w:num="1">
            <w:col w:w="10159"/>
          </w:cols>
          <w:pgMar w:left="300" w:top="384" w:right="1440"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02">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7"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4"/>
          <w:szCs w:val="14"/>
          <w:b w:val="1"/>
          <w:bCs w:val="1"/>
          <w:color w:val="auto"/>
        </w:rPr>
        <w:t>CUSTODIAN, TRANSFER AND DISTRIBUTION PAYING AGENT AND REGISTRAR</w:t>
      </w:r>
    </w:p>
    <w:p>
      <w:pPr>
        <w:spacing w:after="0" w:line="176" w:lineRule="exact"/>
        <w:rPr>
          <w:sz w:val="20"/>
          <w:szCs w:val="20"/>
          <w:color w:val="auto"/>
        </w:rPr>
      </w:pPr>
    </w:p>
    <w:p>
      <w:pPr>
        <w:ind w:left="1380" w:right="339" w:firstLine="341"/>
        <w:spacing w:after="0" w:line="255" w:lineRule="auto"/>
        <w:rPr>
          <w:sz w:val="20"/>
          <w:szCs w:val="20"/>
          <w:color w:val="auto"/>
        </w:rPr>
      </w:pPr>
      <w:r>
        <w:rPr>
          <w:rFonts w:ascii="Times New Roman" w:cs="Times New Roman" w:eastAsia="Times New Roman" w:hAnsi="Times New Roman"/>
          <w:sz w:val="14"/>
          <w:szCs w:val="14"/>
          <w:color w:val="auto"/>
        </w:rPr>
        <w:t>Our securities (except the securities held by the SPV) are held by U.S. Bank National Association pursuant to a custody agreement. The principal business address of U.S. Bank National Association is Corporate Trust Services, One Federal Street, 3rd Floor, Boston, MA 02110, telephone: (617) 603-6538. The securities of the SPV are held by Western Alliance Trust Company, N.A. pursuant to a custodian agreement. The principal business address of Western Alliance Trust Company, N.A. is 800 Town &amp; Country, Suite 400, Houston, TX 77024. Equiniti Trust Company, LLC will serve as our transfer agent, distribution paying agent and registrar. The principal business address of Equiniti Trust Company, LLC is 6201 15th Avenue, Brooklyn, New York 11219, telephone: (800) 937-5449.</w:t>
      </w:r>
    </w:p>
    <w:p>
      <w:pPr>
        <w:spacing w:after="0" w:line="9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81</w:t>
      </w:r>
    </w:p>
    <w:p>
      <w:pPr>
        <w:sectPr>
          <w:pgSz w:w="11900" w:h="16838" w:orient="portrait"/>
          <w:cols w:equalWidth="0" w:num="1">
            <w:col w:w="10159"/>
          </w:cols>
          <w:pgMar w:left="300" w:top="384" w:right="1440"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03">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7"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MATERIAL U.S. FEDERAL INCOME TAX CONSIDERATIONS</w:t>
      </w:r>
    </w:p>
    <w:p>
      <w:pPr>
        <w:spacing w:after="0" w:line="176" w:lineRule="exact"/>
        <w:rPr>
          <w:sz w:val="20"/>
          <w:szCs w:val="20"/>
          <w:color w:val="auto"/>
        </w:rPr>
      </w:pPr>
    </w:p>
    <w:p>
      <w:pPr>
        <w:ind w:left="1380" w:right="399" w:firstLine="341"/>
        <w:spacing w:after="0" w:line="265" w:lineRule="auto"/>
        <w:rPr>
          <w:sz w:val="20"/>
          <w:szCs w:val="20"/>
          <w:color w:val="auto"/>
        </w:rPr>
      </w:pPr>
      <w:r>
        <w:rPr>
          <w:rFonts w:ascii="Times New Roman" w:cs="Times New Roman" w:eastAsia="Times New Roman" w:hAnsi="Times New Roman"/>
          <w:sz w:val="14"/>
          <w:szCs w:val="14"/>
          <w:color w:val="auto"/>
        </w:rPr>
        <w:t>Subject to the limitations, assumptions and qualifications described herein and in the opinion filed as Exhibit 12, the following discussion constitutes the opinion of Eversheds Sutherland (US) LLP, tax counsel to the Company, as to the material U.S. federal income tax consequences of the exchange of Restricted Notes for Exchange Notes in this offer.</w:t>
      </w:r>
    </w:p>
    <w:p>
      <w:pPr>
        <w:spacing w:after="0" w:line="136" w:lineRule="exact"/>
        <w:rPr>
          <w:sz w:val="20"/>
          <w:szCs w:val="20"/>
          <w:color w:val="auto"/>
        </w:rPr>
      </w:pPr>
    </w:p>
    <w:p>
      <w:pPr>
        <w:ind w:left="1380" w:right="279" w:firstLine="341"/>
        <w:spacing w:after="0" w:line="260" w:lineRule="auto"/>
        <w:rPr>
          <w:sz w:val="20"/>
          <w:szCs w:val="20"/>
          <w:color w:val="auto"/>
        </w:rPr>
      </w:pPr>
      <w:r>
        <w:rPr>
          <w:rFonts w:ascii="Times New Roman" w:cs="Times New Roman" w:eastAsia="Times New Roman" w:hAnsi="Times New Roman"/>
          <w:sz w:val="14"/>
          <w:szCs w:val="14"/>
          <w:color w:val="auto"/>
        </w:rPr>
        <w:t>The exchange of Restricted Notes for Exchange Notes in the exchange offer will not constitute a taxable event to holders for U.S. federal income tax purposes. Consequently, you will not recognize gain or loss upon receipt of an Exchange Note, the holding period of the Exchange Note will include the holding period of the Restricted Note exchanged therefor and the basis of the Exchange Note will be the same as the basis of the Restricted Note exchanged therefor immediately before the exchange.</w:t>
      </w:r>
    </w:p>
    <w:p>
      <w:pPr>
        <w:spacing w:after="0" w:line="138" w:lineRule="exact"/>
        <w:rPr>
          <w:sz w:val="20"/>
          <w:szCs w:val="20"/>
          <w:color w:val="auto"/>
        </w:rPr>
      </w:pPr>
    </w:p>
    <w:p>
      <w:pPr>
        <w:jc w:val="both"/>
        <w:ind w:left="1380" w:right="339" w:firstLine="341"/>
        <w:spacing w:after="0" w:line="266" w:lineRule="auto"/>
        <w:rPr>
          <w:sz w:val="20"/>
          <w:szCs w:val="20"/>
          <w:color w:val="auto"/>
        </w:rPr>
      </w:pPr>
      <w:r>
        <w:rPr>
          <w:rFonts w:ascii="Times New Roman" w:cs="Times New Roman" w:eastAsia="Times New Roman" w:hAnsi="Times New Roman"/>
          <w:sz w:val="14"/>
          <w:szCs w:val="14"/>
          <w:b w:val="1"/>
          <w:bCs w:val="1"/>
          <w:color w:val="auto"/>
        </w:rPr>
        <w:t>In any event, persons considering the exchange of Restricted Notes for Exchange Notes should consult their own tax advisors concerning the U.S. federal income tax consequences in light of their particular situations as well as any consequences arising under the laws of any other taxing jurisdiction.</w:t>
      </w:r>
    </w:p>
    <w:p>
      <w:pPr>
        <w:spacing w:after="0" w:line="8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82</w:t>
      </w:r>
    </w:p>
    <w:p>
      <w:pPr>
        <w:sectPr>
          <w:pgSz w:w="11900" w:h="16838" w:orient="portrait"/>
          <w:cols w:equalWidth="0" w:num="1">
            <w:col w:w="10159"/>
          </w:cols>
          <w:pgMar w:left="300" w:top="384" w:right="1440"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04">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BROKERAGE ALLOCATION AND OTHER PRACTICES</w:t>
      </w:r>
    </w:p>
    <w:p>
      <w:pPr>
        <w:spacing w:after="0" w:line="176" w:lineRule="exact"/>
        <w:rPr>
          <w:sz w:val="20"/>
          <w:szCs w:val="20"/>
          <w:color w:val="auto"/>
        </w:rPr>
      </w:pPr>
    </w:p>
    <w:p>
      <w:pPr>
        <w:ind w:left="1380" w:right="259" w:firstLine="341"/>
        <w:spacing w:after="0" w:line="252" w:lineRule="auto"/>
        <w:rPr>
          <w:sz w:val="20"/>
          <w:szCs w:val="20"/>
          <w:color w:val="auto"/>
        </w:rPr>
      </w:pPr>
      <w:r>
        <w:rPr>
          <w:rFonts w:ascii="Times New Roman" w:cs="Times New Roman" w:eastAsia="Times New Roman" w:hAnsi="Times New Roman"/>
          <w:sz w:val="14"/>
          <w:szCs w:val="14"/>
          <w:color w:val="auto"/>
        </w:rPr>
        <w:t>Because we will acquire and dispose of many of our investments in privately negotiated transactions, many of the transactions that we engage in will not require the use of brokers or the payment of brokerage commissions. Subject to policies established by our board of directors, our investment advisor will be primarily responsible for selecting brokers and dealers to execute transactions with respect to the publicly-traded securities portion of our portfolio transactions and the allocation of brokerage commissions. Our investment advisor does not expect to execute transactions through any particular broker or dealer but will seek to obtain the best net results for us under the circumstances, taking into account such factors as price (including the applicable brokerage commission or dealer spread), size of order, difficulty of execution and operational facilities of the firm and the firm’s risk and skill in positioning blocks of securities. Our investment advisor generally will seek reasonably competitive trade execution costs but will not necessarily pay the lowest spread or commission available. Subject to applicable legal requirements and consistent with Section 28(e) of the Exchange Act, our investment advisor may select a broker based upon brokerage or research services provided to our investment advisor and us and any other clients. In return for such services, we may pay a higher commission than other brokers would charge if our investment advisor determines in good faith that such commission is reasonable in relation to the services provided.</w:t>
      </w:r>
    </w:p>
    <w:p>
      <w:pPr>
        <w:spacing w:after="0" w:line="9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83</w:t>
      </w:r>
    </w:p>
    <w:p>
      <w:pPr>
        <w:sectPr>
          <w:pgSz w:w="11900" w:h="16838" w:orient="portrait"/>
          <w:cols w:equalWidth="0" w:num="1">
            <w:col w:w="10159"/>
          </w:cols>
          <w:pgMar w:left="300" w:top="384" w:right="1440"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05">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INDEPENDENT REGISTERED PUBLIC ACCOUNTING FIRM</w:t>
      </w:r>
    </w:p>
    <w:p>
      <w:pPr>
        <w:spacing w:after="0" w:line="176" w:lineRule="exact"/>
        <w:rPr>
          <w:sz w:val="20"/>
          <w:szCs w:val="20"/>
          <w:color w:val="auto"/>
        </w:rPr>
      </w:pPr>
    </w:p>
    <w:p>
      <w:pPr>
        <w:ind w:left="1380" w:right="519" w:firstLine="341"/>
        <w:spacing w:after="0" w:line="281" w:lineRule="auto"/>
        <w:rPr>
          <w:sz w:val="20"/>
          <w:szCs w:val="20"/>
          <w:color w:val="auto"/>
        </w:rPr>
      </w:pPr>
      <w:r>
        <w:rPr>
          <w:rFonts w:ascii="Times New Roman" w:cs="Times New Roman" w:eastAsia="Times New Roman" w:hAnsi="Times New Roman"/>
          <w:sz w:val="14"/>
          <w:szCs w:val="14"/>
          <w:color w:val="auto"/>
        </w:rPr>
        <w:t>We have selected RSM US LLP as our independent registered public accounting firm located at 30 South Wacker Drive, Suite 3300, Chicago, Illinois 60606.</w:t>
      </w:r>
    </w:p>
    <w:p>
      <w:pPr>
        <w:spacing w:after="0" w:line="125" w:lineRule="exact"/>
        <w:rPr>
          <w:sz w:val="20"/>
          <w:szCs w:val="20"/>
          <w:color w:val="auto"/>
        </w:rPr>
      </w:pPr>
    </w:p>
    <w:p>
      <w:pPr>
        <w:ind w:left="1380" w:right="319" w:firstLine="341"/>
        <w:spacing w:after="0" w:line="255" w:lineRule="auto"/>
        <w:rPr>
          <w:sz w:val="20"/>
          <w:szCs w:val="20"/>
          <w:color w:val="auto"/>
        </w:rPr>
      </w:pPr>
      <w:r>
        <w:rPr>
          <w:rFonts w:ascii="Times New Roman" w:cs="Times New Roman" w:eastAsia="Times New Roman" w:hAnsi="Times New Roman"/>
          <w:sz w:val="14"/>
          <w:szCs w:val="14"/>
          <w:color w:val="auto"/>
        </w:rPr>
        <w:t>The consolidated financial statements, including the senior securities table, of Fidus Investment Corporation as of December 31, 2025 and 2024 and for each of the years in the three-year period ended December 31, 2025, incorporated in this prospectus by reference from the Fidus Investment Corporation Annual Report on Form 10-K for the year ended December 31, 2025, and the effectiveness of internal control over financial reporting as of December 31, 2025 have been audited by RSM US LLP, an independent registered public accounting firm, as stated in their reports thereon, incorporated herein by reference, and have been incorporated in this prospectus and Registration Statement in reliance upon such reports and upon the authority of such firm as experts in accounting and auditing.</w:t>
      </w:r>
    </w:p>
    <w:p>
      <w:pPr>
        <w:spacing w:after="0" w:line="9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84</w:t>
      </w:r>
    </w:p>
    <w:p>
      <w:pPr>
        <w:sectPr>
          <w:pgSz w:w="11900" w:h="16838" w:orient="portrait"/>
          <w:cols w:equalWidth="0" w:num="1">
            <w:col w:w="10159"/>
          </w:cols>
          <w:pgMar w:left="300" w:top="384" w:right="1440"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06">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7"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4"/>
          <w:szCs w:val="14"/>
          <w:b w:val="1"/>
          <w:bCs w:val="1"/>
          <w:color w:val="auto"/>
        </w:rPr>
        <w:t>LEGAL MATTERS</w:t>
      </w:r>
    </w:p>
    <w:p>
      <w:pPr>
        <w:spacing w:after="0" w:line="176" w:lineRule="exact"/>
        <w:rPr>
          <w:sz w:val="20"/>
          <w:szCs w:val="20"/>
          <w:color w:val="auto"/>
        </w:rPr>
      </w:pPr>
    </w:p>
    <w:p>
      <w:pPr>
        <w:jc w:val="right"/>
        <w:ind w:right="1859"/>
        <w:spacing w:after="0"/>
        <w:rPr>
          <w:sz w:val="20"/>
          <w:szCs w:val="20"/>
          <w:color w:val="auto"/>
        </w:rPr>
      </w:pPr>
      <w:r>
        <w:rPr>
          <w:rFonts w:ascii="Times New Roman" w:cs="Times New Roman" w:eastAsia="Times New Roman" w:hAnsi="Times New Roman"/>
          <w:sz w:val="14"/>
          <w:szCs w:val="14"/>
          <w:color w:val="auto"/>
        </w:rPr>
        <w:t>Certain legal matters regarding the Exchange Notes have been passed upon for us by Eversheds Sutherland (US) LLP.</w:t>
      </w:r>
    </w:p>
    <w:p>
      <w:pPr>
        <w:spacing w:after="0" w:line="12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85</w:t>
      </w:r>
    </w:p>
    <w:p>
      <w:pPr>
        <w:sectPr>
          <w:pgSz w:w="11900" w:h="16838" w:orient="portrait"/>
          <w:cols w:equalWidth="0" w:num="1">
            <w:col w:w="10159"/>
          </w:cols>
          <w:pgMar w:left="300" w:top="384" w:right="1440"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07">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7"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AVAILABLE INFORMATION</w:t>
      </w:r>
    </w:p>
    <w:p>
      <w:pPr>
        <w:spacing w:after="0" w:line="176" w:lineRule="exact"/>
        <w:rPr>
          <w:sz w:val="20"/>
          <w:szCs w:val="20"/>
          <w:color w:val="auto"/>
        </w:rPr>
      </w:pPr>
    </w:p>
    <w:p>
      <w:pPr>
        <w:ind w:left="1380" w:right="419" w:firstLine="341"/>
        <w:spacing w:after="0" w:line="265" w:lineRule="auto"/>
        <w:rPr>
          <w:sz w:val="20"/>
          <w:szCs w:val="20"/>
          <w:color w:val="auto"/>
        </w:rPr>
      </w:pPr>
      <w:r>
        <w:rPr>
          <w:rFonts w:ascii="Times New Roman" w:cs="Times New Roman" w:eastAsia="Times New Roman" w:hAnsi="Times New Roman"/>
          <w:sz w:val="14"/>
          <w:szCs w:val="14"/>
          <w:color w:val="auto"/>
        </w:rPr>
        <w:t>We have filed with the SEC a registration statement on Form N-14, together with all amendments and related exhibits, under the Securities Act, with respect to the securities offered by this prospectus. The registration statement contains additional information about us and the securities being offered by this prospectus.</w:t>
      </w:r>
    </w:p>
    <w:p>
      <w:pPr>
        <w:spacing w:after="0" w:line="136" w:lineRule="exact"/>
        <w:rPr>
          <w:sz w:val="20"/>
          <w:szCs w:val="20"/>
          <w:color w:val="auto"/>
        </w:rPr>
      </w:pPr>
    </w:p>
    <w:p>
      <w:pPr>
        <w:ind w:left="1380" w:right="299" w:firstLine="341"/>
        <w:spacing w:after="0" w:line="254" w:lineRule="auto"/>
        <w:rPr>
          <w:sz w:val="20"/>
          <w:szCs w:val="20"/>
          <w:color w:val="auto"/>
        </w:rPr>
      </w:pPr>
      <w:r>
        <w:rPr>
          <w:rFonts w:ascii="Times New Roman" w:cs="Times New Roman" w:eastAsia="Times New Roman" w:hAnsi="Times New Roman"/>
          <w:sz w:val="14"/>
          <w:szCs w:val="14"/>
          <w:color w:val="auto"/>
        </w:rPr>
        <w:t>We also file with or submit to the SEC periodic and current reports, proxy statements and other information meeting the informational requirements of the Exchange Act. The SEC maintains a website that contains reports, proxy and information statements and other information filed electronically by us with the SEC, which are available free of charge on the SEC’s website (</w:t>
      </w:r>
      <w:r>
        <w:rPr>
          <w:rFonts w:ascii="Times New Roman" w:cs="Times New Roman" w:eastAsia="Times New Roman" w:hAnsi="Times New Roman"/>
          <w:sz w:val="14"/>
          <w:szCs w:val="14"/>
          <w:i w:val="1"/>
          <w:iCs w:val="1"/>
          <w:color w:val="auto"/>
        </w:rPr>
        <w:t>www.sec.gov</w:t>
      </w:r>
      <w:r>
        <w:rPr>
          <w:rFonts w:ascii="Times New Roman" w:cs="Times New Roman" w:eastAsia="Times New Roman" w:hAnsi="Times New Roman"/>
          <w:sz w:val="14"/>
          <w:szCs w:val="14"/>
          <w:color w:val="auto"/>
        </w:rPr>
        <w:t>). This information is also available free of charge by contacting us at 1603 Orrington Avenue, Suite 1005, Evanston, Illinois 60201, Attention: Investor Relations, and is also available on our website (</w:t>
      </w:r>
      <w:r>
        <w:rPr>
          <w:rFonts w:ascii="Times New Roman" w:cs="Times New Roman" w:eastAsia="Times New Roman" w:hAnsi="Times New Roman"/>
          <w:sz w:val="14"/>
          <w:szCs w:val="14"/>
          <w:i w:val="1"/>
          <w:iCs w:val="1"/>
          <w:color w:val="auto"/>
        </w:rPr>
        <w:t>www.fdus.com</w:t>
      </w:r>
      <w:r>
        <w:rPr>
          <w:rFonts w:ascii="Times New Roman" w:cs="Times New Roman" w:eastAsia="Times New Roman" w:hAnsi="Times New Roman"/>
          <w:sz w:val="14"/>
          <w:szCs w:val="14"/>
          <w:color w:val="auto"/>
        </w:rPr>
        <w:t>). Information contained on our website or on the SEC’s web site about us is not incorporated into this prospectus, except for the specific filings that are expressly incorporated by reference herein. You should not consider information contained on our website or on the SEC’s website to be part of this prospectus, except for the specific filings that are expressly incorporated by reference herein.</w:t>
      </w:r>
    </w:p>
    <w:p>
      <w:pPr>
        <w:spacing w:after="0" w:line="147" w:lineRule="exact"/>
        <w:rPr>
          <w:sz w:val="20"/>
          <w:szCs w:val="20"/>
          <w:color w:val="auto"/>
        </w:rPr>
      </w:pPr>
    </w:p>
    <w:p>
      <w:pPr>
        <w:ind w:left="1380" w:right="399" w:firstLine="341"/>
        <w:spacing w:after="0" w:line="281" w:lineRule="auto"/>
        <w:rPr>
          <w:sz w:val="20"/>
          <w:szCs w:val="20"/>
          <w:color w:val="auto"/>
        </w:rPr>
      </w:pPr>
      <w:r>
        <w:rPr>
          <w:rFonts w:ascii="Times New Roman" w:cs="Times New Roman" w:eastAsia="Times New Roman" w:hAnsi="Times New Roman"/>
          <w:sz w:val="14"/>
          <w:szCs w:val="14"/>
          <w:color w:val="auto"/>
        </w:rPr>
        <w:t>We furnish our shareholders with annual reports containing audited financial statements, quarterly reports, and such other periodic reports as we determine to be appropriate or as may be required by law.</w:t>
      </w:r>
    </w:p>
    <w:p>
      <w:pPr>
        <w:spacing w:after="0" w:line="7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86</w:t>
      </w:r>
    </w:p>
    <w:p>
      <w:pPr>
        <w:sectPr>
          <w:pgSz w:w="11900" w:h="16838" w:orient="portrait"/>
          <w:cols w:equalWidth="0" w:num="1">
            <w:col w:w="10159"/>
          </w:cols>
          <w:pgMar w:left="300" w:top="384" w:right="1440"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08">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INCORPORATION OF CERTAIN INFORMATION BY REFERENCE</w:t>
      </w:r>
    </w:p>
    <w:p>
      <w:pPr>
        <w:spacing w:after="0" w:line="176" w:lineRule="exact"/>
        <w:rPr>
          <w:sz w:val="20"/>
          <w:szCs w:val="20"/>
          <w:color w:val="auto"/>
        </w:rPr>
      </w:pPr>
    </w:p>
    <w:p>
      <w:pPr>
        <w:ind w:left="1380" w:right="399" w:firstLine="341"/>
        <w:spacing w:after="0" w:line="295" w:lineRule="auto"/>
        <w:rPr>
          <w:sz w:val="20"/>
          <w:szCs w:val="20"/>
          <w:color w:val="auto"/>
        </w:rPr>
      </w:pPr>
      <w:r>
        <w:rPr>
          <w:rFonts w:ascii="Times New Roman" w:cs="Times New Roman" w:eastAsia="Times New Roman" w:hAnsi="Times New Roman"/>
          <w:sz w:val="13"/>
          <w:szCs w:val="13"/>
          <w:color w:val="auto"/>
        </w:rPr>
        <w:t>This prospectus is part of a registration statement that we have filed with the SEC. We are allowed to “incorporate by reference” the information that we file with the SEC, which means that we can disclose important information to you by referring you to such information incorporated by reference. The information incorporated by reference is considered to comprise a part of this prospectus from the date we file any such document.</w:t>
      </w:r>
    </w:p>
    <w:p>
      <w:pPr>
        <w:spacing w:after="0" w:line="116" w:lineRule="exact"/>
        <w:rPr>
          <w:sz w:val="20"/>
          <w:szCs w:val="20"/>
          <w:color w:val="auto"/>
        </w:rPr>
      </w:pPr>
    </w:p>
    <w:p>
      <w:pPr>
        <w:ind w:left="1380" w:right="299" w:firstLine="341"/>
        <w:spacing w:after="0" w:line="284" w:lineRule="auto"/>
        <w:rPr>
          <w:sz w:val="20"/>
          <w:szCs w:val="20"/>
          <w:color w:val="auto"/>
        </w:rPr>
      </w:pPr>
      <w:r>
        <w:rPr>
          <w:rFonts w:ascii="Times New Roman" w:cs="Times New Roman" w:eastAsia="Times New Roman" w:hAnsi="Times New Roman"/>
          <w:sz w:val="14"/>
          <w:szCs w:val="14"/>
          <w:color w:val="auto"/>
        </w:rPr>
        <w:t xml:space="preserve">We incorporate by reference into this prospectus our filings listed below; </w:t>
      </w:r>
      <w:r>
        <w:rPr>
          <w:rFonts w:ascii="Times New Roman" w:cs="Times New Roman" w:eastAsia="Times New Roman" w:hAnsi="Times New Roman"/>
          <w:sz w:val="14"/>
          <w:szCs w:val="14"/>
          <w:i w:val="1"/>
          <w:iCs w:val="1"/>
          <w:color w:val="auto"/>
        </w:rPr>
        <w:t>provided, however</w:t>
      </w:r>
      <w:r>
        <w:rPr>
          <w:rFonts w:ascii="Times New Roman" w:cs="Times New Roman" w:eastAsia="Times New Roman" w:hAnsi="Times New Roman"/>
          <w:sz w:val="14"/>
          <w:szCs w:val="14"/>
          <w:color w:val="auto"/>
        </w:rPr>
        <w:t>, that information “furnished” under Item 2.02 or Item 7.01 of Form 8-K or other information “furnished” to the SEC which is not deemed filed is not incorporated by reference in this prospectus.</w:t>
      </w:r>
    </w:p>
    <w:p>
      <w:pPr>
        <w:spacing w:after="0" w:line="12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The prospectus incorporates by reference the documents set forth below that have been previously filed with the SEC:</w:t>
      </w:r>
    </w:p>
    <w:p>
      <w:pPr>
        <w:spacing w:after="0" w:line="101" w:lineRule="exact"/>
        <w:rPr>
          <w:sz w:val="20"/>
          <w:szCs w:val="20"/>
          <w:color w:val="auto"/>
        </w:rPr>
      </w:pPr>
    </w:p>
    <w:p>
      <w:pPr>
        <w:ind w:left="2120" w:hanging="327"/>
        <w:spacing w:after="0"/>
        <w:tabs>
          <w:tab w:leader="none" w:pos="212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our </w:t>
      </w:r>
      <w:hyperlink r:id="rId42">
        <w:r>
          <w:rPr>
            <w:rFonts w:ascii="Times New Roman" w:cs="Times New Roman" w:eastAsia="Times New Roman" w:hAnsi="Times New Roman"/>
            <w:sz w:val="14"/>
            <w:szCs w:val="14"/>
            <w:u w:val="single" w:color="auto"/>
            <w:color w:val="0000EE"/>
          </w:rPr>
          <w:t>Annual Report on Form 10-K</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for the fiscal year ended December 31, 2025, filed with the SEC on February 26, 2026;</w:t>
      </w:r>
    </w:p>
    <w:p>
      <w:pPr>
        <w:spacing w:after="0" w:line="100" w:lineRule="exact"/>
        <w:rPr>
          <w:rFonts w:ascii="Times New Roman" w:cs="Times New Roman" w:eastAsia="Times New Roman" w:hAnsi="Times New Roman"/>
          <w:sz w:val="14"/>
          <w:szCs w:val="14"/>
          <w:color w:val="auto"/>
        </w:rPr>
      </w:pPr>
    </w:p>
    <w:p>
      <w:pPr>
        <w:ind w:left="2120" w:right="339" w:hanging="327"/>
        <w:spacing w:after="0" w:line="281" w:lineRule="auto"/>
        <w:tabs>
          <w:tab w:leader="none" w:pos="212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our </w:t>
      </w:r>
      <w:hyperlink r:id="rId309">
        <w:r>
          <w:rPr>
            <w:rFonts w:ascii="Times New Roman" w:cs="Times New Roman" w:eastAsia="Times New Roman" w:hAnsi="Times New Roman"/>
            <w:sz w:val="14"/>
            <w:szCs w:val="14"/>
            <w:u w:val="single" w:color="auto"/>
            <w:color w:val="0000EE"/>
          </w:rPr>
          <w:t>Definitive Proxy Statement on Schedule 14A</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(but only with respect to information required by Part III of our Annual Report on Form 10-K for the fiscal year ended December 31, 2025), filed with the SEC on March 20, 2026;</w:t>
      </w:r>
    </w:p>
    <w:p>
      <w:pPr>
        <w:spacing w:after="0" w:line="52" w:lineRule="exact"/>
        <w:rPr>
          <w:rFonts w:ascii="Times New Roman" w:cs="Times New Roman" w:eastAsia="Times New Roman" w:hAnsi="Times New Roman"/>
          <w:sz w:val="14"/>
          <w:szCs w:val="14"/>
          <w:color w:val="auto"/>
        </w:rPr>
      </w:pPr>
    </w:p>
    <w:p>
      <w:pPr>
        <w:ind w:left="2120" w:hanging="327"/>
        <w:spacing w:after="0"/>
        <w:tabs>
          <w:tab w:leader="none" w:pos="212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our </w:t>
      </w:r>
      <w:hyperlink r:id="rId310">
        <w:r>
          <w:rPr>
            <w:rFonts w:ascii="Times New Roman" w:cs="Times New Roman" w:eastAsia="Times New Roman" w:hAnsi="Times New Roman"/>
            <w:sz w:val="14"/>
            <w:szCs w:val="14"/>
            <w:u w:val="single" w:color="auto"/>
            <w:color w:val="0000EE"/>
          </w:rPr>
          <w:t>Quarterly Report on Form 10-Q</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for the fiscal quarter ended March 31, 2026, filed with the SEC on May 7, 2026; and</w:t>
      </w:r>
    </w:p>
    <w:p>
      <w:pPr>
        <w:spacing w:after="0" w:line="100" w:lineRule="exact"/>
        <w:rPr>
          <w:rFonts w:ascii="Times New Roman" w:cs="Times New Roman" w:eastAsia="Times New Roman" w:hAnsi="Times New Roman"/>
          <w:sz w:val="14"/>
          <w:szCs w:val="14"/>
          <w:color w:val="auto"/>
        </w:rPr>
      </w:pPr>
    </w:p>
    <w:p>
      <w:pPr>
        <w:ind w:left="2120" w:hanging="327"/>
        <w:spacing w:after="0"/>
        <w:tabs>
          <w:tab w:leader="none" w:pos="212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our Current Reports on Form 8-K, as filed with the SEC on </w:t>
      </w:r>
      <w:hyperlink r:id="rId311">
        <w:r>
          <w:rPr>
            <w:rFonts w:ascii="Times New Roman" w:cs="Times New Roman" w:eastAsia="Times New Roman" w:hAnsi="Times New Roman"/>
            <w:sz w:val="14"/>
            <w:szCs w:val="14"/>
            <w:u w:val="single" w:color="auto"/>
            <w:color w:val="0000EE"/>
          </w:rPr>
          <w:t>March 2, 2026</w:t>
        </w:r>
      </w:hyperlink>
      <w:r>
        <w:rPr>
          <w:rFonts w:ascii="Times New Roman" w:cs="Times New Roman" w:eastAsia="Times New Roman" w:hAnsi="Times New Roman"/>
          <w:sz w:val="14"/>
          <w:szCs w:val="14"/>
          <w:color w:val="auto"/>
        </w:rPr>
        <w:t xml:space="preserve">, </w:t>
      </w:r>
      <w:hyperlink r:id="rId312">
        <w:r>
          <w:rPr>
            <w:rFonts w:ascii="Times New Roman" w:cs="Times New Roman" w:eastAsia="Times New Roman" w:hAnsi="Times New Roman"/>
            <w:sz w:val="14"/>
            <w:szCs w:val="14"/>
            <w:u w:val="single" w:color="auto"/>
            <w:color w:val="0000EE"/>
          </w:rPr>
          <w:t>May 29, 2026</w:t>
        </w:r>
      </w:hyperlink>
      <w:r>
        <w:rPr>
          <w:rFonts w:ascii="Times New Roman" w:cs="Times New Roman" w:eastAsia="Times New Roman" w:hAnsi="Times New Roman"/>
          <w:sz w:val="14"/>
          <w:szCs w:val="14"/>
          <w:color w:val="auto"/>
        </w:rPr>
        <w:t xml:space="preserve">, </w:t>
      </w:r>
      <w:hyperlink r:id="rId313">
        <w:r>
          <w:rPr>
            <w:rFonts w:ascii="Times New Roman" w:cs="Times New Roman" w:eastAsia="Times New Roman" w:hAnsi="Times New Roman"/>
            <w:sz w:val="14"/>
            <w:szCs w:val="14"/>
            <w:u w:val="single" w:color="auto"/>
            <w:color w:val="0000EE"/>
          </w:rPr>
          <w:t>June 11, 2026</w:t>
        </w:r>
      </w:hyperlink>
      <w:r>
        <w:rPr>
          <w:rFonts w:ascii="Times New Roman" w:cs="Times New Roman" w:eastAsia="Times New Roman" w:hAnsi="Times New Roman"/>
          <w:sz w:val="14"/>
          <w:szCs w:val="14"/>
          <w:color w:val="auto"/>
        </w:rPr>
        <w:t xml:space="preserve">, and </w:t>
      </w:r>
      <w:hyperlink r:id="rId314">
        <w:r>
          <w:rPr>
            <w:rFonts w:ascii="Times New Roman" w:cs="Times New Roman" w:eastAsia="Times New Roman" w:hAnsi="Times New Roman"/>
            <w:sz w:val="14"/>
            <w:szCs w:val="14"/>
            <w:u w:val="single" w:color="auto"/>
            <w:color w:val="0000EE"/>
          </w:rPr>
          <w:t>June 24, 2026</w:t>
        </w:r>
      </w:hyperlink>
      <w:r>
        <w:rPr>
          <w:rFonts w:ascii="Times New Roman" w:cs="Times New Roman" w:eastAsia="Times New Roman" w:hAnsi="Times New Roman"/>
          <w:sz w:val="14"/>
          <w:szCs w:val="14"/>
          <w:color w:val="auto"/>
        </w:rPr>
        <w:t>.</w:t>
      </w:r>
    </w:p>
    <w:p>
      <w:pPr>
        <w:spacing w:after="0" w:line="172" w:lineRule="exact"/>
        <w:rPr>
          <w:rFonts w:ascii="Times New Roman" w:cs="Times New Roman" w:eastAsia="Times New Roman" w:hAnsi="Times New Roman"/>
          <w:sz w:val="14"/>
          <w:szCs w:val="14"/>
          <w:color w:val="auto"/>
        </w:rPr>
      </w:pPr>
    </w:p>
    <w:p>
      <w:pPr>
        <w:ind w:left="1720"/>
        <w:spacing w:after="0"/>
        <w:rPr>
          <w:sz w:val="20"/>
          <w:szCs w:val="20"/>
          <w:color w:val="auto"/>
        </w:rPr>
      </w:pPr>
      <w:r>
        <w:rPr>
          <w:rFonts w:ascii="Times New Roman" w:cs="Times New Roman" w:eastAsia="Times New Roman" w:hAnsi="Times New Roman"/>
          <w:sz w:val="14"/>
          <w:szCs w:val="14"/>
          <w:color w:val="auto"/>
        </w:rPr>
        <w:t>See “</w:t>
      </w:r>
      <w:r>
        <w:rPr>
          <w:rFonts w:ascii="Times New Roman" w:cs="Times New Roman" w:eastAsia="Times New Roman" w:hAnsi="Times New Roman"/>
          <w:sz w:val="14"/>
          <w:szCs w:val="14"/>
          <w:i w:val="1"/>
          <w:iCs w:val="1"/>
          <w:color w:val="auto"/>
        </w:rPr>
        <w:t>Available Information</w:t>
      </w:r>
      <w:r>
        <w:rPr>
          <w:rFonts w:ascii="Times New Roman" w:cs="Times New Roman" w:eastAsia="Times New Roman" w:hAnsi="Times New Roman"/>
          <w:sz w:val="14"/>
          <w:szCs w:val="14"/>
          <w:color w:val="auto"/>
        </w:rPr>
        <w:t>” for information on how to obtain a copy of these filings.</w:t>
      </w:r>
    </w:p>
    <w:p>
      <w:pPr>
        <w:spacing w:after="0" w:line="200" w:lineRule="exact"/>
        <w:rPr>
          <w:rFonts w:ascii="Times New Roman" w:cs="Times New Roman" w:eastAsia="Times New Roman" w:hAnsi="Times New Roman"/>
          <w:sz w:val="14"/>
          <w:szCs w:val="14"/>
          <w:color w:val="auto"/>
        </w:rPr>
      </w:pPr>
    </w:p>
    <w:p>
      <w:pPr>
        <w:spacing w:after="0" w:line="206" w:lineRule="exact"/>
        <w:rPr>
          <w:rFonts w:ascii="Times New Roman" w:cs="Times New Roman" w:eastAsia="Times New Roman" w:hAnsi="Times New Roman"/>
          <w:sz w:val="14"/>
          <w:szCs w:val="14"/>
          <w:color w:val="auto"/>
        </w:rPr>
      </w:pPr>
    </w:p>
    <w:p>
      <w:pPr>
        <w:ind w:left="5580"/>
        <w:spacing w:after="0"/>
        <w:rPr>
          <w:sz w:val="20"/>
          <w:szCs w:val="20"/>
          <w:color w:val="auto"/>
        </w:rPr>
      </w:pPr>
      <w:r>
        <w:rPr>
          <w:rFonts w:ascii="Times New Roman" w:cs="Times New Roman" w:eastAsia="Times New Roman" w:hAnsi="Times New Roman"/>
          <w:sz w:val="14"/>
          <w:szCs w:val="14"/>
          <w:color w:val="auto"/>
        </w:rPr>
        <w:t>87</w:t>
      </w:r>
    </w:p>
    <w:p>
      <w:pPr>
        <w:sectPr>
          <w:pgSz w:w="11900" w:h="16838" w:orient="portrait"/>
          <w:cols w:equalWidth="0" w:num="1">
            <w:col w:w="10159"/>
          </w:cols>
          <w:pgMar w:left="300" w:top="384" w:right="1440"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15">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873125</wp:posOffset>
            </wp:positionH>
            <wp:positionV relativeFrom="paragraph">
              <wp:posOffset>187325</wp:posOffset>
            </wp:positionV>
            <wp:extent cx="5422265" cy="1333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16">
                      <a:extLst>
                        <a:ext uri="{28A0092B-C50C-407E-A947-70E740481C1C}"/>
                      </a:extLst>
                    </a:blip>
                    <a:srcRect/>
                    <a:stretch>
                      <a:fillRect/>
                    </a:stretch>
                  </pic:blipFill>
                  <pic:spPr bwMode="auto">
                    <a:xfrm>
                      <a:off x="0" y="0"/>
                      <a:ext cx="5422265" cy="13335"/>
                    </a:xfrm>
                    <a:prstGeom prst="rect">
                      <a:avLst/>
                    </a:prstGeom>
                    <a:noFill/>
                  </pic:spPr>
                </pic:pic>
              </a:graphicData>
            </a:graphic>
          </wp:anchor>
        </w:drawing>
        <w:drawing>
          <wp:anchor simplePos="0" relativeHeight="251657728" behindDoc="1" locked="0" layoutInCell="0" allowOverlap="1">
            <wp:simplePos x="0" y="0"/>
            <wp:positionH relativeFrom="column">
              <wp:posOffset>873125</wp:posOffset>
            </wp:positionH>
            <wp:positionV relativeFrom="paragraph">
              <wp:posOffset>227330</wp:posOffset>
            </wp:positionV>
            <wp:extent cx="5422265" cy="635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17">
                      <a:extLst>
                        <a:ext uri="{28A0092B-C50C-407E-A947-70E740481C1C}"/>
                      </a:extLst>
                    </a:blip>
                    <a:srcRect/>
                    <a:stretch>
                      <a:fillRect/>
                    </a:stretch>
                  </pic:blipFill>
                  <pic:spPr bwMode="auto">
                    <a:xfrm>
                      <a:off x="0" y="0"/>
                      <a:ext cx="5422265"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33"/>
          <w:szCs w:val="33"/>
          <w:b w:val="1"/>
          <w:bCs w:val="1"/>
          <w:color w:val="auto"/>
        </w:rPr>
        <w:t>FIDUS INVESTMENT CORPORATION</w:t>
      </w:r>
    </w:p>
    <w:p>
      <w:pPr>
        <w:spacing w:after="0" w:line="359"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0"/>
          <w:szCs w:val="20"/>
          <w:b w:val="1"/>
          <w:bCs w:val="1"/>
          <w:color w:val="auto"/>
        </w:rPr>
        <w:t>Offer to Exchange</w:t>
      </w:r>
    </w:p>
    <w:p>
      <w:pPr>
        <w:spacing w:after="0" w:line="168"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20"/>
          <w:szCs w:val="20"/>
          <w:b w:val="1"/>
          <w:bCs w:val="1"/>
          <w:color w:val="auto"/>
        </w:rPr>
        <w:t>$120,000,000 aggregate principal amount of 6.625% Notes</w:t>
      </w:r>
    </w:p>
    <w:p>
      <w:pPr>
        <w:spacing w:after="0" w:line="26"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20"/>
          <w:szCs w:val="20"/>
          <w:b w:val="1"/>
          <w:bCs w:val="1"/>
          <w:color w:val="auto"/>
        </w:rPr>
        <w:t>due 2029</w:t>
      </w:r>
    </w:p>
    <w:p>
      <w:pPr>
        <w:spacing w:after="0" w:line="142"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20"/>
          <w:szCs w:val="20"/>
          <w:b w:val="1"/>
          <w:bCs w:val="1"/>
          <w:color w:val="auto"/>
        </w:rPr>
        <w:t>for</w:t>
      </w:r>
    </w:p>
    <w:p>
      <w:pPr>
        <w:spacing w:after="0" w:line="168"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20"/>
          <w:szCs w:val="20"/>
          <w:b w:val="1"/>
          <w:bCs w:val="1"/>
          <w:color w:val="auto"/>
        </w:rPr>
        <w:t>$120,000,000 aggregate principal amount of 6.625% Notes</w:t>
      </w:r>
    </w:p>
    <w:p>
      <w:pPr>
        <w:spacing w:after="0" w:line="2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0"/>
          <w:szCs w:val="20"/>
          <w:b w:val="1"/>
          <w:bCs w:val="1"/>
          <w:color w:val="auto"/>
        </w:rPr>
        <w:t>due 2029</w:t>
      </w:r>
    </w:p>
    <w:p>
      <w:pPr>
        <w:spacing w:after="0" w:line="14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0"/>
          <w:szCs w:val="20"/>
          <w:b w:val="1"/>
          <w:bCs w:val="1"/>
          <w:color w:val="auto"/>
        </w:rPr>
        <w:t>Registered under the Securities Act of 1933,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3012440</wp:posOffset>
            </wp:positionH>
            <wp:positionV relativeFrom="paragraph">
              <wp:posOffset>778510</wp:posOffset>
            </wp:positionV>
            <wp:extent cx="1143000" cy="635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18">
                      <a:extLst>
                        <a:ext uri="{28A0092B-C50C-407E-A947-70E740481C1C}"/>
                      </a:extLst>
                    </a:blip>
                    <a:srcRect/>
                    <a:stretch>
                      <a:fillRect/>
                    </a:stretch>
                  </pic:blipFill>
                  <pic:spPr bwMode="auto">
                    <a:xfrm>
                      <a:off x="0" y="0"/>
                      <a:ext cx="1143000"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4"/>
          <w:szCs w:val="14"/>
          <w:b w:val="1"/>
          <w:bCs w:val="1"/>
          <w:color w:val="auto"/>
        </w:rPr>
        <w:t>PRELIMINARY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3012440</wp:posOffset>
            </wp:positionH>
            <wp:positionV relativeFrom="paragraph">
              <wp:posOffset>194310</wp:posOffset>
            </wp:positionV>
            <wp:extent cx="1143000" cy="635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19">
                      <a:extLst>
                        <a:ext uri="{28A0092B-C50C-407E-A947-70E740481C1C}"/>
                      </a:extLst>
                    </a:blip>
                    <a:srcRect/>
                    <a:stretch>
                      <a:fillRect/>
                    </a:stretch>
                  </pic:blipFill>
                  <pic:spPr bwMode="auto">
                    <a:xfrm>
                      <a:off x="0" y="0"/>
                      <a:ext cx="1143000"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1380" w:right="259"/>
        <w:spacing w:after="0" w:line="258" w:lineRule="auto"/>
        <w:rPr>
          <w:sz w:val="20"/>
          <w:szCs w:val="20"/>
          <w:color w:val="auto"/>
        </w:rPr>
      </w:pPr>
      <w:r>
        <w:rPr>
          <w:rFonts w:ascii="Times New Roman" w:cs="Times New Roman" w:eastAsia="Times New Roman" w:hAnsi="Times New Roman"/>
          <w:sz w:val="14"/>
          <w:szCs w:val="14"/>
          <w:b w:val="1"/>
          <w:bCs w:val="1"/>
          <w:color w:val="auto"/>
        </w:rPr>
        <w:t>You should rely only on the information contained in this prospectus. This prospectus is not an offer to sell nor is it seeking an offer to buy these securities in any jurisdiction where the offer or sale is not permitted. The information contained in this prospectus is accurate only as of the date of this prospectus, regardless of the time of delivery of this prospectus or any sale of these securities. You should not assume that the delivery of this prospectus or that any sale made pursuant to this prospectus implies that the information contained in this prospectus will remain fully accurate and correct as of any time subsequent to the date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3012440</wp:posOffset>
            </wp:positionH>
            <wp:positionV relativeFrom="paragraph">
              <wp:posOffset>756920</wp:posOffset>
            </wp:positionV>
            <wp:extent cx="1143000" cy="635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20">
                      <a:extLst>
                        <a:ext uri="{28A0092B-C50C-407E-A947-70E740481C1C}"/>
                      </a:extLst>
                    </a:blip>
                    <a:srcRect/>
                    <a:stretch>
                      <a:fillRect/>
                    </a:stretch>
                  </pic:blipFill>
                  <pic:spPr bwMode="auto">
                    <a:xfrm>
                      <a:off x="0" y="0"/>
                      <a:ext cx="1143000"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4"/>
          <w:szCs w:val="14"/>
          <w:b w:val="1"/>
          <w:bCs w:val="1"/>
          <w:color w:val="auto"/>
        </w:rPr>
        <w:t>            ,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873125</wp:posOffset>
            </wp:positionH>
            <wp:positionV relativeFrom="paragraph">
              <wp:posOffset>333375</wp:posOffset>
            </wp:positionV>
            <wp:extent cx="5422265" cy="635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21">
                      <a:extLst>
                        <a:ext uri="{28A0092B-C50C-407E-A947-70E740481C1C}"/>
                      </a:extLst>
                    </a:blip>
                    <a:srcRect/>
                    <a:stretch>
                      <a:fillRect/>
                    </a:stretch>
                  </pic:blipFill>
                  <pic:spPr bwMode="auto">
                    <a:xfrm>
                      <a:off x="0" y="0"/>
                      <a:ext cx="5422265" cy="6350"/>
                    </a:xfrm>
                    <a:prstGeom prst="rect">
                      <a:avLst/>
                    </a:prstGeom>
                    <a:noFill/>
                  </pic:spPr>
                </pic:pic>
              </a:graphicData>
            </a:graphic>
          </wp:anchor>
        </w:drawing>
        <w:drawing>
          <wp:anchor simplePos="0" relativeHeight="251657728" behindDoc="1" locked="0" layoutInCell="0" allowOverlap="1">
            <wp:simplePos x="0" y="0"/>
            <wp:positionH relativeFrom="column">
              <wp:posOffset>873125</wp:posOffset>
            </wp:positionH>
            <wp:positionV relativeFrom="paragraph">
              <wp:posOffset>386715</wp:posOffset>
            </wp:positionV>
            <wp:extent cx="5422265" cy="1333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22">
                      <a:extLst>
                        <a:ext uri="{28A0092B-C50C-407E-A947-70E740481C1C}"/>
                      </a:extLst>
                    </a:blip>
                    <a:srcRect/>
                    <a:stretch>
                      <a:fillRect/>
                    </a:stretch>
                  </pic:blipFill>
                  <pic:spPr bwMode="auto">
                    <a:xfrm>
                      <a:off x="0" y="0"/>
                      <a:ext cx="5422265" cy="13335"/>
                    </a:xfrm>
                    <a:prstGeom prst="rect">
                      <a:avLst/>
                    </a:prstGeom>
                    <a:noFill/>
                  </pic:spPr>
                </pic:pic>
              </a:graphicData>
            </a:graphic>
          </wp:anchor>
        </w:drawing>
      </w:r>
    </w:p>
    <w:p>
      <w:pPr>
        <w:sectPr>
          <w:pgSz w:w="11900" w:h="16838" w:orient="portrait"/>
          <w:cols w:equalWidth="0" w:num="1">
            <w:col w:w="10159"/>
          </w:cols>
          <w:pgMar w:left="300" w:top="384" w:right="1440"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23">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7"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4"/>
          <w:szCs w:val="14"/>
          <w:b w:val="1"/>
          <w:bCs w:val="1"/>
          <w:color w:val="auto"/>
        </w:rPr>
        <w:t>PART C Other Information</w:t>
      </w:r>
    </w:p>
    <w:p>
      <w:pPr>
        <w:spacing w:after="0" w:line="174"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b w:val="1"/>
          <w:bCs w:val="1"/>
          <w:color w:val="auto"/>
        </w:rPr>
        <w:t>Item 15. Indemnification</w:t>
      </w:r>
    </w:p>
    <w:p>
      <w:pPr>
        <w:spacing w:after="0" w:line="92" w:lineRule="exact"/>
        <w:rPr>
          <w:sz w:val="20"/>
          <w:szCs w:val="20"/>
          <w:color w:val="auto"/>
        </w:rPr>
      </w:pPr>
    </w:p>
    <w:p>
      <w:pPr>
        <w:ind w:left="1380" w:right="319" w:firstLine="341"/>
        <w:spacing w:after="0" w:line="257" w:lineRule="auto"/>
        <w:rPr>
          <w:sz w:val="20"/>
          <w:szCs w:val="20"/>
          <w:color w:val="auto"/>
        </w:rPr>
      </w:pPr>
      <w:r>
        <w:rPr>
          <w:rFonts w:ascii="Times New Roman" w:cs="Times New Roman" w:eastAsia="Times New Roman" w:hAnsi="Times New Roman"/>
          <w:sz w:val="14"/>
          <w:szCs w:val="14"/>
          <w:color w:val="auto"/>
        </w:rPr>
        <w:t>Maryland law permits a Maryland corporation to include in its charter a provision limiting the liability of its directors and officers to the corporation and its stockholders for money damages except for liability resulting from (a) actual receipt of an improper benefit or profit in money, property or services or (b) active and deliberate dishonesty established by a final judgment as being material to the cause of action. Our charter contains such a provision that eliminates directors’ and officers’ liability to the maximum extent permitted by Maryland law, subject to the requirements of the 1940 Act.</w:t>
      </w:r>
    </w:p>
    <w:p>
      <w:pPr>
        <w:spacing w:after="0" w:line="143" w:lineRule="exact"/>
        <w:rPr>
          <w:sz w:val="20"/>
          <w:szCs w:val="20"/>
          <w:color w:val="auto"/>
        </w:rPr>
      </w:pPr>
    </w:p>
    <w:p>
      <w:pPr>
        <w:ind w:left="1380" w:right="399" w:firstLine="341"/>
        <w:spacing w:after="0" w:line="257" w:lineRule="auto"/>
        <w:rPr>
          <w:sz w:val="20"/>
          <w:szCs w:val="20"/>
          <w:color w:val="auto"/>
        </w:rPr>
      </w:pPr>
      <w:r>
        <w:rPr>
          <w:rFonts w:ascii="Times New Roman" w:cs="Times New Roman" w:eastAsia="Times New Roman" w:hAnsi="Times New Roman"/>
          <w:sz w:val="14"/>
          <w:szCs w:val="14"/>
          <w:color w:val="auto"/>
        </w:rPr>
        <w:t>Our charter authorizes us, to the maximum extent permitted by Maryland law and subject to the requirements of the 1940 Act, to indemnify any present or former director or officer or any individual who, while a director or officer and at our request, serves or has served another corporation, real estate investment trust, partnership, joint venture, trust, employee benefit plan or other enterprise as a director, officer, partner or trustee, from and against any claim or liability to which such person may become subject or which such person may incur by reason of his or her service in any such capacity.</w:t>
      </w:r>
    </w:p>
    <w:p>
      <w:pPr>
        <w:spacing w:after="0" w:line="143" w:lineRule="exact"/>
        <w:rPr>
          <w:sz w:val="20"/>
          <w:szCs w:val="20"/>
          <w:color w:val="auto"/>
        </w:rPr>
      </w:pPr>
    </w:p>
    <w:p>
      <w:pPr>
        <w:ind w:left="1380" w:right="259" w:firstLine="341"/>
        <w:spacing w:after="0" w:line="253" w:lineRule="auto"/>
        <w:rPr>
          <w:sz w:val="20"/>
          <w:szCs w:val="20"/>
          <w:color w:val="auto"/>
        </w:rPr>
      </w:pPr>
      <w:r>
        <w:rPr>
          <w:rFonts w:ascii="Times New Roman" w:cs="Times New Roman" w:eastAsia="Times New Roman" w:hAnsi="Times New Roman"/>
          <w:sz w:val="14"/>
          <w:szCs w:val="14"/>
          <w:color w:val="auto"/>
        </w:rPr>
        <w:t>Our bylaws obligate us, to the maximum extent permitted by Maryland law and subject to the requirements of the 1940 Act, to indemnify any present or former director or officer or any individual who, while a director or officer and at our request, serves or has served another corporation, real estate investment trust, partnership, joint venture, trust, employee benefit plan or other enterprise as a director, officer, partner or trustee and who is made, or threatened to be made, a party to the proceeding by reason of his or her service in any such capacity from and against any claim or liability to which that person may become subject or which that person may incur by reason of his or her service in any such capacity. Our bylaws also provide that, to the maximum extent permitted by Maryland law, with the approval of our board of directors and provided that certain conditions described in our bylaws are met, we may pay certain expenses incurred by any such indemnified person in advance of the final disposition of a proceeding upon receipt of an undertaking by or on behalf of such indemnified person to repay amounts we have so paid if it is ultimately determined that indemnification of such expenses is not authorized under our bylaws.</w:t>
      </w:r>
    </w:p>
    <w:p>
      <w:pPr>
        <w:spacing w:after="0" w:line="147" w:lineRule="exact"/>
        <w:rPr>
          <w:sz w:val="20"/>
          <w:szCs w:val="20"/>
          <w:color w:val="auto"/>
        </w:rPr>
      </w:pPr>
    </w:p>
    <w:p>
      <w:pPr>
        <w:ind w:left="1380" w:right="279" w:firstLine="341"/>
        <w:spacing w:after="0" w:line="252" w:lineRule="auto"/>
        <w:rPr>
          <w:sz w:val="20"/>
          <w:szCs w:val="20"/>
          <w:color w:val="auto"/>
        </w:rPr>
      </w:pPr>
      <w:r>
        <w:rPr>
          <w:rFonts w:ascii="Times New Roman" w:cs="Times New Roman" w:eastAsia="Times New Roman" w:hAnsi="Times New Roman"/>
          <w:sz w:val="14"/>
          <w:szCs w:val="14"/>
          <w:color w:val="auto"/>
        </w:rPr>
        <w:t>Maryland law requires a corporation (unless its charter provides otherwise, which our charter does not) to indemnify a director or officer who has been successful in the defense of any proceeding to which he or she is made, or threatened to be made, a party by reason of his or her service in that capacity. Maryland law permits a corporation to indemnify its present and former directors and officers, among others, against judgments, penalties, fines, settlements and reasonable expenses actually incurred by them in connection with any proceeding to which they may be made, or threatened to be made, a party by reason of their service in those or other capacities unless it is established that (a) the act or omission of the director or officer was material to the matter giving rise to the proceeding and (1) was committed in bad faith or (2) was the result of active and deliberate dishonesty, (b) the director or officer actually received an improper personal benefit in money, property or services or (c) in the case of any criminal proceeding, the director or officer had reasonable cause to believe that the act or omission was unlawful. However, under Maryland law, a Maryland corporation may not indemnify for an adverse judgment in a suit by or in the right of the corporation or for a judgment of liability on the basis that a personal benefit was improperly received, unless in either case a court orders indemnification, and then only for expenses. In addition, Maryland law permits a corporation to advance reasonable expenses to a director or officer upon the corporation’s receipt of (a) a written affirmation by the director or officer of his or her good faith belief that he or she has met the standard of conduct necessary for indemnification by the corporation and (b) a written undertaking by him or her or on his or her behalf to repay the amount paid or reimbursed by the corporation if it is ultimately determined that the standard of conduct was not met.</w:t>
      </w:r>
    </w:p>
    <w:p>
      <w:pPr>
        <w:spacing w:after="0" w:line="9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II-1</w:t>
      </w:r>
    </w:p>
    <w:p>
      <w:pPr>
        <w:sectPr>
          <w:pgSz w:w="11900" w:h="16838" w:orient="portrait"/>
          <w:cols w:equalWidth="0" w:num="1">
            <w:col w:w="10159"/>
          </w:cols>
          <w:pgMar w:left="300" w:top="384" w:right="1440"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24">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9" w:lineRule="exact"/>
        <w:rPr>
          <w:sz w:val="20"/>
          <w:szCs w:val="20"/>
          <w:color w:val="auto"/>
        </w:rPr>
      </w:pPr>
    </w:p>
    <w:p>
      <w:pPr>
        <w:ind w:left="1380" w:right="259" w:firstLine="341"/>
        <w:spacing w:after="0" w:line="265" w:lineRule="auto"/>
        <w:rPr>
          <w:sz w:val="20"/>
          <w:szCs w:val="20"/>
          <w:color w:val="auto"/>
        </w:rPr>
      </w:pPr>
      <w:r>
        <w:rPr>
          <w:rFonts w:ascii="Times New Roman" w:cs="Times New Roman" w:eastAsia="Times New Roman" w:hAnsi="Times New Roman"/>
          <w:sz w:val="14"/>
          <w:szCs w:val="14"/>
          <w:color w:val="auto"/>
        </w:rPr>
        <w:t>We have obtained primary and excess insurance policies insuring our directors and officers against some liabilities they may incur in their capacity as directors and officers. Under such policies, the insurer, on our behalf, may also pay amounts for which we have granted indemnification to our directors or officers.</w:t>
      </w:r>
    </w:p>
    <w:p>
      <w:pPr>
        <w:spacing w:after="0" w:line="136" w:lineRule="exact"/>
        <w:rPr>
          <w:sz w:val="20"/>
          <w:szCs w:val="20"/>
          <w:color w:val="auto"/>
        </w:rPr>
      </w:pPr>
    </w:p>
    <w:p>
      <w:pPr>
        <w:ind w:left="1380" w:right="259" w:firstLine="341"/>
        <w:spacing w:after="0" w:line="286" w:lineRule="auto"/>
        <w:rPr>
          <w:sz w:val="20"/>
          <w:szCs w:val="20"/>
          <w:color w:val="auto"/>
        </w:rPr>
      </w:pPr>
      <w:r>
        <w:rPr>
          <w:rFonts w:ascii="Times New Roman" w:cs="Times New Roman" w:eastAsia="Times New Roman" w:hAnsi="Times New Roman"/>
          <w:sz w:val="13"/>
          <w:szCs w:val="13"/>
          <w:color w:val="auto"/>
        </w:rPr>
        <w:t>The Investment Advisory Agreement provides that, absent willful misfeasance, bad faith or gross negligence in the performance of its duties or by reason of the reckless disregard of its duties and obligations, our investment advisor and its and its affiliates’ officers, directors, members, managers, stockholders and employees are entitled to indemnification from us for any damages, liabilities, costs and expenses (including reasonable attorneys’ fees and amounts reasonably paid in settlement) arising from the rendering of our investment advisor’s services under the Investment Advisory Agreement.</w:t>
      </w:r>
    </w:p>
    <w:p>
      <w:pPr>
        <w:spacing w:after="0" w:line="125" w:lineRule="exact"/>
        <w:rPr>
          <w:sz w:val="20"/>
          <w:szCs w:val="20"/>
          <w:color w:val="auto"/>
        </w:rPr>
      </w:pPr>
    </w:p>
    <w:p>
      <w:pPr>
        <w:ind w:left="1380" w:right="259" w:firstLine="341"/>
        <w:spacing w:after="0" w:line="257" w:lineRule="auto"/>
        <w:rPr>
          <w:sz w:val="20"/>
          <w:szCs w:val="20"/>
          <w:color w:val="auto"/>
        </w:rPr>
      </w:pPr>
      <w:r>
        <w:rPr>
          <w:rFonts w:ascii="Times New Roman" w:cs="Times New Roman" w:eastAsia="Times New Roman" w:hAnsi="Times New Roman"/>
          <w:sz w:val="14"/>
          <w:szCs w:val="14"/>
          <w:color w:val="auto"/>
        </w:rPr>
        <w:t>The Administration Agreement provides that, absent willful misfeasance, bad faith or negligence in the performance of its duties or by reason of the reckless disregard of its duties and obligations, our investment advisor and its and its affiliates’ officers, directors, members, managers, stockholders and employees are entitled to indemnification from us for any damages, liabilities, costs and expenses (including reasonable attorneys’ fees and amounts reasonably paid in settlement) arising from the rendering of our investment advisor’s services under the Administration Agreement or otherwise as our administrator.</w:t>
      </w:r>
    </w:p>
    <w:p>
      <w:pPr>
        <w:spacing w:after="0" w:line="143" w:lineRule="exact"/>
        <w:rPr>
          <w:sz w:val="20"/>
          <w:szCs w:val="20"/>
          <w:color w:val="auto"/>
        </w:rPr>
      </w:pPr>
    </w:p>
    <w:p>
      <w:pPr>
        <w:ind w:left="1380" w:right="259" w:firstLine="341"/>
        <w:spacing w:after="0" w:line="254" w:lineRule="auto"/>
        <w:rPr>
          <w:sz w:val="20"/>
          <w:szCs w:val="20"/>
          <w:color w:val="auto"/>
        </w:rPr>
      </w:pPr>
      <w:r>
        <w:rPr>
          <w:rFonts w:ascii="Times New Roman" w:cs="Times New Roman" w:eastAsia="Times New Roman" w:hAnsi="Times New Roman"/>
          <w:sz w:val="14"/>
          <w:szCs w:val="14"/>
          <w:color w:val="auto"/>
        </w:rPr>
        <w:t>Insofar as indemnification for liability arising under the Securities Act may be permitted to our directors, officers and controlling persons pursuant to the foregoing provisions, or otherwise, we have been advised that in the opinion of the SEC such indemnification is against public policy as expressed in the Securities Act and is, therefore, unenforceable. In the event that a claim for indemnification against such liabilities (other than the payment by us of expenses incurred or paid by a director, officer or controlling person of ours in the successful defense of any action, suit or proceeding) is asserted by such director, officer or controlling person in connection with the securities being registered, we will, unless in the opinion of our counsel the matter has been settled by controlling precedent, submit to a court of appropriate jurisdiction the question whether such indemnification by us is against public policy as expressed in the Securities Act and will be governed by the final adjudication of such issue.</w:t>
      </w:r>
    </w:p>
    <w:p>
      <w:pPr>
        <w:spacing w:after="0" w:line="229"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b w:val="1"/>
          <w:bCs w:val="1"/>
          <w:color w:val="auto"/>
        </w:rPr>
        <w:t>Item 16. Exhibits</w:t>
      </w:r>
    </w:p>
    <w:p>
      <w:pPr>
        <w:spacing w:after="0" w:line="197" w:lineRule="exact"/>
        <w:rPr>
          <w:sz w:val="20"/>
          <w:szCs w:val="20"/>
          <w:color w:val="auto"/>
        </w:rPr>
      </w:pPr>
    </w:p>
    <w:p>
      <w:pPr>
        <w:ind w:left="2440" w:right="299" w:hanging="1065"/>
        <w:spacing w:after="0" w:line="265" w:lineRule="auto"/>
        <w:tabs>
          <w:tab w:leader="none" w:pos="2440" w:val="left"/>
        </w:tabs>
        <w:numPr>
          <w:ilvl w:val="0"/>
          <w:numId w:val="53"/>
        </w:numPr>
        <w:rPr>
          <w:rFonts w:ascii="Times New Roman" w:cs="Times New Roman" w:eastAsia="Times New Roman" w:hAnsi="Times New Roman"/>
          <w:sz w:val="14"/>
          <w:szCs w:val="14"/>
          <w:u w:val="single" w:color="auto"/>
          <w:color w:val="0000EE"/>
        </w:rPr>
      </w:pPr>
      <w:hyperlink r:id="rId325">
        <w:r>
          <w:rPr>
            <w:rFonts w:ascii="Times New Roman" w:cs="Times New Roman" w:eastAsia="Times New Roman" w:hAnsi="Times New Roman"/>
            <w:sz w:val="14"/>
            <w:szCs w:val="14"/>
            <w:u w:val="single" w:color="auto"/>
            <w:color w:val="0000EE"/>
          </w:rPr>
          <w:t>Articles of Amendment and Restatement of the Registrant (Filed as Exhibit (a)(1) to Pre-Effective Amendment No. 2 to the</w:t>
        </w:r>
      </w:hyperlink>
      <w:r>
        <w:rPr>
          <w:rFonts w:ascii="Times New Roman" w:cs="Times New Roman" w:eastAsia="Times New Roman" w:hAnsi="Times New Roman"/>
          <w:sz w:val="14"/>
          <w:szCs w:val="14"/>
          <w:u w:val="single" w:color="auto"/>
          <w:color w:val="0000EE"/>
        </w:rPr>
        <w:t xml:space="preserve"> </w:t>
      </w:r>
      <w:hyperlink r:id="rId325">
        <w:r>
          <w:rPr>
            <w:rFonts w:ascii="Times New Roman" w:cs="Times New Roman" w:eastAsia="Times New Roman" w:hAnsi="Times New Roman"/>
            <w:sz w:val="14"/>
            <w:szCs w:val="14"/>
            <w:u w:val="single" w:color="auto"/>
            <w:color w:val="0000EE"/>
          </w:rPr>
          <w:t>Registrant’s Registration Statement on Form N-2 (File No. 333-172550) filed with the U.S. Securities and Exchange Commission on</w:t>
        </w:r>
      </w:hyperlink>
      <w:r>
        <w:rPr>
          <w:rFonts w:ascii="Times New Roman" w:cs="Times New Roman" w:eastAsia="Times New Roman" w:hAnsi="Times New Roman"/>
          <w:sz w:val="14"/>
          <w:szCs w:val="14"/>
          <w:u w:val="single" w:color="auto"/>
          <w:color w:val="0000EE"/>
        </w:rPr>
        <w:t xml:space="preserve"> </w:t>
      </w:r>
      <w:hyperlink r:id="rId325">
        <w:r>
          <w:rPr>
            <w:rFonts w:ascii="Times New Roman" w:cs="Times New Roman" w:eastAsia="Times New Roman" w:hAnsi="Times New Roman"/>
            <w:sz w:val="14"/>
            <w:szCs w:val="14"/>
            <w:u w:val="single" w:color="auto"/>
            <w:color w:val="0000EE"/>
          </w:rPr>
          <w:t>April 29, 2011 and incorporated herein by reference).</w:t>
        </w:r>
      </w:hyperlink>
    </w:p>
    <w:p>
      <w:pPr>
        <w:spacing w:after="0" w:line="52" w:lineRule="exact"/>
        <w:rPr>
          <w:rFonts w:ascii="Times New Roman" w:cs="Times New Roman" w:eastAsia="Times New Roman" w:hAnsi="Times New Roman"/>
          <w:sz w:val="14"/>
          <w:szCs w:val="14"/>
          <w:u w:val="single" w:color="auto"/>
          <w:color w:val="0000EE"/>
        </w:rPr>
      </w:pPr>
    </w:p>
    <w:p>
      <w:pPr>
        <w:ind w:left="2440" w:right="239" w:hanging="1065"/>
        <w:spacing w:after="0" w:line="265" w:lineRule="auto"/>
        <w:tabs>
          <w:tab w:leader="none" w:pos="2440" w:val="left"/>
        </w:tabs>
        <w:numPr>
          <w:ilvl w:val="0"/>
          <w:numId w:val="53"/>
        </w:numPr>
        <w:rPr>
          <w:rFonts w:ascii="Times New Roman" w:cs="Times New Roman" w:eastAsia="Times New Roman" w:hAnsi="Times New Roman"/>
          <w:sz w:val="14"/>
          <w:szCs w:val="14"/>
          <w:u w:val="single" w:color="auto"/>
          <w:color w:val="0000EE"/>
        </w:rPr>
      </w:pPr>
      <w:hyperlink r:id="rId326">
        <w:r>
          <w:rPr>
            <w:rFonts w:ascii="Times New Roman" w:cs="Times New Roman" w:eastAsia="Times New Roman" w:hAnsi="Times New Roman"/>
            <w:sz w:val="14"/>
            <w:szCs w:val="14"/>
            <w:u w:val="single" w:color="auto"/>
            <w:color w:val="0000EE"/>
          </w:rPr>
          <w:t>Bylaws of the Registrant (Filed as Exhibit (b)(1) to Pre-Effective Amendment No. 2 to the Registrant’s Registration Statement on</w:t>
        </w:r>
      </w:hyperlink>
      <w:r>
        <w:rPr>
          <w:rFonts w:ascii="Times New Roman" w:cs="Times New Roman" w:eastAsia="Times New Roman" w:hAnsi="Times New Roman"/>
          <w:sz w:val="14"/>
          <w:szCs w:val="14"/>
          <w:u w:val="single" w:color="auto"/>
          <w:color w:val="0000EE"/>
        </w:rPr>
        <w:t xml:space="preserve"> </w:t>
      </w:r>
      <w:hyperlink r:id="rId326">
        <w:r>
          <w:rPr>
            <w:rFonts w:ascii="Times New Roman" w:cs="Times New Roman" w:eastAsia="Times New Roman" w:hAnsi="Times New Roman"/>
            <w:sz w:val="14"/>
            <w:szCs w:val="14"/>
            <w:u w:val="single" w:color="auto"/>
            <w:color w:val="0000EE"/>
          </w:rPr>
          <w:t>Form N-2 (File No. 333-172550) filed with the U.S. Securities and Exchange Commission on April 29, 2011 and incorporated herein</w:t>
        </w:r>
      </w:hyperlink>
      <w:r>
        <w:rPr>
          <w:rFonts w:ascii="Times New Roman" w:cs="Times New Roman" w:eastAsia="Times New Roman" w:hAnsi="Times New Roman"/>
          <w:sz w:val="14"/>
          <w:szCs w:val="14"/>
          <w:u w:val="single" w:color="auto"/>
          <w:color w:val="0000EE"/>
        </w:rPr>
        <w:t xml:space="preserve"> </w:t>
      </w:r>
      <w:hyperlink r:id="rId326">
        <w:r>
          <w:rPr>
            <w:rFonts w:ascii="Times New Roman" w:cs="Times New Roman" w:eastAsia="Times New Roman" w:hAnsi="Times New Roman"/>
            <w:sz w:val="14"/>
            <w:szCs w:val="14"/>
            <w:u w:val="single" w:color="auto"/>
            <w:color w:val="0000EE"/>
          </w:rPr>
          <w:t>by reference).</w:t>
        </w:r>
      </w:hyperlink>
    </w:p>
    <w:p>
      <w:pPr>
        <w:spacing w:after="0" w:line="43" w:lineRule="exact"/>
        <w:rPr>
          <w:rFonts w:ascii="Times New Roman" w:cs="Times New Roman" w:eastAsia="Times New Roman" w:hAnsi="Times New Roman"/>
          <w:sz w:val="14"/>
          <w:szCs w:val="14"/>
          <w:u w:val="single" w:color="auto"/>
          <w:color w:val="0000EE"/>
        </w:rPr>
      </w:pPr>
    </w:p>
    <w:tbl>
      <w:tblPr>
        <w:tblLayout w:type="fixed"/>
        <w:tblInd w:w="1380" w:type="dxa"/>
        <w:tblCellMar>
          <w:top w:w="0" w:type="dxa"/>
          <w:left w:w="0" w:type="dxa"/>
          <w:bottom w:w="0" w:type="dxa"/>
          <w:right w:w="0" w:type="dxa"/>
        </w:tblCellMar>
      </w:tblPr>
      <w:tr>
        <w:trPr>
          <w:trHeight w:val="161"/>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(5)(a)</w:t>
            </w:r>
          </w:p>
        </w:tc>
        <w:tc>
          <w:tcPr>
            <w:tcW w:w="7420" w:type="dxa"/>
            <w:vAlign w:val="bottom"/>
            <w:gridSpan w:val="8"/>
          </w:tcPr>
          <w:p>
            <w:pPr>
              <w:spacing w:after="0"/>
              <w:rPr>
                <w:rFonts w:ascii="Times New Roman" w:cs="Times New Roman" w:eastAsia="Times New Roman" w:hAnsi="Times New Roman"/>
                <w:sz w:val="14"/>
                <w:szCs w:val="14"/>
                <w:color w:val="0000EE"/>
              </w:rPr>
            </w:pPr>
            <w:hyperlink r:id="rId327">
              <w:r>
                <w:rPr>
                  <w:rFonts w:ascii="Times New Roman" w:cs="Times New Roman" w:eastAsia="Times New Roman" w:hAnsi="Times New Roman"/>
                  <w:sz w:val="14"/>
                  <w:szCs w:val="14"/>
                  <w:color w:val="0000EE"/>
                </w:rPr>
                <w:t>Form of Stock Certificate of the Registrant (Filed as Exhibit (d) to Pre-Effective Amendment No. 2 to the Registrant’s Registration</w:t>
              </w:r>
            </w:hyperlink>
          </w:p>
        </w:tc>
      </w:tr>
      <w:tr>
        <w:trPr>
          <w:trHeight w:val="147"/>
        </w:trPr>
        <w:tc>
          <w:tcPr>
            <w:tcW w:w="1060" w:type="dxa"/>
            <w:vAlign w:val="bottom"/>
          </w:tcPr>
          <w:p>
            <w:pPr>
              <w:spacing w:after="0"/>
              <w:rPr>
                <w:sz w:val="12"/>
                <w:szCs w:val="12"/>
                <w:color w:val="auto"/>
              </w:rPr>
            </w:pPr>
          </w:p>
        </w:tc>
        <w:tc>
          <w:tcPr>
            <w:tcW w:w="7120" w:type="dxa"/>
            <w:vAlign w:val="bottom"/>
            <w:tcBorders>
              <w:top w:val="single" w:sz="8" w:color="0000EE"/>
              <w:bottom w:val="single" w:sz="8" w:color="0000EE"/>
            </w:tcBorders>
            <w:gridSpan w:val="5"/>
          </w:tcPr>
          <w:p>
            <w:pPr>
              <w:spacing w:after="0" w:line="147" w:lineRule="exact"/>
              <w:rPr>
                <w:rFonts w:ascii="Times New Roman" w:cs="Times New Roman" w:eastAsia="Times New Roman" w:hAnsi="Times New Roman"/>
                <w:sz w:val="14"/>
                <w:szCs w:val="14"/>
                <w:color w:val="0000EE"/>
                <w:w w:val="99"/>
              </w:rPr>
            </w:pPr>
            <w:hyperlink r:id="rId327">
              <w:r>
                <w:rPr>
                  <w:rFonts w:ascii="Times New Roman" w:cs="Times New Roman" w:eastAsia="Times New Roman" w:hAnsi="Times New Roman"/>
                  <w:sz w:val="14"/>
                  <w:szCs w:val="14"/>
                  <w:color w:val="0000EE"/>
                  <w:w w:val="99"/>
                </w:rPr>
                <w:t>Statement on Form N-2 (File No. 333-172550) filed with the U.S. Securities and Exchange Commission on April 29, 2011 and</w:t>
              </w:r>
            </w:hyperlink>
          </w:p>
        </w:tc>
        <w:tc>
          <w:tcPr>
            <w:tcW w:w="220" w:type="dxa"/>
            <w:vAlign w:val="bottom"/>
            <w:tcBorders>
              <w:top w:val="single" w:sz="8" w:color="0000EE"/>
            </w:tcBorders>
            <w:gridSpan w:val="2"/>
          </w:tcPr>
          <w:p>
            <w:pPr>
              <w:spacing w:after="0"/>
              <w:rPr>
                <w:sz w:val="12"/>
                <w:szCs w:val="12"/>
                <w:color w:val="auto"/>
              </w:rPr>
            </w:pPr>
          </w:p>
        </w:tc>
        <w:tc>
          <w:tcPr>
            <w:tcW w:w="80" w:type="dxa"/>
            <w:vAlign w:val="bottom"/>
          </w:tcPr>
          <w:p>
            <w:pPr>
              <w:spacing w:after="0"/>
              <w:rPr>
                <w:sz w:val="12"/>
                <w:szCs w:val="12"/>
                <w:color w:val="auto"/>
              </w:rPr>
            </w:pPr>
          </w:p>
        </w:tc>
      </w:tr>
      <w:tr>
        <w:trPr>
          <w:trHeight w:val="147"/>
        </w:trPr>
        <w:tc>
          <w:tcPr>
            <w:tcW w:w="1060" w:type="dxa"/>
            <w:vAlign w:val="bottom"/>
          </w:tcPr>
          <w:p>
            <w:pPr>
              <w:spacing w:after="0"/>
              <w:rPr>
                <w:sz w:val="12"/>
                <w:szCs w:val="12"/>
                <w:color w:val="auto"/>
              </w:rPr>
            </w:pPr>
          </w:p>
        </w:tc>
        <w:tc>
          <w:tcPr>
            <w:tcW w:w="1900" w:type="dxa"/>
            <w:vAlign w:val="bottom"/>
            <w:tcBorders>
              <w:bottom w:val="single" w:sz="8" w:color="0000EE"/>
            </w:tcBorders>
            <w:gridSpan w:val="2"/>
          </w:tcPr>
          <w:p>
            <w:pPr>
              <w:spacing w:after="0" w:line="147" w:lineRule="exact"/>
              <w:rPr>
                <w:rFonts w:ascii="Times New Roman" w:cs="Times New Roman" w:eastAsia="Times New Roman" w:hAnsi="Times New Roman"/>
                <w:sz w:val="14"/>
                <w:szCs w:val="14"/>
                <w:color w:val="0000EE"/>
                <w:w w:val="98"/>
              </w:rPr>
            </w:pPr>
            <w:hyperlink r:id="rId327">
              <w:r>
                <w:rPr>
                  <w:rFonts w:ascii="Times New Roman" w:cs="Times New Roman" w:eastAsia="Times New Roman" w:hAnsi="Times New Roman"/>
                  <w:sz w:val="14"/>
                  <w:szCs w:val="14"/>
                  <w:color w:val="0000EE"/>
                  <w:w w:val="98"/>
                </w:rPr>
                <w:t>incorporated herein by reference).</w:t>
              </w:r>
            </w:hyperlink>
          </w:p>
        </w:tc>
        <w:tc>
          <w:tcPr>
            <w:tcW w:w="5520" w:type="dxa"/>
            <w:vAlign w:val="bottom"/>
            <w:gridSpan w:val="6"/>
          </w:tcPr>
          <w:p>
            <w:pPr>
              <w:spacing w:after="0"/>
              <w:rPr>
                <w:sz w:val="12"/>
                <w:szCs w:val="12"/>
                <w:color w:val="auto"/>
              </w:rPr>
            </w:pPr>
          </w:p>
        </w:tc>
      </w:tr>
      <w:tr>
        <w:trPr>
          <w:trHeight w:val="231"/>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(5)(b)</w:t>
            </w:r>
          </w:p>
        </w:tc>
        <w:tc>
          <w:tcPr>
            <w:tcW w:w="7420" w:type="dxa"/>
            <w:vAlign w:val="bottom"/>
            <w:tcBorders>
              <w:bottom w:val="single" w:sz="8" w:color="0000EE"/>
            </w:tcBorders>
            <w:gridSpan w:val="8"/>
          </w:tcPr>
          <w:p>
            <w:pPr>
              <w:spacing w:after="0"/>
              <w:rPr>
                <w:rFonts w:ascii="Times New Roman" w:cs="Times New Roman" w:eastAsia="Times New Roman" w:hAnsi="Times New Roman"/>
                <w:sz w:val="14"/>
                <w:szCs w:val="14"/>
                <w:color w:val="0000EE"/>
                <w:w w:val="99"/>
              </w:rPr>
            </w:pPr>
            <w:hyperlink r:id="rId328">
              <w:r>
                <w:rPr>
                  <w:rFonts w:ascii="Times New Roman" w:cs="Times New Roman" w:eastAsia="Times New Roman" w:hAnsi="Times New Roman"/>
                  <w:sz w:val="14"/>
                  <w:szCs w:val="14"/>
                  <w:color w:val="0000EE"/>
                  <w:w w:val="99"/>
                </w:rPr>
                <w:t>Agreement to Furnish Certain Instruments (Filed as Exhibit (f)(2) to Pre-Effective Amendment No. 3 to the Registrant’s Registration</w:t>
              </w:r>
            </w:hyperlink>
          </w:p>
        </w:tc>
      </w:tr>
      <w:tr>
        <w:trPr>
          <w:trHeight w:val="147"/>
        </w:trPr>
        <w:tc>
          <w:tcPr>
            <w:tcW w:w="1060" w:type="dxa"/>
            <w:vAlign w:val="bottom"/>
          </w:tcPr>
          <w:p>
            <w:pPr>
              <w:spacing w:after="0"/>
              <w:rPr>
                <w:sz w:val="12"/>
                <w:szCs w:val="12"/>
                <w:color w:val="auto"/>
              </w:rPr>
            </w:pPr>
          </w:p>
        </w:tc>
        <w:tc>
          <w:tcPr>
            <w:tcW w:w="7060" w:type="dxa"/>
            <w:vAlign w:val="bottom"/>
            <w:tcBorders>
              <w:bottom w:val="single" w:sz="8" w:color="0000EE"/>
            </w:tcBorders>
            <w:gridSpan w:val="4"/>
          </w:tcPr>
          <w:p>
            <w:pPr>
              <w:spacing w:after="0" w:line="147" w:lineRule="exact"/>
              <w:rPr>
                <w:rFonts w:ascii="Times New Roman" w:cs="Times New Roman" w:eastAsia="Times New Roman" w:hAnsi="Times New Roman"/>
                <w:sz w:val="14"/>
                <w:szCs w:val="14"/>
                <w:color w:val="0000EE"/>
                <w:w w:val="99"/>
              </w:rPr>
            </w:pPr>
            <w:hyperlink r:id="rId328">
              <w:r>
                <w:rPr>
                  <w:rFonts w:ascii="Times New Roman" w:cs="Times New Roman" w:eastAsia="Times New Roman" w:hAnsi="Times New Roman"/>
                  <w:sz w:val="14"/>
                  <w:szCs w:val="14"/>
                  <w:color w:val="0000EE"/>
                  <w:w w:val="99"/>
                </w:rPr>
                <w:t>Statement on Form N-2 (File No. 333-172550) filed with the U.S. Securities and Exchange Commission on May 26, 2011 and</w:t>
              </w:r>
            </w:hyperlink>
          </w:p>
        </w:tc>
        <w:tc>
          <w:tcPr>
            <w:tcW w:w="360" w:type="dxa"/>
            <w:vAlign w:val="bottom"/>
            <w:gridSpan w:val="4"/>
          </w:tcPr>
          <w:p>
            <w:pPr>
              <w:spacing w:after="0"/>
              <w:rPr>
                <w:sz w:val="12"/>
                <w:szCs w:val="12"/>
                <w:color w:val="auto"/>
              </w:rPr>
            </w:pPr>
          </w:p>
        </w:tc>
      </w:tr>
      <w:tr>
        <w:trPr>
          <w:trHeight w:val="147"/>
        </w:trPr>
        <w:tc>
          <w:tcPr>
            <w:tcW w:w="1060" w:type="dxa"/>
            <w:vAlign w:val="bottom"/>
          </w:tcPr>
          <w:p>
            <w:pPr>
              <w:spacing w:after="0"/>
              <w:rPr>
                <w:sz w:val="12"/>
                <w:szCs w:val="12"/>
                <w:color w:val="auto"/>
              </w:rPr>
            </w:pPr>
          </w:p>
        </w:tc>
        <w:tc>
          <w:tcPr>
            <w:tcW w:w="1900" w:type="dxa"/>
            <w:vAlign w:val="bottom"/>
            <w:tcBorders>
              <w:bottom w:val="single" w:sz="8" w:color="0000EE"/>
            </w:tcBorders>
            <w:gridSpan w:val="2"/>
          </w:tcPr>
          <w:p>
            <w:pPr>
              <w:spacing w:after="0" w:line="147" w:lineRule="exact"/>
              <w:rPr>
                <w:rFonts w:ascii="Times New Roman" w:cs="Times New Roman" w:eastAsia="Times New Roman" w:hAnsi="Times New Roman"/>
                <w:sz w:val="14"/>
                <w:szCs w:val="14"/>
                <w:color w:val="0000EE"/>
                <w:w w:val="98"/>
              </w:rPr>
            </w:pPr>
            <w:hyperlink r:id="rId328">
              <w:r>
                <w:rPr>
                  <w:rFonts w:ascii="Times New Roman" w:cs="Times New Roman" w:eastAsia="Times New Roman" w:hAnsi="Times New Roman"/>
                  <w:sz w:val="14"/>
                  <w:szCs w:val="14"/>
                  <w:color w:val="0000EE"/>
                  <w:w w:val="98"/>
                </w:rPr>
                <w:t>incorporated herein by reference).</w:t>
              </w:r>
            </w:hyperlink>
          </w:p>
        </w:tc>
        <w:tc>
          <w:tcPr>
            <w:tcW w:w="5520" w:type="dxa"/>
            <w:vAlign w:val="bottom"/>
            <w:gridSpan w:val="6"/>
          </w:tcPr>
          <w:p>
            <w:pPr>
              <w:spacing w:after="0"/>
              <w:rPr>
                <w:sz w:val="12"/>
                <w:szCs w:val="12"/>
                <w:color w:val="auto"/>
              </w:rPr>
            </w:pPr>
          </w:p>
        </w:tc>
      </w:tr>
      <w:tr>
        <w:trPr>
          <w:trHeight w:val="231"/>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(5)(c)</w:t>
            </w:r>
          </w:p>
        </w:tc>
        <w:tc>
          <w:tcPr>
            <w:tcW w:w="7300" w:type="dxa"/>
            <w:vAlign w:val="bottom"/>
            <w:tcBorders>
              <w:bottom w:val="single" w:sz="8" w:color="0000EE"/>
            </w:tcBorders>
            <w:gridSpan w:val="6"/>
          </w:tcPr>
          <w:p>
            <w:pPr>
              <w:spacing w:after="0"/>
              <w:rPr>
                <w:rFonts w:ascii="Times New Roman" w:cs="Times New Roman" w:eastAsia="Times New Roman" w:hAnsi="Times New Roman"/>
                <w:sz w:val="14"/>
                <w:szCs w:val="14"/>
                <w:color w:val="0000EE"/>
                <w:w w:val="99"/>
              </w:rPr>
            </w:pPr>
            <w:hyperlink r:id="rId329">
              <w:r>
                <w:rPr>
                  <w:rFonts w:ascii="Times New Roman" w:cs="Times New Roman" w:eastAsia="Times New Roman" w:hAnsi="Times New Roman"/>
                  <w:sz w:val="14"/>
                  <w:szCs w:val="14"/>
                  <w:color w:val="0000EE"/>
                  <w:w w:val="99"/>
                </w:rPr>
                <w:t>Form of Indenture (Filed as Exhibit (d)(5) to Post-Effective Amendment No. 2 to the Registrant’s Registration Statement on Form</w:t>
              </w:r>
            </w:hyperlink>
          </w:p>
        </w:tc>
        <w:tc>
          <w:tcPr>
            <w:tcW w:w="120" w:type="dxa"/>
            <w:vAlign w:val="bottom"/>
            <w:gridSpan w:val="2"/>
          </w:tcPr>
          <w:p>
            <w:pPr>
              <w:spacing w:after="0"/>
              <w:rPr>
                <w:sz w:val="20"/>
                <w:szCs w:val="20"/>
                <w:color w:val="auto"/>
              </w:rPr>
            </w:pPr>
          </w:p>
        </w:tc>
      </w:tr>
      <w:tr>
        <w:trPr>
          <w:trHeight w:val="147"/>
        </w:trPr>
        <w:tc>
          <w:tcPr>
            <w:tcW w:w="1060" w:type="dxa"/>
            <w:vAlign w:val="bottom"/>
          </w:tcPr>
          <w:p>
            <w:pPr>
              <w:spacing w:after="0"/>
              <w:rPr>
                <w:sz w:val="12"/>
                <w:szCs w:val="12"/>
                <w:color w:val="auto"/>
              </w:rPr>
            </w:pPr>
          </w:p>
        </w:tc>
        <w:tc>
          <w:tcPr>
            <w:tcW w:w="7040" w:type="dxa"/>
            <w:vAlign w:val="bottom"/>
            <w:tcBorders>
              <w:bottom w:val="single" w:sz="8" w:color="0000EE"/>
            </w:tcBorders>
            <w:gridSpan w:val="3"/>
          </w:tcPr>
          <w:p>
            <w:pPr>
              <w:spacing w:after="0" w:line="147" w:lineRule="exact"/>
              <w:rPr>
                <w:rFonts w:ascii="Times New Roman" w:cs="Times New Roman" w:eastAsia="Times New Roman" w:hAnsi="Times New Roman"/>
                <w:sz w:val="14"/>
                <w:szCs w:val="14"/>
                <w:color w:val="0000EE"/>
                <w:w w:val="99"/>
              </w:rPr>
            </w:pPr>
            <w:hyperlink r:id="rId329">
              <w:r>
                <w:rPr>
                  <w:rFonts w:ascii="Times New Roman" w:cs="Times New Roman" w:eastAsia="Times New Roman" w:hAnsi="Times New Roman"/>
                  <w:sz w:val="14"/>
                  <w:szCs w:val="14"/>
                  <w:color w:val="0000EE"/>
                  <w:w w:val="99"/>
                </w:rPr>
                <w:t>N-2 (File No. 333-202531) filed with the Securities and Exchange Commission on April 29, 2016 and incorporated herein by</w:t>
              </w:r>
            </w:hyperlink>
          </w:p>
        </w:tc>
        <w:tc>
          <w:tcPr>
            <w:tcW w:w="380" w:type="dxa"/>
            <w:vAlign w:val="bottom"/>
            <w:gridSpan w:val="5"/>
          </w:tcPr>
          <w:p>
            <w:pPr>
              <w:spacing w:after="0"/>
              <w:rPr>
                <w:sz w:val="12"/>
                <w:szCs w:val="12"/>
                <w:color w:val="auto"/>
              </w:rPr>
            </w:pPr>
          </w:p>
        </w:tc>
      </w:tr>
      <w:tr>
        <w:trPr>
          <w:trHeight w:val="147"/>
        </w:trPr>
        <w:tc>
          <w:tcPr>
            <w:tcW w:w="1060" w:type="dxa"/>
            <w:vAlign w:val="bottom"/>
          </w:tcPr>
          <w:p>
            <w:pPr>
              <w:spacing w:after="0"/>
              <w:rPr>
                <w:sz w:val="12"/>
                <w:szCs w:val="12"/>
                <w:color w:val="auto"/>
              </w:rPr>
            </w:pPr>
          </w:p>
        </w:tc>
        <w:tc>
          <w:tcPr>
            <w:tcW w:w="7420" w:type="dxa"/>
            <w:vAlign w:val="bottom"/>
            <w:gridSpan w:val="8"/>
          </w:tcPr>
          <w:p>
            <w:pPr>
              <w:spacing w:after="0" w:line="147" w:lineRule="exact"/>
              <w:rPr>
                <w:rFonts w:ascii="Times New Roman" w:cs="Times New Roman" w:eastAsia="Times New Roman" w:hAnsi="Times New Roman"/>
                <w:sz w:val="14"/>
                <w:szCs w:val="14"/>
                <w:color w:val="0000EE"/>
              </w:rPr>
            </w:pPr>
            <w:hyperlink r:id="rId329">
              <w:r>
                <w:rPr>
                  <w:rFonts w:ascii="Times New Roman" w:cs="Times New Roman" w:eastAsia="Times New Roman" w:hAnsi="Times New Roman"/>
                  <w:sz w:val="14"/>
                  <w:szCs w:val="14"/>
                  <w:color w:val="0000EE"/>
                </w:rPr>
                <w:t>reference).</w:t>
              </w:r>
            </w:hyperlink>
          </w:p>
        </w:tc>
      </w:tr>
      <w:tr>
        <w:trPr>
          <w:trHeight w:val="20"/>
        </w:trPr>
        <w:tc>
          <w:tcPr>
            <w:tcW w:w="10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2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II-2</w:t>
      </w:r>
    </w:p>
    <w:p>
      <w:pPr>
        <w:sectPr>
          <w:pgSz w:w="11900" w:h="16838" w:orient="portrait"/>
          <w:cols w:equalWidth="0" w:num="1">
            <w:col w:w="10159"/>
          </w:cols>
          <w:pgMar w:left="300" w:top="384" w:right="1440"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30">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39"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1120" w:type="dxa"/>
            <w:vAlign w:val="bottom"/>
          </w:tcPr>
          <w:p>
            <w:pPr>
              <w:spacing w:after="0"/>
              <w:rPr>
                <w:sz w:val="20"/>
                <w:szCs w:val="20"/>
                <w:color w:val="auto"/>
              </w:rPr>
            </w:pPr>
            <w:r>
              <w:rPr>
                <w:rFonts w:ascii="Times New Roman" w:cs="Times New Roman" w:eastAsia="Times New Roman" w:hAnsi="Times New Roman"/>
                <w:sz w:val="14"/>
                <w:szCs w:val="14"/>
                <w:color w:val="auto"/>
              </w:rPr>
              <w:t>(5)(d)</w:t>
            </w:r>
          </w:p>
        </w:tc>
        <w:tc>
          <w:tcPr>
            <w:tcW w:w="7320" w:type="dxa"/>
            <w:vAlign w:val="bottom"/>
            <w:tcBorders>
              <w:bottom w:val="single" w:sz="8" w:color="0000EE"/>
            </w:tcBorders>
            <w:gridSpan w:val="13"/>
          </w:tcPr>
          <w:p>
            <w:pPr>
              <w:spacing w:after="0"/>
              <w:rPr>
                <w:rFonts w:ascii="Times New Roman" w:cs="Times New Roman" w:eastAsia="Times New Roman" w:hAnsi="Times New Roman"/>
                <w:sz w:val="14"/>
                <w:szCs w:val="14"/>
                <w:color w:val="0000EE"/>
                <w:w w:val="99"/>
              </w:rPr>
            </w:pPr>
            <w:hyperlink r:id="rId331">
              <w:r>
                <w:rPr>
                  <w:rFonts w:ascii="Times New Roman" w:cs="Times New Roman" w:eastAsia="Times New Roman" w:hAnsi="Times New Roman"/>
                  <w:sz w:val="14"/>
                  <w:szCs w:val="14"/>
                  <w:color w:val="0000EE"/>
                  <w:w w:val="99"/>
                </w:rPr>
                <w:t>Sixth Supplemental Indenture, dated as of March 19, 2025, between Fidus Investment Corporation and U.S. Bank Trust Company,</w:t>
              </w:r>
            </w:hyperlink>
          </w:p>
        </w:tc>
        <w:tc>
          <w:tcPr>
            <w:tcW w:w="40" w:type="dxa"/>
            <w:vAlign w:val="bottom"/>
          </w:tcPr>
          <w:p>
            <w:pPr>
              <w:spacing w:after="0"/>
              <w:rPr>
                <w:sz w:val="13"/>
                <w:szCs w:val="13"/>
                <w:color w:val="auto"/>
              </w:rPr>
            </w:pPr>
          </w:p>
        </w:tc>
      </w:tr>
      <w:tr>
        <w:trPr>
          <w:trHeight w:val="147"/>
        </w:trPr>
        <w:tc>
          <w:tcPr>
            <w:tcW w:w="1120" w:type="dxa"/>
            <w:vAlign w:val="bottom"/>
          </w:tcPr>
          <w:p>
            <w:pPr>
              <w:spacing w:after="0"/>
              <w:rPr>
                <w:sz w:val="12"/>
                <w:szCs w:val="12"/>
                <w:color w:val="auto"/>
              </w:rPr>
            </w:pPr>
          </w:p>
        </w:tc>
        <w:tc>
          <w:tcPr>
            <w:tcW w:w="7360" w:type="dxa"/>
            <w:vAlign w:val="bottom"/>
            <w:tcBorders>
              <w:bottom w:val="single" w:sz="8" w:color="0000EE"/>
            </w:tcBorders>
            <w:gridSpan w:val="14"/>
          </w:tcPr>
          <w:p>
            <w:pPr>
              <w:spacing w:after="0" w:line="147" w:lineRule="exact"/>
              <w:rPr>
                <w:rFonts w:ascii="Times New Roman" w:cs="Times New Roman" w:eastAsia="Times New Roman" w:hAnsi="Times New Roman"/>
                <w:sz w:val="14"/>
                <w:szCs w:val="14"/>
                <w:color w:val="0000EE"/>
                <w:w w:val="99"/>
              </w:rPr>
            </w:pPr>
            <w:hyperlink r:id="rId331">
              <w:r>
                <w:rPr>
                  <w:rFonts w:ascii="Times New Roman" w:cs="Times New Roman" w:eastAsia="Times New Roman" w:hAnsi="Times New Roman"/>
                  <w:sz w:val="14"/>
                  <w:szCs w:val="14"/>
                  <w:color w:val="0000EE"/>
                  <w:w w:val="99"/>
                </w:rPr>
                <w:t>National Association (as successor in interest to U.S. Bank National Association), as trustee (Filed as Exhibit 4.2 to the Registrant’s</w:t>
              </w:r>
            </w:hyperlink>
          </w:p>
        </w:tc>
      </w:tr>
      <w:tr>
        <w:trPr>
          <w:trHeight w:val="147"/>
        </w:trPr>
        <w:tc>
          <w:tcPr>
            <w:tcW w:w="1120" w:type="dxa"/>
            <w:vAlign w:val="bottom"/>
          </w:tcPr>
          <w:p>
            <w:pPr>
              <w:spacing w:after="0"/>
              <w:rPr>
                <w:sz w:val="12"/>
                <w:szCs w:val="12"/>
                <w:color w:val="auto"/>
              </w:rPr>
            </w:pPr>
          </w:p>
        </w:tc>
        <w:tc>
          <w:tcPr>
            <w:tcW w:w="7280" w:type="dxa"/>
            <w:vAlign w:val="bottom"/>
            <w:tcBorders>
              <w:bottom w:val="single" w:sz="8" w:color="0000EE"/>
            </w:tcBorders>
            <w:gridSpan w:val="12"/>
          </w:tcPr>
          <w:p>
            <w:pPr>
              <w:spacing w:after="0" w:line="147" w:lineRule="exact"/>
              <w:rPr>
                <w:rFonts w:ascii="Times New Roman" w:cs="Times New Roman" w:eastAsia="Times New Roman" w:hAnsi="Times New Roman"/>
                <w:sz w:val="14"/>
                <w:szCs w:val="14"/>
                <w:color w:val="0000EE"/>
                <w:w w:val="99"/>
              </w:rPr>
            </w:pPr>
            <w:hyperlink r:id="rId331">
              <w:r>
                <w:rPr>
                  <w:rFonts w:ascii="Times New Roman" w:cs="Times New Roman" w:eastAsia="Times New Roman" w:hAnsi="Times New Roman"/>
                  <w:sz w:val="14"/>
                  <w:szCs w:val="14"/>
                  <w:color w:val="0000EE"/>
                  <w:w w:val="99"/>
                </w:rPr>
                <w:t>Current Report on Form 8-K filed with the U.S. Securities and Exchange Commission on March 19, 2025 and incorporated herein</w:t>
              </w:r>
            </w:hyperlink>
          </w:p>
        </w:tc>
        <w:tc>
          <w:tcPr>
            <w:tcW w:w="80" w:type="dxa"/>
            <w:vAlign w:val="bottom"/>
            <w:gridSpan w:val="2"/>
          </w:tcPr>
          <w:p>
            <w:pPr>
              <w:spacing w:after="0"/>
              <w:rPr>
                <w:sz w:val="12"/>
                <w:szCs w:val="12"/>
                <w:color w:val="auto"/>
              </w:rPr>
            </w:pPr>
          </w:p>
        </w:tc>
      </w:tr>
      <w:tr>
        <w:trPr>
          <w:trHeight w:val="147"/>
        </w:trPr>
        <w:tc>
          <w:tcPr>
            <w:tcW w:w="1120" w:type="dxa"/>
            <w:vAlign w:val="bottom"/>
          </w:tcPr>
          <w:p>
            <w:pPr>
              <w:spacing w:after="0"/>
              <w:rPr>
                <w:sz w:val="12"/>
                <w:szCs w:val="12"/>
                <w:color w:val="auto"/>
              </w:rPr>
            </w:pPr>
          </w:p>
        </w:tc>
        <w:tc>
          <w:tcPr>
            <w:tcW w:w="780" w:type="dxa"/>
            <w:vAlign w:val="bottom"/>
            <w:tcBorders>
              <w:bottom w:val="single" w:sz="8" w:color="0000EE"/>
            </w:tcBorders>
          </w:tcPr>
          <w:p>
            <w:pPr>
              <w:spacing w:after="0" w:line="147" w:lineRule="exact"/>
              <w:rPr>
                <w:rFonts w:ascii="Times New Roman" w:cs="Times New Roman" w:eastAsia="Times New Roman" w:hAnsi="Times New Roman"/>
                <w:sz w:val="14"/>
                <w:szCs w:val="14"/>
                <w:color w:val="0000EE"/>
                <w:w w:val="97"/>
              </w:rPr>
            </w:pPr>
            <w:hyperlink r:id="rId331">
              <w:r>
                <w:rPr>
                  <w:rFonts w:ascii="Times New Roman" w:cs="Times New Roman" w:eastAsia="Times New Roman" w:hAnsi="Times New Roman"/>
                  <w:sz w:val="14"/>
                  <w:szCs w:val="14"/>
                  <w:color w:val="0000EE"/>
                  <w:w w:val="97"/>
                </w:rPr>
                <w:t>by reference).</w:t>
              </w:r>
            </w:hyperlink>
          </w:p>
        </w:tc>
        <w:tc>
          <w:tcPr>
            <w:tcW w:w="6580" w:type="dxa"/>
            <w:vAlign w:val="bottom"/>
            <w:gridSpan w:val="13"/>
          </w:tcPr>
          <w:p>
            <w:pPr>
              <w:spacing w:after="0"/>
              <w:rPr>
                <w:sz w:val="12"/>
                <w:szCs w:val="12"/>
                <w:color w:val="auto"/>
              </w:rPr>
            </w:pPr>
          </w:p>
        </w:tc>
      </w:tr>
      <w:tr>
        <w:trPr>
          <w:trHeight w:val="231"/>
        </w:trPr>
        <w:tc>
          <w:tcPr>
            <w:tcW w:w="1120" w:type="dxa"/>
            <w:vAlign w:val="bottom"/>
          </w:tcPr>
          <w:p>
            <w:pPr>
              <w:spacing w:after="0"/>
              <w:rPr>
                <w:sz w:val="20"/>
                <w:szCs w:val="20"/>
                <w:color w:val="auto"/>
              </w:rPr>
            </w:pPr>
            <w:r>
              <w:rPr>
                <w:rFonts w:ascii="Times New Roman" w:cs="Times New Roman" w:eastAsia="Times New Roman" w:hAnsi="Times New Roman"/>
                <w:sz w:val="14"/>
                <w:szCs w:val="14"/>
                <w:color w:val="auto"/>
              </w:rPr>
              <w:t>(5)(e)</w:t>
            </w:r>
          </w:p>
        </w:tc>
        <w:tc>
          <w:tcPr>
            <w:tcW w:w="7360" w:type="dxa"/>
            <w:vAlign w:val="bottom"/>
            <w:gridSpan w:val="14"/>
          </w:tcPr>
          <w:p>
            <w:pPr>
              <w:spacing w:after="0"/>
              <w:rPr>
                <w:rFonts w:ascii="Times New Roman" w:cs="Times New Roman" w:eastAsia="Times New Roman" w:hAnsi="Times New Roman"/>
                <w:sz w:val="14"/>
                <w:szCs w:val="14"/>
                <w:color w:val="0000EE"/>
              </w:rPr>
            </w:pPr>
            <w:hyperlink r:id="rId331">
              <w:r>
                <w:rPr>
                  <w:rFonts w:ascii="Times New Roman" w:cs="Times New Roman" w:eastAsia="Times New Roman" w:hAnsi="Times New Roman"/>
                  <w:sz w:val="14"/>
                  <w:szCs w:val="14"/>
                  <w:color w:val="0000EE"/>
                </w:rPr>
                <w:t>Form of Global Note with respect to the 6.750% Notes due 2030 (Filed as Exhibit 4.3 to the Registrant’s Current Report on Form</w:t>
              </w:r>
            </w:hyperlink>
          </w:p>
        </w:tc>
      </w:tr>
      <w:tr>
        <w:trPr>
          <w:trHeight w:val="147"/>
        </w:trPr>
        <w:tc>
          <w:tcPr>
            <w:tcW w:w="1120" w:type="dxa"/>
            <w:vAlign w:val="bottom"/>
          </w:tcPr>
          <w:p>
            <w:pPr>
              <w:spacing w:after="0"/>
              <w:rPr>
                <w:sz w:val="12"/>
                <w:szCs w:val="12"/>
                <w:color w:val="auto"/>
              </w:rPr>
            </w:pPr>
          </w:p>
        </w:tc>
        <w:tc>
          <w:tcPr>
            <w:tcW w:w="6700" w:type="dxa"/>
            <w:vAlign w:val="bottom"/>
            <w:tcBorders>
              <w:top w:val="single" w:sz="8" w:color="0000EE"/>
              <w:bottom w:val="single" w:sz="8" w:color="0000EE"/>
            </w:tcBorders>
            <w:gridSpan w:val="6"/>
          </w:tcPr>
          <w:p>
            <w:pPr>
              <w:spacing w:after="0" w:line="147" w:lineRule="exact"/>
              <w:rPr>
                <w:rFonts w:ascii="Times New Roman" w:cs="Times New Roman" w:eastAsia="Times New Roman" w:hAnsi="Times New Roman"/>
                <w:sz w:val="14"/>
                <w:szCs w:val="14"/>
                <w:color w:val="0000EE"/>
                <w:w w:val="99"/>
              </w:rPr>
            </w:pPr>
            <w:hyperlink r:id="rId331">
              <w:r>
                <w:rPr>
                  <w:rFonts w:ascii="Times New Roman" w:cs="Times New Roman" w:eastAsia="Times New Roman" w:hAnsi="Times New Roman"/>
                  <w:sz w:val="14"/>
                  <w:szCs w:val="14"/>
                  <w:color w:val="0000EE"/>
                  <w:w w:val="99"/>
                </w:rPr>
                <w:t>8-K filed with the U.S. Securities and Exchange Commission on March 19, 2025 and incorporated herein by reference).</w:t>
              </w:r>
            </w:hyperlink>
          </w:p>
        </w:tc>
        <w:tc>
          <w:tcPr>
            <w:tcW w:w="520" w:type="dxa"/>
            <w:vAlign w:val="bottom"/>
            <w:tcBorders>
              <w:top w:val="single" w:sz="8" w:color="0000EE"/>
            </w:tcBorders>
            <w:gridSpan w:val="5"/>
          </w:tcPr>
          <w:p>
            <w:pPr>
              <w:spacing w:after="0"/>
              <w:rPr>
                <w:sz w:val="12"/>
                <w:szCs w:val="12"/>
                <w:color w:val="auto"/>
              </w:rPr>
            </w:pPr>
          </w:p>
        </w:tc>
        <w:tc>
          <w:tcPr>
            <w:tcW w:w="140" w:type="dxa"/>
            <w:vAlign w:val="bottom"/>
            <w:gridSpan w:val="3"/>
          </w:tcPr>
          <w:p>
            <w:pPr>
              <w:spacing w:after="0"/>
              <w:rPr>
                <w:sz w:val="12"/>
                <w:szCs w:val="12"/>
                <w:color w:val="auto"/>
              </w:rPr>
            </w:pPr>
          </w:p>
        </w:tc>
      </w:tr>
      <w:tr>
        <w:trPr>
          <w:trHeight w:val="248"/>
        </w:trPr>
        <w:tc>
          <w:tcPr>
            <w:tcW w:w="1120" w:type="dxa"/>
            <w:vAlign w:val="bottom"/>
          </w:tcPr>
          <w:p>
            <w:pPr>
              <w:spacing w:after="0"/>
              <w:rPr>
                <w:sz w:val="20"/>
                <w:szCs w:val="20"/>
                <w:color w:val="auto"/>
              </w:rPr>
            </w:pPr>
            <w:r>
              <w:rPr>
                <w:rFonts w:ascii="Times New Roman" w:cs="Times New Roman" w:eastAsia="Times New Roman" w:hAnsi="Times New Roman"/>
                <w:sz w:val="14"/>
                <w:szCs w:val="14"/>
                <w:color w:val="auto"/>
              </w:rPr>
              <w:t>(5)(f)</w:t>
            </w:r>
          </w:p>
        </w:tc>
        <w:tc>
          <w:tcPr>
            <w:tcW w:w="7360" w:type="dxa"/>
            <w:vAlign w:val="bottom"/>
            <w:gridSpan w:val="14"/>
          </w:tcPr>
          <w:p>
            <w:pPr>
              <w:spacing w:after="0"/>
              <w:rPr>
                <w:sz w:val="20"/>
                <w:szCs w:val="20"/>
                <w:color w:val="auto"/>
              </w:rPr>
            </w:pPr>
            <w:r>
              <w:rPr>
                <w:rFonts w:ascii="Times New Roman" w:cs="Times New Roman" w:eastAsia="Times New Roman" w:hAnsi="Times New Roman"/>
                <w:sz w:val="14"/>
                <w:szCs w:val="14"/>
                <w:color w:val="auto"/>
              </w:rPr>
              <w:t>Form of Seventh Supplemental Indenture between Fidus Investment Corporation and U.S. Bank Trust Company, National</w:t>
            </w:r>
          </w:p>
        </w:tc>
      </w:tr>
      <w:tr>
        <w:trPr>
          <w:trHeight w:val="182"/>
        </w:trPr>
        <w:tc>
          <w:tcPr>
            <w:tcW w:w="1120" w:type="dxa"/>
            <w:vAlign w:val="bottom"/>
          </w:tcPr>
          <w:p>
            <w:pPr>
              <w:spacing w:after="0"/>
              <w:rPr>
                <w:sz w:val="15"/>
                <w:szCs w:val="15"/>
                <w:color w:val="auto"/>
              </w:rPr>
            </w:pPr>
          </w:p>
        </w:tc>
        <w:tc>
          <w:tcPr>
            <w:tcW w:w="7360" w:type="dxa"/>
            <w:vAlign w:val="bottom"/>
            <w:gridSpan w:val="14"/>
          </w:tcPr>
          <w:p>
            <w:pPr>
              <w:spacing w:after="0"/>
              <w:rPr>
                <w:sz w:val="20"/>
                <w:szCs w:val="20"/>
                <w:color w:val="auto"/>
              </w:rPr>
            </w:pPr>
            <w:r>
              <w:rPr>
                <w:rFonts w:ascii="Times New Roman" w:cs="Times New Roman" w:eastAsia="Times New Roman" w:hAnsi="Times New Roman"/>
                <w:sz w:val="14"/>
                <w:szCs w:val="14"/>
                <w:color w:val="auto"/>
              </w:rPr>
              <w:t>Association (as successor in interest to U.S. Bank National Association), as trustee**</w:t>
            </w:r>
          </w:p>
        </w:tc>
      </w:tr>
      <w:tr>
        <w:trPr>
          <w:trHeight w:val="251"/>
        </w:trPr>
        <w:tc>
          <w:tcPr>
            <w:tcW w:w="1120" w:type="dxa"/>
            <w:vAlign w:val="bottom"/>
          </w:tcPr>
          <w:p>
            <w:pPr>
              <w:spacing w:after="0"/>
              <w:rPr>
                <w:sz w:val="20"/>
                <w:szCs w:val="20"/>
                <w:color w:val="auto"/>
              </w:rPr>
            </w:pPr>
            <w:r>
              <w:rPr>
                <w:rFonts w:ascii="Times New Roman" w:cs="Times New Roman" w:eastAsia="Times New Roman" w:hAnsi="Times New Roman"/>
                <w:sz w:val="14"/>
                <w:szCs w:val="14"/>
                <w:color w:val="auto"/>
              </w:rPr>
              <w:t>(5)(g)</w:t>
            </w:r>
          </w:p>
        </w:tc>
        <w:tc>
          <w:tcPr>
            <w:tcW w:w="7360" w:type="dxa"/>
            <w:vAlign w:val="bottom"/>
            <w:gridSpan w:val="14"/>
          </w:tcPr>
          <w:p>
            <w:pPr>
              <w:spacing w:after="0"/>
              <w:rPr>
                <w:sz w:val="20"/>
                <w:szCs w:val="20"/>
                <w:color w:val="auto"/>
              </w:rPr>
            </w:pPr>
            <w:r>
              <w:rPr>
                <w:rFonts w:ascii="Times New Roman" w:cs="Times New Roman" w:eastAsia="Times New Roman" w:hAnsi="Times New Roman"/>
                <w:sz w:val="14"/>
                <w:szCs w:val="14"/>
                <w:color w:val="auto"/>
              </w:rPr>
              <w:t>Form of Global Note with respect to the 6.625% Notes due 2029 registered hereunder**</w:t>
            </w:r>
          </w:p>
        </w:tc>
      </w:tr>
      <w:tr>
        <w:trPr>
          <w:trHeight w:val="220"/>
        </w:trPr>
        <w:tc>
          <w:tcPr>
            <w:tcW w:w="1120" w:type="dxa"/>
            <w:vAlign w:val="bottom"/>
          </w:tcPr>
          <w:p>
            <w:pPr>
              <w:spacing w:after="0"/>
              <w:rPr>
                <w:sz w:val="20"/>
                <w:szCs w:val="20"/>
                <w:color w:val="auto"/>
              </w:rPr>
            </w:pPr>
            <w:r>
              <w:rPr>
                <w:rFonts w:ascii="Times New Roman" w:cs="Times New Roman" w:eastAsia="Times New Roman" w:hAnsi="Times New Roman"/>
                <w:sz w:val="14"/>
                <w:szCs w:val="14"/>
                <w:color w:val="auto"/>
              </w:rPr>
              <w:t>(5)(h)</w:t>
            </w:r>
          </w:p>
        </w:tc>
        <w:tc>
          <w:tcPr>
            <w:tcW w:w="7360" w:type="dxa"/>
            <w:vAlign w:val="bottom"/>
            <w:gridSpan w:val="14"/>
          </w:tcPr>
          <w:p>
            <w:pPr>
              <w:spacing w:after="0"/>
              <w:rPr>
                <w:rFonts w:ascii="Times New Roman" w:cs="Times New Roman" w:eastAsia="Times New Roman" w:hAnsi="Times New Roman"/>
                <w:sz w:val="14"/>
                <w:szCs w:val="14"/>
                <w:color w:val="0000EE"/>
              </w:rPr>
            </w:pPr>
            <w:hyperlink r:id="rId332">
              <w:r>
                <w:rPr>
                  <w:rFonts w:ascii="Times New Roman" w:cs="Times New Roman" w:eastAsia="Times New Roman" w:hAnsi="Times New Roman"/>
                  <w:sz w:val="14"/>
                  <w:szCs w:val="14"/>
                  <w:color w:val="0000EE"/>
                </w:rPr>
                <w:t>Description of Securities (Filed as Exhibit 4.8 to the Registrant’s Annual Report on Form 10-K filed with the U.S. Securities and</w:t>
              </w:r>
            </w:hyperlink>
          </w:p>
        </w:tc>
      </w:tr>
      <w:tr>
        <w:trPr>
          <w:trHeight w:val="147"/>
        </w:trPr>
        <w:tc>
          <w:tcPr>
            <w:tcW w:w="1120" w:type="dxa"/>
            <w:vAlign w:val="bottom"/>
          </w:tcPr>
          <w:p>
            <w:pPr>
              <w:spacing w:after="0"/>
              <w:rPr>
                <w:sz w:val="12"/>
                <w:szCs w:val="12"/>
                <w:color w:val="auto"/>
              </w:rPr>
            </w:pPr>
          </w:p>
        </w:tc>
        <w:tc>
          <w:tcPr>
            <w:tcW w:w="4500" w:type="dxa"/>
            <w:vAlign w:val="bottom"/>
            <w:tcBorders>
              <w:top w:val="single" w:sz="8" w:color="0000EE"/>
              <w:bottom w:val="single" w:sz="8" w:color="0000EE"/>
            </w:tcBorders>
            <w:gridSpan w:val="4"/>
          </w:tcPr>
          <w:p>
            <w:pPr>
              <w:spacing w:after="0" w:line="147" w:lineRule="exact"/>
              <w:rPr>
                <w:rFonts w:ascii="Times New Roman" w:cs="Times New Roman" w:eastAsia="Times New Roman" w:hAnsi="Times New Roman"/>
                <w:sz w:val="14"/>
                <w:szCs w:val="14"/>
                <w:color w:val="0000EE"/>
                <w:w w:val="99"/>
              </w:rPr>
            </w:pPr>
            <w:hyperlink r:id="rId332">
              <w:r>
                <w:rPr>
                  <w:rFonts w:ascii="Times New Roman" w:cs="Times New Roman" w:eastAsia="Times New Roman" w:hAnsi="Times New Roman"/>
                  <w:sz w:val="14"/>
                  <w:szCs w:val="14"/>
                  <w:color w:val="0000EE"/>
                  <w:w w:val="99"/>
                </w:rPr>
                <w:t>Exchange Commission on March 3, 2022 and incorporated herein by reference).</w:t>
              </w:r>
            </w:hyperlink>
          </w:p>
        </w:tc>
        <w:tc>
          <w:tcPr>
            <w:tcW w:w="2680" w:type="dxa"/>
            <w:vAlign w:val="bottom"/>
            <w:tcBorders>
              <w:top w:val="single" w:sz="8" w:color="0000EE"/>
            </w:tcBorders>
            <w:gridSpan w:val="5"/>
          </w:tcPr>
          <w:p>
            <w:pPr>
              <w:spacing w:after="0"/>
              <w:rPr>
                <w:sz w:val="12"/>
                <w:szCs w:val="12"/>
                <w:color w:val="auto"/>
              </w:rPr>
            </w:pPr>
          </w:p>
        </w:tc>
        <w:tc>
          <w:tcPr>
            <w:tcW w:w="180" w:type="dxa"/>
            <w:vAlign w:val="bottom"/>
            <w:gridSpan w:val="5"/>
          </w:tcPr>
          <w:p>
            <w:pPr>
              <w:spacing w:after="0"/>
              <w:rPr>
                <w:sz w:val="12"/>
                <w:szCs w:val="12"/>
                <w:color w:val="auto"/>
              </w:rPr>
            </w:pPr>
          </w:p>
        </w:tc>
      </w:tr>
      <w:tr>
        <w:trPr>
          <w:trHeight w:val="231"/>
        </w:trPr>
        <w:tc>
          <w:tcPr>
            <w:tcW w:w="1120" w:type="dxa"/>
            <w:vAlign w:val="bottom"/>
          </w:tcPr>
          <w:p>
            <w:pPr>
              <w:spacing w:after="0"/>
              <w:rPr>
                <w:sz w:val="20"/>
                <w:szCs w:val="20"/>
                <w:color w:val="auto"/>
              </w:rPr>
            </w:pPr>
            <w:r>
              <w:rPr>
                <w:rFonts w:ascii="Times New Roman" w:cs="Times New Roman" w:eastAsia="Times New Roman" w:hAnsi="Times New Roman"/>
                <w:sz w:val="14"/>
                <w:szCs w:val="14"/>
                <w:color w:val="auto"/>
              </w:rPr>
              <w:t>(5)(i)</w:t>
            </w:r>
          </w:p>
        </w:tc>
        <w:tc>
          <w:tcPr>
            <w:tcW w:w="6980" w:type="dxa"/>
            <w:vAlign w:val="bottom"/>
            <w:tcBorders>
              <w:bottom w:val="single" w:sz="8" w:color="0000EE"/>
            </w:tcBorders>
            <w:gridSpan w:val="7"/>
          </w:tcPr>
          <w:p>
            <w:pPr>
              <w:spacing w:after="0"/>
              <w:rPr>
                <w:rFonts w:ascii="Times New Roman" w:cs="Times New Roman" w:eastAsia="Times New Roman" w:hAnsi="Times New Roman"/>
                <w:sz w:val="14"/>
                <w:szCs w:val="14"/>
                <w:color w:val="0000EE"/>
                <w:w w:val="99"/>
              </w:rPr>
            </w:pPr>
            <w:hyperlink r:id="rId333">
              <w:r>
                <w:rPr>
                  <w:rFonts w:ascii="Times New Roman" w:cs="Times New Roman" w:eastAsia="Times New Roman" w:hAnsi="Times New Roman"/>
                  <w:sz w:val="14"/>
                  <w:szCs w:val="14"/>
                  <w:color w:val="0000EE"/>
                  <w:w w:val="99"/>
                </w:rPr>
                <w:t>Registration Rights Agreement, dated as of May 29, 2026, by and among Fidus Investment Corporation and the institutional</w:t>
              </w:r>
            </w:hyperlink>
          </w:p>
        </w:tc>
        <w:tc>
          <w:tcPr>
            <w:tcW w:w="380" w:type="dxa"/>
            <w:vAlign w:val="bottom"/>
            <w:gridSpan w:val="7"/>
          </w:tcPr>
          <w:p>
            <w:pPr>
              <w:spacing w:after="0"/>
              <w:rPr>
                <w:sz w:val="20"/>
                <w:szCs w:val="20"/>
                <w:color w:val="auto"/>
              </w:rPr>
            </w:pPr>
          </w:p>
        </w:tc>
      </w:tr>
      <w:tr>
        <w:trPr>
          <w:trHeight w:val="147"/>
        </w:trPr>
        <w:tc>
          <w:tcPr>
            <w:tcW w:w="1120" w:type="dxa"/>
            <w:vAlign w:val="bottom"/>
          </w:tcPr>
          <w:p>
            <w:pPr>
              <w:spacing w:after="0"/>
              <w:rPr>
                <w:sz w:val="12"/>
                <w:szCs w:val="12"/>
                <w:color w:val="auto"/>
              </w:rPr>
            </w:pPr>
          </w:p>
        </w:tc>
        <w:tc>
          <w:tcPr>
            <w:tcW w:w="7360" w:type="dxa"/>
            <w:vAlign w:val="bottom"/>
            <w:gridSpan w:val="14"/>
          </w:tcPr>
          <w:p>
            <w:pPr>
              <w:spacing w:after="0" w:line="147" w:lineRule="exact"/>
              <w:rPr>
                <w:rFonts w:ascii="Times New Roman" w:cs="Times New Roman" w:eastAsia="Times New Roman" w:hAnsi="Times New Roman"/>
                <w:sz w:val="14"/>
                <w:szCs w:val="14"/>
                <w:color w:val="0000EE"/>
              </w:rPr>
            </w:pPr>
            <w:hyperlink r:id="rId333">
              <w:r>
                <w:rPr>
                  <w:rFonts w:ascii="Times New Roman" w:cs="Times New Roman" w:eastAsia="Times New Roman" w:hAnsi="Times New Roman"/>
                  <w:sz w:val="14"/>
                  <w:szCs w:val="14"/>
                  <w:color w:val="0000EE"/>
                </w:rPr>
                <w:t>purchasers party thereto (Filed as Exhibit 4.1 to the Registrant’s Current Report on Form 8-K filed with the U.S. Securities and</w:t>
              </w:r>
            </w:hyperlink>
          </w:p>
        </w:tc>
      </w:tr>
      <w:tr>
        <w:trPr>
          <w:trHeight w:val="147"/>
        </w:trPr>
        <w:tc>
          <w:tcPr>
            <w:tcW w:w="1120" w:type="dxa"/>
            <w:vAlign w:val="bottom"/>
          </w:tcPr>
          <w:p>
            <w:pPr>
              <w:spacing w:after="0"/>
              <w:rPr>
                <w:sz w:val="12"/>
                <w:szCs w:val="12"/>
                <w:color w:val="auto"/>
              </w:rPr>
            </w:pPr>
          </w:p>
        </w:tc>
        <w:tc>
          <w:tcPr>
            <w:tcW w:w="7080" w:type="dxa"/>
            <w:vAlign w:val="bottom"/>
            <w:tcBorders>
              <w:top w:val="single" w:sz="8" w:color="0000EE"/>
            </w:tcBorders>
            <w:gridSpan w:val="8"/>
          </w:tcPr>
          <w:p>
            <w:pPr>
              <w:spacing w:after="0" w:line="147" w:lineRule="exact"/>
              <w:rPr>
                <w:rFonts w:ascii="Times New Roman" w:cs="Times New Roman" w:eastAsia="Times New Roman" w:hAnsi="Times New Roman"/>
                <w:sz w:val="14"/>
                <w:szCs w:val="14"/>
                <w:color w:val="0000EE"/>
              </w:rPr>
            </w:pPr>
            <w:hyperlink r:id="rId333">
              <w:r>
                <w:rPr>
                  <w:rFonts w:ascii="Times New Roman" w:cs="Times New Roman" w:eastAsia="Times New Roman" w:hAnsi="Times New Roman"/>
                  <w:sz w:val="14"/>
                  <w:szCs w:val="14"/>
                  <w:color w:val="0000EE"/>
                </w:rPr>
                <w:t>Exchange Commission on May 29, 2026 and incorporated herein by reference).</w:t>
              </w:r>
            </w:hyperlink>
          </w:p>
        </w:tc>
        <w:tc>
          <w:tcPr>
            <w:tcW w:w="280" w:type="dxa"/>
            <w:vAlign w:val="bottom"/>
            <w:gridSpan w:val="6"/>
          </w:tcPr>
          <w:p>
            <w:pPr>
              <w:spacing w:after="0"/>
              <w:rPr>
                <w:sz w:val="12"/>
                <w:szCs w:val="12"/>
                <w:color w:val="auto"/>
              </w:rPr>
            </w:pPr>
          </w:p>
        </w:tc>
      </w:tr>
      <w:tr>
        <w:trPr>
          <w:trHeight w:val="20"/>
        </w:trPr>
        <w:tc>
          <w:tcPr>
            <w:tcW w:w="1120" w:type="dxa"/>
            <w:vAlign w:val="bottom"/>
          </w:tcPr>
          <w:p>
            <w:pPr>
              <w:spacing w:after="0" w:line="20" w:lineRule="exact"/>
              <w:rPr>
                <w:sz w:val="1"/>
                <w:szCs w:val="1"/>
                <w:color w:val="auto"/>
              </w:rPr>
            </w:pPr>
          </w:p>
        </w:tc>
        <w:tc>
          <w:tcPr>
            <w:tcW w:w="3000" w:type="dxa"/>
            <w:vAlign w:val="bottom"/>
            <w:gridSpan w:val="2"/>
            <w:shd w:val="clear" w:color="auto" w:fill="0000EE"/>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900" w:type="dxa"/>
            <w:vAlign w:val="bottom"/>
            <w:gridSpan w:val="5"/>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1"/>
        </w:trPr>
        <w:tc>
          <w:tcPr>
            <w:tcW w:w="1120" w:type="dxa"/>
            <w:vAlign w:val="bottom"/>
          </w:tcPr>
          <w:p>
            <w:pPr>
              <w:spacing w:after="0"/>
              <w:rPr>
                <w:sz w:val="20"/>
                <w:szCs w:val="20"/>
                <w:color w:val="auto"/>
              </w:rPr>
            </w:pPr>
            <w:r>
              <w:rPr>
                <w:rFonts w:ascii="Times New Roman" w:cs="Times New Roman" w:eastAsia="Times New Roman" w:hAnsi="Times New Roman"/>
                <w:sz w:val="14"/>
                <w:szCs w:val="14"/>
                <w:color w:val="auto"/>
              </w:rPr>
              <w:t>(6)(a)</w:t>
            </w:r>
          </w:p>
        </w:tc>
        <w:tc>
          <w:tcPr>
            <w:tcW w:w="7360" w:type="dxa"/>
            <w:vAlign w:val="bottom"/>
            <w:tcBorders>
              <w:bottom w:val="single" w:sz="8" w:color="0000EE"/>
            </w:tcBorders>
            <w:gridSpan w:val="14"/>
          </w:tcPr>
          <w:p>
            <w:pPr>
              <w:spacing w:after="0"/>
              <w:rPr>
                <w:rFonts w:ascii="Times New Roman" w:cs="Times New Roman" w:eastAsia="Times New Roman" w:hAnsi="Times New Roman"/>
                <w:sz w:val="14"/>
                <w:szCs w:val="14"/>
                <w:color w:val="0000EE"/>
                <w:w w:val="99"/>
              </w:rPr>
            </w:pPr>
            <w:hyperlink r:id="rId334">
              <w:r>
                <w:rPr>
                  <w:rFonts w:ascii="Times New Roman" w:cs="Times New Roman" w:eastAsia="Times New Roman" w:hAnsi="Times New Roman"/>
                  <w:sz w:val="14"/>
                  <w:szCs w:val="14"/>
                  <w:color w:val="0000EE"/>
                  <w:w w:val="99"/>
                </w:rPr>
                <w:t>Investment Advisory and Management Agreement between Registrant and Fidus Investment Advisors, LLC (Filed as Exhibit (g) to</w:t>
              </w:r>
            </w:hyperlink>
          </w:p>
        </w:tc>
      </w:tr>
      <w:tr>
        <w:trPr>
          <w:trHeight w:val="147"/>
        </w:trPr>
        <w:tc>
          <w:tcPr>
            <w:tcW w:w="1120" w:type="dxa"/>
            <w:vAlign w:val="bottom"/>
          </w:tcPr>
          <w:p>
            <w:pPr>
              <w:spacing w:after="0"/>
              <w:rPr>
                <w:sz w:val="12"/>
                <w:szCs w:val="12"/>
                <w:color w:val="auto"/>
              </w:rPr>
            </w:pPr>
          </w:p>
        </w:tc>
        <w:tc>
          <w:tcPr>
            <w:tcW w:w="7360" w:type="dxa"/>
            <w:vAlign w:val="bottom"/>
            <w:gridSpan w:val="14"/>
          </w:tcPr>
          <w:p>
            <w:pPr>
              <w:spacing w:after="0" w:line="147" w:lineRule="exact"/>
              <w:rPr>
                <w:rFonts w:ascii="Times New Roman" w:cs="Times New Roman" w:eastAsia="Times New Roman" w:hAnsi="Times New Roman"/>
                <w:sz w:val="14"/>
                <w:szCs w:val="14"/>
                <w:color w:val="0000EE"/>
              </w:rPr>
            </w:pPr>
            <w:hyperlink r:id="rId334">
              <w:r>
                <w:rPr>
                  <w:rFonts w:ascii="Times New Roman" w:cs="Times New Roman" w:eastAsia="Times New Roman" w:hAnsi="Times New Roman"/>
                  <w:sz w:val="14"/>
                  <w:szCs w:val="14"/>
                  <w:color w:val="0000EE"/>
                </w:rPr>
                <w:t>Pre-Effective Amendment No. 2 to the Registrant’s Registration Statement on Form N-2 (File No. 333-172550) filed with the U.S.</w:t>
              </w:r>
            </w:hyperlink>
          </w:p>
        </w:tc>
      </w:tr>
      <w:tr>
        <w:trPr>
          <w:trHeight w:val="147"/>
        </w:trPr>
        <w:tc>
          <w:tcPr>
            <w:tcW w:w="1120" w:type="dxa"/>
            <w:vAlign w:val="bottom"/>
          </w:tcPr>
          <w:p>
            <w:pPr>
              <w:spacing w:after="0"/>
              <w:rPr>
                <w:sz w:val="12"/>
                <w:szCs w:val="12"/>
                <w:color w:val="auto"/>
              </w:rPr>
            </w:pPr>
          </w:p>
        </w:tc>
        <w:tc>
          <w:tcPr>
            <w:tcW w:w="7320" w:type="dxa"/>
            <w:vAlign w:val="bottom"/>
            <w:tcBorders>
              <w:top w:val="single" w:sz="8" w:color="0000EE"/>
            </w:tcBorders>
            <w:gridSpan w:val="13"/>
          </w:tcPr>
          <w:p>
            <w:pPr>
              <w:spacing w:after="0" w:line="147" w:lineRule="exact"/>
              <w:rPr>
                <w:rFonts w:ascii="Times New Roman" w:cs="Times New Roman" w:eastAsia="Times New Roman" w:hAnsi="Times New Roman"/>
                <w:sz w:val="14"/>
                <w:szCs w:val="14"/>
                <w:color w:val="0000EE"/>
              </w:rPr>
            </w:pPr>
            <w:hyperlink r:id="rId334">
              <w:r>
                <w:rPr>
                  <w:rFonts w:ascii="Times New Roman" w:cs="Times New Roman" w:eastAsia="Times New Roman" w:hAnsi="Times New Roman"/>
                  <w:sz w:val="14"/>
                  <w:szCs w:val="14"/>
                  <w:color w:val="0000EE"/>
                </w:rPr>
                <w:t>Securities and Exchange Commission on April 29, 2011 and incorporated herein by reference).</w:t>
              </w:r>
            </w:hyperlink>
          </w:p>
        </w:tc>
        <w:tc>
          <w:tcPr>
            <w:tcW w:w="40" w:type="dxa"/>
            <w:vAlign w:val="bottom"/>
          </w:tcPr>
          <w:p>
            <w:pPr>
              <w:spacing w:after="0"/>
              <w:rPr>
                <w:sz w:val="12"/>
                <w:szCs w:val="12"/>
                <w:color w:val="auto"/>
              </w:rPr>
            </w:pPr>
          </w:p>
        </w:tc>
      </w:tr>
      <w:tr>
        <w:trPr>
          <w:trHeight w:val="20"/>
        </w:trPr>
        <w:tc>
          <w:tcPr>
            <w:tcW w:w="1120" w:type="dxa"/>
            <w:vAlign w:val="bottom"/>
          </w:tcPr>
          <w:p>
            <w:pPr>
              <w:spacing w:after="0" w:line="20" w:lineRule="exact"/>
              <w:rPr>
                <w:sz w:val="1"/>
                <w:szCs w:val="1"/>
                <w:color w:val="auto"/>
              </w:rPr>
            </w:pPr>
          </w:p>
        </w:tc>
        <w:tc>
          <w:tcPr>
            <w:tcW w:w="3000" w:type="dxa"/>
            <w:vAlign w:val="bottom"/>
            <w:gridSpan w:val="2"/>
            <w:shd w:val="clear" w:color="auto" w:fill="0000EE"/>
          </w:tcPr>
          <w:p>
            <w:pPr>
              <w:spacing w:after="0" w:line="20" w:lineRule="exact"/>
              <w:rPr>
                <w:sz w:val="1"/>
                <w:szCs w:val="1"/>
                <w:color w:val="auto"/>
              </w:rPr>
            </w:pPr>
          </w:p>
        </w:tc>
        <w:tc>
          <w:tcPr>
            <w:tcW w:w="2300" w:type="dxa"/>
            <w:vAlign w:val="bottom"/>
            <w:gridSpan w:val="3"/>
            <w:shd w:val="clear" w:color="auto" w:fill="0000EE"/>
          </w:tcPr>
          <w:p>
            <w:pPr>
              <w:spacing w:after="0" w:line="20" w:lineRule="exact"/>
              <w:rPr>
                <w:sz w:val="1"/>
                <w:szCs w:val="1"/>
                <w:color w:val="auto"/>
              </w:rPr>
            </w:pPr>
          </w:p>
        </w:tc>
        <w:tc>
          <w:tcPr>
            <w:tcW w:w="1900" w:type="dxa"/>
            <w:vAlign w:val="bottom"/>
            <w:gridSpan w:val="5"/>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231"/>
        </w:trPr>
        <w:tc>
          <w:tcPr>
            <w:tcW w:w="1120" w:type="dxa"/>
            <w:vAlign w:val="bottom"/>
          </w:tcPr>
          <w:p>
            <w:pPr>
              <w:spacing w:after="0"/>
              <w:rPr>
                <w:sz w:val="20"/>
                <w:szCs w:val="20"/>
                <w:color w:val="auto"/>
              </w:rPr>
            </w:pPr>
            <w:r>
              <w:rPr>
                <w:rFonts w:ascii="Times New Roman" w:cs="Times New Roman" w:eastAsia="Times New Roman" w:hAnsi="Times New Roman"/>
                <w:sz w:val="14"/>
                <w:szCs w:val="14"/>
                <w:color w:val="auto"/>
              </w:rPr>
              <w:t>(6)(b)</w:t>
            </w:r>
          </w:p>
        </w:tc>
        <w:tc>
          <w:tcPr>
            <w:tcW w:w="7360" w:type="dxa"/>
            <w:vAlign w:val="bottom"/>
            <w:gridSpan w:val="14"/>
          </w:tcPr>
          <w:p>
            <w:pPr>
              <w:spacing w:after="0"/>
              <w:rPr>
                <w:rFonts w:ascii="Times New Roman" w:cs="Times New Roman" w:eastAsia="Times New Roman" w:hAnsi="Times New Roman"/>
                <w:sz w:val="14"/>
                <w:szCs w:val="14"/>
                <w:color w:val="0000EE"/>
              </w:rPr>
            </w:pPr>
            <w:hyperlink r:id="rId335">
              <w:r>
                <w:rPr>
                  <w:rFonts w:ascii="Times New Roman" w:cs="Times New Roman" w:eastAsia="Times New Roman" w:hAnsi="Times New Roman"/>
                  <w:sz w:val="14"/>
                  <w:szCs w:val="14"/>
                  <w:color w:val="0000EE"/>
                </w:rPr>
                <w:t>First Amendment to Investment Advisory and Management Agreement between Registrant and Fidus Investment Advisors, LLC</w:t>
              </w:r>
            </w:hyperlink>
          </w:p>
        </w:tc>
      </w:tr>
      <w:tr>
        <w:trPr>
          <w:trHeight w:val="20"/>
        </w:trPr>
        <w:tc>
          <w:tcPr>
            <w:tcW w:w="1120" w:type="dxa"/>
            <w:vAlign w:val="bottom"/>
          </w:tcPr>
          <w:p>
            <w:pPr>
              <w:spacing w:after="0" w:line="20" w:lineRule="exact"/>
              <w:rPr>
                <w:sz w:val="1"/>
                <w:szCs w:val="1"/>
                <w:color w:val="auto"/>
              </w:rPr>
            </w:pPr>
          </w:p>
        </w:tc>
        <w:tc>
          <w:tcPr>
            <w:tcW w:w="3000" w:type="dxa"/>
            <w:vAlign w:val="bottom"/>
            <w:gridSpan w:val="2"/>
            <w:shd w:val="clear" w:color="auto" w:fill="0000EE"/>
          </w:tcPr>
          <w:p>
            <w:pPr>
              <w:spacing w:after="0" w:line="20" w:lineRule="exact"/>
              <w:rPr>
                <w:sz w:val="1"/>
                <w:szCs w:val="1"/>
                <w:color w:val="auto"/>
              </w:rPr>
            </w:pPr>
          </w:p>
        </w:tc>
        <w:tc>
          <w:tcPr>
            <w:tcW w:w="4200" w:type="dxa"/>
            <w:vAlign w:val="bottom"/>
            <w:gridSpan w:val="8"/>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147"/>
        </w:trPr>
        <w:tc>
          <w:tcPr>
            <w:tcW w:w="1120" w:type="dxa"/>
            <w:vAlign w:val="bottom"/>
          </w:tcPr>
          <w:p>
            <w:pPr>
              <w:spacing w:after="0"/>
              <w:rPr>
                <w:sz w:val="12"/>
                <w:szCs w:val="12"/>
                <w:color w:val="auto"/>
              </w:rPr>
            </w:pPr>
          </w:p>
        </w:tc>
        <w:tc>
          <w:tcPr>
            <w:tcW w:w="7360" w:type="dxa"/>
            <w:vAlign w:val="bottom"/>
            <w:gridSpan w:val="14"/>
          </w:tcPr>
          <w:p>
            <w:pPr>
              <w:spacing w:after="0" w:line="147" w:lineRule="exact"/>
              <w:rPr>
                <w:rFonts w:ascii="Times New Roman" w:cs="Times New Roman" w:eastAsia="Times New Roman" w:hAnsi="Times New Roman"/>
                <w:sz w:val="14"/>
                <w:szCs w:val="14"/>
                <w:color w:val="0000EE"/>
              </w:rPr>
            </w:pPr>
            <w:hyperlink r:id="rId335">
              <w:r>
                <w:rPr>
                  <w:rFonts w:ascii="Times New Roman" w:cs="Times New Roman" w:eastAsia="Times New Roman" w:hAnsi="Times New Roman"/>
                  <w:sz w:val="14"/>
                  <w:szCs w:val="14"/>
                  <w:color w:val="0000EE"/>
                </w:rPr>
                <w:t>(Filed as Exhibit 10.7 to the Registrant’s annual report on Form 10-K, filed with the U.S. Securities and Exchange Commission on</w:t>
              </w:r>
            </w:hyperlink>
          </w:p>
        </w:tc>
      </w:tr>
      <w:tr>
        <w:trPr>
          <w:trHeight w:val="147"/>
        </w:trPr>
        <w:tc>
          <w:tcPr>
            <w:tcW w:w="1120" w:type="dxa"/>
            <w:vAlign w:val="bottom"/>
          </w:tcPr>
          <w:p>
            <w:pPr>
              <w:spacing w:after="0"/>
              <w:rPr>
                <w:sz w:val="12"/>
                <w:szCs w:val="12"/>
                <w:color w:val="auto"/>
              </w:rPr>
            </w:pPr>
          </w:p>
        </w:tc>
        <w:tc>
          <w:tcPr>
            <w:tcW w:w="3000" w:type="dxa"/>
            <w:vAlign w:val="bottom"/>
            <w:tcBorders>
              <w:top w:val="single" w:sz="8" w:color="0000EE"/>
              <w:bottom w:val="single" w:sz="8" w:color="0000EE"/>
            </w:tcBorders>
            <w:gridSpan w:val="2"/>
          </w:tcPr>
          <w:p>
            <w:pPr>
              <w:spacing w:after="0" w:line="147" w:lineRule="exact"/>
              <w:rPr>
                <w:rFonts w:ascii="Times New Roman" w:cs="Times New Roman" w:eastAsia="Times New Roman" w:hAnsi="Times New Roman"/>
                <w:sz w:val="14"/>
                <w:szCs w:val="14"/>
                <w:color w:val="0000EE"/>
                <w:w w:val="99"/>
              </w:rPr>
            </w:pPr>
            <w:hyperlink r:id="rId335">
              <w:r>
                <w:rPr>
                  <w:rFonts w:ascii="Times New Roman" w:cs="Times New Roman" w:eastAsia="Times New Roman" w:hAnsi="Times New Roman"/>
                  <w:sz w:val="14"/>
                  <w:szCs w:val="14"/>
                  <w:color w:val="0000EE"/>
                  <w:w w:val="99"/>
                </w:rPr>
                <w:t>March 6, 2014 and incorporated herein by reference).</w:t>
              </w:r>
            </w:hyperlink>
          </w:p>
        </w:tc>
        <w:tc>
          <w:tcPr>
            <w:tcW w:w="4280" w:type="dxa"/>
            <w:vAlign w:val="bottom"/>
            <w:tcBorders>
              <w:top w:val="single" w:sz="8" w:color="0000EE"/>
            </w:tcBorders>
            <w:gridSpan w:val="10"/>
          </w:tcPr>
          <w:p>
            <w:pPr>
              <w:spacing w:after="0"/>
              <w:rPr>
                <w:sz w:val="12"/>
                <w:szCs w:val="12"/>
                <w:color w:val="auto"/>
              </w:rPr>
            </w:pPr>
          </w:p>
        </w:tc>
        <w:tc>
          <w:tcPr>
            <w:tcW w:w="80" w:type="dxa"/>
            <w:vAlign w:val="bottom"/>
            <w:gridSpan w:val="2"/>
          </w:tcPr>
          <w:p>
            <w:pPr>
              <w:spacing w:after="0"/>
              <w:rPr>
                <w:sz w:val="12"/>
                <w:szCs w:val="12"/>
                <w:color w:val="auto"/>
              </w:rPr>
            </w:pPr>
          </w:p>
        </w:tc>
      </w:tr>
    </w:tbl>
    <w:p>
      <w:pPr>
        <w:spacing w:after="0" w:line="90" w:lineRule="exact"/>
        <w:rPr>
          <w:sz w:val="20"/>
          <w:szCs w:val="20"/>
          <w:color w:val="auto"/>
        </w:rPr>
      </w:pPr>
    </w:p>
    <w:p>
      <w:pPr>
        <w:ind w:left="2500" w:right="259" w:hanging="1125"/>
        <w:spacing w:after="0" w:line="265" w:lineRule="auto"/>
        <w:tabs>
          <w:tab w:leader="none" w:pos="2500" w:val="left"/>
        </w:tabs>
        <w:numPr>
          <w:ilvl w:val="0"/>
          <w:numId w:val="54"/>
        </w:numPr>
        <w:rPr>
          <w:rFonts w:ascii="Times New Roman" w:cs="Times New Roman" w:eastAsia="Times New Roman" w:hAnsi="Times New Roman"/>
          <w:sz w:val="14"/>
          <w:szCs w:val="14"/>
          <w:u w:val="single" w:color="auto"/>
          <w:color w:val="0000EE"/>
        </w:rPr>
      </w:pPr>
      <w:hyperlink r:id="rId336">
        <w:r>
          <w:rPr>
            <w:rFonts w:ascii="Times New Roman" w:cs="Times New Roman" w:eastAsia="Times New Roman" w:hAnsi="Times New Roman"/>
            <w:sz w:val="14"/>
            <w:szCs w:val="14"/>
            <w:u w:val="single" w:color="auto"/>
            <w:color w:val="0000EE"/>
          </w:rPr>
          <w:t>Custody Agreement (Filed as Exhibit (j) to Pre-Effective Amendment No. 3 to the Registrant’s Registration Statement on Form N-2</w:t>
        </w:r>
      </w:hyperlink>
      <w:r>
        <w:rPr>
          <w:rFonts w:ascii="Times New Roman" w:cs="Times New Roman" w:eastAsia="Times New Roman" w:hAnsi="Times New Roman"/>
          <w:sz w:val="14"/>
          <w:szCs w:val="14"/>
          <w:u w:val="single" w:color="auto"/>
          <w:color w:val="0000EE"/>
        </w:rPr>
        <w:t xml:space="preserve"> </w:t>
      </w:r>
      <w:hyperlink r:id="rId336">
        <w:r>
          <w:rPr>
            <w:rFonts w:ascii="Times New Roman" w:cs="Times New Roman" w:eastAsia="Times New Roman" w:hAnsi="Times New Roman"/>
            <w:sz w:val="14"/>
            <w:szCs w:val="14"/>
            <w:u w:val="single" w:color="auto"/>
            <w:color w:val="0000EE"/>
          </w:rPr>
          <w:t>(File No. 333-172550) filed with the U.S. Securities and Exchange Commission on May 26, 2011 and incorporated herein by</w:t>
        </w:r>
      </w:hyperlink>
      <w:r>
        <w:rPr>
          <w:rFonts w:ascii="Times New Roman" w:cs="Times New Roman" w:eastAsia="Times New Roman" w:hAnsi="Times New Roman"/>
          <w:sz w:val="14"/>
          <w:szCs w:val="14"/>
          <w:u w:val="single" w:color="auto"/>
          <w:color w:val="0000EE"/>
        </w:rPr>
        <w:t xml:space="preserve"> </w:t>
      </w:r>
      <w:hyperlink r:id="rId336">
        <w:r>
          <w:rPr>
            <w:rFonts w:ascii="Times New Roman" w:cs="Times New Roman" w:eastAsia="Times New Roman" w:hAnsi="Times New Roman"/>
            <w:sz w:val="14"/>
            <w:szCs w:val="14"/>
            <w:u w:val="single" w:color="auto"/>
            <w:color w:val="0000EE"/>
          </w:rPr>
          <w:t>reference).</w:t>
        </w:r>
      </w:hyperlink>
    </w:p>
    <w:p>
      <w:pPr>
        <w:spacing w:after="0" w:line="53" w:lineRule="exact"/>
        <w:rPr>
          <w:rFonts w:ascii="Times New Roman" w:cs="Times New Roman" w:eastAsia="Times New Roman" w:hAnsi="Times New Roman"/>
          <w:sz w:val="14"/>
          <w:szCs w:val="14"/>
          <w:u w:val="single" w:color="auto"/>
          <w:color w:val="0000EE"/>
        </w:rPr>
      </w:pPr>
    </w:p>
    <w:p>
      <w:pPr>
        <w:ind w:left="2500" w:hanging="1125"/>
        <w:spacing w:after="0"/>
        <w:tabs>
          <w:tab w:leader="none" w:pos="250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Opinion of Eversheds Sutherland (US) LLP**</w:t>
      </w:r>
    </w:p>
    <w:p>
      <w:pPr>
        <w:spacing w:after="0" w:line="90" w:lineRule="exact"/>
        <w:rPr>
          <w:rFonts w:ascii="Times New Roman" w:cs="Times New Roman" w:eastAsia="Times New Roman" w:hAnsi="Times New Roman"/>
          <w:sz w:val="14"/>
          <w:szCs w:val="14"/>
          <w:color w:val="auto"/>
        </w:rPr>
      </w:pPr>
    </w:p>
    <w:p>
      <w:pPr>
        <w:ind w:left="2500" w:right="379" w:hanging="1125"/>
        <w:spacing w:after="0" w:line="281" w:lineRule="auto"/>
        <w:tabs>
          <w:tab w:leader="none" w:pos="250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Opinion and Consent of Eversheds Sutherland (US) LLP supporting tax matters and consequences to Noteholders discussed in the prospectus**</w:t>
      </w:r>
    </w:p>
    <w:p>
      <w:pPr>
        <w:spacing w:after="0" w:line="31" w:lineRule="exact"/>
        <w:rPr>
          <w:rFonts w:ascii="Times New Roman" w:cs="Times New Roman" w:eastAsia="Times New Roman" w:hAnsi="Times New Roman"/>
          <w:sz w:val="14"/>
          <w:szCs w:val="14"/>
          <w:u w:val="single" w:color="auto"/>
          <w:color w:val="0000EE"/>
        </w:rPr>
      </w:pPr>
    </w:p>
    <w:tbl>
      <w:tblPr>
        <w:tblLayout w:type="fixed"/>
        <w:tblInd w:w="1380" w:type="dxa"/>
        <w:tblCellMar>
          <w:top w:w="0" w:type="dxa"/>
          <w:left w:w="0" w:type="dxa"/>
          <w:bottom w:w="0" w:type="dxa"/>
          <w:right w:w="0" w:type="dxa"/>
        </w:tblCellMar>
      </w:tblPr>
      <w:tr>
        <w:trPr>
          <w:trHeight w:val="161"/>
        </w:trPr>
        <w:tc>
          <w:tcPr>
            <w:tcW w:w="1120" w:type="dxa"/>
            <w:vAlign w:val="bottom"/>
          </w:tcPr>
          <w:p>
            <w:pPr>
              <w:spacing w:after="0"/>
              <w:rPr>
                <w:sz w:val="20"/>
                <w:szCs w:val="20"/>
                <w:color w:val="auto"/>
              </w:rPr>
            </w:pPr>
            <w:r>
              <w:rPr>
                <w:rFonts w:ascii="Times New Roman" w:cs="Times New Roman" w:eastAsia="Times New Roman" w:hAnsi="Times New Roman"/>
                <w:sz w:val="14"/>
                <w:szCs w:val="14"/>
                <w:color w:val="auto"/>
              </w:rPr>
              <w:t>(13)(a)</w:t>
            </w:r>
          </w:p>
        </w:tc>
        <w:tc>
          <w:tcPr>
            <w:tcW w:w="7380" w:type="dxa"/>
            <w:vAlign w:val="bottom"/>
            <w:gridSpan w:val="7"/>
          </w:tcPr>
          <w:p>
            <w:pPr>
              <w:spacing w:after="0"/>
              <w:rPr>
                <w:rFonts w:ascii="Times New Roman" w:cs="Times New Roman" w:eastAsia="Times New Roman" w:hAnsi="Times New Roman"/>
                <w:sz w:val="14"/>
                <w:szCs w:val="14"/>
                <w:color w:val="0000EE"/>
              </w:rPr>
            </w:pPr>
            <w:hyperlink r:id="rId337">
              <w:r>
                <w:rPr>
                  <w:rFonts w:ascii="Times New Roman" w:cs="Times New Roman" w:eastAsia="Times New Roman" w:hAnsi="Times New Roman"/>
                  <w:sz w:val="14"/>
                  <w:szCs w:val="14"/>
                  <w:color w:val="0000EE"/>
                </w:rPr>
                <w:t>Administration Agreement between Registrant and Fidus Investment Advisors, LLC (Filed as Exhibit (k)(1) to Pre-Effective</w:t>
              </w:r>
            </w:hyperlink>
          </w:p>
        </w:tc>
      </w:tr>
      <w:tr>
        <w:trPr>
          <w:trHeight w:val="20"/>
        </w:trPr>
        <w:tc>
          <w:tcPr>
            <w:tcW w:w="1120" w:type="dxa"/>
            <w:vAlign w:val="bottom"/>
          </w:tcPr>
          <w:p>
            <w:pPr>
              <w:spacing w:after="0" w:line="20" w:lineRule="exact"/>
              <w:rPr>
                <w:sz w:val="1"/>
                <w:szCs w:val="1"/>
                <w:color w:val="auto"/>
              </w:rPr>
            </w:pPr>
          </w:p>
        </w:tc>
        <w:tc>
          <w:tcPr>
            <w:tcW w:w="38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52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47"/>
        </w:trPr>
        <w:tc>
          <w:tcPr>
            <w:tcW w:w="1120" w:type="dxa"/>
            <w:vAlign w:val="bottom"/>
          </w:tcPr>
          <w:p>
            <w:pPr>
              <w:spacing w:after="0"/>
              <w:rPr>
                <w:sz w:val="12"/>
                <w:szCs w:val="12"/>
                <w:color w:val="auto"/>
              </w:rPr>
            </w:pPr>
          </w:p>
        </w:tc>
        <w:tc>
          <w:tcPr>
            <w:tcW w:w="7380" w:type="dxa"/>
            <w:vAlign w:val="bottom"/>
            <w:tcBorders>
              <w:bottom w:val="single" w:sz="8" w:color="0000EE"/>
            </w:tcBorders>
            <w:gridSpan w:val="7"/>
          </w:tcPr>
          <w:p>
            <w:pPr>
              <w:spacing w:after="0" w:line="147" w:lineRule="exact"/>
              <w:rPr>
                <w:rFonts w:ascii="Times New Roman" w:cs="Times New Roman" w:eastAsia="Times New Roman" w:hAnsi="Times New Roman"/>
                <w:sz w:val="14"/>
                <w:szCs w:val="14"/>
                <w:color w:val="0000EE"/>
                <w:w w:val="99"/>
              </w:rPr>
            </w:pPr>
            <w:hyperlink r:id="rId337">
              <w:r>
                <w:rPr>
                  <w:rFonts w:ascii="Times New Roman" w:cs="Times New Roman" w:eastAsia="Times New Roman" w:hAnsi="Times New Roman"/>
                  <w:sz w:val="14"/>
                  <w:szCs w:val="14"/>
                  <w:color w:val="0000EE"/>
                  <w:w w:val="99"/>
                </w:rPr>
                <w:t>Amendment No. 2 to the Registrant’s Registration Statement on Form N-2 (File No. 333-172550) filed with the U.S. Securities and</w:t>
              </w:r>
            </w:hyperlink>
          </w:p>
        </w:tc>
      </w:tr>
      <w:tr>
        <w:trPr>
          <w:trHeight w:val="147"/>
        </w:trPr>
        <w:tc>
          <w:tcPr>
            <w:tcW w:w="1120" w:type="dxa"/>
            <w:vAlign w:val="bottom"/>
          </w:tcPr>
          <w:p>
            <w:pPr>
              <w:spacing w:after="0"/>
              <w:rPr>
                <w:sz w:val="12"/>
                <w:szCs w:val="12"/>
                <w:color w:val="auto"/>
              </w:rPr>
            </w:pPr>
          </w:p>
        </w:tc>
        <w:tc>
          <w:tcPr>
            <w:tcW w:w="7380" w:type="dxa"/>
            <w:vAlign w:val="bottom"/>
            <w:gridSpan w:val="7"/>
          </w:tcPr>
          <w:p>
            <w:pPr>
              <w:spacing w:after="0" w:line="147" w:lineRule="exact"/>
              <w:rPr>
                <w:rFonts w:ascii="Times New Roman" w:cs="Times New Roman" w:eastAsia="Times New Roman" w:hAnsi="Times New Roman"/>
                <w:sz w:val="14"/>
                <w:szCs w:val="14"/>
                <w:color w:val="0000EE"/>
              </w:rPr>
            </w:pPr>
            <w:hyperlink r:id="rId337">
              <w:r>
                <w:rPr>
                  <w:rFonts w:ascii="Times New Roman" w:cs="Times New Roman" w:eastAsia="Times New Roman" w:hAnsi="Times New Roman"/>
                  <w:sz w:val="14"/>
                  <w:szCs w:val="14"/>
                  <w:color w:val="0000EE"/>
                </w:rPr>
                <w:t>Exchange Commission on April 29, 2011 and incorporated herein by reference).</w:t>
              </w:r>
            </w:hyperlink>
          </w:p>
        </w:tc>
      </w:tr>
      <w:tr>
        <w:trPr>
          <w:trHeight w:val="20"/>
        </w:trPr>
        <w:tc>
          <w:tcPr>
            <w:tcW w:w="1120" w:type="dxa"/>
            <w:vAlign w:val="bottom"/>
          </w:tcPr>
          <w:p>
            <w:pPr>
              <w:spacing w:after="0" w:line="20" w:lineRule="exact"/>
              <w:rPr>
                <w:sz w:val="1"/>
                <w:szCs w:val="1"/>
                <w:color w:val="auto"/>
              </w:rPr>
            </w:pPr>
          </w:p>
        </w:tc>
        <w:tc>
          <w:tcPr>
            <w:tcW w:w="38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720" w:type="dxa"/>
            <w:vAlign w:val="bottom"/>
            <w:tcBorders>
              <w:left w:val="single" w:sz="8" w:color="0000EE"/>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31"/>
        </w:trPr>
        <w:tc>
          <w:tcPr>
            <w:tcW w:w="1120" w:type="dxa"/>
            <w:vAlign w:val="bottom"/>
          </w:tcPr>
          <w:p>
            <w:pPr>
              <w:spacing w:after="0"/>
              <w:rPr>
                <w:sz w:val="20"/>
                <w:szCs w:val="20"/>
                <w:color w:val="auto"/>
              </w:rPr>
            </w:pPr>
            <w:r>
              <w:rPr>
                <w:rFonts w:ascii="Times New Roman" w:cs="Times New Roman" w:eastAsia="Times New Roman" w:hAnsi="Times New Roman"/>
                <w:sz w:val="14"/>
                <w:szCs w:val="14"/>
                <w:color w:val="auto"/>
              </w:rPr>
              <w:t>(13)(b)</w:t>
            </w:r>
          </w:p>
        </w:tc>
        <w:tc>
          <w:tcPr>
            <w:tcW w:w="7220" w:type="dxa"/>
            <w:vAlign w:val="bottom"/>
            <w:tcBorders>
              <w:bottom w:val="single" w:sz="8" w:color="0000EE"/>
            </w:tcBorders>
            <w:gridSpan w:val="5"/>
          </w:tcPr>
          <w:p>
            <w:pPr>
              <w:spacing w:after="0"/>
              <w:rPr>
                <w:rFonts w:ascii="Times New Roman" w:cs="Times New Roman" w:eastAsia="Times New Roman" w:hAnsi="Times New Roman"/>
                <w:sz w:val="14"/>
                <w:szCs w:val="14"/>
                <w:color w:val="0000EE"/>
                <w:w w:val="99"/>
              </w:rPr>
            </w:pPr>
            <w:hyperlink r:id="rId338">
              <w:r>
                <w:rPr>
                  <w:rFonts w:ascii="Times New Roman" w:cs="Times New Roman" w:eastAsia="Times New Roman" w:hAnsi="Times New Roman"/>
                  <w:sz w:val="14"/>
                  <w:szCs w:val="14"/>
                  <w:color w:val="0000EE"/>
                  <w:w w:val="99"/>
                </w:rPr>
                <w:t>Trademark License Agreement between Registrant and Fidus Partners, LLC (Filed as Exhibit (k)(2) to Pre-Effective Amendment</w:t>
              </w:r>
            </w:hyperlink>
          </w:p>
        </w:tc>
        <w:tc>
          <w:tcPr>
            <w:tcW w:w="160" w:type="dxa"/>
            <w:vAlign w:val="bottom"/>
            <w:gridSpan w:val="2"/>
          </w:tcPr>
          <w:p>
            <w:pPr>
              <w:spacing w:after="0"/>
              <w:rPr>
                <w:sz w:val="20"/>
                <w:szCs w:val="20"/>
                <w:color w:val="auto"/>
              </w:rPr>
            </w:pPr>
          </w:p>
        </w:tc>
      </w:tr>
      <w:tr>
        <w:trPr>
          <w:trHeight w:val="147"/>
        </w:trPr>
        <w:tc>
          <w:tcPr>
            <w:tcW w:w="1120" w:type="dxa"/>
            <w:vAlign w:val="bottom"/>
          </w:tcPr>
          <w:p>
            <w:pPr>
              <w:spacing w:after="0"/>
              <w:rPr>
                <w:sz w:val="12"/>
                <w:szCs w:val="12"/>
                <w:color w:val="auto"/>
              </w:rPr>
            </w:pPr>
          </w:p>
        </w:tc>
        <w:tc>
          <w:tcPr>
            <w:tcW w:w="7240" w:type="dxa"/>
            <w:vAlign w:val="bottom"/>
            <w:tcBorders>
              <w:bottom w:val="single" w:sz="8" w:color="0000EE"/>
            </w:tcBorders>
            <w:gridSpan w:val="6"/>
          </w:tcPr>
          <w:p>
            <w:pPr>
              <w:spacing w:after="0" w:line="147" w:lineRule="exact"/>
              <w:rPr>
                <w:rFonts w:ascii="Times New Roman" w:cs="Times New Roman" w:eastAsia="Times New Roman" w:hAnsi="Times New Roman"/>
                <w:sz w:val="14"/>
                <w:szCs w:val="14"/>
                <w:color w:val="0000EE"/>
                <w:w w:val="99"/>
              </w:rPr>
            </w:pPr>
            <w:hyperlink r:id="rId338">
              <w:r>
                <w:rPr>
                  <w:rFonts w:ascii="Times New Roman" w:cs="Times New Roman" w:eastAsia="Times New Roman" w:hAnsi="Times New Roman"/>
                  <w:sz w:val="14"/>
                  <w:szCs w:val="14"/>
                  <w:color w:val="0000EE"/>
                  <w:w w:val="99"/>
                </w:rPr>
                <w:t>No. 3 to the Registrant’s Registration Statement on Form N-2 (File No. 333-172550) filed with the U.S. Securities and Exchange</w:t>
              </w:r>
            </w:hyperlink>
          </w:p>
        </w:tc>
        <w:tc>
          <w:tcPr>
            <w:tcW w:w="140" w:type="dxa"/>
            <w:vAlign w:val="bottom"/>
          </w:tcPr>
          <w:p>
            <w:pPr>
              <w:spacing w:after="0"/>
              <w:rPr>
                <w:sz w:val="12"/>
                <w:szCs w:val="12"/>
                <w:color w:val="auto"/>
              </w:rPr>
            </w:pPr>
          </w:p>
        </w:tc>
      </w:tr>
      <w:tr>
        <w:trPr>
          <w:trHeight w:val="147"/>
        </w:trPr>
        <w:tc>
          <w:tcPr>
            <w:tcW w:w="1120" w:type="dxa"/>
            <w:vAlign w:val="bottom"/>
          </w:tcPr>
          <w:p>
            <w:pPr>
              <w:spacing w:after="0"/>
              <w:rPr>
                <w:sz w:val="12"/>
                <w:szCs w:val="12"/>
                <w:color w:val="auto"/>
              </w:rPr>
            </w:pPr>
          </w:p>
        </w:tc>
        <w:tc>
          <w:tcPr>
            <w:tcW w:w="7380" w:type="dxa"/>
            <w:vAlign w:val="bottom"/>
            <w:gridSpan w:val="7"/>
          </w:tcPr>
          <w:p>
            <w:pPr>
              <w:spacing w:after="0" w:line="147" w:lineRule="exact"/>
              <w:rPr>
                <w:rFonts w:ascii="Times New Roman" w:cs="Times New Roman" w:eastAsia="Times New Roman" w:hAnsi="Times New Roman"/>
                <w:sz w:val="14"/>
                <w:szCs w:val="14"/>
                <w:color w:val="0000EE"/>
              </w:rPr>
            </w:pPr>
            <w:hyperlink r:id="rId338">
              <w:r>
                <w:rPr>
                  <w:rFonts w:ascii="Times New Roman" w:cs="Times New Roman" w:eastAsia="Times New Roman" w:hAnsi="Times New Roman"/>
                  <w:sz w:val="14"/>
                  <w:szCs w:val="14"/>
                  <w:color w:val="0000EE"/>
                </w:rPr>
                <w:t>Commission on May 26, 2011 and incorporated herein by reference).</w:t>
              </w:r>
            </w:hyperlink>
          </w:p>
        </w:tc>
      </w:tr>
      <w:tr>
        <w:trPr>
          <w:trHeight w:val="20"/>
        </w:trPr>
        <w:tc>
          <w:tcPr>
            <w:tcW w:w="1120" w:type="dxa"/>
            <w:vAlign w:val="bottom"/>
          </w:tcPr>
          <w:p>
            <w:pPr>
              <w:spacing w:after="0" w:line="20" w:lineRule="exact"/>
              <w:rPr>
                <w:sz w:val="1"/>
                <w:szCs w:val="1"/>
                <w:color w:val="auto"/>
              </w:rPr>
            </w:pPr>
          </w:p>
        </w:tc>
        <w:tc>
          <w:tcPr>
            <w:tcW w:w="386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r>
      <w:tr>
        <w:trPr>
          <w:trHeight w:val="231"/>
        </w:trPr>
        <w:tc>
          <w:tcPr>
            <w:tcW w:w="1120" w:type="dxa"/>
            <w:vAlign w:val="bottom"/>
          </w:tcPr>
          <w:p>
            <w:pPr>
              <w:spacing w:after="0"/>
              <w:rPr>
                <w:sz w:val="20"/>
                <w:szCs w:val="20"/>
                <w:color w:val="auto"/>
              </w:rPr>
            </w:pPr>
            <w:r>
              <w:rPr>
                <w:rFonts w:ascii="Times New Roman" w:cs="Times New Roman" w:eastAsia="Times New Roman" w:hAnsi="Times New Roman"/>
                <w:sz w:val="14"/>
                <w:szCs w:val="14"/>
                <w:color w:val="auto"/>
              </w:rPr>
              <w:t>(13)(c)</w:t>
            </w:r>
          </w:p>
        </w:tc>
        <w:tc>
          <w:tcPr>
            <w:tcW w:w="7380" w:type="dxa"/>
            <w:vAlign w:val="bottom"/>
            <w:gridSpan w:val="7"/>
          </w:tcPr>
          <w:p>
            <w:pPr>
              <w:spacing w:after="0"/>
              <w:rPr>
                <w:rFonts w:ascii="Times New Roman" w:cs="Times New Roman" w:eastAsia="Times New Roman" w:hAnsi="Times New Roman"/>
                <w:sz w:val="14"/>
                <w:szCs w:val="14"/>
                <w:color w:val="0000EE"/>
              </w:rPr>
            </w:pPr>
            <w:hyperlink r:id="rId339">
              <w:r>
                <w:rPr>
                  <w:rFonts w:ascii="Times New Roman" w:cs="Times New Roman" w:eastAsia="Times New Roman" w:hAnsi="Times New Roman"/>
                  <w:sz w:val="14"/>
                  <w:szCs w:val="14"/>
                  <w:color w:val="0000EE"/>
                </w:rPr>
                <w:t>Form of Indemnification Agreement by and between Registrant and each of its directors (Filed as Exhibit (k)(3) to Pre-Effective</w:t>
              </w:r>
            </w:hyperlink>
          </w:p>
        </w:tc>
      </w:tr>
      <w:tr>
        <w:trPr>
          <w:trHeight w:val="20"/>
        </w:trPr>
        <w:tc>
          <w:tcPr>
            <w:tcW w:w="1120" w:type="dxa"/>
            <w:vAlign w:val="bottom"/>
          </w:tcPr>
          <w:p>
            <w:pPr>
              <w:spacing w:after="0" w:line="20" w:lineRule="exact"/>
              <w:rPr>
                <w:sz w:val="1"/>
                <w:szCs w:val="1"/>
                <w:color w:val="auto"/>
              </w:rPr>
            </w:pPr>
          </w:p>
        </w:tc>
        <w:tc>
          <w:tcPr>
            <w:tcW w:w="4440" w:type="dxa"/>
            <w:vAlign w:val="bottom"/>
            <w:gridSpan w:val="2"/>
            <w:shd w:val="clear" w:color="auto" w:fill="0000EE"/>
          </w:tcPr>
          <w:p>
            <w:pPr>
              <w:spacing w:after="0" w:line="20" w:lineRule="exact"/>
              <w:rPr>
                <w:sz w:val="1"/>
                <w:szCs w:val="1"/>
                <w:color w:val="auto"/>
              </w:rPr>
            </w:pPr>
          </w:p>
        </w:tc>
        <w:tc>
          <w:tcPr>
            <w:tcW w:w="2720" w:type="dxa"/>
            <w:vAlign w:val="bottom"/>
            <w:tcBorders>
              <w:left w:val="single" w:sz="8" w:color="0000EE"/>
            </w:tcBorders>
            <w:gridSpan w:val="2"/>
            <w:shd w:val="clear" w:color="auto" w:fill="0000EE"/>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r>
      <w:tr>
        <w:trPr>
          <w:trHeight w:val="147"/>
        </w:trPr>
        <w:tc>
          <w:tcPr>
            <w:tcW w:w="1120" w:type="dxa"/>
            <w:vAlign w:val="bottom"/>
          </w:tcPr>
          <w:p>
            <w:pPr>
              <w:spacing w:after="0"/>
              <w:rPr>
                <w:sz w:val="12"/>
                <w:szCs w:val="12"/>
                <w:color w:val="auto"/>
              </w:rPr>
            </w:pPr>
          </w:p>
        </w:tc>
        <w:tc>
          <w:tcPr>
            <w:tcW w:w="7380" w:type="dxa"/>
            <w:vAlign w:val="bottom"/>
            <w:tcBorders>
              <w:bottom w:val="single" w:sz="8" w:color="0000EE"/>
            </w:tcBorders>
            <w:gridSpan w:val="7"/>
          </w:tcPr>
          <w:p>
            <w:pPr>
              <w:spacing w:after="0" w:line="147" w:lineRule="exact"/>
              <w:rPr>
                <w:rFonts w:ascii="Times New Roman" w:cs="Times New Roman" w:eastAsia="Times New Roman" w:hAnsi="Times New Roman"/>
                <w:sz w:val="14"/>
                <w:szCs w:val="14"/>
                <w:color w:val="0000EE"/>
                <w:w w:val="99"/>
              </w:rPr>
            </w:pPr>
            <w:hyperlink r:id="rId339">
              <w:r>
                <w:rPr>
                  <w:rFonts w:ascii="Times New Roman" w:cs="Times New Roman" w:eastAsia="Times New Roman" w:hAnsi="Times New Roman"/>
                  <w:sz w:val="14"/>
                  <w:szCs w:val="14"/>
                  <w:color w:val="0000EE"/>
                  <w:w w:val="99"/>
                </w:rPr>
                <w:t>Amendment No. 4 to the Registrant’s Registration Statement on Form N-2 (File No. 333-172550) filed with the U.S. Securities and</w:t>
              </w:r>
            </w:hyperlink>
          </w:p>
        </w:tc>
      </w:tr>
      <w:tr>
        <w:trPr>
          <w:trHeight w:val="147"/>
        </w:trPr>
        <w:tc>
          <w:tcPr>
            <w:tcW w:w="1120" w:type="dxa"/>
            <w:vAlign w:val="bottom"/>
          </w:tcPr>
          <w:p>
            <w:pPr>
              <w:spacing w:after="0"/>
              <w:rPr>
                <w:sz w:val="12"/>
                <w:szCs w:val="12"/>
                <w:color w:val="auto"/>
              </w:rPr>
            </w:pPr>
          </w:p>
        </w:tc>
        <w:tc>
          <w:tcPr>
            <w:tcW w:w="7380" w:type="dxa"/>
            <w:vAlign w:val="bottom"/>
            <w:gridSpan w:val="7"/>
          </w:tcPr>
          <w:p>
            <w:pPr>
              <w:spacing w:after="0" w:line="147" w:lineRule="exact"/>
              <w:rPr>
                <w:rFonts w:ascii="Times New Roman" w:cs="Times New Roman" w:eastAsia="Times New Roman" w:hAnsi="Times New Roman"/>
                <w:sz w:val="14"/>
                <w:szCs w:val="14"/>
                <w:color w:val="0000EE"/>
              </w:rPr>
            </w:pPr>
            <w:hyperlink r:id="rId339">
              <w:r>
                <w:rPr>
                  <w:rFonts w:ascii="Times New Roman" w:cs="Times New Roman" w:eastAsia="Times New Roman" w:hAnsi="Times New Roman"/>
                  <w:sz w:val="14"/>
                  <w:szCs w:val="14"/>
                  <w:color w:val="0000EE"/>
                </w:rPr>
                <w:t>Exchange Commission on June 10, 2011 and incorporated herein by reference).</w:t>
              </w:r>
            </w:hyperlink>
          </w:p>
        </w:tc>
      </w:tr>
      <w:tr>
        <w:trPr>
          <w:trHeight w:val="20"/>
        </w:trPr>
        <w:tc>
          <w:tcPr>
            <w:tcW w:w="1120" w:type="dxa"/>
            <w:vAlign w:val="bottom"/>
          </w:tcPr>
          <w:p>
            <w:pPr>
              <w:spacing w:after="0" w:line="20" w:lineRule="exact"/>
              <w:rPr>
                <w:sz w:val="1"/>
                <w:szCs w:val="1"/>
                <w:color w:val="auto"/>
              </w:rPr>
            </w:pPr>
          </w:p>
        </w:tc>
        <w:tc>
          <w:tcPr>
            <w:tcW w:w="38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2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II-3</w:t>
      </w:r>
    </w:p>
    <w:p>
      <w:pPr>
        <w:sectPr>
          <w:pgSz w:w="11900" w:h="16838" w:orient="portrait"/>
          <w:cols w:equalWidth="0" w:num="1">
            <w:col w:w="10159"/>
          </w:cols>
          <w:pgMar w:left="300" w:top="384" w:right="1440"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40">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39"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1120" w:type="dxa"/>
            <w:vAlign w:val="bottom"/>
          </w:tcPr>
          <w:p>
            <w:pPr>
              <w:spacing w:after="0"/>
              <w:rPr>
                <w:sz w:val="20"/>
                <w:szCs w:val="20"/>
                <w:color w:val="auto"/>
              </w:rPr>
            </w:pPr>
            <w:r>
              <w:rPr>
                <w:rFonts w:ascii="Times New Roman" w:cs="Times New Roman" w:eastAsia="Times New Roman" w:hAnsi="Times New Roman"/>
                <w:sz w:val="14"/>
                <w:szCs w:val="14"/>
                <w:color w:val="auto"/>
              </w:rPr>
              <w:t>(13)(d)</w:t>
            </w:r>
          </w:p>
        </w:tc>
        <w:tc>
          <w:tcPr>
            <w:tcW w:w="7320" w:type="dxa"/>
            <w:vAlign w:val="bottom"/>
            <w:tcBorders>
              <w:bottom w:val="single" w:sz="8" w:color="0000EE"/>
            </w:tcBorders>
            <w:gridSpan w:val="21"/>
          </w:tcPr>
          <w:p>
            <w:pPr>
              <w:spacing w:after="0"/>
              <w:rPr>
                <w:rFonts w:ascii="Times New Roman" w:cs="Times New Roman" w:eastAsia="Times New Roman" w:hAnsi="Times New Roman"/>
                <w:sz w:val="14"/>
                <w:szCs w:val="14"/>
                <w:color w:val="0000EE"/>
                <w:w w:val="99"/>
              </w:rPr>
            </w:pPr>
            <w:hyperlink r:id="rId341">
              <w:r>
                <w:rPr>
                  <w:rFonts w:ascii="Times New Roman" w:cs="Times New Roman" w:eastAsia="Times New Roman" w:hAnsi="Times New Roman"/>
                  <w:sz w:val="14"/>
                  <w:szCs w:val="14"/>
                  <w:color w:val="0000EE"/>
                  <w:w w:val="99"/>
                </w:rPr>
                <w:t>Dividend Reinvestment Plan (Filed as Exhibit (e) to Pre-Effective Amendment No. 1 to the Registrant’s Registration Statement on</w:t>
              </w:r>
            </w:hyperlink>
          </w:p>
        </w:tc>
        <w:tc>
          <w:tcPr>
            <w:tcW w:w="80" w:type="dxa"/>
            <w:vAlign w:val="bottom"/>
            <w:gridSpan w:val="2"/>
          </w:tcPr>
          <w:p>
            <w:pPr>
              <w:spacing w:after="0"/>
              <w:rPr>
                <w:sz w:val="13"/>
                <w:szCs w:val="13"/>
                <w:color w:val="auto"/>
              </w:rPr>
            </w:pPr>
          </w:p>
        </w:tc>
      </w:tr>
      <w:tr>
        <w:trPr>
          <w:trHeight w:val="147"/>
        </w:trPr>
        <w:tc>
          <w:tcPr>
            <w:tcW w:w="1120" w:type="dxa"/>
            <w:vAlign w:val="bottom"/>
          </w:tcPr>
          <w:p>
            <w:pPr>
              <w:spacing w:after="0"/>
              <w:rPr>
                <w:sz w:val="12"/>
                <w:szCs w:val="12"/>
                <w:color w:val="auto"/>
              </w:rPr>
            </w:pPr>
          </w:p>
        </w:tc>
        <w:tc>
          <w:tcPr>
            <w:tcW w:w="7400" w:type="dxa"/>
            <w:vAlign w:val="bottom"/>
            <w:gridSpan w:val="23"/>
          </w:tcPr>
          <w:p>
            <w:pPr>
              <w:spacing w:after="0" w:line="147" w:lineRule="exact"/>
              <w:rPr>
                <w:rFonts w:ascii="Times New Roman" w:cs="Times New Roman" w:eastAsia="Times New Roman" w:hAnsi="Times New Roman"/>
                <w:sz w:val="14"/>
                <w:szCs w:val="14"/>
                <w:color w:val="0000EE"/>
              </w:rPr>
            </w:pPr>
            <w:hyperlink r:id="rId341">
              <w:r>
                <w:rPr>
                  <w:rFonts w:ascii="Times New Roman" w:cs="Times New Roman" w:eastAsia="Times New Roman" w:hAnsi="Times New Roman"/>
                  <w:sz w:val="14"/>
                  <w:szCs w:val="14"/>
                  <w:color w:val="0000EE"/>
                </w:rPr>
                <w:t>Form N-2 (File No. 333-182785) filed with the U.S. Securities and Exchange Commission on August 27, 2012 and incorporated</w:t>
              </w:r>
            </w:hyperlink>
          </w:p>
        </w:tc>
      </w:tr>
      <w:tr>
        <w:trPr>
          <w:trHeight w:val="147"/>
        </w:trPr>
        <w:tc>
          <w:tcPr>
            <w:tcW w:w="1120" w:type="dxa"/>
            <w:vAlign w:val="bottom"/>
          </w:tcPr>
          <w:p>
            <w:pPr>
              <w:spacing w:after="0"/>
              <w:rPr>
                <w:sz w:val="12"/>
                <w:szCs w:val="12"/>
                <w:color w:val="auto"/>
              </w:rPr>
            </w:pPr>
          </w:p>
        </w:tc>
        <w:tc>
          <w:tcPr>
            <w:tcW w:w="7200" w:type="dxa"/>
            <w:vAlign w:val="bottom"/>
            <w:tcBorders>
              <w:top w:val="single" w:sz="8" w:color="0000EE"/>
            </w:tcBorders>
            <w:gridSpan w:val="17"/>
          </w:tcPr>
          <w:p>
            <w:pPr>
              <w:spacing w:after="0" w:line="147" w:lineRule="exact"/>
              <w:rPr>
                <w:rFonts w:ascii="Times New Roman" w:cs="Times New Roman" w:eastAsia="Times New Roman" w:hAnsi="Times New Roman"/>
                <w:sz w:val="14"/>
                <w:szCs w:val="14"/>
                <w:color w:val="0000EE"/>
              </w:rPr>
            </w:pPr>
            <w:hyperlink r:id="rId341">
              <w:r>
                <w:rPr>
                  <w:rFonts w:ascii="Times New Roman" w:cs="Times New Roman" w:eastAsia="Times New Roman" w:hAnsi="Times New Roman"/>
                  <w:sz w:val="14"/>
                  <w:szCs w:val="14"/>
                  <w:color w:val="0000EE"/>
                </w:rPr>
                <w:t>herein by reference).</w:t>
              </w:r>
            </w:hyperlink>
          </w:p>
        </w:tc>
        <w:tc>
          <w:tcPr>
            <w:tcW w:w="200" w:type="dxa"/>
            <w:vAlign w:val="bottom"/>
            <w:gridSpan w:val="6"/>
          </w:tcPr>
          <w:p>
            <w:pPr>
              <w:spacing w:after="0"/>
              <w:rPr>
                <w:sz w:val="12"/>
                <w:szCs w:val="12"/>
                <w:color w:val="auto"/>
              </w:rPr>
            </w:pPr>
          </w:p>
        </w:tc>
      </w:tr>
      <w:tr>
        <w:trPr>
          <w:trHeight w:val="20"/>
        </w:trPr>
        <w:tc>
          <w:tcPr>
            <w:tcW w:w="1120" w:type="dxa"/>
            <w:vAlign w:val="bottom"/>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1"/>
        </w:trPr>
        <w:tc>
          <w:tcPr>
            <w:tcW w:w="1120" w:type="dxa"/>
            <w:vAlign w:val="bottom"/>
          </w:tcPr>
          <w:p>
            <w:pPr>
              <w:spacing w:after="0"/>
              <w:rPr>
                <w:sz w:val="20"/>
                <w:szCs w:val="20"/>
                <w:color w:val="auto"/>
              </w:rPr>
            </w:pPr>
            <w:r>
              <w:rPr>
                <w:rFonts w:ascii="Times New Roman" w:cs="Times New Roman" w:eastAsia="Times New Roman" w:hAnsi="Times New Roman"/>
                <w:sz w:val="14"/>
                <w:szCs w:val="14"/>
                <w:color w:val="auto"/>
              </w:rPr>
              <w:t>(13)(e)</w:t>
            </w:r>
          </w:p>
        </w:tc>
        <w:tc>
          <w:tcPr>
            <w:tcW w:w="7040" w:type="dxa"/>
            <w:vAlign w:val="bottom"/>
            <w:tcBorders>
              <w:bottom w:val="single" w:sz="8" w:color="0000EE"/>
            </w:tcBorders>
            <w:gridSpan w:val="13"/>
          </w:tcPr>
          <w:p>
            <w:pPr>
              <w:spacing w:after="0"/>
              <w:rPr>
                <w:rFonts w:ascii="Times New Roman" w:cs="Times New Roman" w:eastAsia="Times New Roman" w:hAnsi="Times New Roman"/>
                <w:sz w:val="14"/>
                <w:szCs w:val="14"/>
                <w:color w:val="0000EE"/>
                <w:w w:val="99"/>
              </w:rPr>
            </w:pPr>
            <w:hyperlink r:id="rId342">
              <w:r>
                <w:rPr>
                  <w:rFonts w:ascii="Times New Roman" w:cs="Times New Roman" w:eastAsia="Times New Roman" w:hAnsi="Times New Roman"/>
                  <w:sz w:val="14"/>
                  <w:szCs w:val="14"/>
                  <w:color w:val="0000EE"/>
                  <w:w w:val="99"/>
                </w:rPr>
                <w:t>Form of Indemnification Agreement between Fidus Investment Corporation and each officer and director of Fidus Investment</w:t>
              </w:r>
            </w:hyperlink>
          </w:p>
        </w:tc>
        <w:tc>
          <w:tcPr>
            <w:tcW w:w="360" w:type="dxa"/>
            <w:vAlign w:val="bottom"/>
            <w:gridSpan w:val="10"/>
          </w:tcPr>
          <w:p>
            <w:pPr>
              <w:spacing w:after="0"/>
              <w:rPr>
                <w:sz w:val="20"/>
                <w:szCs w:val="20"/>
                <w:color w:val="auto"/>
              </w:rPr>
            </w:pPr>
          </w:p>
        </w:tc>
      </w:tr>
      <w:tr>
        <w:trPr>
          <w:trHeight w:val="147"/>
        </w:trPr>
        <w:tc>
          <w:tcPr>
            <w:tcW w:w="1120" w:type="dxa"/>
            <w:vAlign w:val="bottom"/>
          </w:tcPr>
          <w:p>
            <w:pPr>
              <w:spacing w:after="0"/>
              <w:rPr>
                <w:sz w:val="12"/>
                <w:szCs w:val="12"/>
                <w:color w:val="auto"/>
              </w:rPr>
            </w:pPr>
          </w:p>
        </w:tc>
        <w:tc>
          <w:tcPr>
            <w:tcW w:w="7400" w:type="dxa"/>
            <w:vAlign w:val="bottom"/>
            <w:gridSpan w:val="23"/>
          </w:tcPr>
          <w:p>
            <w:pPr>
              <w:spacing w:after="0" w:line="147" w:lineRule="exact"/>
              <w:rPr>
                <w:rFonts w:ascii="Times New Roman" w:cs="Times New Roman" w:eastAsia="Times New Roman" w:hAnsi="Times New Roman"/>
                <w:sz w:val="14"/>
                <w:szCs w:val="14"/>
                <w:color w:val="0000EE"/>
              </w:rPr>
            </w:pPr>
            <w:hyperlink r:id="rId342">
              <w:r>
                <w:rPr>
                  <w:rFonts w:ascii="Times New Roman" w:cs="Times New Roman" w:eastAsia="Times New Roman" w:hAnsi="Times New Roman"/>
                  <w:sz w:val="14"/>
                  <w:szCs w:val="14"/>
                  <w:color w:val="0000EE"/>
                </w:rPr>
                <w:t>Corporation (Filed as Exhibit 10.1 of the Registrant’s quarterly report on Form 10-Q, filed with the U.S. Securities and Exchange</w:t>
              </w:r>
            </w:hyperlink>
          </w:p>
        </w:tc>
      </w:tr>
      <w:tr>
        <w:trPr>
          <w:trHeight w:val="147"/>
        </w:trPr>
        <w:tc>
          <w:tcPr>
            <w:tcW w:w="1120" w:type="dxa"/>
            <w:vAlign w:val="bottom"/>
          </w:tcPr>
          <w:p>
            <w:pPr>
              <w:spacing w:after="0"/>
              <w:rPr>
                <w:sz w:val="12"/>
                <w:szCs w:val="12"/>
                <w:color w:val="auto"/>
              </w:rPr>
            </w:pPr>
          </w:p>
        </w:tc>
        <w:tc>
          <w:tcPr>
            <w:tcW w:w="1860" w:type="dxa"/>
            <w:vAlign w:val="bottom"/>
            <w:tcBorders>
              <w:top w:val="single" w:sz="8" w:color="0000EE"/>
              <w:bottom w:val="single" w:sz="8" w:color="0000EE"/>
            </w:tcBorders>
            <w:gridSpan w:val="2"/>
          </w:tcPr>
          <w:p>
            <w:pPr>
              <w:spacing w:after="0" w:line="147" w:lineRule="exact"/>
              <w:rPr>
                <w:rFonts w:ascii="Times New Roman" w:cs="Times New Roman" w:eastAsia="Times New Roman" w:hAnsi="Times New Roman"/>
                <w:sz w:val="14"/>
                <w:szCs w:val="14"/>
                <w:color w:val="0000EE"/>
                <w:w w:val="98"/>
              </w:rPr>
            </w:pPr>
            <w:hyperlink r:id="rId342">
              <w:r>
                <w:rPr>
                  <w:rFonts w:ascii="Times New Roman" w:cs="Times New Roman" w:eastAsia="Times New Roman" w:hAnsi="Times New Roman"/>
                  <w:sz w:val="14"/>
                  <w:szCs w:val="14"/>
                  <w:color w:val="0000EE"/>
                  <w:w w:val="98"/>
                </w:rPr>
                <w:t>Commission on August 5, 2021).</w:t>
              </w:r>
            </w:hyperlink>
          </w:p>
        </w:tc>
        <w:tc>
          <w:tcPr>
            <w:tcW w:w="5360" w:type="dxa"/>
            <w:vAlign w:val="bottom"/>
            <w:tcBorders>
              <w:top w:val="single" w:sz="8" w:color="0000EE"/>
            </w:tcBorders>
            <w:gridSpan w:val="16"/>
          </w:tcPr>
          <w:p>
            <w:pPr>
              <w:spacing w:after="0"/>
              <w:rPr>
                <w:sz w:val="12"/>
                <w:szCs w:val="12"/>
                <w:color w:val="auto"/>
              </w:rPr>
            </w:pPr>
          </w:p>
        </w:tc>
        <w:tc>
          <w:tcPr>
            <w:tcW w:w="180" w:type="dxa"/>
            <w:vAlign w:val="bottom"/>
            <w:gridSpan w:val="5"/>
          </w:tcPr>
          <w:p>
            <w:pPr>
              <w:spacing w:after="0"/>
              <w:rPr>
                <w:sz w:val="12"/>
                <w:szCs w:val="12"/>
                <w:color w:val="auto"/>
              </w:rPr>
            </w:pPr>
          </w:p>
        </w:tc>
      </w:tr>
      <w:tr>
        <w:trPr>
          <w:trHeight w:val="231"/>
        </w:trPr>
        <w:tc>
          <w:tcPr>
            <w:tcW w:w="1120" w:type="dxa"/>
            <w:vAlign w:val="bottom"/>
          </w:tcPr>
          <w:p>
            <w:pPr>
              <w:spacing w:after="0"/>
              <w:rPr>
                <w:sz w:val="20"/>
                <w:szCs w:val="20"/>
                <w:color w:val="auto"/>
              </w:rPr>
            </w:pPr>
            <w:r>
              <w:rPr>
                <w:rFonts w:ascii="Times New Roman" w:cs="Times New Roman" w:eastAsia="Times New Roman" w:hAnsi="Times New Roman"/>
                <w:sz w:val="14"/>
                <w:szCs w:val="14"/>
                <w:color w:val="auto"/>
              </w:rPr>
              <w:t>(13)(f)</w:t>
            </w:r>
          </w:p>
        </w:tc>
        <w:tc>
          <w:tcPr>
            <w:tcW w:w="7400" w:type="dxa"/>
            <w:vAlign w:val="bottom"/>
            <w:tcBorders>
              <w:bottom w:val="single" w:sz="8" w:color="0000EE"/>
            </w:tcBorders>
            <w:gridSpan w:val="23"/>
          </w:tcPr>
          <w:p>
            <w:pPr>
              <w:spacing w:after="0"/>
              <w:rPr>
                <w:rFonts w:ascii="Times New Roman" w:cs="Times New Roman" w:eastAsia="Times New Roman" w:hAnsi="Times New Roman"/>
                <w:sz w:val="14"/>
                <w:szCs w:val="14"/>
                <w:color w:val="0000EE"/>
                <w:w w:val="99"/>
              </w:rPr>
            </w:pPr>
            <w:hyperlink r:id="rId343">
              <w:r>
                <w:rPr>
                  <w:rFonts w:ascii="Times New Roman" w:cs="Times New Roman" w:eastAsia="Times New Roman" w:hAnsi="Times New Roman"/>
                  <w:sz w:val="14"/>
                  <w:szCs w:val="14"/>
                  <w:color w:val="0000EE"/>
                  <w:w w:val="99"/>
                </w:rPr>
                <w:t>Credit and Security Agreement, dated as of October 16, 2025, by and among FIC Funding, LLC, as borrower, and Fidus Investment</w:t>
              </w:r>
            </w:hyperlink>
          </w:p>
        </w:tc>
      </w:tr>
      <w:tr>
        <w:trPr>
          <w:trHeight w:val="147"/>
        </w:trPr>
        <w:tc>
          <w:tcPr>
            <w:tcW w:w="1120" w:type="dxa"/>
            <w:vAlign w:val="bottom"/>
          </w:tcPr>
          <w:p>
            <w:pPr>
              <w:spacing w:after="0"/>
              <w:rPr>
                <w:sz w:val="12"/>
                <w:szCs w:val="12"/>
                <w:color w:val="auto"/>
              </w:rPr>
            </w:pPr>
          </w:p>
        </w:tc>
        <w:tc>
          <w:tcPr>
            <w:tcW w:w="7400" w:type="dxa"/>
            <w:vAlign w:val="bottom"/>
            <w:gridSpan w:val="23"/>
          </w:tcPr>
          <w:p>
            <w:pPr>
              <w:spacing w:after="0" w:line="147" w:lineRule="exact"/>
              <w:rPr>
                <w:rFonts w:ascii="Times New Roman" w:cs="Times New Roman" w:eastAsia="Times New Roman" w:hAnsi="Times New Roman"/>
                <w:sz w:val="14"/>
                <w:szCs w:val="14"/>
                <w:color w:val="0000EE"/>
              </w:rPr>
            </w:pPr>
            <w:hyperlink r:id="rId343">
              <w:r>
                <w:rPr>
                  <w:rFonts w:ascii="Times New Roman" w:cs="Times New Roman" w:eastAsia="Times New Roman" w:hAnsi="Times New Roman"/>
                  <w:sz w:val="14"/>
                  <w:szCs w:val="14"/>
                  <w:color w:val="0000EE"/>
                </w:rPr>
                <w:t>Corporation, as servicer and equityholder, ING Capital LLC, as administrative agent and as lead arranger, Western Alliance Trust</w:t>
              </w:r>
            </w:hyperlink>
          </w:p>
        </w:tc>
      </w:tr>
      <w:tr>
        <w:trPr>
          <w:trHeight w:val="20"/>
        </w:trPr>
        <w:tc>
          <w:tcPr>
            <w:tcW w:w="1120" w:type="dxa"/>
            <w:vAlign w:val="bottom"/>
          </w:tcPr>
          <w:p>
            <w:pPr>
              <w:spacing w:after="0" w:line="20" w:lineRule="exact"/>
              <w:rPr>
                <w:sz w:val="1"/>
                <w:szCs w:val="1"/>
                <w:color w:val="auto"/>
              </w:rPr>
            </w:pPr>
          </w:p>
        </w:tc>
        <w:tc>
          <w:tcPr>
            <w:tcW w:w="314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5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47"/>
        </w:trPr>
        <w:tc>
          <w:tcPr>
            <w:tcW w:w="1120" w:type="dxa"/>
            <w:vAlign w:val="bottom"/>
          </w:tcPr>
          <w:p>
            <w:pPr>
              <w:spacing w:after="0"/>
              <w:rPr>
                <w:sz w:val="12"/>
                <w:szCs w:val="12"/>
                <w:color w:val="auto"/>
              </w:rPr>
            </w:pPr>
          </w:p>
        </w:tc>
        <w:tc>
          <w:tcPr>
            <w:tcW w:w="7400" w:type="dxa"/>
            <w:vAlign w:val="bottom"/>
            <w:gridSpan w:val="23"/>
          </w:tcPr>
          <w:p>
            <w:pPr>
              <w:spacing w:after="0" w:line="147" w:lineRule="exact"/>
              <w:rPr>
                <w:rFonts w:ascii="Times New Roman" w:cs="Times New Roman" w:eastAsia="Times New Roman" w:hAnsi="Times New Roman"/>
                <w:sz w:val="14"/>
                <w:szCs w:val="14"/>
                <w:color w:val="0000EE"/>
              </w:rPr>
            </w:pPr>
            <w:hyperlink r:id="rId343">
              <w:r>
                <w:rPr>
                  <w:rFonts w:ascii="Times New Roman" w:cs="Times New Roman" w:eastAsia="Times New Roman" w:hAnsi="Times New Roman"/>
                  <w:sz w:val="14"/>
                  <w:szCs w:val="14"/>
                  <w:color w:val="0000EE"/>
                </w:rPr>
                <w:t>Company, N.A., as custodian, collateral agent, and collateral administrator, and the lenders from time to time parties thereto (Filed</w:t>
              </w:r>
            </w:hyperlink>
          </w:p>
        </w:tc>
      </w:tr>
      <w:tr>
        <w:trPr>
          <w:trHeight w:val="147"/>
        </w:trPr>
        <w:tc>
          <w:tcPr>
            <w:tcW w:w="1120" w:type="dxa"/>
            <w:vAlign w:val="bottom"/>
          </w:tcPr>
          <w:p>
            <w:pPr>
              <w:spacing w:after="0"/>
              <w:rPr>
                <w:sz w:val="12"/>
                <w:szCs w:val="12"/>
                <w:color w:val="auto"/>
              </w:rPr>
            </w:pPr>
          </w:p>
        </w:tc>
        <w:tc>
          <w:tcPr>
            <w:tcW w:w="6920" w:type="dxa"/>
            <w:vAlign w:val="bottom"/>
            <w:tcBorders>
              <w:top w:val="single" w:sz="8" w:color="0000EE"/>
              <w:bottom w:val="single" w:sz="8" w:color="0000EE"/>
            </w:tcBorders>
            <w:gridSpan w:val="11"/>
          </w:tcPr>
          <w:p>
            <w:pPr>
              <w:spacing w:after="0" w:line="147" w:lineRule="exact"/>
              <w:rPr>
                <w:rFonts w:ascii="Times New Roman" w:cs="Times New Roman" w:eastAsia="Times New Roman" w:hAnsi="Times New Roman"/>
                <w:sz w:val="14"/>
                <w:szCs w:val="14"/>
                <w:color w:val="0000EE"/>
                <w:w w:val="99"/>
              </w:rPr>
            </w:pPr>
            <w:hyperlink r:id="rId343">
              <w:r>
                <w:rPr>
                  <w:rFonts w:ascii="Times New Roman" w:cs="Times New Roman" w:eastAsia="Times New Roman" w:hAnsi="Times New Roman"/>
                  <w:sz w:val="14"/>
                  <w:szCs w:val="14"/>
                  <w:color w:val="0000EE"/>
                  <w:w w:val="99"/>
                </w:rPr>
                <w:t>as Exhibit 10.1 to the Registrant’s Current Report on Form 8-K filed with the U.S. Securities and Exchange Commission on</w:t>
              </w:r>
            </w:hyperlink>
          </w:p>
        </w:tc>
        <w:tc>
          <w:tcPr>
            <w:tcW w:w="360" w:type="dxa"/>
            <w:vAlign w:val="bottom"/>
            <w:tcBorders>
              <w:top w:val="single" w:sz="8" w:color="0000EE"/>
            </w:tcBorders>
            <w:gridSpan w:val="9"/>
          </w:tcPr>
          <w:p>
            <w:pPr>
              <w:spacing w:after="0"/>
              <w:rPr>
                <w:sz w:val="12"/>
                <w:szCs w:val="12"/>
                <w:color w:val="auto"/>
              </w:rPr>
            </w:pPr>
          </w:p>
        </w:tc>
        <w:tc>
          <w:tcPr>
            <w:tcW w:w="120" w:type="dxa"/>
            <w:vAlign w:val="bottom"/>
            <w:gridSpan w:val="3"/>
          </w:tcPr>
          <w:p>
            <w:pPr>
              <w:spacing w:after="0"/>
              <w:rPr>
                <w:sz w:val="12"/>
                <w:szCs w:val="12"/>
                <w:color w:val="auto"/>
              </w:rPr>
            </w:pPr>
          </w:p>
        </w:tc>
      </w:tr>
      <w:tr>
        <w:trPr>
          <w:trHeight w:val="147"/>
        </w:trPr>
        <w:tc>
          <w:tcPr>
            <w:tcW w:w="1120" w:type="dxa"/>
            <w:vAlign w:val="bottom"/>
          </w:tcPr>
          <w:p>
            <w:pPr>
              <w:spacing w:after="0"/>
              <w:rPr>
                <w:sz w:val="12"/>
                <w:szCs w:val="12"/>
                <w:color w:val="auto"/>
              </w:rPr>
            </w:pPr>
          </w:p>
        </w:tc>
        <w:tc>
          <w:tcPr>
            <w:tcW w:w="7400" w:type="dxa"/>
            <w:vAlign w:val="bottom"/>
            <w:gridSpan w:val="23"/>
          </w:tcPr>
          <w:p>
            <w:pPr>
              <w:spacing w:after="0" w:line="147" w:lineRule="exact"/>
              <w:rPr>
                <w:rFonts w:ascii="Times New Roman" w:cs="Times New Roman" w:eastAsia="Times New Roman" w:hAnsi="Times New Roman"/>
                <w:sz w:val="14"/>
                <w:szCs w:val="14"/>
                <w:color w:val="0000EE"/>
              </w:rPr>
            </w:pPr>
            <w:hyperlink r:id="rId343">
              <w:r>
                <w:rPr>
                  <w:rFonts w:ascii="Times New Roman" w:cs="Times New Roman" w:eastAsia="Times New Roman" w:hAnsi="Times New Roman"/>
                  <w:sz w:val="14"/>
                  <w:szCs w:val="14"/>
                  <w:color w:val="0000EE"/>
                </w:rPr>
                <w:t>October 22, 2025 and incorporated herein by reference).</w:t>
              </w:r>
            </w:hyperlink>
          </w:p>
        </w:tc>
      </w:tr>
      <w:tr>
        <w:trPr>
          <w:trHeight w:val="20"/>
        </w:trPr>
        <w:tc>
          <w:tcPr>
            <w:tcW w:w="1120" w:type="dxa"/>
            <w:vAlign w:val="bottom"/>
          </w:tcPr>
          <w:p>
            <w:pPr>
              <w:spacing w:after="0" w:line="20" w:lineRule="exact"/>
              <w:rPr>
                <w:sz w:val="1"/>
                <w:szCs w:val="1"/>
                <w:color w:val="auto"/>
              </w:rPr>
            </w:pPr>
          </w:p>
        </w:tc>
        <w:tc>
          <w:tcPr>
            <w:tcW w:w="3140" w:type="dxa"/>
            <w:vAlign w:val="bottom"/>
            <w:gridSpan w:val="3"/>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1"/>
        </w:trPr>
        <w:tc>
          <w:tcPr>
            <w:tcW w:w="1120" w:type="dxa"/>
            <w:vAlign w:val="bottom"/>
          </w:tcPr>
          <w:p>
            <w:pPr>
              <w:spacing w:after="0"/>
              <w:rPr>
                <w:sz w:val="20"/>
                <w:szCs w:val="20"/>
                <w:color w:val="auto"/>
              </w:rPr>
            </w:pPr>
            <w:r>
              <w:rPr>
                <w:rFonts w:ascii="Times New Roman" w:cs="Times New Roman" w:eastAsia="Times New Roman" w:hAnsi="Times New Roman"/>
                <w:sz w:val="14"/>
                <w:szCs w:val="14"/>
                <w:color w:val="auto"/>
              </w:rPr>
              <w:t>(13)(g)</w:t>
            </w:r>
          </w:p>
        </w:tc>
        <w:tc>
          <w:tcPr>
            <w:tcW w:w="6900" w:type="dxa"/>
            <w:vAlign w:val="bottom"/>
            <w:tcBorders>
              <w:bottom w:val="single" w:sz="8" w:color="0000EE"/>
            </w:tcBorders>
            <w:gridSpan w:val="10"/>
          </w:tcPr>
          <w:p>
            <w:pPr>
              <w:spacing w:after="0"/>
              <w:rPr>
                <w:rFonts w:ascii="Times New Roman" w:cs="Times New Roman" w:eastAsia="Times New Roman" w:hAnsi="Times New Roman"/>
                <w:sz w:val="14"/>
                <w:szCs w:val="14"/>
                <w:color w:val="0000EE"/>
                <w:w w:val="99"/>
              </w:rPr>
            </w:pPr>
            <w:hyperlink r:id="rId344">
              <w:r>
                <w:rPr>
                  <w:rFonts w:ascii="Times New Roman" w:cs="Times New Roman" w:eastAsia="Times New Roman" w:hAnsi="Times New Roman"/>
                  <w:sz w:val="14"/>
                  <w:szCs w:val="14"/>
                  <w:color w:val="0000EE"/>
                  <w:w w:val="99"/>
                </w:rPr>
                <w:t>Equity Distribution Agreement, dated November 10, 2022, by and among Fidus Investment Corporation, Fidus Investment</w:t>
              </w:r>
            </w:hyperlink>
          </w:p>
        </w:tc>
        <w:tc>
          <w:tcPr>
            <w:tcW w:w="500" w:type="dxa"/>
            <w:vAlign w:val="bottom"/>
            <w:gridSpan w:val="13"/>
          </w:tcPr>
          <w:p>
            <w:pPr>
              <w:spacing w:after="0"/>
              <w:rPr>
                <w:sz w:val="20"/>
                <w:szCs w:val="20"/>
                <w:color w:val="auto"/>
              </w:rPr>
            </w:pPr>
          </w:p>
        </w:tc>
      </w:tr>
      <w:tr>
        <w:trPr>
          <w:trHeight w:val="147"/>
        </w:trPr>
        <w:tc>
          <w:tcPr>
            <w:tcW w:w="1120" w:type="dxa"/>
            <w:vAlign w:val="bottom"/>
          </w:tcPr>
          <w:p>
            <w:pPr>
              <w:spacing w:after="0"/>
              <w:rPr>
                <w:sz w:val="12"/>
                <w:szCs w:val="12"/>
                <w:color w:val="auto"/>
              </w:rPr>
            </w:pPr>
          </w:p>
        </w:tc>
        <w:tc>
          <w:tcPr>
            <w:tcW w:w="7400" w:type="dxa"/>
            <w:vAlign w:val="bottom"/>
            <w:gridSpan w:val="23"/>
          </w:tcPr>
          <w:p>
            <w:pPr>
              <w:spacing w:after="0" w:line="147" w:lineRule="exact"/>
              <w:rPr>
                <w:rFonts w:ascii="Times New Roman" w:cs="Times New Roman" w:eastAsia="Times New Roman" w:hAnsi="Times New Roman"/>
                <w:sz w:val="14"/>
                <w:szCs w:val="14"/>
                <w:color w:val="0000EE"/>
              </w:rPr>
            </w:pPr>
            <w:hyperlink r:id="rId344">
              <w:r>
                <w:rPr>
                  <w:rFonts w:ascii="Times New Roman" w:cs="Times New Roman" w:eastAsia="Times New Roman" w:hAnsi="Times New Roman"/>
                  <w:sz w:val="14"/>
                  <w:szCs w:val="14"/>
                  <w:color w:val="0000EE"/>
                </w:rPr>
                <w:t>Advisors, LLC, on the one hand, and Raymond James &amp; Associates, Inc. and B. Riley Securities, Inc. on the other hand (Filed as</w:t>
              </w:r>
            </w:hyperlink>
          </w:p>
        </w:tc>
      </w:tr>
      <w:tr>
        <w:trPr>
          <w:trHeight w:val="147"/>
        </w:trPr>
        <w:tc>
          <w:tcPr>
            <w:tcW w:w="1120" w:type="dxa"/>
            <w:vAlign w:val="bottom"/>
          </w:tcPr>
          <w:p>
            <w:pPr>
              <w:spacing w:after="0"/>
              <w:rPr>
                <w:sz w:val="12"/>
                <w:szCs w:val="12"/>
                <w:color w:val="auto"/>
              </w:rPr>
            </w:pPr>
          </w:p>
        </w:tc>
        <w:tc>
          <w:tcPr>
            <w:tcW w:w="7240" w:type="dxa"/>
            <w:vAlign w:val="bottom"/>
            <w:tcBorders>
              <w:top w:val="single" w:sz="8" w:color="0000EE"/>
            </w:tcBorders>
            <w:gridSpan w:val="19"/>
          </w:tcPr>
          <w:p>
            <w:pPr>
              <w:spacing w:after="0" w:line="147" w:lineRule="exact"/>
              <w:rPr>
                <w:rFonts w:ascii="Times New Roman" w:cs="Times New Roman" w:eastAsia="Times New Roman" w:hAnsi="Times New Roman"/>
                <w:sz w:val="14"/>
                <w:szCs w:val="14"/>
                <w:color w:val="0000EE"/>
              </w:rPr>
            </w:pPr>
            <w:hyperlink r:id="rId344">
              <w:r>
                <w:rPr>
                  <w:rFonts w:ascii="Times New Roman" w:cs="Times New Roman" w:eastAsia="Times New Roman" w:hAnsi="Times New Roman"/>
                  <w:sz w:val="14"/>
                  <w:szCs w:val="14"/>
                  <w:color w:val="0000EE"/>
                </w:rPr>
                <w:t>Exhibit 10.1 to the Registrant’s Current Report on Form 8-K filed with the U.S. Securities and Exchange Commission on</w:t>
              </w:r>
            </w:hyperlink>
          </w:p>
        </w:tc>
        <w:tc>
          <w:tcPr>
            <w:tcW w:w="160" w:type="dxa"/>
            <w:vAlign w:val="bottom"/>
            <w:gridSpan w:val="4"/>
          </w:tcPr>
          <w:p>
            <w:pPr>
              <w:spacing w:after="0"/>
              <w:rPr>
                <w:sz w:val="12"/>
                <w:szCs w:val="12"/>
                <w:color w:val="auto"/>
              </w:rPr>
            </w:pPr>
          </w:p>
        </w:tc>
      </w:tr>
      <w:tr>
        <w:trPr>
          <w:trHeight w:val="147"/>
        </w:trPr>
        <w:tc>
          <w:tcPr>
            <w:tcW w:w="1120" w:type="dxa"/>
            <w:vAlign w:val="bottom"/>
          </w:tcPr>
          <w:p>
            <w:pPr>
              <w:spacing w:after="0"/>
              <w:rPr>
                <w:sz w:val="12"/>
                <w:szCs w:val="12"/>
                <w:color w:val="auto"/>
              </w:rPr>
            </w:pPr>
          </w:p>
        </w:tc>
        <w:tc>
          <w:tcPr>
            <w:tcW w:w="6760" w:type="dxa"/>
            <w:vAlign w:val="bottom"/>
            <w:tcBorders>
              <w:top w:val="single" w:sz="8" w:color="0000EE"/>
            </w:tcBorders>
            <w:gridSpan w:val="9"/>
          </w:tcPr>
          <w:p>
            <w:pPr>
              <w:spacing w:after="0" w:line="147" w:lineRule="exact"/>
              <w:rPr>
                <w:rFonts w:ascii="Times New Roman" w:cs="Times New Roman" w:eastAsia="Times New Roman" w:hAnsi="Times New Roman"/>
                <w:sz w:val="14"/>
                <w:szCs w:val="14"/>
                <w:color w:val="0000EE"/>
              </w:rPr>
            </w:pPr>
            <w:hyperlink r:id="rId344">
              <w:r>
                <w:rPr>
                  <w:rFonts w:ascii="Times New Roman" w:cs="Times New Roman" w:eastAsia="Times New Roman" w:hAnsi="Times New Roman"/>
                  <w:sz w:val="14"/>
                  <w:szCs w:val="14"/>
                  <w:color w:val="0000EE"/>
                </w:rPr>
                <w:t>November 10, 2022 and incorporated herein by reference).</w:t>
              </w:r>
            </w:hyperlink>
          </w:p>
        </w:tc>
        <w:tc>
          <w:tcPr>
            <w:tcW w:w="640" w:type="dxa"/>
            <w:vAlign w:val="bottom"/>
            <w:gridSpan w:val="14"/>
          </w:tcPr>
          <w:p>
            <w:pPr>
              <w:spacing w:after="0"/>
              <w:rPr>
                <w:sz w:val="12"/>
                <w:szCs w:val="12"/>
                <w:color w:val="auto"/>
              </w:rPr>
            </w:pPr>
          </w:p>
        </w:tc>
      </w:tr>
      <w:tr>
        <w:trPr>
          <w:trHeight w:val="20"/>
        </w:trPr>
        <w:tc>
          <w:tcPr>
            <w:tcW w:w="1120" w:type="dxa"/>
            <w:vAlign w:val="bottom"/>
          </w:tcPr>
          <w:p>
            <w:pPr>
              <w:spacing w:after="0" w:line="20" w:lineRule="exact"/>
              <w:rPr>
                <w:sz w:val="1"/>
                <w:szCs w:val="1"/>
                <w:color w:val="auto"/>
              </w:rPr>
            </w:pPr>
          </w:p>
        </w:tc>
        <w:tc>
          <w:tcPr>
            <w:tcW w:w="3280" w:type="dxa"/>
            <w:vAlign w:val="bottom"/>
            <w:gridSpan w:val="4"/>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1"/>
        </w:trPr>
        <w:tc>
          <w:tcPr>
            <w:tcW w:w="1120" w:type="dxa"/>
            <w:vAlign w:val="bottom"/>
          </w:tcPr>
          <w:p>
            <w:pPr>
              <w:spacing w:after="0"/>
              <w:rPr>
                <w:sz w:val="20"/>
                <w:szCs w:val="20"/>
                <w:color w:val="auto"/>
              </w:rPr>
            </w:pPr>
            <w:r>
              <w:rPr>
                <w:rFonts w:ascii="Times New Roman" w:cs="Times New Roman" w:eastAsia="Times New Roman" w:hAnsi="Times New Roman"/>
                <w:sz w:val="14"/>
                <w:szCs w:val="14"/>
                <w:color w:val="auto"/>
              </w:rPr>
              <w:t>(13)(h)</w:t>
            </w:r>
          </w:p>
        </w:tc>
        <w:tc>
          <w:tcPr>
            <w:tcW w:w="7120" w:type="dxa"/>
            <w:vAlign w:val="bottom"/>
            <w:tcBorders>
              <w:bottom w:val="single" w:sz="8" w:color="0000EE"/>
            </w:tcBorders>
            <w:gridSpan w:val="15"/>
          </w:tcPr>
          <w:p>
            <w:pPr>
              <w:spacing w:after="0"/>
              <w:rPr>
                <w:rFonts w:ascii="Times New Roman" w:cs="Times New Roman" w:eastAsia="Times New Roman" w:hAnsi="Times New Roman"/>
                <w:sz w:val="14"/>
                <w:szCs w:val="14"/>
                <w:color w:val="0000EE"/>
                <w:w w:val="99"/>
              </w:rPr>
            </w:pPr>
            <w:hyperlink r:id="rId345">
              <w:r>
                <w:rPr>
                  <w:rFonts w:ascii="Times New Roman" w:cs="Times New Roman" w:eastAsia="Times New Roman" w:hAnsi="Times New Roman"/>
                  <w:sz w:val="14"/>
                  <w:szCs w:val="14"/>
                  <w:color w:val="0000EE"/>
                  <w:w w:val="99"/>
                </w:rPr>
                <w:t>Amendment No. 1, dated August 11, 2023, to Equity Distribution Agreement by and among Fidus Investment Corporation and</w:t>
              </w:r>
            </w:hyperlink>
          </w:p>
        </w:tc>
        <w:tc>
          <w:tcPr>
            <w:tcW w:w="280" w:type="dxa"/>
            <w:vAlign w:val="bottom"/>
            <w:gridSpan w:val="8"/>
          </w:tcPr>
          <w:p>
            <w:pPr>
              <w:spacing w:after="0"/>
              <w:rPr>
                <w:sz w:val="20"/>
                <w:szCs w:val="20"/>
                <w:color w:val="auto"/>
              </w:rPr>
            </w:pPr>
          </w:p>
        </w:tc>
      </w:tr>
      <w:tr>
        <w:trPr>
          <w:trHeight w:val="147"/>
        </w:trPr>
        <w:tc>
          <w:tcPr>
            <w:tcW w:w="1120" w:type="dxa"/>
            <w:vAlign w:val="bottom"/>
          </w:tcPr>
          <w:p>
            <w:pPr>
              <w:spacing w:after="0"/>
              <w:rPr>
                <w:sz w:val="12"/>
                <w:szCs w:val="12"/>
                <w:color w:val="auto"/>
              </w:rPr>
            </w:pPr>
          </w:p>
        </w:tc>
        <w:tc>
          <w:tcPr>
            <w:tcW w:w="7140" w:type="dxa"/>
            <w:vAlign w:val="bottom"/>
            <w:tcBorders>
              <w:bottom w:val="single" w:sz="8" w:color="0000EE"/>
            </w:tcBorders>
            <w:gridSpan w:val="16"/>
          </w:tcPr>
          <w:p>
            <w:pPr>
              <w:spacing w:after="0" w:line="147" w:lineRule="exact"/>
              <w:rPr>
                <w:rFonts w:ascii="Times New Roman" w:cs="Times New Roman" w:eastAsia="Times New Roman" w:hAnsi="Times New Roman"/>
                <w:sz w:val="14"/>
                <w:szCs w:val="14"/>
                <w:color w:val="0000EE"/>
                <w:w w:val="99"/>
              </w:rPr>
            </w:pPr>
            <w:hyperlink r:id="rId345">
              <w:r>
                <w:rPr>
                  <w:rFonts w:ascii="Times New Roman" w:cs="Times New Roman" w:eastAsia="Times New Roman" w:hAnsi="Times New Roman"/>
                  <w:sz w:val="14"/>
                  <w:szCs w:val="14"/>
                  <w:color w:val="0000EE"/>
                  <w:w w:val="99"/>
                </w:rPr>
                <w:t>Fidus Investment Advisors, LLC, on the one hand, and Raymond James &amp; Associates, Inc. and B. Riley Securities, Inc., on the</w:t>
              </w:r>
            </w:hyperlink>
          </w:p>
        </w:tc>
        <w:tc>
          <w:tcPr>
            <w:tcW w:w="260" w:type="dxa"/>
            <w:vAlign w:val="bottom"/>
            <w:gridSpan w:val="7"/>
          </w:tcPr>
          <w:p>
            <w:pPr>
              <w:spacing w:after="0"/>
              <w:rPr>
                <w:sz w:val="12"/>
                <w:szCs w:val="12"/>
                <w:color w:val="auto"/>
              </w:rPr>
            </w:pPr>
          </w:p>
        </w:tc>
      </w:tr>
      <w:tr>
        <w:trPr>
          <w:trHeight w:val="147"/>
        </w:trPr>
        <w:tc>
          <w:tcPr>
            <w:tcW w:w="1120" w:type="dxa"/>
            <w:vAlign w:val="bottom"/>
          </w:tcPr>
          <w:p>
            <w:pPr>
              <w:spacing w:after="0"/>
              <w:rPr>
                <w:sz w:val="12"/>
                <w:szCs w:val="12"/>
                <w:color w:val="auto"/>
              </w:rPr>
            </w:pPr>
          </w:p>
        </w:tc>
        <w:tc>
          <w:tcPr>
            <w:tcW w:w="7000" w:type="dxa"/>
            <w:vAlign w:val="bottom"/>
            <w:tcBorders>
              <w:bottom w:val="single" w:sz="8" w:color="0000EE"/>
            </w:tcBorders>
            <w:gridSpan w:val="12"/>
          </w:tcPr>
          <w:p>
            <w:pPr>
              <w:spacing w:after="0" w:line="147" w:lineRule="exact"/>
              <w:rPr>
                <w:rFonts w:ascii="Times New Roman" w:cs="Times New Roman" w:eastAsia="Times New Roman" w:hAnsi="Times New Roman"/>
                <w:sz w:val="14"/>
                <w:szCs w:val="14"/>
                <w:color w:val="0000EE"/>
                <w:w w:val="99"/>
              </w:rPr>
            </w:pPr>
            <w:hyperlink r:id="rId345">
              <w:r>
                <w:rPr>
                  <w:rFonts w:ascii="Times New Roman" w:cs="Times New Roman" w:eastAsia="Times New Roman" w:hAnsi="Times New Roman"/>
                  <w:sz w:val="14"/>
                  <w:szCs w:val="14"/>
                  <w:color w:val="0000EE"/>
                  <w:w w:val="99"/>
                </w:rPr>
                <w:t>other hand (Filed as Exhibit 10.1 to the Registrant’s Current Report on Form 8-K filed with the U.S. Securities and Exchange</w:t>
              </w:r>
            </w:hyperlink>
          </w:p>
        </w:tc>
        <w:tc>
          <w:tcPr>
            <w:tcW w:w="400" w:type="dxa"/>
            <w:vAlign w:val="bottom"/>
            <w:gridSpan w:val="11"/>
          </w:tcPr>
          <w:p>
            <w:pPr>
              <w:spacing w:after="0"/>
              <w:rPr>
                <w:sz w:val="12"/>
                <w:szCs w:val="12"/>
                <w:color w:val="auto"/>
              </w:rPr>
            </w:pPr>
          </w:p>
        </w:tc>
      </w:tr>
      <w:tr>
        <w:trPr>
          <w:trHeight w:val="147"/>
        </w:trPr>
        <w:tc>
          <w:tcPr>
            <w:tcW w:w="1120" w:type="dxa"/>
            <w:vAlign w:val="bottom"/>
          </w:tcPr>
          <w:p>
            <w:pPr>
              <w:spacing w:after="0"/>
              <w:rPr>
                <w:sz w:val="12"/>
                <w:szCs w:val="12"/>
                <w:color w:val="auto"/>
              </w:rPr>
            </w:pPr>
          </w:p>
        </w:tc>
        <w:tc>
          <w:tcPr>
            <w:tcW w:w="7400" w:type="dxa"/>
            <w:vAlign w:val="bottom"/>
            <w:gridSpan w:val="23"/>
          </w:tcPr>
          <w:p>
            <w:pPr>
              <w:spacing w:after="0" w:line="147" w:lineRule="exact"/>
              <w:rPr>
                <w:rFonts w:ascii="Times New Roman" w:cs="Times New Roman" w:eastAsia="Times New Roman" w:hAnsi="Times New Roman"/>
                <w:sz w:val="14"/>
                <w:szCs w:val="14"/>
                <w:color w:val="0000EE"/>
              </w:rPr>
            </w:pPr>
            <w:hyperlink r:id="rId345">
              <w:r>
                <w:rPr>
                  <w:rFonts w:ascii="Times New Roman" w:cs="Times New Roman" w:eastAsia="Times New Roman" w:hAnsi="Times New Roman"/>
                  <w:sz w:val="14"/>
                  <w:szCs w:val="14"/>
                  <w:color w:val="0000EE"/>
                </w:rPr>
                <w:t>Commission on August 11, 2023 and incorporated herein by reference).</w:t>
              </w:r>
            </w:hyperlink>
          </w:p>
        </w:tc>
      </w:tr>
      <w:tr>
        <w:trPr>
          <w:trHeight w:val="20"/>
        </w:trPr>
        <w:tc>
          <w:tcPr>
            <w:tcW w:w="1120" w:type="dxa"/>
            <w:vAlign w:val="bottom"/>
          </w:tcPr>
          <w:p>
            <w:pPr>
              <w:spacing w:after="0" w:line="20" w:lineRule="exact"/>
              <w:rPr>
                <w:sz w:val="1"/>
                <w:szCs w:val="1"/>
                <w:color w:val="auto"/>
              </w:rPr>
            </w:pPr>
          </w:p>
        </w:tc>
        <w:tc>
          <w:tcPr>
            <w:tcW w:w="3900" w:type="dxa"/>
            <w:vAlign w:val="bottom"/>
            <w:gridSpan w:val="5"/>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420" w:type="dxa"/>
            <w:vAlign w:val="bottom"/>
            <w:gridSpan w:val="6"/>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1"/>
        </w:trPr>
        <w:tc>
          <w:tcPr>
            <w:tcW w:w="1120" w:type="dxa"/>
            <w:vAlign w:val="bottom"/>
          </w:tcPr>
          <w:p>
            <w:pPr>
              <w:spacing w:after="0"/>
              <w:rPr>
                <w:sz w:val="20"/>
                <w:szCs w:val="20"/>
                <w:color w:val="auto"/>
              </w:rPr>
            </w:pPr>
            <w:r>
              <w:rPr>
                <w:rFonts w:ascii="Times New Roman" w:cs="Times New Roman" w:eastAsia="Times New Roman" w:hAnsi="Times New Roman"/>
                <w:sz w:val="14"/>
                <w:szCs w:val="14"/>
                <w:color w:val="auto"/>
              </w:rPr>
              <w:t>(13)(i)</w:t>
            </w:r>
          </w:p>
        </w:tc>
        <w:tc>
          <w:tcPr>
            <w:tcW w:w="7400" w:type="dxa"/>
            <w:vAlign w:val="bottom"/>
            <w:gridSpan w:val="23"/>
          </w:tcPr>
          <w:p>
            <w:pPr>
              <w:spacing w:after="0"/>
              <w:rPr>
                <w:rFonts w:ascii="Times New Roman" w:cs="Times New Roman" w:eastAsia="Times New Roman" w:hAnsi="Times New Roman"/>
                <w:sz w:val="14"/>
                <w:szCs w:val="14"/>
                <w:color w:val="0000EE"/>
              </w:rPr>
            </w:pPr>
            <w:hyperlink r:id="rId346">
              <w:r>
                <w:rPr>
                  <w:rFonts w:ascii="Times New Roman" w:cs="Times New Roman" w:eastAsia="Times New Roman" w:hAnsi="Times New Roman"/>
                  <w:sz w:val="14"/>
                  <w:szCs w:val="14"/>
                  <w:color w:val="0000EE"/>
                </w:rPr>
                <w:t>Amendment No. 2, dated February 29, 2024, to Equity Distribution Agreement by and among Fidus Investment Corporation and</w:t>
              </w:r>
            </w:hyperlink>
          </w:p>
        </w:tc>
      </w:tr>
      <w:tr>
        <w:trPr>
          <w:trHeight w:val="147"/>
        </w:trPr>
        <w:tc>
          <w:tcPr>
            <w:tcW w:w="1120" w:type="dxa"/>
            <w:vAlign w:val="bottom"/>
          </w:tcPr>
          <w:p>
            <w:pPr>
              <w:spacing w:after="0"/>
              <w:rPr>
                <w:sz w:val="12"/>
                <w:szCs w:val="12"/>
                <w:color w:val="auto"/>
              </w:rPr>
            </w:pPr>
          </w:p>
        </w:tc>
        <w:tc>
          <w:tcPr>
            <w:tcW w:w="7140" w:type="dxa"/>
            <w:vAlign w:val="bottom"/>
            <w:tcBorders>
              <w:top w:val="single" w:sz="8" w:color="0000EE"/>
              <w:bottom w:val="single" w:sz="8" w:color="0000EE"/>
            </w:tcBorders>
            <w:gridSpan w:val="16"/>
          </w:tcPr>
          <w:p>
            <w:pPr>
              <w:spacing w:after="0" w:line="147" w:lineRule="exact"/>
              <w:rPr>
                <w:rFonts w:ascii="Times New Roman" w:cs="Times New Roman" w:eastAsia="Times New Roman" w:hAnsi="Times New Roman"/>
                <w:sz w:val="14"/>
                <w:szCs w:val="14"/>
                <w:color w:val="0000EE"/>
                <w:w w:val="99"/>
              </w:rPr>
            </w:pPr>
            <w:hyperlink r:id="rId346">
              <w:r>
                <w:rPr>
                  <w:rFonts w:ascii="Times New Roman" w:cs="Times New Roman" w:eastAsia="Times New Roman" w:hAnsi="Times New Roman"/>
                  <w:sz w:val="14"/>
                  <w:szCs w:val="14"/>
                  <w:color w:val="0000EE"/>
                  <w:w w:val="99"/>
                </w:rPr>
                <w:t>Fidus Investment Advisors, LLC, on the one hand, and Raymond James &amp; Associates, Inc. and B. Riley Securities, Inc., on the</w:t>
              </w:r>
            </w:hyperlink>
          </w:p>
        </w:tc>
        <w:tc>
          <w:tcPr>
            <w:tcW w:w="80" w:type="dxa"/>
            <w:vAlign w:val="bottom"/>
            <w:tcBorders>
              <w:top w:val="single" w:sz="8" w:color="0000EE"/>
            </w:tcBorders>
            <w:gridSpan w:val="2"/>
          </w:tcPr>
          <w:p>
            <w:pPr>
              <w:spacing w:after="0"/>
              <w:rPr>
                <w:sz w:val="12"/>
                <w:szCs w:val="12"/>
                <w:color w:val="auto"/>
              </w:rPr>
            </w:pPr>
          </w:p>
        </w:tc>
        <w:tc>
          <w:tcPr>
            <w:tcW w:w="180" w:type="dxa"/>
            <w:vAlign w:val="bottom"/>
            <w:gridSpan w:val="5"/>
          </w:tcPr>
          <w:p>
            <w:pPr>
              <w:spacing w:after="0"/>
              <w:rPr>
                <w:sz w:val="12"/>
                <w:szCs w:val="12"/>
                <w:color w:val="auto"/>
              </w:rPr>
            </w:pPr>
          </w:p>
        </w:tc>
      </w:tr>
      <w:tr>
        <w:trPr>
          <w:trHeight w:val="147"/>
        </w:trPr>
        <w:tc>
          <w:tcPr>
            <w:tcW w:w="1120" w:type="dxa"/>
            <w:vAlign w:val="bottom"/>
          </w:tcPr>
          <w:p>
            <w:pPr>
              <w:spacing w:after="0"/>
              <w:rPr>
                <w:sz w:val="12"/>
                <w:szCs w:val="12"/>
                <w:color w:val="auto"/>
              </w:rPr>
            </w:pPr>
          </w:p>
        </w:tc>
        <w:tc>
          <w:tcPr>
            <w:tcW w:w="7000" w:type="dxa"/>
            <w:vAlign w:val="bottom"/>
            <w:tcBorders>
              <w:bottom w:val="single" w:sz="8" w:color="0000EE"/>
            </w:tcBorders>
            <w:gridSpan w:val="12"/>
          </w:tcPr>
          <w:p>
            <w:pPr>
              <w:spacing w:after="0" w:line="147" w:lineRule="exact"/>
              <w:rPr>
                <w:rFonts w:ascii="Times New Roman" w:cs="Times New Roman" w:eastAsia="Times New Roman" w:hAnsi="Times New Roman"/>
                <w:sz w:val="14"/>
                <w:szCs w:val="14"/>
                <w:color w:val="0000EE"/>
                <w:w w:val="99"/>
              </w:rPr>
            </w:pPr>
            <w:hyperlink r:id="rId346">
              <w:r>
                <w:rPr>
                  <w:rFonts w:ascii="Times New Roman" w:cs="Times New Roman" w:eastAsia="Times New Roman" w:hAnsi="Times New Roman"/>
                  <w:sz w:val="14"/>
                  <w:szCs w:val="14"/>
                  <w:color w:val="0000EE"/>
                  <w:w w:val="99"/>
                </w:rPr>
                <w:t>other hand (Filed as Exhibit 10.1 to the Registrant’s Current Report on Form 8-K filed with the U.S. Securities and Exchange</w:t>
              </w:r>
            </w:hyperlink>
          </w:p>
        </w:tc>
        <w:tc>
          <w:tcPr>
            <w:tcW w:w="400" w:type="dxa"/>
            <w:vAlign w:val="bottom"/>
            <w:gridSpan w:val="11"/>
          </w:tcPr>
          <w:p>
            <w:pPr>
              <w:spacing w:after="0"/>
              <w:rPr>
                <w:sz w:val="12"/>
                <w:szCs w:val="12"/>
                <w:color w:val="auto"/>
              </w:rPr>
            </w:pPr>
          </w:p>
        </w:tc>
      </w:tr>
      <w:tr>
        <w:trPr>
          <w:trHeight w:val="147"/>
        </w:trPr>
        <w:tc>
          <w:tcPr>
            <w:tcW w:w="1120" w:type="dxa"/>
            <w:vAlign w:val="bottom"/>
          </w:tcPr>
          <w:p>
            <w:pPr>
              <w:spacing w:after="0"/>
              <w:rPr>
                <w:sz w:val="12"/>
                <w:szCs w:val="12"/>
                <w:color w:val="auto"/>
              </w:rPr>
            </w:pPr>
          </w:p>
        </w:tc>
        <w:tc>
          <w:tcPr>
            <w:tcW w:w="4120" w:type="dxa"/>
            <w:vAlign w:val="bottom"/>
            <w:tcBorders>
              <w:bottom w:val="single" w:sz="8" w:color="0000EE"/>
            </w:tcBorders>
            <w:gridSpan w:val="7"/>
          </w:tcPr>
          <w:p>
            <w:pPr>
              <w:spacing w:after="0" w:line="147" w:lineRule="exact"/>
              <w:rPr>
                <w:rFonts w:ascii="Times New Roman" w:cs="Times New Roman" w:eastAsia="Times New Roman" w:hAnsi="Times New Roman"/>
                <w:sz w:val="14"/>
                <w:szCs w:val="14"/>
                <w:color w:val="0000EE"/>
                <w:w w:val="99"/>
              </w:rPr>
            </w:pPr>
            <w:hyperlink r:id="rId346">
              <w:r>
                <w:rPr>
                  <w:rFonts w:ascii="Times New Roman" w:cs="Times New Roman" w:eastAsia="Times New Roman" w:hAnsi="Times New Roman"/>
                  <w:sz w:val="14"/>
                  <w:szCs w:val="14"/>
                  <w:color w:val="0000EE"/>
                  <w:w w:val="99"/>
                </w:rPr>
                <w:t>Commission on February 29, 2024 and incorporated herein by reference).</w:t>
              </w:r>
            </w:hyperlink>
          </w:p>
        </w:tc>
        <w:tc>
          <w:tcPr>
            <w:tcW w:w="3280" w:type="dxa"/>
            <w:vAlign w:val="bottom"/>
            <w:gridSpan w:val="16"/>
          </w:tcPr>
          <w:p>
            <w:pPr>
              <w:spacing w:after="0"/>
              <w:rPr>
                <w:sz w:val="12"/>
                <w:szCs w:val="12"/>
                <w:color w:val="auto"/>
              </w:rPr>
            </w:pPr>
          </w:p>
        </w:tc>
      </w:tr>
      <w:tr>
        <w:trPr>
          <w:trHeight w:val="231"/>
        </w:trPr>
        <w:tc>
          <w:tcPr>
            <w:tcW w:w="1120" w:type="dxa"/>
            <w:vAlign w:val="bottom"/>
          </w:tcPr>
          <w:p>
            <w:pPr>
              <w:spacing w:after="0"/>
              <w:rPr>
                <w:sz w:val="20"/>
                <w:szCs w:val="20"/>
                <w:color w:val="auto"/>
              </w:rPr>
            </w:pPr>
            <w:r>
              <w:rPr>
                <w:rFonts w:ascii="Times New Roman" w:cs="Times New Roman" w:eastAsia="Times New Roman" w:hAnsi="Times New Roman"/>
                <w:sz w:val="14"/>
                <w:szCs w:val="14"/>
                <w:color w:val="auto"/>
              </w:rPr>
              <w:t>(13)(j)</w:t>
            </w:r>
          </w:p>
        </w:tc>
        <w:tc>
          <w:tcPr>
            <w:tcW w:w="7400" w:type="dxa"/>
            <w:vAlign w:val="bottom"/>
            <w:gridSpan w:val="23"/>
          </w:tcPr>
          <w:p>
            <w:pPr>
              <w:spacing w:after="0"/>
              <w:rPr>
                <w:rFonts w:ascii="Times New Roman" w:cs="Times New Roman" w:eastAsia="Times New Roman" w:hAnsi="Times New Roman"/>
                <w:sz w:val="14"/>
                <w:szCs w:val="14"/>
                <w:color w:val="0000EE"/>
              </w:rPr>
            </w:pPr>
            <w:hyperlink r:id="rId347">
              <w:r>
                <w:rPr>
                  <w:rFonts w:ascii="Times New Roman" w:cs="Times New Roman" w:eastAsia="Times New Roman" w:hAnsi="Times New Roman"/>
                  <w:sz w:val="14"/>
                  <w:szCs w:val="14"/>
                  <w:color w:val="0000EE"/>
                </w:rPr>
                <w:t>Amendment No. 3, dated March 2, 2026, to Equity Distribution Agreement by and among Fidus Investment Corporation and Fidus</w:t>
              </w:r>
            </w:hyperlink>
          </w:p>
        </w:tc>
      </w:tr>
      <w:tr>
        <w:trPr>
          <w:trHeight w:val="147"/>
        </w:trPr>
        <w:tc>
          <w:tcPr>
            <w:tcW w:w="1120" w:type="dxa"/>
            <w:vAlign w:val="bottom"/>
          </w:tcPr>
          <w:p>
            <w:pPr>
              <w:spacing w:after="0"/>
              <w:rPr>
                <w:sz w:val="12"/>
                <w:szCs w:val="12"/>
                <w:color w:val="auto"/>
              </w:rPr>
            </w:pPr>
          </w:p>
        </w:tc>
        <w:tc>
          <w:tcPr>
            <w:tcW w:w="7360" w:type="dxa"/>
            <w:vAlign w:val="bottom"/>
            <w:tcBorders>
              <w:top w:val="single" w:sz="8" w:color="0000EE"/>
            </w:tcBorders>
            <w:gridSpan w:val="22"/>
          </w:tcPr>
          <w:p>
            <w:pPr>
              <w:spacing w:after="0" w:line="147" w:lineRule="exact"/>
              <w:rPr>
                <w:rFonts w:ascii="Times New Roman" w:cs="Times New Roman" w:eastAsia="Times New Roman" w:hAnsi="Times New Roman"/>
                <w:sz w:val="14"/>
                <w:szCs w:val="14"/>
                <w:color w:val="0000EE"/>
              </w:rPr>
            </w:pPr>
            <w:hyperlink r:id="rId347">
              <w:r>
                <w:rPr>
                  <w:rFonts w:ascii="Times New Roman" w:cs="Times New Roman" w:eastAsia="Times New Roman" w:hAnsi="Times New Roman"/>
                  <w:sz w:val="14"/>
                  <w:szCs w:val="14"/>
                  <w:color w:val="0000EE"/>
                </w:rPr>
                <w:t>Investment Advisors, LLC, on the one hand, and Raymond James &amp; Associates, Inc. and B. Riley Securities, Inc., on the other</w:t>
              </w:r>
            </w:hyperlink>
          </w:p>
        </w:tc>
        <w:tc>
          <w:tcPr>
            <w:tcW w:w="40" w:type="dxa"/>
            <w:vAlign w:val="bottom"/>
          </w:tcPr>
          <w:p>
            <w:pPr>
              <w:spacing w:after="0"/>
              <w:rPr>
                <w:sz w:val="12"/>
                <w:szCs w:val="12"/>
                <w:color w:val="auto"/>
              </w:rPr>
            </w:pPr>
          </w:p>
        </w:tc>
      </w:tr>
      <w:tr>
        <w:trPr>
          <w:trHeight w:val="147"/>
        </w:trPr>
        <w:tc>
          <w:tcPr>
            <w:tcW w:w="1120" w:type="dxa"/>
            <w:vAlign w:val="bottom"/>
          </w:tcPr>
          <w:p>
            <w:pPr>
              <w:spacing w:after="0"/>
              <w:rPr>
                <w:sz w:val="12"/>
                <w:szCs w:val="12"/>
                <w:color w:val="auto"/>
              </w:rPr>
            </w:pPr>
          </w:p>
        </w:tc>
        <w:tc>
          <w:tcPr>
            <w:tcW w:w="6680" w:type="dxa"/>
            <w:vAlign w:val="bottom"/>
            <w:tcBorders>
              <w:top w:val="single" w:sz="8" w:color="0000EE"/>
              <w:bottom w:val="single" w:sz="8" w:color="0000EE"/>
            </w:tcBorders>
            <w:gridSpan w:val="8"/>
          </w:tcPr>
          <w:p>
            <w:pPr>
              <w:spacing w:after="0" w:line="147" w:lineRule="exact"/>
              <w:rPr>
                <w:rFonts w:ascii="Times New Roman" w:cs="Times New Roman" w:eastAsia="Times New Roman" w:hAnsi="Times New Roman"/>
                <w:sz w:val="14"/>
                <w:szCs w:val="14"/>
                <w:color w:val="0000EE"/>
                <w:w w:val="99"/>
              </w:rPr>
            </w:pPr>
            <w:hyperlink r:id="rId347">
              <w:r>
                <w:rPr>
                  <w:rFonts w:ascii="Times New Roman" w:cs="Times New Roman" w:eastAsia="Times New Roman" w:hAnsi="Times New Roman"/>
                  <w:sz w:val="14"/>
                  <w:szCs w:val="14"/>
                  <w:color w:val="0000EE"/>
                  <w:w w:val="99"/>
                </w:rPr>
                <w:t>hand (Filed as Exhibit 10.1 to the Registrant’s Current Report on Form 8-K filed with the U.S. Securities and Exchange</w:t>
              </w:r>
            </w:hyperlink>
          </w:p>
        </w:tc>
        <w:tc>
          <w:tcPr>
            <w:tcW w:w="420" w:type="dxa"/>
            <w:vAlign w:val="bottom"/>
            <w:tcBorders>
              <w:top w:val="single" w:sz="8" w:color="0000EE"/>
            </w:tcBorders>
            <w:gridSpan w:val="6"/>
          </w:tcPr>
          <w:p>
            <w:pPr>
              <w:spacing w:after="0"/>
              <w:rPr>
                <w:sz w:val="12"/>
                <w:szCs w:val="12"/>
                <w:color w:val="auto"/>
              </w:rPr>
            </w:pPr>
          </w:p>
        </w:tc>
        <w:tc>
          <w:tcPr>
            <w:tcW w:w="300" w:type="dxa"/>
            <w:vAlign w:val="bottom"/>
            <w:gridSpan w:val="9"/>
          </w:tcPr>
          <w:p>
            <w:pPr>
              <w:spacing w:after="0"/>
              <w:rPr>
                <w:sz w:val="12"/>
                <w:szCs w:val="12"/>
                <w:color w:val="auto"/>
              </w:rPr>
            </w:pPr>
          </w:p>
        </w:tc>
      </w:tr>
      <w:tr>
        <w:trPr>
          <w:trHeight w:val="147"/>
        </w:trPr>
        <w:tc>
          <w:tcPr>
            <w:tcW w:w="1120" w:type="dxa"/>
            <w:vAlign w:val="bottom"/>
          </w:tcPr>
          <w:p>
            <w:pPr>
              <w:spacing w:after="0"/>
              <w:rPr>
                <w:sz w:val="12"/>
                <w:szCs w:val="12"/>
                <w:color w:val="auto"/>
              </w:rPr>
            </w:pPr>
          </w:p>
        </w:tc>
        <w:tc>
          <w:tcPr>
            <w:tcW w:w="7400" w:type="dxa"/>
            <w:vAlign w:val="bottom"/>
            <w:gridSpan w:val="23"/>
          </w:tcPr>
          <w:p>
            <w:pPr>
              <w:spacing w:after="0" w:line="147" w:lineRule="exact"/>
              <w:rPr>
                <w:rFonts w:ascii="Times New Roman" w:cs="Times New Roman" w:eastAsia="Times New Roman" w:hAnsi="Times New Roman"/>
                <w:sz w:val="14"/>
                <w:szCs w:val="14"/>
                <w:color w:val="0000EE"/>
              </w:rPr>
            </w:pPr>
            <w:hyperlink r:id="rId347">
              <w:r>
                <w:rPr>
                  <w:rFonts w:ascii="Times New Roman" w:cs="Times New Roman" w:eastAsia="Times New Roman" w:hAnsi="Times New Roman"/>
                  <w:sz w:val="14"/>
                  <w:szCs w:val="14"/>
                  <w:color w:val="0000EE"/>
                </w:rPr>
                <w:t>Commission on March 2, 2026 and incorporated herein by reference).</w:t>
              </w:r>
            </w:hyperlink>
          </w:p>
        </w:tc>
      </w:tr>
      <w:tr>
        <w:trPr>
          <w:trHeight w:val="20"/>
        </w:trPr>
        <w:tc>
          <w:tcPr>
            <w:tcW w:w="1120" w:type="dxa"/>
            <w:vAlign w:val="bottom"/>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90" w:lineRule="exact"/>
        <w:rPr>
          <w:sz w:val="20"/>
          <w:szCs w:val="20"/>
          <w:color w:val="auto"/>
        </w:rPr>
      </w:pPr>
    </w:p>
    <w:p>
      <w:pPr>
        <w:ind w:left="2500" w:hanging="1125"/>
        <w:spacing w:after="0"/>
        <w:tabs>
          <w:tab w:leader="none" w:pos="250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0000EE"/>
        </w:rPr>
        <w:t>Consent of Independent Registered Public Accounting Firm*</w:t>
      </w:r>
    </w:p>
    <w:p>
      <w:pPr>
        <w:spacing w:after="0" w:line="90" w:lineRule="exact"/>
        <w:rPr>
          <w:sz w:val="20"/>
          <w:szCs w:val="20"/>
          <w:color w:val="auto"/>
        </w:rPr>
      </w:pPr>
    </w:p>
    <w:p>
      <w:pPr>
        <w:ind w:left="2500" w:hanging="1125"/>
        <w:spacing w:after="0"/>
        <w:tabs>
          <w:tab w:leader="none" w:pos="250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0000EE"/>
        </w:rPr>
        <w:t>Power of Attorney (see signature page of this Registration Statement)</w:t>
      </w:r>
    </w:p>
    <w:p>
      <w:pPr>
        <w:spacing w:after="0" w:line="80"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1120" w:type="dxa"/>
            <w:vAlign w:val="bottom"/>
          </w:tcPr>
          <w:p>
            <w:pPr>
              <w:spacing w:after="0"/>
              <w:rPr>
                <w:sz w:val="20"/>
                <w:szCs w:val="20"/>
                <w:color w:val="auto"/>
              </w:rPr>
            </w:pPr>
            <w:r>
              <w:rPr>
                <w:rFonts w:ascii="Times New Roman" w:cs="Times New Roman" w:eastAsia="Times New Roman" w:hAnsi="Times New Roman"/>
                <w:sz w:val="14"/>
                <w:szCs w:val="14"/>
                <w:color w:val="auto"/>
              </w:rPr>
              <w:t>(17)(a)</w:t>
            </w:r>
          </w:p>
        </w:tc>
        <w:tc>
          <w:tcPr>
            <w:tcW w:w="50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4"/>
                <w:szCs w:val="14"/>
                <w:color w:val="0000EE"/>
                <w:w w:val="98"/>
              </w:rPr>
              <w:t>Statement of Eligibility on Form T-1 of U.S. Bank Trust Company, National Association*</w:t>
            </w:r>
          </w:p>
        </w:tc>
      </w:tr>
      <w:tr>
        <w:trPr>
          <w:trHeight w:val="263"/>
        </w:trPr>
        <w:tc>
          <w:tcPr>
            <w:tcW w:w="1120" w:type="dxa"/>
            <w:vAlign w:val="bottom"/>
          </w:tcPr>
          <w:p>
            <w:pPr>
              <w:spacing w:after="0"/>
              <w:rPr>
                <w:sz w:val="20"/>
                <w:szCs w:val="20"/>
                <w:color w:val="auto"/>
              </w:rPr>
            </w:pPr>
            <w:r>
              <w:rPr>
                <w:rFonts w:ascii="Times New Roman" w:cs="Times New Roman" w:eastAsia="Times New Roman" w:hAnsi="Times New Roman"/>
                <w:sz w:val="14"/>
                <w:szCs w:val="14"/>
                <w:color w:val="auto"/>
              </w:rPr>
              <w:t>(17)(b)</w:t>
            </w:r>
          </w:p>
        </w:tc>
        <w:tc>
          <w:tcPr>
            <w:tcW w:w="5020" w:type="dxa"/>
            <w:vAlign w:val="bottom"/>
          </w:tcPr>
          <w:p>
            <w:pPr>
              <w:spacing w:after="0"/>
              <w:rPr>
                <w:sz w:val="20"/>
                <w:szCs w:val="20"/>
                <w:color w:val="auto"/>
              </w:rPr>
            </w:pPr>
            <w:r>
              <w:rPr>
                <w:rFonts w:ascii="Times New Roman" w:cs="Times New Roman" w:eastAsia="Times New Roman" w:hAnsi="Times New Roman"/>
                <w:sz w:val="14"/>
                <w:szCs w:val="14"/>
                <w:color w:val="auto"/>
              </w:rPr>
              <w:t>Form of Letter of Transmittal**</w:t>
            </w:r>
          </w:p>
        </w:tc>
      </w:tr>
    </w:tbl>
    <w:p>
      <w:pPr>
        <w:spacing w:after="0" w:line="69" w:lineRule="exact"/>
        <w:rPr>
          <w:sz w:val="20"/>
          <w:szCs w:val="20"/>
          <w:color w:val="auto"/>
        </w:rPr>
      </w:pPr>
    </w:p>
    <w:p>
      <w:pPr>
        <w:ind w:left="2500" w:hanging="1125"/>
        <w:spacing w:after="0"/>
        <w:tabs>
          <w:tab w:leader="none" w:pos="2500"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0000EE"/>
        </w:rPr>
        <w:t>Filing Fees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873125</wp:posOffset>
            </wp:positionH>
            <wp:positionV relativeFrom="paragraph">
              <wp:posOffset>80010</wp:posOffset>
            </wp:positionV>
            <wp:extent cx="598170" cy="635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48">
                      <a:extLst>
                        <a:ext uri="{28A0092B-C50C-407E-A947-70E740481C1C}"/>
                      </a:extLst>
                    </a:blip>
                    <a:srcRect/>
                    <a:stretch>
                      <a:fillRect/>
                    </a:stretch>
                  </pic:blipFill>
                  <pic:spPr bwMode="auto">
                    <a:xfrm>
                      <a:off x="0" y="0"/>
                      <a:ext cx="598170" cy="6350"/>
                    </a:xfrm>
                    <a:prstGeom prst="rect">
                      <a:avLst/>
                    </a:prstGeom>
                    <a:noFill/>
                  </pic:spPr>
                </pic:pic>
              </a:graphicData>
            </a:graphic>
          </wp:anchor>
        </w:drawing>
      </w:r>
    </w:p>
    <w:p>
      <w:pPr>
        <w:spacing w:after="0" w:line="133" w:lineRule="exact"/>
        <w:rPr>
          <w:sz w:val="20"/>
          <w:szCs w:val="20"/>
          <w:color w:val="auto"/>
        </w:rPr>
      </w:pPr>
    </w:p>
    <w:p>
      <w:pPr>
        <w:ind w:left="1700" w:hanging="325"/>
        <w:spacing w:after="0"/>
        <w:tabs>
          <w:tab w:leader="none" w:pos="170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Filed herewith</w:t>
      </w:r>
    </w:p>
    <w:p>
      <w:pPr>
        <w:spacing w:after="0" w:line="21" w:lineRule="exact"/>
        <w:rPr>
          <w:sz w:val="20"/>
          <w:szCs w:val="20"/>
          <w:color w:val="auto"/>
        </w:rPr>
      </w:pPr>
    </w:p>
    <w:p>
      <w:pPr>
        <w:ind w:left="1700" w:hanging="325"/>
        <w:spacing w:after="0"/>
        <w:tabs>
          <w:tab w:leader="none" w:pos="1700"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be filed by amendment</w:t>
      </w:r>
    </w:p>
    <w:p>
      <w:pPr>
        <w:spacing w:after="0" w:line="10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II-4</w:t>
      </w:r>
    </w:p>
    <w:p>
      <w:pPr>
        <w:sectPr>
          <w:pgSz w:w="11900" w:h="16838" w:orient="portrait"/>
          <w:cols w:equalWidth="0" w:num="1">
            <w:col w:w="10159"/>
          </w:cols>
          <w:pgMar w:left="300" w:top="384" w:right="1440"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49">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7"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b w:val="1"/>
          <w:bCs w:val="1"/>
          <w:color w:val="auto"/>
        </w:rPr>
        <w:t>Item 17. Undertakings.</w:t>
      </w:r>
    </w:p>
    <w:p>
      <w:pPr>
        <w:spacing w:after="0" w:line="103" w:lineRule="exact"/>
        <w:rPr>
          <w:sz w:val="20"/>
          <w:szCs w:val="20"/>
          <w:color w:val="auto"/>
        </w:rPr>
      </w:pPr>
    </w:p>
    <w:p>
      <w:pPr>
        <w:ind w:left="2120" w:right="339" w:hanging="411"/>
        <w:spacing w:after="0" w:line="257" w:lineRule="auto"/>
        <w:tabs>
          <w:tab w:leader="none" w:pos="2120"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undersigned registrant agrees that prior to any public reoffering of the securities registered through the use of a prospectus which is a part of this registration statement by any person or party who is deemed to be an underwriter within the meaning of Rule 145(c) of the Securities Act [17 CFR 230.145c], the reoffering prospectus will contain the information called for by the applicable registration form for the reofferings by persons who may be deemed underwriters, in addition to the information called for by the other items of the applicable form.</w:t>
      </w:r>
    </w:p>
    <w:p>
      <w:pPr>
        <w:spacing w:after="0" w:line="69" w:lineRule="exact"/>
        <w:rPr>
          <w:rFonts w:ascii="Times New Roman" w:cs="Times New Roman" w:eastAsia="Times New Roman" w:hAnsi="Times New Roman"/>
          <w:sz w:val="14"/>
          <w:szCs w:val="14"/>
          <w:color w:val="auto"/>
        </w:rPr>
      </w:pPr>
    </w:p>
    <w:p>
      <w:pPr>
        <w:jc w:val="both"/>
        <w:ind w:left="2120" w:right="379" w:hanging="411"/>
        <w:spacing w:after="0" w:line="260" w:lineRule="auto"/>
        <w:tabs>
          <w:tab w:leader="none" w:pos="2120"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undersigned registrant agrees that every prospectus that is filed under paragraph (1) above will be filed as a part of an amendment to the registration statement and will not be used until the amendment is effective, and that, in determining any liability under the Securities Act, each post-effective amendment shall be deemed to be a new registration statement for the securities offered therein, and the offering of the securities at that time shall be deemed to be the initial bona fide offering of them.</w:t>
      </w:r>
    </w:p>
    <w:p>
      <w:pPr>
        <w:spacing w:after="0" w:line="8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II-5</w:t>
      </w:r>
    </w:p>
    <w:p>
      <w:pPr>
        <w:sectPr>
          <w:pgSz w:w="11900" w:h="16838" w:orient="portrait"/>
          <w:cols w:equalWidth="0" w:num="1">
            <w:col w:w="10159"/>
          </w:cols>
          <w:pgMar w:left="300" w:top="384" w:right="1440"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50">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76" w:lineRule="exact"/>
        <w:rPr>
          <w:sz w:val="20"/>
          <w:szCs w:val="20"/>
          <w:color w:val="auto"/>
        </w:rPr>
      </w:pPr>
    </w:p>
    <w:p>
      <w:pPr>
        <w:ind w:left="1380" w:right="339" w:firstLine="341"/>
        <w:spacing w:after="0" w:line="281" w:lineRule="auto"/>
        <w:rPr>
          <w:sz w:val="20"/>
          <w:szCs w:val="20"/>
          <w:color w:val="auto"/>
        </w:rPr>
      </w:pPr>
      <w:r>
        <w:rPr>
          <w:rFonts w:ascii="Times New Roman" w:cs="Times New Roman" w:eastAsia="Times New Roman" w:hAnsi="Times New Roman"/>
          <w:sz w:val="14"/>
          <w:szCs w:val="14"/>
          <w:color w:val="auto"/>
        </w:rPr>
        <w:t>Pursuant to the requirements of the Securities Act of 1933, the Registrant has duly caused this Registration Statement on Form N-14 to be signed on its behalf by the undersigned, thereunto duly authorized, in Evanston, Illinois, on the 30th day of June, 2026.</w:t>
      </w:r>
    </w:p>
    <w:p>
      <w:pPr>
        <w:spacing w:after="0" w:line="144"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4"/>
          <w:szCs w:val="14"/>
          <w:b w:val="1"/>
          <w:bCs w:val="1"/>
          <w:color w:val="auto"/>
        </w:rPr>
        <w:t>FIDUS INVESTMENT CORPORATION</w:t>
      </w:r>
    </w:p>
    <w:p>
      <w:pPr>
        <w:spacing w:after="0" w:line="176"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4"/>
          <w:szCs w:val="14"/>
          <w:color w:val="auto"/>
        </w:rPr>
        <w:t>By: /s/ Edward H. Ross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4308475</wp:posOffset>
            </wp:positionH>
            <wp:positionV relativeFrom="paragraph">
              <wp:posOffset>13335</wp:posOffset>
            </wp:positionV>
            <wp:extent cx="1986915" cy="635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51">
                      <a:extLst>
                        <a:ext uri="{28A0092B-C50C-407E-A947-70E740481C1C}"/>
                      </a:extLst>
                    </a:blip>
                    <a:srcRect/>
                    <a:stretch>
                      <a:fillRect/>
                    </a:stretch>
                  </pic:blipFill>
                  <pic:spPr bwMode="auto">
                    <a:xfrm>
                      <a:off x="0" y="0"/>
                      <a:ext cx="1986915" cy="6350"/>
                    </a:xfrm>
                    <a:prstGeom prst="rect">
                      <a:avLst/>
                    </a:prstGeom>
                    <a:noFill/>
                  </pic:spPr>
                </pic:pic>
              </a:graphicData>
            </a:graphic>
          </wp:anchor>
        </w:drawing>
      </w:r>
    </w:p>
    <w:p>
      <w:pPr>
        <w:spacing w:after="0" w:line="7"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4"/>
          <w:szCs w:val="14"/>
          <w:color w:val="auto"/>
        </w:rPr>
        <w:t>Name: Edward H. Ross</w:t>
      </w:r>
    </w:p>
    <w:p>
      <w:pPr>
        <w:spacing w:after="0" w:line="21"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4"/>
          <w:szCs w:val="14"/>
          <w:color w:val="auto"/>
        </w:rPr>
        <w:t>Title: Chairman and Chief Executive Officer</w:t>
      </w:r>
    </w:p>
    <w:p>
      <w:pPr>
        <w:spacing w:after="0" w:line="159" w:lineRule="exact"/>
        <w:rPr>
          <w:sz w:val="20"/>
          <w:szCs w:val="20"/>
          <w:color w:val="auto"/>
        </w:rPr>
      </w:pPr>
    </w:p>
    <w:p>
      <w:pPr>
        <w:ind w:left="1380" w:right="539" w:firstLine="341"/>
        <w:spacing w:after="0" w:line="281" w:lineRule="auto"/>
        <w:rPr>
          <w:sz w:val="20"/>
          <w:szCs w:val="20"/>
          <w:color w:val="auto"/>
        </w:rPr>
      </w:pPr>
      <w:r>
        <w:rPr>
          <w:rFonts w:ascii="Times New Roman" w:cs="Times New Roman" w:eastAsia="Times New Roman" w:hAnsi="Times New Roman"/>
          <w:sz w:val="14"/>
          <w:szCs w:val="14"/>
          <w:color w:val="auto"/>
        </w:rPr>
        <w:t>Pursuant to the requirements of the Securities Act of 1933, this Registration Statement on Form N-14 has been signed below by the following persons in the capacities indicated on June 30, 2026.</w:t>
      </w:r>
    </w:p>
    <w:p>
      <w:pPr>
        <w:spacing w:after="0" w:line="142" w:lineRule="exact"/>
        <w:rPr>
          <w:sz w:val="20"/>
          <w:szCs w:val="20"/>
          <w:color w:val="auto"/>
        </w:rPr>
      </w:pPr>
    </w:p>
    <w:tbl>
      <w:tblPr>
        <w:tblLayout w:type="fixed"/>
        <w:tblInd w:w="1380" w:type="dxa"/>
        <w:tblCellMar>
          <w:top w:w="0" w:type="dxa"/>
          <w:left w:w="0" w:type="dxa"/>
          <w:bottom w:w="0" w:type="dxa"/>
          <w:right w:w="0" w:type="dxa"/>
        </w:tblCellMar>
      </w:tblPr>
      <w:tr>
        <w:trPr>
          <w:trHeight w:val="145"/>
        </w:trPr>
        <w:tc>
          <w:tcPr>
            <w:tcW w:w="3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b w:val="1"/>
                <w:bCs w:val="1"/>
                <w:color w:val="auto"/>
              </w:rPr>
              <w:t>Name</w:t>
            </w:r>
          </w:p>
        </w:tc>
        <w:tc>
          <w:tcPr>
            <w:tcW w:w="180" w:type="dxa"/>
            <w:vAlign w:val="bottom"/>
          </w:tcPr>
          <w:p>
            <w:pPr>
              <w:spacing w:after="0"/>
              <w:rPr>
                <w:sz w:val="12"/>
                <w:szCs w:val="12"/>
                <w:color w:val="auto"/>
              </w:rPr>
            </w:pPr>
          </w:p>
        </w:tc>
        <w:tc>
          <w:tcPr>
            <w:tcW w:w="4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b w:val="1"/>
                <w:bCs w:val="1"/>
                <w:color w:val="auto"/>
              </w:rPr>
              <w:t>Title</w:t>
            </w:r>
          </w:p>
        </w:tc>
      </w:tr>
      <w:tr>
        <w:trPr>
          <w:trHeight w:val="315"/>
        </w:trPr>
        <w:tc>
          <w:tcPr>
            <w:tcW w:w="3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 Edward H. Ross</w:t>
            </w:r>
          </w:p>
        </w:tc>
        <w:tc>
          <w:tcPr>
            <w:tcW w:w="180" w:type="dxa"/>
            <w:vAlign w:val="bottom"/>
          </w:tcPr>
          <w:p>
            <w:pPr>
              <w:spacing w:after="0"/>
              <w:rPr>
                <w:sz w:val="24"/>
                <w:szCs w:val="24"/>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4"/>
                <w:szCs w:val="14"/>
                <w:color w:val="auto"/>
              </w:rPr>
              <w:t>Chairman and Chief Executive Officer</w:t>
            </w:r>
          </w:p>
        </w:tc>
      </w:tr>
      <w:tr>
        <w:trPr>
          <w:trHeight w:val="173"/>
        </w:trPr>
        <w:tc>
          <w:tcPr>
            <w:tcW w:w="3900" w:type="dxa"/>
            <w:vAlign w:val="bottom"/>
          </w:tcPr>
          <w:p>
            <w:pPr>
              <w:spacing w:after="0"/>
              <w:rPr>
                <w:sz w:val="20"/>
                <w:szCs w:val="20"/>
                <w:color w:val="auto"/>
              </w:rPr>
            </w:pPr>
            <w:r>
              <w:rPr>
                <w:rFonts w:ascii="Times New Roman" w:cs="Times New Roman" w:eastAsia="Times New Roman" w:hAnsi="Times New Roman"/>
                <w:sz w:val="14"/>
                <w:szCs w:val="14"/>
                <w:color w:val="auto"/>
              </w:rPr>
              <w:t>Edward H. Ross</w:t>
            </w:r>
          </w:p>
        </w:tc>
        <w:tc>
          <w:tcPr>
            <w:tcW w:w="180" w:type="dxa"/>
            <w:vAlign w:val="bottom"/>
          </w:tcPr>
          <w:p>
            <w:pPr>
              <w:spacing w:after="0"/>
              <w:rPr>
                <w:sz w:val="15"/>
                <w:szCs w:val="15"/>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4"/>
                <w:szCs w:val="14"/>
                <w:color w:val="auto"/>
              </w:rPr>
              <w:t>(Principal Executive Officer)</w:t>
            </w:r>
          </w:p>
        </w:tc>
      </w:tr>
      <w:tr>
        <w:trPr>
          <w:trHeight w:val="330"/>
        </w:trPr>
        <w:tc>
          <w:tcPr>
            <w:tcW w:w="3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 Thomas C. Lauer*</w:t>
            </w:r>
          </w:p>
        </w:tc>
        <w:tc>
          <w:tcPr>
            <w:tcW w:w="180" w:type="dxa"/>
            <w:vAlign w:val="bottom"/>
          </w:tcPr>
          <w:p>
            <w:pPr>
              <w:spacing w:after="0"/>
              <w:rPr>
                <w:sz w:val="24"/>
                <w:szCs w:val="24"/>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4"/>
                <w:szCs w:val="14"/>
                <w:color w:val="auto"/>
              </w:rPr>
              <w:t>President and Director</w:t>
            </w:r>
          </w:p>
        </w:tc>
      </w:tr>
      <w:tr>
        <w:trPr>
          <w:trHeight w:val="173"/>
        </w:trPr>
        <w:tc>
          <w:tcPr>
            <w:tcW w:w="3900" w:type="dxa"/>
            <w:vAlign w:val="bottom"/>
          </w:tcPr>
          <w:p>
            <w:pPr>
              <w:spacing w:after="0"/>
              <w:rPr>
                <w:sz w:val="20"/>
                <w:szCs w:val="20"/>
                <w:color w:val="auto"/>
              </w:rPr>
            </w:pPr>
            <w:r>
              <w:rPr>
                <w:rFonts w:ascii="Times New Roman" w:cs="Times New Roman" w:eastAsia="Times New Roman" w:hAnsi="Times New Roman"/>
                <w:sz w:val="14"/>
                <w:szCs w:val="14"/>
                <w:color w:val="auto"/>
              </w:rPr>
              <w:t>Thomas C. Lauer</w:t>
            </w:r>
          </w:p>
        </w:tc>
        <w:tc>
          <w:tcPr>
            <w:tcW w:w="180" w:type="dxa"/>
            <w:vAlign w:val="bottom"/>
          </w:tcPr>
          <w:p>
            <w:pPr>
              <w:spacing w:after="0"/>
              <w:rPr>
                <w:sz w:val="15"/>
                <w:szCs w:val="15"/>
                <w:color w:val="auto"/>
              </w:rPr>
            </w:pPr>
          </w:p>
        </w:tc>
        <w:tc>
          <w:tcPr>
            <w:tcW w:w="4460" w:type="dxa"/>
            <w:vAlign w:val="bottom"/>
          </w:tcPr>
          <w:p>
            <w:pPr>
              <w:spacing w:after="0"/>
              <w:rPr>
                <w:sz w:val="15"/>
                <w:szCs w:val="15"/>
                <w:color w:val="auto"/>
              </w:rPr>
            </w:pPr>
          </w:p>
        </w:tc>
      </w:tr>
      <w:tr>
        <w:trPr>
          <w:trHeight w:val="330"/>
        </w:trPr>
        <w:tc>
          <w:tcPr>
            <w:tcW w:w="3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 Shelbey E. Sherard*</w:t>
            </w:r>
          </w:p>
        </w:tc>
        <w:tc>
          <w:tcPr>
            <w:tcW w:w="180" w:type="dxa"/>
            <w:vAlign w:val="bottom"/>
          </w:tcPr>
          <w:p>
            <w:pPr>
              <w:spacing w:after="0"/>
              <w:rPr>
                <w:sz w:val="24"/>
                <w:szCs w:val="24"/>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4"/>
                <w:szCs w:val="14"/>
                <w:color w:val="auto"/>
              </w:rPr>
              <w:t>Chief Financial Officer</w:t>
            </w:r>
          </w:p>
        </w:tc>
      </w:tr>
      <w:tr>
        <w:trPr>
          <w:trHeight w:val="173"/>
        </w:trPr>
        <w:tc>
          <w:tcPr>
            <w:tcW w:w="3900" w:type="dxa"/>
            <w:vAlign w:val="bottom"/>
          </w:tcPr>
          <w:p>
            <w:pPr>
              <w:spacing w:after="0"/>
              <w:rPr>
                <w:sz w:val="20"/>
                <w:szCs w:val="20"/>
                <w:color w:val="auto"/>
              </w:rPr>
            </w:pPr>
            <w:r>
              <w:rPr>
                <w:rFonts w:ascii="Times New Roman" w:cs="Times New Roman" w:eastAsia="Times New Roman" w:hAnsi="Times New Roman"/>
                <w:sz w:val="14"/>
                <w:szCs w:val="14"/>
                <w:color w:val="auto"/>
              </w:rPr>
              <w:t>Shelbey E. Sherard</w:t>
            </w:r>
          </w:p>
        </w:tc>
        <w:tc>
          <w:tcPr>
            <w:tcW w:w="180" w:type="dxa"/>
            <w:vAlign w:val="bottom"/>
          </w:tcPr>
          <w:p>
            <w:pPr>
              <w:spacing w:after="0"/>
              <w:rPr>
                <w:sz w:val="15"/>
                <w:szCs w:val="15"/>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4"/>
                <w:szCs w:val="14"/>
                <w:color w:val="auto"/>
              </w:rPr>
              <w:t>(Principal Financial and Accounting Officer)</w:t>
            </w:r>
          </w:p>
        </w:tc>
      </w:tr>
      <w:tr>
        <w:trPr>
          <w:trHeight w:val="330"/>
        </w:trPr>
        <w:tc>
          <w:tcPr>
            <w:tcW w:w="3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 Raymond L. Anstiss*</w:t>
            </w:r>
          </w:p>
        </w:tc>
        <w:tc>
          <w:tcPr>
            <w:tcW w:w="180" w:type="dxa"/>
            <w:vAlign w:val="bottom"/>
          </w:tcPr>
          <w:p>
            <w:pPr>
              <w:spacing w:after="0"/>
              <w:rPr>
                <w:sz w:val="24"/>
                <w:szCs w:val="24"/>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4"/>
                <w:szCs w:val="14"/>
                <w:color w:val="auto"/>
              </w:rPr>
              <w:t>Director</w:t>
            </w:r>
          </w:p>
        </w:tc>
      </w:tr>
      <w:tr>
        <w:trPr>
          <w:trHeight w:val="173"/>
        </w:trPr>
        <w:tc>
          <w:tcPr>
            <w:tcW w:w="3900" w:type="dxa"/>
            <w:vAlign w:val="bottom"/>
          </w:tcPr>
          <w:p>
            <w:pPr>
              <w:spacing w:after="0"/>
              <w:rPr>
                <w:sz w:val="20"/>
                <w:szCs w:val="20"/>
                <w:color w:val="auto"/>
              </w:rPr>
            </w:pPr>
            <w:r>
              <w:rPr>
                <w:rFonts w:ascii="Times New Roman" w:cs="Times New Roman" w:eastAsia="Times New Roman" w:hAnsi="Times New Roman"/>
                <w:sz w:val="14"/>
                <w:szCs w:val="14"/>
                <w:color w:val="auto"/>
              </w:rPr>
              <w:t>Raymond L. Anstiss</w:t>
            </w:r>
          </w:p>
        </w:tc>
        <w:tc>
          <w:tcPr>
            <w:tcW w:w="180" w:type="dxa"/>
            <w:vAlign w:val="bottom"/>
          </w:tcPr>
          <w:p>
            <w:pPr>
              <w:spacing w:after="0"/>
              <w:rPr>
                <w:sz w:val="15"/>
                <w:szCs w:val="15"/>
                <w:color w:val="auto"/>
              </w:rPr>
            </w:pPr>
          </w:p>
        </w:tc>
        <w:tc>
          <w:tcPr>
            <w:tcW w:w="4460" w:type="dxa"/>
            <w:vAlign w:val="bottom"/>
          </w:tcPr>
          <w:p>
            <w:pPr>
              <w:spacing w:after="0"/>
              <w:rPr>
                <w:sz w:val="15"/>
                <w:szCs w:val="15"/>
                <w:color w:val="auto"/>
              </w:rPr>
            </w:pPr>
          </w:p>
        </w:tc>
      </w:tr>
      <w:tr>
        <w:trPr>
          <w:trHeight w:val="330"/>
        </w:trPr>
        <w:tc>
          <w:tcPr>
            <w:tcW w:w="3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 Kelly McNamara Corley*</w:t>
            </w:r>
          </w:p>
        </w:tc>
        <w:tc>
          <w:tcPr>
            <w:tcW w:w="180" w:type="dxa"/>
            <w:vAlign w:val="bottom"/>
          </w:tcPr>
          <w:p>
            <w:pPr>
              <w:spacing w:after="0"/>
              <w:rPr>
                <w:sz w:val="24"/>
                <w:szCs w:val="24"/>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4"/>
                <w:szCs w:val="14"/>
                <w:color w:val="auto"/>
              </w:rPr>
              <w:t>Director</w:t>
            </w:r>
          </w:p>
        </w:tc>
      </w:tr>
      <w:tr>
        <w:trPr>
          <w:trHeight w:val="173"/>
        </w:trPr>
        <w:tc>
          <w:tcPr>
            <w:tcW w:w="3900" w:type="dxa"/>
            <w:vAlign w:val="bottom"/>
          </w:tcPr>
          <w:p>
            <w:pPr>
              <w:spacing w:after="0"/>
              <w:rPr>
                <w:sz w:val="20"/>
                <w:szCs w:val="20"/>
                <w:color w:val="auto"/>
              </w:rPr>
            </w:pPr>
            <w:r>
              <w:rPr>
                <w:rFonts w:ascii="Times New Roman" w:cs="Times New Roman" w:eastAsia="Times New Roman" w:hAnsi="Times New Roman"/>
                <w:sz w:val="14"/>
                <w:szCs w:val="14"/>
                <w:color w:val="auto"/>
              </w:rPr>
              <w:t>Kelly McNamara Corley</w:t>
            </w:r>
          </w:p>
        </w:tc>
        <w:tc>
          <w:tcPr>
            <w:tcW w:w="180" w:type="dxa"/>
            <w:vAlign w:val="bottom"/>
          </w:tcPr>
          <w:p>
            <w:pPr>
              <w:spacing w:after="0"/>
              <w:rPr>
                <w:sz w:val="15"/>
                <w:szCs w:val="15"/>
                <w:color w:val="auto"/>
              </w:rPr>
            </w:pPr>
          </w:p>
        </w:tc>
        <w:tc>
          <w:tcPr>
            <w:tcW w:w="4460" w:type="dxa"/>
            <w:vAlign w:val="bottom"/>
          </w:tcPr>
          <w:p>
            <w:pPr>
              <w:spacing w:after="0"/>
              <w:rPr>
                <w:sz w:val="15"/>
                <w:szCs w:val="15"/>
                <w:color w:val="auto"/>
              </w:rPr>
            </w:pPr>
          </w:p>
        </w:tc>
      </w:tr>
      <w:tr>
        <w:trPr>
          <w:trHeight w:val="330"/>
        </w:trPr>
        <w:tc>
          <w:tcPr>
            <w:tcW w:w="3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 Edward X. Tune*</w:t>
            </w:r>
          </w:p>
        </w:tc>
        <w:tc>
          <w:tcPr>
            <w:tcW w:w="180" w:type="dxa"/>
            <w:vAlign w:val="bottom"/>
          </w:tcPr>
          <w:p>
            <w:pPr>
              <w:spacing w:after="0"/>
              <w:rPr>
                <w:sz w:val="24"/>
                <w:szCs w:val="24"/>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4"/>
                <w:szCs w:val="14"/>
                <w:color w:val="auto"/>
              </w:rPr>
              <w:t>Director</w:t>
            </w:r>
          </w:p>
        </w:tc>
      </w:tr>
      <w:tr>
        <w:trPr>
          <w:trHeight w:val="173"/>
        </w:trPr>
        <w:tc>
          <w:tcPr>
            <w:tcW w:w="3900" w:type="dxa"/>
            <w:vAlign w:val="bottom"/>
          </w:tcPr>
          <w:p>
            <w:pPr>
              <w:spacing w:after="0"/>
              <w:rPr>
                <w:sz w:val="20"/>
                <w:szCs w:val="20"/>
                <w:color w:val="auto"/>
              </w:rPr>
            </w:pPr>
            <w:r>
              <w:rPr>
                <w:rFonts w:ascii="Times New Roman" w:cs="Times New Roman" w:eastAsia="Times New Roman" w:hAnsi="Times New Roman"/>
                <w:sz w:val="14"/>
                <w:szCs w:val="14"/>
                <w:color w:val="auto"/>
              </w:rPr>
              <w:t>Edward X. Tune</w:t>
            </w:r>
          </w:p>
        </w:tc>
        <w:tc>
          <w:tcPr>
            <w:tcW w:w="180" w:type="dxa"/>
            <w:vAlign w:val="bottom"/>
          </w:tcPr>
          <w:p>
            <w:pPr>
              <w:spacing w:after="0"/>
              <w:rPr>
                <w:sz w:val="15"/>
                <w:szCs w:val="15"/>
                <w:color w:val="auto"/>
              </w:rPr>
            </w:pPr>
          </w:p>
        </w:tc>
        <w:tc>
          <w:tcPr>
            <w:tcW w:w="4460" w:type="dxa"/>
            <w:vAlign w:val="bottom"/>
          </w:tcPr>
          <w:p>
            <w:pPr>
              <w:spacing w:after="0"/>
              <w:rPr>
                <w:sz w:val="15"/>
                <w:szCs w:val="15"/>
                <w:color w:val="auto"/>
              </w:rPr>
            </w:pPr>
          </w:p>
        </w:tc>
      </w:tr>
      <w:tr>
        <w:trPr>
          <w:trHeight w:val="278"/>
        </w:trPr>
        <w:tc>
          <w:tcPr>
            <w:tcW w:w="3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II-6</w:t>
            </w:r>
          </w:p>
        </w:tc>
      </w:tr>
    </w:tbl>
    <w:p>
      <w:pPr>
        <w:sectPr>
          <w:pgSz w:w="11900" w:h="16838" w:orient="portrait"/>
          <w:cols w:equalWidth="0" w:num="1">
            <w:col w:w="10159"/>
          </w:cols>
          <w:pgMar w:left="300" w:top="384" w:right="1440" w:bottom="1440" w:gutter="0" w:footer="0" w:header="0"/>
        </w:sectPr>
      </w:pPr>
    </w:p>
    <w:bookmarkStart w:id="98" w:name="page99"/>
    <w:bookmarkEnd w:id="98"/>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Exhibit 14</w:t>
      </w: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Consent of Independent Registered Public Accounting Firm</w:t>
      </w:r>
    </w:p>
    <w:p>
      <w:pPr>
        <w:spacing w:after="0" w:line="176" w:lineRule="exact"/>
        <w:rPr>
          <w:sz w:val="20"/>
          <w:szCs w:val="20"/>
          <w:color w:val="auto"/>
        </w:rPr>
      </w:pPr>
    </w:p>
    <w:p>
      <w:pPr>
        <w:ind w:left="240" w:right="459"/>
        <w:spacing w:after="0" w:line="260" w:lineRule="auto"/>
        <w:rPr>
          <w:sz w:val="20"/>
          <w:szCs w:val="20"/>
          <w:color w:val="auto"/>
        </w:rPr>
      </w:pPr>
      <w:r>
        <w:rPr>
          <w:rFonts w:ascii="Times New Roman" w:cs="Times New Roman" w:eastAsia="Times New Roman" w:hAnsi="Times New Roman"/>
          <w:sz w:val="14"/>
          <w:szCs w:val="14"/>
          <w:color w:val="auto"/>
        </w:rPr>
        <w:t>We consent to the incorporation by reference in this Registration Statement on Form N-14 and related Prospectus of Fidus Investment Corporation of our reports dated February 26, 2026, relating to the consolidated financial statements, including the senior securities table, and the effectiveness of internal control over financial reporting of Fidus Investment Corporation and Subsidiaries, appearing in the Annual Report on Form 10-K of Fidus Investment Corporation for the year ended December 31, 2025.</w:t>
      </w:r>
    </w:p>
    <w:p>
      <w:pPr>
        <w:spacing w:after="0" w:line="140" w:lineRule="exact"/>
        <w:rPr>
          <w:sz w:val="20"/>
          <w:szCs w:val="20"/>
          <w:color w:val="auto"/>
        </w:rPr>
      </w:pPr>
    </w:p>
    <w:p>
      <w:pPr>
        <w:ind w:left="240" w:right="359"/>
        <w:spacing w:after="0" w:line="281" w:lineRule="auto"/>
        <w:rPr>
          <w:sz w:val="20"/>
          <w:szCs w:val="20"/>
          <w:color w:val="auto"/>
        </w:rPr>
      </w:pPr>
      <w:r>
        <w:rPr>
          <w:rFonts w:ascii="Times New Roman" w:cs="Times New Roman" w:eastAsia="Times New Roman" w:hAnsi="Times New Roman"/>
          <w:sz w:val="14"/>
          <w:szCs w:val="14"/>
          <w:color w:val="auto"/>
        </w:rPr>
        <w:t>We also consent to the reference to our firm under the headings “Independent Registered Public Accounting Firm,” “Financial Highlights” and “Senior Securities” in such Prospectus.</w:t>
      </w:r>
    </w:p>
    <w:p>
      <w:pPr>
        <w:spacing w:after="0" w:line="12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/s/ RSM US LLP</w:t>
      </w:r>
    </w:p>
    <w:p>
      <w:pPr>
        <w:spacing w:after="0" w:line="17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Chicago, Illinois</w:t>
      </w:r>
    </w:p>
    <w:p>
      <w:pPr>
        <w:spacing w:after="0" w:line="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June 30, 2026</w:t>
      </w:r>
    </w:p>
    <w:p>
      <w:pPr>
        <w:sectPr>
          <w:pgSz w:w="11900" w:h="16838" w:orient="portrait"/>
          <w:cols w:equalWidth="0" w:num="1">
            <w:col w:w="9019"/>
          </w:cols>
          <w:pgMar w:left="1440" w:top="123" w:right="1440" w:bottom="1440" w:gutter="0" w:footer="0" w:header="0"/>
        </w:sectPr>
      </w:pPr>
    </w:p>
    <w:bookmarkStart w:id="99" w:name="page100"/>
    <w:bookmarkEnd w:id="99"/>
    <w:p>
      <w:pPr>
        <w:ind w:left="8000"/>
        <w:spacing w:after="0"/>
        <w:rPr>
          <w:sz w:val="20"/>
          <w:szCs w:val="20"/>
          <w:color w:val="auto"/>
        </w:rPr>
      </w:pPr>
      <w:r>
        <w:rPr>
          <w:rFonts w:ascii="Times New Roman" w:cs="Times New Roman" w:eastAsia="Times New Roman" w:hAnsi="Times New Roman"/>
          <w:sz w:val="13"/>
          <w:szCs w:val="13"/>
          <w:b w:val="1"/>
          <w:bCs w:val="1"/>
          <w:color w:val="auto"/>
        </w:rPr>
        <w:t>Exhibit 17(a)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149225</wp:posOffset>
            </wp:positionH>
            <wp:positionV relativeFrom="paragraph">
              <wp:posOffset>147955</wp:posOffset>
            </wp:positionV>
            <wp:extent cx="5422265" cy="635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52">
                      <a:extLst>
                        <a:ext uri="{28A0092B-C50C-407E-A947-70E740481C1C}"/>
                      </a:extLst>
                    </a:blip>
                    <a:srcRect/>
                    <a:stretch>
                      <a:fillRect/>
                    </a:stretch>
                  </pic:blipFill>
                  <pic:spPr bwMode="auto">
                    <a:xfrm>
                      <a:off x="0" y="0"/>
                      <a:ext cx="5422265" cy="6350"/>
                    </a:xfrm>
                    <a:prstGeom prst="rect">
                      <a:avLst/>
                    </a:prstGeom>
                    <a:noFill/>
                  </pic:spPr>
                </pic:pic>
              </a:graphicData>
            </a:graphic>
          </wp:anchor>
        </w:drawing>
        <w:drawing>
          <wp:anchor simplePos="0" relativeHeight="251657728" behindDoc="1" locked="0" layoutInCell="0" allowOverlap="1">
            <wp:simplePos x="0" y="0"/>
            <wp:positionH relativeFrom="column">
              <wp:posOffset>149225</wp:posOffset>
            </wp:positionH>
            <wp:positionV relativeFrom="paragraph">
              <wp:posOffset>181610</wp:posOffset>
            </wp:positionV>
            <wp:extent cx="5422265" cy="635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53">
                      <a:extLst>
                        <a:ext uri="{28A0092B-C50C-407E-A947-70E740481C1C}"/>
                      </a:extLst>
                    </a:blip>
                    <a:srcRect/>
                    <a:stretch>
                      <a:fillRect/>
                    </a:stretch>
                  </pic:blipFill>
                  <pic:spPr bwMode="auto">
                    <a:xfrm>
                      <a:off x="0" y="0"/>
                      <a:ext cx="5422265" cy="6350"/>
                    </a:xfrm>
                    <a:prstGeom prst="rect">
                      <a:avLst/>
                    </a:prstGeom>
                    <a:noFill/>
                  </pic:spPr>
                </pic:pic>
              </a:graphicData>
            </a:graphic>
          </wp:anchor>
        </w:drawing>
      </w: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SECURITIES AND EXCHANGE COMMISSION</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2288540</wp:posOffset>
            </wp:positionH>
            <wp:positionV relativeFrom="paragraph">
              <wp:posOffset>170180</wp:posOffset>
            </wp:positionV>
            <wp:extent cx="1143000" cy="635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54">
                      <a:extLst>
                        <a:ext uri="{28A0092B-C50C-407E-A947-70E740481C1C}"/>
                      </a:extLst>
                    </a:blip>
                    <a:srcRect/>
                    <a:stretch>
                      <a:fillRect/>
                    </a:stretch>
                  </pic:blipFill>
                  <pic:spPr bwMode="auto">
                    <a:xfrm>
                      <a:off x="0" y="0"/>
                      <a:ext cx="1143000" cy="6350"/>
                    </a:xfrm>
                    <a:prstGeom prst="rect">
                      <a:avLst/>
                    </a:prstGeom>
                    <a:noFill/>
                  </pic:spPr>
                </pic:pic>
              </a:graphicData>
            </a:graphic>
          </wp:anchor>
        </w:drawing>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2288540</wp:posOffset>
            </wp:positionH>
            <wp:positionV relativeFrom="paragraph">
              <wp:posOffset>192405</wp:posOffset>
            </wp:positionV>
            <wp:extent cx="1143000" cy="635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55">
                      <a:extLst>
                        <a:ext uri="{28A0092B-C50C-407E-A947-70E740481C1C}"/>
                      </a:extLst>
                    </a:blip>
                    <a:srcRect/>
                    <a:stretch>
                      <a:fillRect/>
                    </a:stretch>
                  </pic:blipFill>
                  <pic:spPr bwMode="auto">
                    <a:xfrm>
                      <a:off x="0" y="0"/>
                      <a:ext cx="1143000" cy="6350"/>
                    </a:xfrm>
                    <a:prstGeom prst="rect">
                      <a:avLst/>
                    </a:prstGeom>
                    <a:noFill/>
                  </pic:spPr>
                </pic:pic>
              </a:graphicData>
            </a:graphic>
          </wp:anchor>
        </w:drawing>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STATEMENT OF ELIGIBILITY UNDER</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THE TRUST INDENTURE ACT OF 1939 OF A</w:t>
      </w:r>
    </w:p>
    <w:p>
      <w:pPr>
        <w:jc w:val="center"/>
        <w:spacing w:after="0"/>
        <w:rPr>
          <w:sz w:val="20"/>
          <w:szCs w:val="20"/>
          <w:color w:val="auto"/>
        </w:rPr>
      </w:pPr>
      <w:r>
        <w:rPr>
          <w:rFonts w:ascii="Times New Roman" w:cs="Times New Roman" w:eastAsia="Times New Roman" w:hAnsi="Times New Roman"/>
          <w:sz w:val="17"/>
          <w:szCs w:val="17"/>
          <w:b w:val="1"/>
          <w:bCs w:val="1"/>
          <w:color w:val="auto"/>
        </w:rPr>
        <w:t>CORPORATION DESIGNATED TO ACT AS TRUSTEE</w:t>
      </w:r>
    </w:p>
    <w:p>
      <w:pPr>
        <w:spacing w:after="0" w:line="159" w:lineRule="exact"/>
        <w:rPr>
          <w:sz w:val="20"/>
          <w:szCs w:val="20"/>
          <w:color w:val="auto"/>
        </w:rPr>
      </w:pPr>
    </w:p>
    <w:p>
      <w:pPr>
        <w:ind w:left="560" w:hanging="325"/>
        <w:spacing w:after="0"/>
        <w:tabs>
          <w:tab w:leader="none" w:pos="560" w:val="left"/>
        </w:tabs>
        <w:numPr>
          <w:ilvl w:val="0"/>
          <w:numId w:val="62"/>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Check if an Application to Determine Eligibility of a Trustee Pursuant to Section 305(b)(2)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2288540</wp:posOffset>
            </wp:positionH>
            <wp:positionV relativeFrom="paragraph">
              <wp:posOffset>197485</wp:posOffset>
            </wp:positionV>
            <wp:extent cx="1143000" cy="635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56">
                      <a:extLst>
                        <a:ext uri="{28A0092B-C50C-407E-A947-70E740481C1C}"/>
                      </a:extLst>
                    </a:blip>
                    <a:srcRect/>
                    <a:stretch>
                      <a:fillRect/>
                    </a:stretch>
                  </pic:blipFill>
                  <pic:spPr bwMode="auto">
                    <a:xfrm>
                      <a:off x="0" y="0"/>
                      <a:ext cx="1143000" cy="6350"/>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U.S. BANK TRUST COMPANY, NATIONAL ASSOCIATION</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(Exact name of Trustee as specified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2288540</wp:posOffset>
            </wp:positionH>
            <wp:positionV relativeFrom="paragraph">
              <wp:posOffset>175895</wp:posOffset>
            </wp:positionV>
            <wp:extent cx="1143000" cy="635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57">
                      <a:extLst>
                        <a:ext uri="{28A0092B-C50C-407E-A947-70E740481C1C}"/>
                      </a:extLst>
                    </a:blip>
                    <a:srcRect/>
                    <a:stretch>
                      <a:fillRect/>
                    </a:stretch>
                  </pic:blipFill>
                  <pic:spPr bwMode="auto">
                    <a:xfrm>
                      <a:off x="0" y="0"/>
                      <a:ext cx="1143000" cy="6350"/>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tbl>
      <w:tblPr>
        <w:tblLayout w:type="fixed"/>
        <w:tblInd w:w="240" w:type="dxa"/>
        <w:tblCellMar>
          <w:top w:w="0" w:type="dxa"/>
          <w:left w:w="0" w:type="dxa"/>
          <w:bottom w:w="0" w:type="dxa"/>
          <w:right w:w="0" w:type="dxa"/>
        </w:tblCellMar>
      </w:tblPr>
      <w:tr>
        <w:trPr>
          <w:trHeight w:val="165"/>
        </w:trPr>
        <w:tc>
          <w:tcPr>
            <w:tcW w:w="5160" w:type="dxa"/>
            <w:vAlign w:val="bottom"/>
            <w:gridSpan w:val="2"/>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91-1821036</w:t>
            </w: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80" w:type="dxa"/>
            <w:vAlign w:val="bottom"/>
          </w:tcPr>
          <w:p>
            <w:pPr>
              <w:spacing w:after="0"/>
              <w:rPr>
                <w:sz w:val="14"/>
                <w:szCs w:val="14"/>
                <w:color w:val="auto"/>
              </w:rPr>
            </w:pPr>
          </w:p>
        </w:tc>
      </w:tr>
      <w:tr>
        <w:trPr>
          <w:trHeight w:val="147"/>
        </w:trPr>
        <w:tc>
          <w:tcPr>
            <w:tcW w:w="3360" w:type="dxa"/>
            <w:vAlign w:val="bottom"/>
          </w:tcPr>
          <w:p>
            <w:pPr>
              <w:spacing w:after="0"/>
              <w:rPr>
                <w:sz w:val="12"/>
                <w:szCs w:val="12"/>
                <w:color w:val="auto"/>
              </w:rPr>
            </w:pPr>
          </w:p>
        </w:tc>
        <w:tc>
          <w:tcPr>
            <w:tcW w:w="2500" w:type="dxa"/>
            <w:vAlign w:val="bottom"/>
            <w:gridSpan w:val="3"/>
          </w:tcPr>
          <w:p>
            <w:pPr>
              <w:jc w:val="center"/>
              <w:ind w:right="700"/>
              <w:spacing w:after="0"/>
              <w:rPr>
                <w:sz w:val="20"/>
                <w:szCs w:val="20"/>
                <w:color w:val="auto"/>
              </w:rPr>
            </w:pPr>
            <w:r>
              <w:rPr>
                <w:rFonts w:ascii="Times New Roman" w:cs="Times New Roman" w:eastAsia="Times New Roman" w:hAnsi="Times New Roman"/>
                <w:sz w:val="11"/>
                <w:szCs w:val="11"/>
                <w:b w:val="1"/>
                <w:bCs w:val="1"/>
                <w:color w:val="auto"/>
              </w:rPr>
              <w:t>I.R.S. Employer Identification No.</w:t>
            </w:r>
          </w:p>
        </w:tc>
        <w:tc>
          <w:tcPr>
            <w:tcW w:w="2680" w:type="dxa"/>
            <w:vAlign w:val="bottom"/>
          </w:tcPr>
          <w:p>
            <w:pPr>
              <w:spacing w:after="0"/>
              <w:rPr>
                <w:sz w:val="12"/>
                <w:szCs w:val="12"/>
                <w:color w:val="auto"/>
              </w:rPr>
            </w:pPr>
          </w:p>
        </w:tc>
      </w:tr>
      <w:tr>
        <w:trPr>
          <w:trHeight w:val="326"/>
        </w:trPr>
        <w:tc>
          <w:tcPr>
            <w:tcW w:w="5860" w:type="dxa"/>
            <w:vAlign w:val="bottom"/>
            <w:gridSpan w:val="4"/>
          </w:tcPr>
          <w:p>
            <w:pPr>
              <w:jc w:val="center"/>
              <w:ind w:right="1560"/>
              <w:spacing w:after="0"/>
              <w:rPr>
                <w:sz w:val="20"/>
                <w:szCs w:val="20"/>
                <w:color w:val="auto"/>
              </w:rPr>
            </w:pPr>
            <w:r>
              <w:rPr>
                <w:rFonts w:ascii="Times New Roman" w:cs="Times New Roman" w:eastAsia="Times New Roman" w:hAnsi="Times New Roman"/>
                <w:sz w:val="14"/>
                <w:szCs w:val="14"/>
                <w:b w:val="1"/>
                <w:bCs w:val="1"/>
                <w:color w:val="auto"/>
                <w:w w:val="97"/>
              </w:rPr>
              <w:t>200 South 6</w:t>
            </w:r>
            <w:r>
              <w:rPr>
                <w:rFonts w:ascii="Times New Roman" w:cs="Times New Roman" w:eastAsia="Times New Roman" w:hAnsi="Times New Roman"/>
                <w:sz w:val="20"/>
                <w:szCs w:val="20"/>
                <w:b w:val="1"/>
                <w:bCs w:val="1"/>
                <w:color w:val="auto"/>
                <w:w w:val="97"/>
                <w:vertAlign w:val="superscript"/>
              </w:rPr>
              <w:t>th</w:t>
            </w:r>
            <w:r>
              <w:rPr>
                <w:rFonts w:ascii="Times New Roman" w:cs="Times New Roman" w:eastAsia="Times New Roman" w:hAnsi="Times New Roman"/>
                <w:sz w:val="14"/>
                <w:szCs w:val="14"/>
                <w:b w:val="1"/>
                <w:bCs w:val="1"/>
                <w:color w:val="auto"/>
                <w:w w:val="97"/>
              </w:rPr>
              <w:t xml:space="preserve"> Street</w:t>
            </w:r>
          </w:p>
        </w:tc>
        <w:tc>
          <w:tcPr>
            <w:tcW w:w="2680" w:type="dxa"/>
            <w:vAlign w:val="bottom"/>
          </w:tcPr>
          <w:p>
            <w:pPr>
              <w:spacing w:after="0"/>
              <w:rPr>
                <w:sz w:val="24"/>
                <w:szCs w:val="24"/>
                <w:color w:val="auto"/>
              </w:rPr>
            </w:pPr>
          </w:p>
        </w:tc>
      </w:tr>
      <w:tr>
        <w:trPr>
          <w:trHeight w:val="175"/>
        </w:trPr>
        <w:tc>
          <w:tcPr>
            <w:tcW w:w="5860" w:type="dxa"/>
            <w:vAlign w:val="bottom"/>
            <w:gridSpan w:val="4"/>
          </w:tcPr>
          <w:p>
            <w:pPr>
              <w:jc w:val="center"/>
              <w:ind w:right="1560"/>
              <w:spacing w:after="0"/>
              <w:rPr>
                <w:sz w:val="20"/>
                <w:szCs w:val="20"/>
                <w:color w:val="auto"/>
              </w:rPr>
            </w:pPr>
            <w:r>
              <w:rPr>
                <w:rFonts w:ascii="Times New Roman" w:cs="Times New Roman" w:eastAsia="Times New Roman" w:hAnsi="Times New Roman"/>
                <w:sz w:val="14"/>
                <w:szCs w:val="14"/>
                <w:b w:val="1"/>
                <w:bCs w:val="1"/>
                <w:color w:val="auto"/>
                <w:w w:val="98"/>
              </w:rPr>
              <w:t>Minneapolis, Minnesota</w:t>
            </w:r>
          </w:p>
        </w:tc>
        <w:tc>
          <w:tcPr>
            <w:tcW w:w="2680" w:type="dxa"/>
            <w:vAlign w:val="bottom"/>
          </w:tcPr>
          <w:p>
            <w:pPr>
              <w:jc w:val="center"/>
              <w:ind w:right="1418"/>
              <w:spacing w:after="0"/>
              <w:rPr>
                <w:sz w:val="20"/>
                <w:szCs w:val="20"/>
                <w:color w:val="auto"/>
              </w:rPr>
            </w:pPr>
            <w:r>
              <w:rPr>
                <w:rFonts w:ascii="Times New Roman" w:cs="Times New Roman" w:eastAsia="Times New Roman" w:hAnsi="Times New Roman"/>
                <w:sz w:val="14"/>
                <w:szCs w:val="14"/>
                <w:b w:val="1"/>
                <w:bCs w:val="1"/>
                <w:color w:val="auto"/>
              </w:rPr>
              <w:t>55402</w:t>
            </w:r>
          </w:p>
        </w:tc>
      </w:tr>
      <w:tr>
        <w:trPr>
          <w:trHeight w:val="147"/>
        </w:trPr>
        <w:tc>
          <w:tcPr>
            <w:tcW w:w="5860" w:type="dxa"/>
            <w:vAlign w:val="bottom"/>
            <w:gridSpan w:val="4"/>
          </w:tcPr>
          <w:p>
            <w:pPr>
              <w:jc w:val="center"/>
              <w:ind w:right="1560"/>
              <w:spacing w:after="0"/>
              <w:rPr>
                <w:sz w:val="20"/>
                <w:szCs w:val="20"/>
                <w:color w:val="auto"/>
              </w:rPr>
            </w:pPr>
            <w:r>
              <w:rPr>
                <w:rFonts w:ascii="Times New Roman" w:cs="Times New Roman" w:eastAsia="Times New Roman" w:hAnsi="Times New Roman"/>
                <w:sz w:val="11"/>
                <w:szCs w:val="11"/>
                <w:b w:val="1"/>
                <w:bCs w:val="1"/>
                <w:color w:val="auto"/>
              </w:rPr>
              <w:t>(Address of principal executive offices)</w:t>
            </w:r>
          </w:p>
        </w:tc>
        <w:tc>
          <w:tcPr>
            <w:tcW w:w="2680" w:type="dxa"/>
            <w:vAlign w:val="bottom"/>
          </w:tcPr>
          <w:p>
            <w:pPr>
              <w:jc w:val="center"/>
              <w:ind w:right="1418"/>
              <w:spacing w:after="0"/>
              <w:rPr>
                <w:sz w:val="20"/>
                <w:szCs w:val="20"/>
                <w:color w:val="auto"/>
              </w:rPr>
            </w:pPr>
            <w:r>
              <w:rPr>
                <w:rFonts w:ascii="Times New Roman" w:cs="Times New Roman" w:eastAsia="Times New Roman" w:hAnsi="Times New Roman"/>
                <w:sz w:val="11"/>
                <w:szCs w:val="11"/>
                <w:b w:val="1"/>
                <w:bCs w:val="1"/>
                <w:color w:val="auto"/>
              </w:rPr>
              <w:t>(Zip Code)</w:t>
            </w:r>
          </w:p>
        </w:tc>
      </w:tr>
      <w:tr>
        <w:trPr>
          <w:trHeight w:val="305"/>
        </w:trPr>
        <w:tc>
          <w:tcPr>
            <w:tcW w:w="3360" w:type="dxa"/>
            <w:vAlign w:val="bottom"/>
          </w:tcPr>
          <w:p>
            <w:pPr>
              <w:spacing w:after="0"/>
              <w:rPr>
                <w:sz w:val="24"/>
                <w:szCs w:val="24"/>
                <w:color w:val="auto"/>
              </w:rPr>
            </w:pPr>
          </w:p>
        </w:tc>
        <w:tc>
          <w:tcPr>
            <w:tcW w:w="2500" w:type="dxa"/>
            <w:vAlign w:val="bottom"/>
            <w:gridSpan w:val="3"/>
          </w:tcPr>
          <w:p>
            <w:pPr>
              <w:jc w:val="center"/>
              <w:ind w:right="700"/>
              <w:spacing w:after="0"/>
              <w:rPr>
                <w:sz w:val="20"/>
                <w:szCs w:val="20"/>
                <w:color w:val="auto"/>
              </w:rPr>
            </w:pPr>
            <w:r>
              <w:rPr>
                <w:rFonts w:ascii="Times New Roman" w:cs="Times New Roman" w:eastAsia="Times New Roman" w:hAnsi="Times New Roman"/>
                <w:sz w:val="14"/>
                <w:szCs w:val="14"/>
                <w:b w:val="1"/>
                <w:bCs w:val="1"/>
                <w:color w:val="auto"/>
                <w:w w:val="99"/>
              </w:rPr>
              <w:t>Joshua A. Hahn</w:t>
            </w:r>
          </w:p>
        </w:tc>
        <w:tc>
          <w:tcPr>
            <w:tcW w:w="2680" w:type="dxa"/>
            <w:vAlign w:val="bottom"/>
          </w:tcPr>
          <w:p>
            <w:pPr>
              <w:spacing w:after="0"/>
              <w:rPr>
                <w:sz w:val="24"/>
                <w:szCs w:val="24"/>
                <w:color w:val="auto"/>
              </w:rPr>
            </w:pPr>
          </w:p>
        </w:tc>
      </w:tr>
      <w:tr>
        <w:trPr>
          <w:trHeight w:val="167"/>
        </w:trPr>
        <w:tc>
          <w:tcPr>
            <w:tcW w:w="5860" w:type="dxa"/>
            <w:vAlign w:val="bottom"/>
            <w:gridSpan w:val="4"/>
          </w:tcPr>
          <w:p>
            <w:pPr>
              <w:jc w:val="center"/>
              <w:ind w:left="2616"/>
              <w:spacing w:after="0"/>
              <w:rPr>
                <w:sz w:val="20"/>
                <w:szCs w:val="20"/>
                <w:color w:val="auto"/>
              </w:rPr>
            </w:pPr>
            <w:r>
              <w:rPr>
                <w:rFonts w:ascii="Times New Roman" w:cs="Times New Roman" w:eastAsia="Times New Roman" w:hAnsi="Times New Roman"/>
                <w:sz w:val="14"/>
                <w:szCs w:val="14"/>
                <w:b w:val="1"/>
                <w:bCs w:val="1"/>
                <w:color w:val="auto"/>
                <w:w w:val="98"/>
              </w:rPr>
              <w:t>U.S. Bank Trust Company, National Association</w:t>
            </w:r>
          </w:p>
        </w:tc>
        <w:tc>
          <w:tcPr>
            <w:tcW w:w="2680" w:type="dxa"/>
            <w:vAlign w:val="bottom"/>
          </w:tcPr>
          <w:p>
            <w:pPr>
              <w:spacing w:after="0"/>
              <w:rPr>
                <w:sz w:val="14"/>
                <w:szCs w:val="14"/>
                <w:color w:val="auto"/>
              </w:rPr>
            </w:pPr>
          </w:p>
        </w:tc>
      </w:tr>
      <w:tr>
        <w:trPr>
          <w:trHeight w:val="167"/>
        </w:trPr>
        <w:tc>
          <w:tcPr>
            <w:tcW w:w="3360" w:type="dxa"/>
            <w:vAlign w:val="bottom"/>
          </w:tcPr>
          <w:p>
            <w:pPr>
              <w:spacing w:after="0"/>
              <w:rPr>
                <w:sz w:val="14"/>
                <w:szCs w:val="14"/>
                <w:color w:val="auto"/>
              </w:rPr>
            </w:pPr>
          </w:p>
        </w:tc>
        <w:tc>
          <w:tcPr>
            <w:tcW w:w="2500" w:type="dxa"/>
            <w:vAlign w:val="bottom"/>
            <w:gridSpan w:val="3"/>
          </w:tcPr>
          <w:p>
            <w:pPr>
              <w:jc w:val="center"/>
              <w:ind w:right="700"/>
              <w:spacing w:after="0"/>
              <w:rPr>
                <w:sz w:val="20"/>
                <w:szCs w:val="20"/>
                <w:color w:val="auto"/>
              </w:rPr>
            </w:pPr>
            <w:r>
              <w:rPr>
                <w:rFonts w:ascii="Times New Roman" w:cs="Times New Roman" w:eastAsia="Times New Roman" w:hAnsi="Times New Roman"/>
                <w:sz w:val="14"/>
                <w:szCs w:val="14"/>
                <w:b w:val="1"/>
                <w:bCs w:val="1"/>
                <w:color w:val="auto"/>
                <w:w w:val="98"/>
              </w:rPr>
              <w:t>60 Livingston Avenue</w:t>
            </w:r>
          </w:p>
        </w:tc>
        <w:tc>
          <w:tcPr>
            <w:tcW w:w="2680" w:type="dxa"/>
            <w:vAlign w:val="bottom"/>
          </w:tcPr>
          <w:p>
            <w:pPr>
              <w:spacing w:after="0"/>
              <w:rPr>
                <w:sz w:val="14"/>
                <w:szCs w:val="14"/>
                <w:color w:val="auto"/>
              </w:rPr>
            </w:pPr>
          </w:p>
        </w:tc>
      </w:tr>
      <w:tr>
        <w:trPr>
          <w:trHeight w:val="167"/>
        </w:trPr>
        <w:tc>
          <w:tcPr>
            <w:tcW w:w="3360" w:type="dxa"/>
            <w:vAlign w:val="bottom"/>
          </w:tcPr>
          <w:p>
            <w:pPr>
              <w:spacing w:after="0"/>
              <w:rPr>
                <w:sz w:val="14"/>
                <w:szCs w:val="14"/>
                <w:color w:val="auto"/>
              </w:rPr>
            </w:pPr>
          </w:p>
        </w:tc>
        <w:tc>
          <w:tcPr>
            <w:tcW w:w="2500" w:type="dxa"/>
            <w:vAlign w:val="bottom"/>
            <w:gridSpan w:val="3"/>
          </w:tcPr>
          <w:p>
            <w:pPr>
              <w:jc w:val="center"/>
              <w:ind w:right="700"/>
              <w:spacing w:after="0"/>
              <w:rPr>
                <w:sz w:val="20"/>
                <w:szCs w:val="20"/>
                <w:color w:val="auto"/>
              </w:rPr>
            </w:pPr>
            <w:r>
              <w:rPr>
                <w:rFonts w:ascii="Times New Roman" w:cs="Times New Roman" w:eastAsia="Times New Roman" w:hAnsi="Times New Roman"/>
                <w:sz w:val="14"/>
                <w:szCs w:val="14"/>
                <w:b w:val="1"/>
                <w:bCs w:val="1"/>
                <w:color w:val="auto"/>
              </w:rPr>
              <w:t>St. Paul, MN 55107</w:t>
            </w:r>
          </w:p>
        </w:tc>
        <w:tc>
          <w:tcPr>
            <w:tcW w:w="2680" w:type="dxa"/>
            <w:vAlign w:val="bottom"/>
          </w:tcPr>
          <w:p>
            <w:pPr>
              <w:spacing w:after="0"/>
              <w:rPr>
                <w:sz w:val="14"/>
                <w:szCs w:val="14"/>
                <w:color w:val="auto"/>
              </w:rPr>
            </w:pPr>
          </w:p>
        </w:tc>
      </w:tr>
      <w:tr>
        <w:trPr>
          <w:trHeight w:val="165"/>
        </w:trPr>
        <w:tc>
          <w:tcPr>
            <w:tcW w:w="5160" w:type="dxa"/>
            <w:vAlign w:val="bottom"/>
            <w:gridSpan w:val="2"/>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(651) 466-6309</w:t>
            </w: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80" w:type="dxa"/>
            <w:vAlign w:val="bottom"/>
          </w:tcPr>
          <w:p>
            <w:pPr>
              <w:spacing w:after="0"/>
              <w:rPr>
                <w:sz w:val="14"/>
                <w:szCs w:val="14"/>
                <w:color w:val="auto"/>
              </w:rPr>
            </w:pPr>
          </w:p>
        </w:tc>
      </w:tr>
      <w:tr>
        <w:trPr>
          <w:trHeight w:val="147"/>
        </w:trPr>
        <w:tc>
          <w:tcPr>
            <w:tcW w:w="5860" w:type="dxa"/>
            <w:vAlign w:val="bottom"/>
            <w:gridSpan w:val="4"/>
          </w:tcPr>
          <w:p>
            <w:pPr>
              <w:jc w:val="center"/>
              <w:ind w:left="2596"/>
              <w:spacing w:after="0"/>
              <w:rPr>
                <w:sz w:val="20"/>
                <w:szCs w:val="20"/>
                <w:color w:val="auto"/>
              </w:rPr>
            </w:pPr>
            <w:r>
              <w:rPr>
                <w:rFonts w:ascii="Times New Roman" w:cs="Times New Roman" w:eastAsia="Times New Roman" w:hAnsi="Times New Roman"/>
                <w:sz w:val="11"/>
                <w:szCs w:val="11"/>
                <w:b w:val="1"/>
                <w:bCs w:val="1"/>
                <w:color w:val="auto"/>
              </w:rPr>
              <w:t>(Name, address and telephone number of agent for service)</w:t>
            </w:r>
          </w:p>
        </w:tc>
        <w:tc>
          <w:tcPr>
            <w:tcW w:w="2680" w:type="dxa"/>
            <w:vAlign w:val="bottom"/>
          </w:tcPr>
          <w:p>
            <w:pPr>
              <w:spacing w:after="0"/>
              <w:rPr>
                <w:sz w:val="12"/>
                <w:szCs w:val="12"/>
                <w:color w:val="auto"/>
              </w:rPr>
            </w:pPr>
          </w:p>
        </w:tc>
      </w:tr>
      <w:tr>
        <w:trPr>
          <w:trHeight w:val="259"/>
        </w:trPr>
        <w:tc>
          <w:tcPr>
            <w:tcW w:w="3360" w:type="dxa"/>
            <w:vAlign w:val="bottom"/>
          </w:tcPr>
          <w:p>
            <w:pPr>
              <w:spacing w:after="0"/>
              <w:rPr>
                <w:sz w:val="22"/>
                <w:szCs w:val="22"/>
                <w:color w:val="auto"/>
              </w:rPr>
            </w:pPr>
          </w:p>
        </w:tc>
        <w:tc>
          <w:tcPr>
            <w:tcW w:w="18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680" w:type="dxa"/>
            <w:vAlign w:val="bottom"/>
          </w:tcPr>
          <w:p>
            <w:pPr>
              <w:spacing w:after="0"/>
              <w:rPr>
                <w:sz w:val="22"/>
                <w:szCs w:val="22"/>
                <w:color w:val="auto"/>
              </w:rPr>
            </w:pPr>
          </w:p>
        </w:tc>
        <w:tc>
          <w:tcPr>
            <w:tcW w:w="2680" w:type="dxa"/>
            <w:vAlign w:val="bottom"/>
          </w:tcPr>
          <w:p>
            <w:pPr>
              <w:spacing w:after="0"/>
              <w:rPr>
                <w:sz w:val="22"/>
                <w:szCs w:val="22"/>
                <w:color w:val="auto"/>
              </w:rPr>
            </w:pPr>
          </w:p>
        </w:tc>
      </w:tr>
      <w:tr>
        <w:trPr>
          <w:trHeight w:val="306"/>
        </w:trPr>
        <w:tc>
          <w:tcPr>
            <w:tcW w:w="3360" w:type="dxa"/>
            <w:vAlign w:val="bottom"/>
          </w:tcPr>
          <w:p>
            <w:pPr>
              <w:spacing w:after="0"/>
              <w:rPr>
                <w:sz w:val="24"/>
                <w:szCs w:val="24"/>
                <w:color w:val="auto"/>
              </w:rPr>
            </w:pPr>
          </w:p>
        </w:tc>
        <w:tc>
          <w:tcPr>
            <w:tcW w:w="2500" w:type="dxa"/>
            <w:vAlign w:val="bottom"/>
            <w:gridSpan w:val="3"/>
          </w:tcPr>
          <w:p>
            <w:pPr>
              <w:jc w:val="center"/>
              <w:ind w:right="680"/>
              <w:spacing w:after="0"/>
              <w:rPr>
                <w:sz w:val="20"/>
                <w:szCs w:val="20"/>
                <w:color w:val="auto"/>
              </w:rPr>
            </w:pPr>
            <w:r>
              <w:rPr>
                <w:rFonts w:ascii="Times New Roman" w:cs="Times New Roman" w:eastAsia="Times New Roman" w:hAnsi="Times New Roman"/>
                <w:sz w:val="14"/>
                <w:szCs w:val="14"/>
                <w:b w:val="1"/>
                <w:bCs w:val="1"/>
                <w:color w:val="auto"/>
                <w:w w:val="99"/>
              </w:rPr>
              <w:t>Fidus Investment Corporation</w:t>
            </w:r>
          </w:p>
        </w:tc>
        <w:tc>
          <w:tcPr>
            <w:tcW w:w="2680" w:type="dxa"/>
            <w:vAlign w:val="bottom"/>
          </w:tcPr>
          <w:p>
            <w:pPr>
              <w:spacing w:after="0"/>
              <w:rPr>
                <w:sz w:val="24"/>
                <w:szCs w:val="24"/>
                <w:color w:val="auto"/>
              </w:rPr>
            </w:pPr>
          </w:p>
        </w:tc>
      </w:tr>
      <w:tr>
        <w:trPr>
          <w:trHeight w:val="147"/>
        </w:trPr>
        <w:tc>
          <w:tcPr>
            <w:tcW w:w="3360" w:type="dxa"/>
            <w:vAlign w:val="bottom"/>
          </w:tcPr>
          <w:p>
            <w:pPr>
              <w:spacing w:after="0"/>
              <w:rPr>
                <w:sz w:val="12"/>
                <w:szCs w:val="12"/>
                <w:color w:val="auto"/>
              </w:rPr>
            </w:pPr>
          </w:p>
        </w:tc>
        <w:tc>
          <w:tcPr>
            <w:tcW w:w="2500" w:type="dxa"/>
            <w:vAlign w:val="bottom"/>
            <w:gridSpan w:val="3"/>
          </w:tcPr>
          <w:p>
            <w:pPr>
              <w:jc w:val="center"/>
              <w:ind w:right="700"/>
              <w:spacing w:after="0"/>
              <w:rPr>
                <w:sz w:val="20"/>
                <w:szCs w:val="20"/>
                <w:color w:val="auto"/>
              </w:rPr>
            </w:pPr>
            <w:r>
              <w:rPr>
                <w:rFonts w:ascii="Times New Roman" w:cs="Times New Roman" w:eastAsia="Times New Roman" w:hAnsi="Times New Roman"/>
                <w:sz w:val="11"/>
                <w:szCs w:val="11"/>
                <w:b w:val="1"/>
                <w:bCs w:val="1"/>
                <w:color w:val="auto"/>
              </w:rPr>
              <w:t>(Issuer with respect to the Securities)</w:t>
            </w:r>
          </w:p>
        </w:tc>
        <w:tc>
          <w:tcPr>
            <w:tcW w:w="2680" w:type="dxa"/>
            <w:vAlign w:val="bottom"/>
          </w:tcPr>
          <w:p>
            <w:pPr>
              <w:spacing w:after="0"/>
              <w:rPr>
                <w:sz w:val="12"/>
                <w:szCs w:val="12"/>
                <w:color w:val="auto"/>
              </w:rPr>
            </w:pPr>
          </w:p>
        </w:tc>
      </w:tr>
      <w:tr>
        <w:trPr>
          <w:trHeight w:val="324"/>
        </w:trPr>
        <w:tc>
          <w:tcPr>
            <w:tcW w:w="5860" w:type="dxa"/>
            <w:vAlign w:val="bottom"/>
            <w:gridSpan w:val="4"/>
          </w:tcPr>
          <w:p>
            <w:pPr>
              <w:jc w:val="center"/>
              <w:ind w:right="1560"/>
              <w:spacing w:after="0"/>
              <w:rPr>
                <w:sz w:val="20"/>
                <w:szCs w:val="20"/>
                <w:color w:val="auto"/>
              </w:rPr>
            </w:pPr>
            <w:r>
              <w:rPr>
                <w:rFonts w:ascii="Times New Roman" w:cs="Times New Roman" w:eastAsia="Times New Roman" w:hAnsi="Times New Roman"/>
                <w:sz w:val="14"/>
                <w:szCs w:val="14"/>
                <w:b w:val="1"/>
                <w:bCs w:val="1"/>
                <w:color w:val="auto"/>
                <w:w w:val="96"/>
              </w:rPr>
              <w:t>Maryland</w:t>
            </w:r>
          </w:p>
        </w:tc>
        <w:tc>
          <w:tcPr>
            <w:tcW w:w="2680" w:type="dxa"/>
            <w:vAlign w:val="bottom"/>
          </w:tcPr>
          <w:p>
            <w:pPr>
              <w:jc w:val="center"/>
              <w:ind w:right="1418"/>
              <w:spacing w:after="0"/>
              <w:rPr>
                <w:sz w:val="20"/>
                <w:szCs w:val="20"/>
                <w:color w:val="auto"/>
              </w:rPr>
            </w:pPr>
            <w:r>
              <w:rPr>
                <w:rFonts w:ascii="Times New Roman" w:cs="Times New Roman" w:eastAsia="Times New Roman" w:hAnsi="Times New Roman"/>
                <w:sz w:val="14"/>
                <w:szCs w:val="14"/>
                <w:b w:val="1"/>
                <w:bCs w:val="1"/>
                <w:color w:val="auto"/>
              </w:rPr>
              <w:t>27-5017321</w:t>
            </w:r>
          </w:p>
        </w:tc>
      </w:tr>
      <w:tr>
        <w:trPr>
          <w:trHeight w:val="115"/>
        </w:trPr>
        <w:tc>
          <w:tcPr>
            <w:tcW w:w="5860" w:type="dxa"/>
            <w:vAlign w:val="bottom"/>
            <w:gridSpan w:val="4"/>
          </w:tcPr>
          <w:p>
            <w:pPr>
              <w:jc w:val="center"/>
              <w:ind w:right="1560"/>
              <w:spacing w:after="0" w:line="115" w:lineRule="exact"/>
              <w:rPr>
                <w:sz w:val="20"/>
                <w:szCs w:val="20"/>
                <w:color w:val="auto"/>
              </w:rPr>
            </w:pPr>
            <w:r>
              <w:rPr>
                <w:rFonts w:ascii="Times New Roman" w:cs="Times New Roman" w:eastAsia="Times New Roman" w:hAnsi="Times New Roman"/>
                <w:sz w:val="11"/>
                <w:szCs w:val="11"/>
                <w:b w:val="1"/>
                <w:bCs w:val="1"/>
                <w:color w:val="auto"/>
              </w:rPr>
              <w:t>(State or other jurisdiction of</w:t>
            </w:r>
          </w:p>
        </w:tc>
        <w:tc>
          <w:tcPr>
            <w:tcW w:w="2680" w:type="dxa"/>
            <w:vAlign w:val="bottom"/>
          </w:tcPr>
          <w:p>
            <w:pPr>
              <w:jc w:val="center"/>
              <w:ind w:right="1418"/>
              <w:spacing w:after="0" w:line="115" w:lineRule="exact"/>
              <w:rPr>
                <w:sz w:val="20"/>
                <w:szCs w:val="20"/>
                <w:color w:val="auto"/>
              </w:rPr>
            </w:pPr>
            <w:r>
              <w:rPr>
                <w:rFonts w:ascii="Times New Roman" w:cs="Times New Roman" w:eastAsia="Times New Roman" w:hAnsi="Times New Roman"/>
                <w:sz w:val="11"/>
                <w:szCs w:val="11"/>
                <w:b w:val="1"/>
                <w:bCs w:val="1"/>
                <w:color w:val="auto"/>
              </w:rPr>
              <w:t>(I.R.S. Employer</w:t>
            </w:r>
          </w:p>
        </w:tc>
      </w:tr>
      <w:tr>
        <w:trPr>
          <w:trHeight w:val="147"/>
        </w:trPr>
        <w:tc>
          <w:tcPr>
            <w:tcW w:w="5860" w:type="dxa"/>
            <w:vAlign w:val="bottom"/>
            <w:gridSpan w:val="4"/>
          </w:tcPr>
          <w:p>
            <w:pPr>
              <w:jc w:val="center"/>
              <w:ind w:right="1560"/>
              <w:spacing w:after="0"/>
              <w:rPr>
                <w:sz w:val="20"/>
                <w:szCs w:val="20"/>
                <w:color w:val="auto"/>
              </w:rPr>
            </w:pPr>
            <w:r>
              <w:rPr>
                <w:rFonts w:ascii="Times New Roman" w:cs="Times New Roman" w:eastAsia="Times New Roman" w:hAnsi="Times New Roman"/>
                <w:sz w:val="11"/>
                <w:szCs w:val="11"/>
                <w:b w:val="1"/>
                <w:bCs w:val="1"/>
                <w:color w:val="auto"/>
              </w:rPr>
              <w:t>incorporation or organization)</w:t>
            </w:r>
          </w:p>
        </w:tc>
        <w:tc>
          <w:tcPr>
            <w:tcW w:w="2680" w:type="dxa"/>
            <w:vAlign w:val="bottom"/>
          </w:tcPr>
          <w:p>
            <w:pPr>
              <w:jc w:val="center"/>
              <w:ind w:right="1418"/>
              <w:spacing w:after="0"/>
              <w:rPr>
                <w:sz w:val="20"/>
                <w:szCs w:val="20"/>
                <w:color w:val="auto"/>
              </w:rPr>
            </w:pPr>
            <w:r>
              <w:rPr>
                <w:rFonts w:ascii="Times New Roman" w:cs="Times New Roman" w:eastAsia="Times New Roman" w:hAnsi="Times New Roman"/>
                <w:sz w:val="11"/>
                <w:szCs w:val="11"/>
                <w:b w:val="1"/>
                <w:bCs w:val="1"/>
                <w:color w:val="auto"/>
              </w:rPr>
              <w:t>Identification No.)</w:t>
            </w:r>
          </w:p>
        </w:tc>
      </w:tr>
      <w:tr>
        <w:trPr>
          <w:trHeight w:val="336"/>
        </w:trPr>
        <w:tc>
          <w:tcPr>
            <w:tcW w:w="5860" w:type="dxa"/>
            <w:vAlign w:val="bottom"/>
            <w:gridSpan w:val="4"/>
          </w:tcPr>
          <w:p>
            <w:pPr>
              <w:jc w:val="center"/>
              <w:ind w:right="1560"/>
              <w:spacing w:after="0"/>
              <w:rPr>
                <w:sz w:val="20"/>
                <w:szCs w:val="20"/>
                <w:color w:val="auto"/>
              </w:rPr>
            </w:pPr>
            <w:r>
              <w:rPr>
                <w:rFonts w:ascii="Times New Roman" w:cs="Times New Roman" w:eastAsia="Times New Roman" w:hAnsi="Times New Roman"/>
                <w:sz w:val="14"/>
                <w:szCs w:val="14"/>
                <w:b w:val="1"/>
                <w:bCs w:val="1"/>
                <w:color w:val="auto"/>
                <w:w w:val="98"/>
              </w:rPr>
              <w:t>1603 Orrington Ave., Ste. 1005</w:t>
            </w:r>
          </w:p>
        </w:tc>
        <w:tc>
          <w:tcPr>
            <w:tcW w:w="2680" w:type="dxa"/>
            <w:vAlign w:val="bottom"/>
          </w:tcPr>
          <w:p>
            <w:pPr>
              <w:spacing w:after="0"/>
              <w:rPr>
                <w:sz w:val="24"/>
                <w:szCs w:val="24"/>
                <w:color w:val="auto"/>
              </w:rPr>
            </w:pPr>
          </w:p>
        </w:tc>
      </w:tr>
      <w:tr>
        <w:trPr>
          <w:trHeight w:val="175"/>
        </w:trPr>
        <w:tc>
          <w:tcPr>
            <w:tcW w:w="5860" w:type="dxa"/>
            <w:vAlign w:val="bottom"/>
            <w:gridSpan w:val="4"/>
          </w:tcPr>
          <w:p>
            <w:pPr>
              <w:jc w:val="center"/>
              <w:ind w:right="1560"/>
              <w:spacing w:after="0"/>
              <w:rPr>
                <w:sz w:val="20"/>
                <w:szCs w:val="20"/>
                <w:color w:val="auto"/>
              </w:rPr>
            </w:pPr>
            <w:r>
              <w:rPr>
                <w:rFonts w:ascii="Times New Roman" w:cs="Times New Roman" w:eastAsia="Times New Roman" w:hAnsi="Times New Roman"/>
                <w:sz w:val="14"/>
                <w:szCs w:val="14"/>
                <w:b w:val="1"/>
                <w:bCs w:val="1"/>
                <w:color w:val="auto"/>
              </w:rPr>
              <w:t>Evanston, IL</w:t>
            </w:r>
          </w:p>
        </w:tc>
        <w:tc>
          <w:tcPr>
            <w:tcW w:w="2680" w:type="dxa"/>
            <w:vAlign w:val="bottom"/>
          </w:tcPr>
          <w:p>
            <w:pPr>
              <w:jc w:val="center"/>
              <w:ind w:right="1418"/>
              <w:spacing w:after="0"/>
              <w:rPr>
                <w:sz w:val="20"/>
                <w:szCs w:val="20"/>
                <w:color w:val="auto"/>
              </w:rPr>
            </w:pPr>
            <w:r>
              <w:rPr>
                <w:rFonts w:ascii="Times New Roman" w:cs="Times New Roman" w:eastAsia="Times New Roman" w:hAnsi="Times New Roman"/>
                <w:sz w:val="14"/>
                <w:szCs w:val="14"/>
                <w:b w:val="1"/>
                <w:bCs w:val="1"/>
                <w:color w:val="auto"/>
              </w:rPr>
              <w:t>60201</w:t>
            </w:r>
          </w:p>
        </w:tc>
      </w:tr>
      <w:tr>
        <w:trPr>
          <w:trHeight w:val="147"/>
        </w:trPr>
        <w:tc>
          <w:tcPr>
            <w:tcW w:w="5860" w:type="dxa"/>
            <w:vAlign w:val="bottom"/>
            <w:gridSpan w:val="4"/>
          </w:tcPr>
          <w:p>
            <w:pPr>
              <w:jc w:val="center"/>
              <w:ind w:right="1560"/>
              <w:spacing w:after="0"/>
              <w:rPr>
                <w:sz w:val="20"/>
                <w:szCs w:val="20"/>
                <w:color w:val="auto"/>
              </w:rPr>
            </w:pPr>
            <w:r>
              <w:rPr>
                <w:rFonts w:ascii="Times New Roman" w:cs="Times New Roman" w:eastAsia="Times New Roman" w:hAnsi="Times New Roman"/>
                <w:sz w:val="11"/>
                <w:szCs w:val="11"/>
                <w:b w:val="1"/>
                <w:bCs w:val="1"/>
                <w:color w:val="auto"/>
              </w:rPr>
              <w:t>(Address of Principal Executive Offices)</w:t>
            </w:r>
          </w:p>
        </w:tc>
        <w:tc>
          <w:tcPr>
            <w:tcW w:w="2680" w:type="dxa"/>
            <w:vAlign w:val="bottom"/>
          </w:tcPr>
          <w:p>
            <w:pPr>
              <w:jc w:val="center"/>
              <w:ind w:right="1418"/>
              <w:spacing w:after="0"/>
              <w:rPr>
                <w:sz w:val="20"/>
                <w:szCs w:val="20"/>
                <w:color w:val="auto"/>
              </w:rPr>
            </w:pPr>
            <w:r>
              <w:rPr>
                <w:rFonts w:ascii="Times New Roman" w:cs="Times New Roman" w:eastAsia="Times New Roman" w:hAnsi="Times New Roman"/>
                <w:sz w:val="11"/>
                <w:szCs w:val="11"/>
                <w:b w:val="1"/>
                <w:bCs w:val="1"/>
                <w:color w:val="auto"/>
              </w:rPr>
              <w:t>(Zip Code)</w:t>
            </w:r>
          </w:p>
        </w:tc>
      </w:tr>
      <w:tr>
        <w:trPr>
          <w:trHeight w:val="269"/>
        </w:trPr>
        <w:tc>
          <w:tcPr>
            <w:tcW w:w="3360" w:type="dxa"/>
            <w:vAlign w:val="bottom"/>
          </w:tcPr>
          <w:p>
            <w:pPr>
              <w:spacing w:after="0"/>
              <w:rPr>
                <w:sz w:val="23"/>
                <w:szCs w:val="23"/>
                <w:color w:val="auto"/>
              </w:rPr>
            </w:pPr>
          </w:p>
        </w:tc>
        <w:tc>
          <w:tcPr>
            <w:tcW w:w="1800" w:type="dxa"/>
            <w:vAlign w:val="bottom"/>
            <w:tcBorders>
              <w:bottom w:val="single" w:sz="8" w:color="auto"/>
            </w:tcBorders>
          </w:tcPr>
          <w:p>
            <w:pPr>
              <w:spacing w:after="0"/>
              <w:rPr>
                <w:sz w:val="23"/>
                <w:szCs w:val="23"/>
                <w:color w:val="auto"/>
              </w:rPr>
            </w:pPr>
          </w:p>
        </w:tc>
        <w:tc>
          <w:tcPr>
            <w:tcW w:w="700" w:type="dxa"/>
            <w:vAlign w:val="bottom"/>
            <w:gridSpan w:val="2"/>
          </w:tcPr>
          <w:p>
            <w:pPr>
              <w:spacing w:after="0"/>
              <w:rPr>
                <w:sz w:val="23"/>
                <w:szCs w:val="23"/>
                <w:color w:val="auto"/>
              </w:rPr>
            </w:pPr>
          </w:p>
        </w:tc>
        <w:tc>
          <w:tcPr>
            <w:tcW w:w="2680" w:type="dxa"/>
            <w:vAlign w:val="bottom"/>
          </w:tcPr>
          <w:p>
            <w:pPr>
              <w:spacing w:after="0"/>
              <w:rPr>
                <w:sz w:val="23"/>
                <w:szCs w:val="23"/>
                <w:color w:val="auto"/>
              </w:rPr>
            </w:pPr>
          </w:p>
        </w:tc>
      </w:tr>
      <w:tr>
        <w:trPr>
          <w:trHeight w:val="306"/>
        </w:trPr>
        <w:tc>
          <w:tcPr>
            <w:tcW w:w="3360" w:type="dxa"/>
            <w:vAlign w:val="bottom"/>
          </w:tcPr>
          <w:p>
            <w:pPr>
              <w:spacing w:after="0"/>
              <w:rPr>
                <w:sz w:val="24"/>
                <w:szCs w:val="24"/>
                <w:color w:val="auto"/>
              </w:rPr>
            </w:pPr>
          </w:p>
        </w:tc>
        <w:tc>
          <w:tcPr>
            <w:tcW w:w="2500" w:type="dxa"/>
            <w:vAlign w:val="bottom"/>
            <w:gridSpan w:val="3"/>
          </w:tcPr>
          <w:p>
            <w:pPr>
              <w:jc w:val="center"/>
              <w:ind w:right="700"/>
              <w:spacing w:after="0"/>
              <w:rPr>
                <w:sz w:val="20"/>
                <w:szCs w:val="20"/>
                <w:color w:val="auto"/>
              </w:rPr>
            </w:pPr>
            <w:r>
              <w:rPr>
                <w:rFonts w:ascii="Times New Roman" w:cs="Times New Roman" w:eastAsia="Times New Roman" w:hAnsi="Times New Roman"/>
                <w:sz w:val="14"/>
                <w:szCs w:val="14"/>
                <w:b w:val="1"/>
                <w:bCs w:val="1"/>
                <w:color w:val="auto"/>
              </w:rPr>
              <w:t>Debt Issuance</w:t>
            </w:r>
          </w:p>
        </w:tc>
        <w:tc>
          <w:tcPr>
            <w:tcW w:w="2680" w:type="dxa"/>
            <w:vAlign w:val="bottom"/>
          </w:tcPr>
          <w:p>
            <w:pPr>
              <w:spacing w:after="0"/>
              <w:rPr>
                <w:sz w:val="24"/>
                <w:szCs w:val="24"/>
                <w:color w:val="auto"/>
              </w:rPr>
            </w:pPr>
          </w:p>
        </w:tc>
      </w:tr>
      <w:tr>
        <w:trPr>
          <w:trHeight w:val="147"/>
        </w:trPr>
        <w:tc>
          <w:tcPr>
            <w:tcW w:w="3360" w:type="dxa"/>
            <w:vAlign w:val="bottom"/>
          </w:tcPr>
          <w:p>
            <w:pPr>
              <w:spacing w:after="0"/>
              <w:rPr>
                <w:sz w:val="12"/>
                <w:szCs w:val="12"/>
                <w:color w:val="auto"/>
              </w:rPr>
            </w:pPr>
          </w:p>
        </w:tc>
        <w:tc>
          <w:tcPr>
            <w:tcW w:w="2500" w:type="dxa"/>
            <w:vAlign w:val="bottom"/>
            <w:gridSpan w:val="3"/>
          </w:tcPr>
          <w:p>
            <w:pPr>
              <w:jc w:val="center"/>
              <w:ind w:right="680"/>
              <w:spacing w:after="0"/>
              <w:rPr>
                <w:sz w:val="20"/>
                <w:szCs w:val="20"/>
                <w:color w:val="auto"/>
              </w:rPr>
            </w:pPr>
            <w:r>
              <w:rPr>
                <w:rFonts w:ascii="Times New Roman" w:cs="Times New Roman" w:eastAsia="Times New Roman" w:hAnsi="Times New Roman"/>
                <w:sz w:val="11"/>
                <w:szCs w:val="11"/>
                <w:b w:val="1"/>
                <w:bCs w:val="1"/>
                <w:color w:val="auto"/>
              </w:rPr>
              <w:t>(Title of the Indenture Securities)</w:t>
            </w:r>
          </w:p>
        </w:tc>
        <w:tc>
          <w:tcPr>
            <w:tcW w:w="2680" w:type="dxa"/>
            <w:vAlign w:val="bottom"/>
          </w:tcPr>
          <w:p>
            <w:pPr>
              <w:spacing w:after="0"/>
              <w:rPr>
                <w:sz w:val="12"/>
                <w:szCs w:val="12"/>
                <w:color w:val="auto"/>
              </w:rPr>
            </w:pPr>
          </w:p>
        </w:tc>
      </w:tr>
      <w:tr>
        <w:trPr>
          <w:trHeight w:val="165"/>
        </w:trPr>
        <w:tc>
          <w:tcPr>
            <w:tcW w:w="336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680" w:type="dxa"/>
            <w:vAlign w:val="bottom"/>
            <w:tcBorders>
              <w:bottom w:val="single" w:sz="8" w:color="auto"/>
            </w:tcBorders>
          </w:tcPr>
          <w:p>
            <w:pPr>
              <w:spacing w:after="0"/>
              <w:rPr>
                <w:sz w:val="14"/>
                <w:szCs w:val="14"/>
                <w:color w:val="auto"/>
              </w:rPr>
            </w:pPr>
          </w:p>
        </w:tc>
      </w:tr>
      <w:tr>
        <w:trPr>
          <w:trHeight w:val="32"/>
        </w:trPr>
        <w:tc>
          <w:tcPr>
            <w:tcW w:w="33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680" w:type="dxa"/>
            <w:vAlign w:val="bottom"/>
            <w:tcBorders>
              <w:bottom w:val="single" w:sz="8" w:color="auto"/>
            </w:tcBorders>
          </w:tcPr>
          <w:p>
            <w:pPr>
              <w:spacing w:after="0"/>
              <w:rPr>
                <w:sz w:val="2"/>
                <w:szCs w:val="2"/>
                <w:color w:val="auto"/>
              </w:rPr>
            </w:pPr>
          </w:p>
        </w:tc>
      </w:tr>
    </w:tbl>
    <w:p>
      <w:pPr>
        <w:sectPr>
          <w:pgSz w:w="11900" w:h="16838" w:orient="portrait"/>
          <w:cols w:equalWidth="0" w:num="1">
            <w:col w:w="9019"/>
          </w:cols>
          <w:pgMar w:left="1440" w:top="123" w:right="1440" w:bottom="1440" w:gutter="0" w:footer="0" w:header="0"/>
        </w:sectPr>
      </w:pPr>
    </w:p>
    <w:bookmarkStart w:id="100" w:name="page101"/>
    <w:bookmarkEnd w:id="100"/>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58">
                      <a:extLst>
                        <a:ext uri="{28A0092B-C50C-407E-A947-70E740481C1C}"/>
                      </a:extLst>
                    </a:blip>
                    <a:srcRect/>
                    <a:stretch>
                      <a:fillRect/>
                    </a:stretch>
                  </pic:blipFill>
                  <pic:spPr bwMode="auto">
                    <a:xfrm>
                      <a:off x="0" y="0"/>
                      <a:ext cx="7201535" cy="32385"/>
                    </a:xfrm>
                    <a:prstGeom prst="rect">
                      <a:avLst/>
                    </a:prstGeom>
                    <a:noFill/>
                  </pic:spPr>
                </pic:pic>
              </a:graphicData>
            </a:graphic>
          </wp:anchor>
        </w:drawing>
      </w:r>
    </w:p>
    <w:tbl>
      <w:tblPr>
        <w:tblLayout w:type="fixed"/>
        <w:tblInd w:w="240" w:type="dxa"/>
        <w:tblCellMar>
          <w:top w:w="0" w:type="dxa"/>
          <w:left w:w="0" w:type="dxa"/>
          <w:bottom w:w="0" w:type="dxa"/>
          <w:right w:w="0" w:type="dxa"/>
        </w:tblCellMar>
      </w:tblPr>
      <w:tr>
        <w:trPr>
          <w:trHeight w:val="161"/>
        </w:trPr>
        <w:tc>
          <w:tcPr>
            <w:tcW w:w="580" w:type="dxa"/>
            <w:vAlign w:val="bottom"/>
          </w:tcPr>
          <w:p>
            <w:pPr>
              <w:spacing w:after="0"/>
              <w:rPr>
                <w:sz w:val="13"/>
                <w:szCs w:val="13"/>
                <w:color w:val="auto"/>
              </w:rPr>
            </w:pPr>
          </w:p>
        </w:tc>
        <w:tc>
          <w:tcPr>
            <w:tcW w:w="3360" w:type="dxa"/>
            <w:vAlign w:val="bottom"/>
          </w:tcPr>
          <w:p>
            <w:pPr>
              <w:spacing w:after="0"/>
              <w:rPr>
                <w:sz w:val="13"/>
                <w:szCs w:val="13"/>
                <w:color w:val="auto"/>
              </w:rPr>
            </w:pPr>
          </w:p>
        </w:tc>
        <w:tc>
          <w:tcPr>
            <w:tcW w:w="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5"/>
              </w:rPr>
              <w:t>FORM T-1</w:t>
            </w:r>
          </w:p>
        </w:tc>
        <w:tc>
          <w:tcPr>
            <w:tcW w:w="2740" w:type="dxa"/>
            <w:vAlign w:val="bottom"/>
          </w:tcPr>
          <w:p>
            <w:pPr>
              <w:spacing w:after="0"/>
              <w:rPr>
                <w:sz w:val="13"/>
                <w:szCs w:val="13"/>
                <w:color w:val="auto"/>
              </w:rPr>
            </w:pPr>
          </w:p>
        </w:tc>
      </w:tr>
      <w:tr>
        <w:trPr>
          <w:trHeight w:val="273"/>
        </w:trPr>
        <w:tc>
          <w:tcPr>
            <w:tcW w:w="5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Item 1.</w:t>
            </w:r>
          </w:p>
        </w:tc>
        <w:tc>
          <w:tcPr>
            <w:tcW w:w="6760" w:type="dxa"/>
            <w:vAlign w:val="bottom"/>
            <w:gridSpan w:val="3"/>
          </w:tcPr>
          <w:p>
            <w:pPr>
              <w:ind w:left="180"/>
              <w:spacing w:after="0"/>
              <w:rPr>
                <w:sz w:val="20"/>
                <w:szCs w:val="20"/>
                <w:color w:val="auto"/>
              </w:rPr>
            </w:pPr>
            <w:r>
              <w:rPr>
                <w:rFonts w:ascii="Times New Roman" w:cs="Times New Roman" w:eastAsia="Times New Roman" w:hAnsi="Times New Roman"/>
                <w:sz w:val="14"/>
                <w:szCs w:val="14"/>
                <w:b w:val="1"/>
                <w:bCs w:val="1"/>
                <w:color w:val="auto"/>
              </w:rPr>
              <w:t>GENERAL INFORMATION</w:t>
            </w:r>
            <w:r>
              <w:rPr>
                <w:rFonts w:ascii="Times New Roman" w:cs="Times New Roman" w:eastAsia="Times New Roman" w:hAnsi="Times New Roman"/>
                <w:sz w:val="14"/>
                <w:szCs w:val="14"/>
                <w:b w:val="1"/>
                <w:bCs w:val="1"/>
                <w:i w:val="1"/>
                <w:iCs w:val="1"/>
                <w:color w:val="auto"/>
              </w:rPr>
              <w: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Furnish the following information as to the Trustee.</w:t>
            </w:r>
          </w:p>
        </w:tc>
      </w:tr>
      <w:tr>
        <w:trPr>
          <w:trHeight w:val="247"/>
        </w:trPr>
        <w:tc>
          <w:tcPr>
            <w:tcW w:w="580" w:type="dxa"/>
            <w:vAlign w:val="bottom"/>
          </w:tcPr>
          <w:p>
            <w:pPr>
              <w:spacing w:after="0"/>
              <w:rPr>
                <w:sz w:val="21"/>
                <w:szCs w:val="21"/>
                <w:color w:val="auto"/>
              </w:rPr>
            </w:pPr>
          </w:p>
        </w:tc>
        <w:tc>
          <w:tcPr>
            <w:tcW w:w="6760" w:type="dxa"/>
            <w:vAlign w:val="bottom"/>
            <w:gridSpan w:val="3"/>
          </w:tcPr>
          <w:p>
            <w:pPr>
              <w:ind w:left="180"/>
              <w:spacing w:after="0"/>
              <w:rPr>
                <w:sz w:val="20"/>
                <w:szCs w:val="20"/>
                <w:color w:val="auto"/>
              </w:rPr>
            </w:pPr>
            <w:r>
              <w:rPr>
                <w:rFonts w:ascii="Times New Roman" w:cs="Times New Roman" w:eastAsia="Times New Roman" w:hAnsi="Times New Roman"/>
                <w:sz w:val="14"/>
                <w:szCs w:val="14"/>
                <w:color w:val="auto"/>
              </w:rPr>
              <w:t xml:space="preserve">a)   </w:t>
            </w:r>
            <w:r>
              <w:rPr>
                <w:rFonts w:ascii="Times New Roman" w:cs="Times New Roman" w:eastAsia="Times New Roman" w:hAnsi="Times New Roman"/>
                <w:sz w:val="14"/>
                <w:szCs w:val="14"/>
                <w:i w:val="1"/>
                <w:iCs w:val="1"/>
                <w:color w:val="auto"/>
              </w:rPr>
              <w:t>Name and address of each examining or supervising authority to which it is subject.</w:t>
            </w:r>
          </w:p>
        </w:tc>
      </w:tr>
      <w:tr>
        <w:trPr>
          <w:trHeight w:val="167"/>
        </w:trPr>
        <w:tc>
          <w:tcPr>
            <w:tcW w:w="580" w:type="dxa"/>
            <w:vAlign w:val="bottom"/>
          </w:tcPr>
          <w:p>
            <w:pPr>
              <w:spacing w:after="0"/>
              <w:rPr>
                <w:sz w:val="14"/>
                <w:szCs w:val="14"/>
                <w:color w:val="auto"/>
              </w:rPr>
            </w:pPr>
          </w:p>
        </w:tc>
        <w:tc>
          <w:tcPr>
            <w:tcW w:w="6760" w:type="dxa"/>
            <w:vAlign w:val="bottom"/>
            <w:gridSpan w:val="3"/>
          </w:tcPr>
          <w:p>
            <w:pPr>
              <w:ind w:left="960"/>
              <w:spacing w:after="0"/>
              <w:rPr>
                <w:sz w:val="20"/>
                <w:szCs w:val="20"/>
                <w:color w:val="auto"/>
              </w:rPr>
            </w:pPr>
            <w:r>
              <w:rPr>
                <w:rFonts w:ascii="Times New Roman" w:cs="Times New Roman" w:eastAsia="Times New Roman" w:hAnsi="Times New Roman"/>
                <w:sz w:val="14"/>
                <w:szCs w:val="14"/>
                <w:color w:val="auto"/>
              </w:rPr>
              <w:t>Comptroller of the Currency</w:t>
            </w:r>
          </w:p>
        </w:tc>
      </w:tr>
      <w:tr>
        <w:trPr>
          <w:trHeight w:val="182"/>
        </w:trPr>
        <w:tc>
          <w:tcPr>
            <w:tcW w:w="580" w:type="dxa"/>
            <w:vAlign w:val="bottom"/>
          </w:tcPr>
          <w:p>
            <w:pPr>
              <w:spacing w:after="0"/>
              <w:rPr>
                <w:sz w:val="15"/>
                <w:szCs w:val="15"/>
                <w:color w:val="auto"/>
              </w:rPr>
            </w:pPr>
          </w:p>
        </w:tc>
        <w:tc>
          <w:tcPr>
            <w:tcW w:w="6760" w:type="dxa"/>
            <w:vAlign w:val="bottom"/>
            <w:gridSpan w:val="3"/>
          </w:tcPr>
          <w:p>
            <w:pPr>
              <w:ind w:left="960"/>
              <w:spacing w:after="0"/>
              <w:rPr>
                <w:sz w:val="20"/>
                <w:szCs w:val="20"/>
                <w:color w:val="auto"/>
              </w:rPr>
            </w:pPr>
            <w:r>
              <w:rPr>
                <w:rFonts w:ascii="Times New Roman" w:cs="Times New Roman" w:eastAsia="Times New Roman" w:hAnsi="Times New Roman"/>
                <w:sz w:val="14"/>
                <w:szCs w:val="14"/>
                <w:color w:val="auto"/>
              </w:rPr>
              <w:t>Washington, D.C.</w:t>
            </w:r>
          </w:p>
        </w:tc>
      </w:tr>
      <w:tr>
        <w:trPr>
          <w:trHeight w:val="247"/>
        </w:trPr>
        <w:tc>
          <w:tcPr>
            <w:tcW w:w="580" w:type="dxa"/>
            <w:vAlign w:val="bottom"/>
          </w:tcPr>
          <w:p>
            <w:pPr>
              <w:spacing w:after="0"/>
              <w:rPr>
                <w:sz w:val="21"/>
                <w:szCs w:val="21"/>
                <w:color w:val="auto"/>
              </w:rPr>
            </w:pPr>
          </w:p>
        </w:tc>
        <w:tc>
          <w:tcPr>
            <w:tcW w:w="6760" w:type="dxa"/>
            <w:vAlign w:val="bottom"/>
            <w:gridSpan w:val="3"/>
          </w:tcPr>
          <w:p>
            <w:pPr>
              <w:ind w:left="180"/>
              <w:spacing w:after="0"/>
              <w:rPr>
                <w:sz w:val="20"/>
                <w:szCs w:val="20"/>
                <w:color w:val="auto"/>
              </w:rPr>
            </w:pPr>
            <w:r>
              <w:rPr>
                <w:rFonts w:ascii="Times New Roman" w:cs="Times New Roman" w:eastAsia="Times New Roman" w:hAnsi="Times New Roman"/>
                <w:sz w:val="14"/>
                <w:szCs w:val="14"/>
                <w:color w:val="auto"/>
              </w:rPr>
              <w:t xml:space="preserve">b)   </w:t>
            </w:r>
            <w:r>
              <w:rPr>
                <w:rFonts w:ascii="Times New Roman" w:cs="Times New Roman" w:eastAsia="Times New Roman" w:hAnsi="Times New Roman"/>
                <w:sz w:val="14"/>
                <w:szCs w:val="14"/>
                <w:i w:val="1"/>
                <w:iCs w:val="1"/>
                <w:color w:val="auto"/>
              </w:rPr>
              <w:t>Whether it is authorized to exercise corporate trust powers.</w:t>
            </w:r>
          </w:p>
        </w:tc>
      </w:tr>
      <w:tr>
        <w:trPr>
          <w:trHeight w:val="182"/>
        </w:trPr>
        <w:tc>
          <w:tcPr>
            <w:tcW w:w="580" w:type="dxa"/>
            <w:vAlign w:val="bottom"/>
          </w:tcPr>
          <w:p>
            <w:pPr>
              <w:spacing w:after="0"/>
              <w:rPr>
                <w:sz w:val="15"/>
                <w:szCs w:val="15"/>
                <w:color w:val="auto"/>
              </w:rPr>
            </w:pPr>
          </w:p>
        </w:tc>
        <w:tc>
          <w:tcPr>
            <w:tcW w:w="6760" w:type="dxa"/>
            <w:vAlign w:val="bottom"/>
            <w:gridSpan w:val="3"/>
          </w:tcPr>
          <w:p>
            <w:pPr>
              <w:ind w:left="960"/>
              <w:spacing w:after="0"/>
              <w:rPr>
                <w:sz w:val="20"/>
                <w:szCs w:val="20"/>
                <w:color w:val="auto"/>
              </w:rPr>
            </w:pPr>
            <w:r>
              <w:rPr>
                <w:rFonts w:ascii="Times New Roman" w:cs="Times New Roman" w:eastAsia="Times New Roman" w:hAnsi="Times New Roman"/>
                <w:sz w:val="14"/>
                <w:szCs w:val="14"/>
                <w:color w:val="auto"/>
              </w:rPr>
              <w:t>Yes</w:t>
            </w:r>
          </w:p>
        </w:tc>
      </w:tr>
      <w:tr>
        <w:trPr>
          <w:trHeight w:val="435"/>
        </w:trPr>
        <w:tc>
          <w:tcPr>
            <w:tcW w:w="5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Item 2.</w:t>
            </w:r>
          </w:p>
        </w:tc>
        <w:tc>
          <w:tcPr>
            <w:tcW w:w="6760" w:type="dxa"/>
            <w:vAlign w:val="bottom"/>
            <w:gridSpan w:val="3"/>
          </w:tcPr>
          <w:p>
            <w:pPr>
              <w:ind w:left="180"/>
              <w:spacing w:after="0"/>
              <w:rPr>
                <w:sz w:val="20"/>
                <w:szCs w:val="20"/>
                <w:color w:val="auto"/>
              </w:rPr>
            </w:pPr>
            <w:r>
              <w:rPr>
                <w:rFonts w:ascii="Times New Roman" w:cs="Times New Roman" w:eastAsia="Times New Roman" w:hAnsi="Times New Roman"/>
                <w:sz w:val="14"/>
                <w:szCs w:val="14"/>
                <w:b w:val="1"/>
                <w:bCs w:val="1"/>
                <w:color w:val="auto"/>
                <w:w w:val="99"/>
              </w:rPr>
              <w:t xml:space="preserve">AFFILIATIONS WITH THE OBLIGOR. </w:t>
            </w:r>
            <w:r>
              <w:rPr>
                <w:rFonts w:ascii="Times New Roman" w:cs="Times New Roman" w:eastAsia="Times New Roman" w:hAnsi="Times New Roman"/>
                <w:sz w:val="14"/>
                <w:szCs w:val="14"/>
                <w:i w:val="1"/>
                <w:iCs w:val="1"/>
                <w:color w:val="auto"/>
                <w:w w:val="99"/>
              </w:rPr>
              <w:t>If the obligor is an affiliate of the Trustee, describe each such affiliation.</w:t>
            </w:r>
          </w:p>
        </w:tc>
      </w:tr>
      <w:tr>
        <w:trPr>
          <w:trHeight w:val="182"/>
        </w:trPr>
        <w:tc>
          <w:tcPr>
            <w:tcW w:w="580" w:type="dxa"/>
            <w:vAlign w:val="bottom"/>
          </w:tcPr>
          <w:p>
            <w:pPr>
              <w:spacing w:after="0"/>
              <w:rPr>
                <w:sz w:val="15"/>
                <w:szCs w:val="15"/>
                <w:color w:val="auto"/>
              </w:rPr>
            </w:pPr>
          </w:p>
        </w:tc>
        <w:tc>
          <w:tcPr>
            <w:tcW w:w="6760" w:type="dxa"/>
            <w:vAlign w:val="bottom"/>
            <w:gridSpan w:val="3"/>
          </w:tcPr>
          <w:p>
            <w:pPr>
              <w:ind w:left="180"/>
              <w:spacing w:after="0"/>
              <w:rPr>
                <w:sz w:val="20"/>
                <w:szCs w:val="20"/>
                <w:color w:val="auto"/>
              </w:rPr>
            </w:pPr>
            <w:r>
              <w:rPr>
                <w:rFonts w:ascii="Times New Roman" w:cs="Times New Roman" w:eastAsia="Times New Roman" w:hAnsi="Times New Roman"/>
                <w:sz w:val="14"/>
                <w:szCs w:val="14"/>
                <w:color w:val="auto"/>
              </w:rPr>
              <w:t>None</w:t>
            </w:r>
          </w:p>
        </w:tc>
      </w:tr>
    </w:tbl>
    <w:p>
      <w:pPr>
        <w:spacing w:after="0" w:line="266" w:lineRule="exact"/>
        <w:rPr>
          <w:sz w:val="20"/>
          <w:szCs w:val="20"/>
          <w:color w:val="auto"/>
        </w:rPr>
      </w:pPr>
    </w:p>
    <w:p>
      <w:pPr>
        <w:ind w:left="1000" w:right="459" w:hanging="763"/>
        <w:spacing w:after="0" w:line="284" w:lineRule="auto"/>
        <w:tabs>
          <w:tab w:leader="none" w:pos="980" w:val="left"/>
        </w:tabs>
        <w:rPr>
          <w:sz w:val="20"/>
          <w:szCs w:val="20"/>
          <w:color w:val="auto"/>
        </w:rPr>
      </w:pPr>
      <w:r>
        <w:rPr>
          <w:rFonts w:ascii="Times New Roman" w:cs="Times New Roman" w:eastAsia="Times New Roman" w:hAnsi="Times New Roman"/>
          <w:sz w:val="14"/>
          <w:szCs w:val="14"/>
          <w:b w:val="1"/>
          <w:bCs w:val="1"/>
          <w:color w:val="auto"/>
        </w:rPr>
        <w:t>Items 3-15</w:t>
      </w:r>
      <w:r>
        <w:rPr>
          <w:sz w:val="20"/>
          <w:szCs w:val="20"/>
          <w:color w:val="auto"/>
        </w:rPr>
        <w:tab/>
      </w:r>
      <w:r>
        <w:rPr>
          <w:rFonts w:ascii="Times New Roman" w:cs="Times New Roman" w:eastAsia="Times New Roman" w:hAnsi="Times New Roman"/>
          <w:sz w:val="14"/>
          <w:szCs w:val="14"/>
          <w:i w:val="1"/>
          <w:iCs w:val="1"/>
          <w:color w:val="auto"/>
        </w:rPr>
        <w:t>Items 3-15 are not applicable because to the best of the Trustee’s knowledge, the obligor is not in default under any Indenture for which the Trustee acts as Trustee.</w:t>
      </w:r>
    </w:p>
    <w:p>
      <w:pPr>
        <w:spacing w:after="0" w:line="236" w:lineRule="exact"/>
        <w:rPr>
          <w:sz w:val="20"/>
          <w:szCs w:val="20"/>
          <w:color w:val="auto"/>
        </w:rPr>
      </w:pPr>
    </w:p>
    <w:p>
      <w:pPr>
        <w:ind w:left="240"/>
        <w:spacing w:after="0"/>
        <w:tabs>
          <w:tab w:leader="none" w:pos="980" w:val="left"/>
        </w:tabs>
        <w:rPr>
          <w:sz w:val="20"/>
          <w:szCs w:val="20"/>
          <w:color w:val="auto"/>
        </w:rPr>
      </w:pPr>
      <w:r>
        <w:rPr>
          <w:rFonts w:ascii="Times New Roman" w:cs="Times New Roman" w:eastAsia="Times New Roman" w:hAnsi="Times New Roman"/>
          <w:sz w:val="14"/>
          <w:szCs w:val="14"/>
          <w:b w:val="1"/>
          <w:bCs w:val="1"/>
          <w:color w:val="auto"/>
        </w:rPr>
        <w:t>Item 16.</w:t>
      </w:r>
      <w:r>
        <w:rPr>
          <w:sz w:val="20"/>
          <w:szCs w:val="20"/>
          <w:color w:val="auto"/>
        </w:rPr>
        <w:tab/>
      </w:r>
      <w:r>
        <w:rPr>
          <w:rFonts w:ascii="Times New Roman" w:cs="Times New Roman" w:eastAsia="Times New Roman" w:hAnsi="Times New Roman"/>
          <w:sz w:val="14"/>
          <w:szCs w:val="14"/>
          <w:b w:val="1"/>
          <w:bCs w:val="1"/>
          <w:color w:val="auto"/>
        </w:rPr>
        <w:t xml:space="preserve">LIST OF EXHIBITS: </w:t>
      </w:r>
      <w:r>
        <w:rPr>
          <w:rFonts w:ascii="Times New Roman" w:cs="Times New Roman" w:eastAsia="Times New Roman" w:hAnsi="Times New Roman"/>
          <w:sz w:val="14"/>
          <w:szCs w:val="14"/>
          <w:i w:val="1"/>
          <w:iCs w:val="1"/>
          <w:color w:val="auto"/>
        </w:rPr>
        <w:t>List below all exhibits filed as a part of this statement of eligibility and qualification.</w:t>
      </w:r>
    </w:p>
    <w:p>
      <w:pPr>
        <w:spacing w:after="0" w:line="103" w:lineRule="exact"/>
        <w:rPr>
          <w:sz w:val="20"/>
          <w:szCs w:val="20"/>
          <w:color w:val="auto"/>
        </w:rPr>
      </w:pPr>
    </w:p>
    <w:p>
      <w:pPr>
        <w:ind w:left="1340" w:hanging="342"/>
        <w:spacing w:after="0"/>
        <w:tabs>
          <w:tab w:leader="none" w:pos="134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copy of the Articles of Association of the Trustee, attached as Exhibit 1.</w:t>
      </w:r>
    </w:p>
    <w:p>
      <w:pPr>
        <w:spacing w:after="0" w:line="100" w:lineRule="exact"/>
        <w:rPr>
          <w:rFonts w:ascii="Times New Roman" w:cs="Times New Roman" w:eastAsia="Times New Roman" w:hAnsi="Times New Roman"/>
          <w:sz w:val="14"/>
          <w:szCs w:val="14"/>
          <w:color w:val="auto"/>
        </w:rPr>
      </w:pPr>
    </w:p>
    <w:p>
      <w:pPr>
        <w:ind w:left="1340" w:hanging="342"/>
        <w:spacing w:after="0"/>
        <w:tabs>
          <w:tab w:leader="none" w:pos="134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copy of the certificate of authority of the Trustee to commence business, attached as Exhibit 2.</w:t>
      </w:r>
    </w:p>
    <w:p>
      <w:pPr>
        <w:spacing w:after="0" w:line="100" w:lineRule="exact"/>
        <w:rPr>
          <w:rFonts w:ascii="Times New Roman" w:cs="Times New Roman" w:eastAsia="Times New Roman" w:hAnsi="Times New Roman"/>
          <w:sz w:val="14"/>
          <w:szCs w:val="14"/>
          <w:color w:val="auto"/>
        </w:rPr>
      </w:pPr>
    </w:p>
    <w:p>
      <w:pPr>
        <w:ind w:left="1340" w:hanging="342"/>
        <w:spacing w:after="0"/>
        <w:tabs>
          <w:tab w:leader="none" w:pos="134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copy of the authorization of the Trustee to exercise corporate trust powers, included as Exhibit 2.</w:t>
      </w:r>
    </w:p>
    <w:p>
      <w:pPr>
        <w:spacing w:after="0" w:line="100" w:lineRule="exact"/>
        <w:rPr>
          <w:rFonts w:ascii="Times New Roman" w:cs="Times New Roman" w:eastAsia="Times New Roman" w:hAnsi="Times New Roman"/>
          <w:sz w:val="14"/>
          <w:szCs w:val="14"/>
          <w:color w:val="auto"/>
        </w:rPr>
      </w:pPr>
    </w:p>
    <w:p>
      <w:pPr>
        <w:ind w:left="1340" w:hanging="342"/>
        <w:spacing w:after="0"/>
        <w:tabs>
          <w:tab w:leader="none" w:pos="134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copy of the existing bylaws of the Trustee, attached as Exhibit 4.</w:t>
      </w:r>
    </w:p>
    <w:p>
      <w:pPr>
        <w:spacing w:after="0" w:line="100" w:lineRule="exact"/>
        <w:rPr>
          <w:rFonts w:ascii="Times New Roman" w:cs="Times New Roman" w:eastAsia="Times New Roman" w:hAnsi="Times New Roman"/>
          <w:sz w:val="14"/>
          <w:szCs w:val="14"/>
          <w:color w:val="auto"/>
        </w:rPr>
      </w:pPr>
    </w:p>
    <w:p>
      <w:pPr>
        <w:ind w:left="1340" w:hanging="342"/>
        <w:spacing w:after="0"/>
        <w:tabs>
          <w:tab w:leader="none" w:pos="134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copy of each Indenture referred to in Item 4. Not applicable.</w:t>
      </w:r>
    </w:p>
    <w:p>
      <w:pPr>
        <w:spacing w:after="0" w:line="100" w:lineRule="exact"/>
        <w:rPr>
          <w:rFonts w:ascii="Times New Roman" w:cs="Times New Roman" w:eastAsia="Times New Roman" w:hAnsi="Times New Roman"/>
          <w:sz w:val="14"/>
          <w:szCs w:val="14"/>
          <w:color w:val="auto"/>
        </w:rPr>
      </w:pPr>
    </w:p>
    <w:p>
      <w:pPr>
        <w:ind w:left="1340" w:hanging="342"/>
        <w:spacing w:after="0"/>
        <w:tabs>
          <w:tab w:leader="none" w:pos="134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consent of the Trustee required by Section 321(b) of the Trust Indenture Act of 1939, attached as Exhibit 6.</w:t>
      </w:r>
    </w:p>
    <w:p>
      <w:pPr>
        <w:spacing w:after="0" w:line="100" w:lineRule="exact"/>
        <w:rPr>
          <w:rFonts w:ascii="Times New Roman" w:cs="Times New Roman" w:eastAsia="Times New Roman" w:hAnsi="Times New Roman"/>
          <w:sz w:val="14"/>
          <w:szCs w:val="14"/>
          <w:color w:val="auto"/>
        </w:rPr>
      </w:pPr>
    </w:p>
    <w:p>
      <w:pPr>
        <w:ind w:left="1340" w:right="759" w:hanging="342"/>
        <w:spacing w:after="0" w:line="281" w:lineRule="auto"/>
        <w:tabs>
          <w:tab w:leader="none" w:pos="134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Report of Condition of the Trustee as of March 31, 2026, published pursuant to law or the requirements of its supervising or examining authority, attached as Exhibit 7.</w:t>
      </w:r>
    </w:p>
    <w:p>
      <w:pPr>
        <w:sectPr>
          <w:pgSz w:w="11900" w:h="16838" w:orient="portrait"/>
          <w:cols w:equalWidth="0" w:num="1">
            <w:col w:w="9019"/>
          </w:cols>
          <w:pgMar w:left="1440" w:top="230" w:right="1440" w:bottom="1440" w:gutter="0" w:footer="0" w:header="0"/>
        </w:sectPr>
      </w:pPr>
    </w:p>
    <w:bookmarkStart w:id="101" w:name="page102"/>
    <w:bookmarkEnd w:id="101"/>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59">
                      <a:extLst>
                        <a:ext uri="{28A0092B-C50C-407E-A947-70E740481C1C}"/>
                      </a:extLst>
                    </a:blip>
                    <a:srcRect/>
                    <a:stretch>
                      <a:fillRect/>
                    </a:stretch>
                  </pic:blipFill>
                  <pic:spPr bwMode="auto">
                    <a:xfrm>
                      <a:off x="0" y="0"/>
                      <a:ext cx="7201535" cy="32385"/>
                    </a:xfrm>
                    <a:prstGeom prst="rect">
                      <a:avLst/>
                    </a:prstGeom>
                    <a:noFill/>
                  </pic:spPr>
                </pic:pic>
              </a:graphicData>
            </a:graphic>
          </wp:anchor>
        </w:drawing>
        <w:t>SIGNATURE</w:t>
      </w:r>
    </w:p>
    <w:p>
      <w:pPr>
        <w:spacing w:after="0" w:line="176" w:lineRule="exact"/>
        <w:rPr>
          <w:sz w:val="20"/>
          <w:szCs w:val="20"/>
          <w:color w:val="auto"/>
        </w:rPr>
      </w:pPr>
    </w:p>
    <w:p>
      <w:pPr>
        <w:ind w:left="240" w:right="259" w:firstLine="341"/>
        <w:spacing w:after="0" w:line="260" w:lineRule="auto"/>
        <w:rPr>
          <w:sz w:val="20"/>
          <w:szCs w:val="20"/>
          <w:color w:val="auto"/>
        </w:rPr>
      </w:pPr>
      <w:r>
        <w:rPr>
          <w:rFonts w:ascii="Times New Roman" w:cs="Times New Roman" w:eastAsia="Times New Roman" w:hAnsi="Times New Roman"/>
          <w:sz w:val="14"/>
          <w:szCs w:val="14"/>
          <w:color w:val="auto"/>
        </w:rPr>
        <w:t>Pursuant to the requirements of the Trust Indenture Act of 1939, as amended, the Trustee, U.S. BANK TRUST COMPANY, NATIONAL ASSOCIATION, a national banking association organized and existing under the laws of the United States of America, has duly caused this statement of eligibility and qualification to be signed on its behalf by the undersigned, thereunto duly authorized, all in the City of St. Paul, State of Minnesota on the 26th of June, 2026.</w:t>
      </w:r>
    </w:p>
    <w:p>
      <w:pPr>
        <w:spacing w:after="0" w:line="160"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By: /s/ Joshua A. Hahn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3584575</wp:posOffset>
            </wp:positionH>
            <wp:positionV relativeFrom="paragraph">
              <wp:posOffset>13335</wp:posOffset>
            </wp:positionV>
            <wp:extent cx="1986915" cy="635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60">
                      <a:extLst>
                        <a:ext uri="{28A0092B-C50C-407E-A947-70E740481C1C}"/>
                      </a:extLst>
                    </a:blip>
                    <a:srcRect/>
                    <a:stretch>
                      <a:fillRect/>
                    </a:stretch>
                  </pic:blipFill>
                  <pic:spPr bwMode="auto">
                    <a:xfrm>
                      <a:off x="0" y="0"/>
                      <a:ext cx="1986915" cy="6350"/>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color w:val="auto"/>
        </w:rPr>
        <w:t>Joshua A. Hahn</w:t>
      </w:r>
    </w:p>
    <w:p>
      <w:pPr>
        <w:spacing w:after="0" w:line="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color w:val="auto"/>
        </w:rPr>
        <w:t>Vice President</w:t>
      </w:r>
    </w:p>
    <w:p>
      <w:pPr>
        <w:sectPr>
          <w:pgSz w:w="11900" w:h="16838" w:orient="portrait"/>
          <w:cols w:equalWidth="0" w:num="1">
            <w:col w:w="9019"/>
          </w:cols>
          <w:pgMar w:left="1440" w:top="238" w:right="1440" w:bottom="1440" w:gutter="0" w:footer="0" w:header="0"/>
        </w:sectPr>
      </w:pPr>
    </w:p>
    <w:bookmarkStart w:id="102" w:name="page103"/>
    <w:bookmarkEnd w:id="102"/>
    <w:p>
      <w:pPr>
        <w:jc w:val="center"/>
        <w:ind w:right="19"/>
        <w:spacing w:after="0"/>
        <w:rPr>
          <w:sz w:val="20"/>
          <w:szCs w:val="20"/>
          <w:color w:val="auto"/>
        </w:rPr>
      </w:pPr>
      <w:r>
        <w:rPr>
          <w:rFonts w:ascii="Times New Roman" w:cs="Times New Roman" w:eastAsia="Times New Roman" w:hAnsi="Times New Roman"/>
          <w:sz w:val="14"/>
          <w:szCs w:val="14"/>
          <w:b w:val="1"/>
          <w:bCs w:val="1"/>
          <w:u w:val="single" w:color="auto"/>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61">
                      <a:extLst>
                        <a:ext uri="{28A0092B-C50C-407E-A947-70E740481C1C}"/>
                      </a:extLst>
                    </a:blip>
                    <a:srcRect/>
                    <a:stretch>
                      <a:fillRect/>
                    </a:stretch>
                  </pic:blipFill>
                  <pic:spPr bwMode="auto">
                    <a:xfrm>
                      <a:off x="0" y="0"/>
                      <a:ext cx="7201535" cy="32385"/>
                    </a:xfrm>
                    <a:prstGeom prst="rect">
                      <a:avLst/>
                    </a:prstGeom>
                    <a:noFill/>
                  </pic:spPr>
                </pic:pic>
              </a:graphicData>
            </a:graphic>
          </wp:anchor>
        </w:drawing>
        <w:t>Exhibit 1</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ARTICLES OF ASSOCIATION</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OF</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U. S. BANK TRUST COMPANY, NATIONAL ASSOCIATION</w:t>
      </w:r>
    </w:p>
    <w:p>
      <w:pPr>
        <w:spacing w:after="0" w:line="159" w:lineRule="exact"/>
        <w:rPr>
          <w:sz w:val="20"/>
          <w:szCs w:val="20"/>
          <w:color w:val="auto"/>
        </w:rPr>
      </w:pPr>
    </w:p>
    <w:p>
      <w:pPr>
        <w:ind w:left="240" w:right="679"/>
        <w:spacing w:after="0" w:line="281" w:lineRule="auto"/>
        <w:rPr>
          <w:sz w:val="20"/>
          <w:szCs w:val="20"/>
          <w:color w:val="auto"/>
        </w:rPr>
      </w:pPr>
      <w:r>
        <w:rPr>
          <w:rFonts w:ascii="Times New Roman" w:cs="Times New Roman" w:eastAsia="Times New Roman" w:hAnsi="Times New Roman"/>
          <w:sz w:val="14"/>
          <w:szCs w:val="14"/>
          <w:color w:val="auto"/>
        </w:rPr>
        <w:t>For the purpose of organizing an association (the “Association”) to perform any lawful activities of national banks, the undersigned enter into the following Articles of Association:</w:t>
      </w:r>
    </w:p>
    <w:p>
      <w:pPr>
        <w:spacing w:after="0" w:line="12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b w:val="1"/>
          <w:bCs w:val="1"/>
          <w:color w:val="auto"/>
        </w:rPr>
        <w:t xml:space="preserve">FIRST. </w:t>
      </w:r>
      <w:r>
        <w:rPr>
          <w:rFonts w:ascii="Times New Roman" w:cs="Times New Roman" w:eastAsia="Times New Roman" w:hAnsi="Times New Roman"/>
          <w:sz w:val="14"/>
          <w:szCs w:val="14"/>
          <w:color w:val="auto"/>
        </w:rPr>
        <w:t>The title of this Association shall be U. S. Bank Trust Company, National Association.</w:t>
      </w:r>
    </w:p>
    <w:p>
      <w:pPr>
        <w:spacing w:after="0" w:line="174" w:lineRule="exact"/>
        <w:rPr>
          <w:sz w:val="20"/>
          <w:szCs w:val="20"/>
          <w:color w:val="auto"/>
        </w:rPr>
      </w:pPr>
    </w:p>
    <w:p>
      <w:pPr>
        <w:jc w:val="both"/>
        <w:ind w:left="240" w:right="419"/>
        <w:spacing w:after="0" w:line="266" w:lineRule="auto"/>
        <w:rPr>
          <w:sz w:val="20"/>
          <w:szCs w:val="20"/>
          <w:color w:val="auto"/>
        </w:rPr>
      </w:pPr>
      <w:r>
        <w:rPr>
          <w:rFonts w:ascii="Times New Roman" w:cs="Times New Roman" w:eastAsia="Times New Roman" w:hAnsi="Times New Roman"/>
          <w:sz w:val="14"/>
          <w:szCs w:val="14"/>
          <w:b w:val="1"/>
          <w:bCs w:val="1"/>
          <w:color w:val="auto"/>
        </w:rPr>
        <w:t xml:space="preserve">SECOND. </w:t>
      </w:r>
      <w:r>
        <w:rPr>
          <w:rFonts w:ascii="Times New Roman" w:cs="Times New Roman" w:eastAsia="Times New Roman" w:hAnsi="Times New Roman"/>
          <w:sz w:val="14"/>
          <w:szCs w:val="14"/>
          <w:color w:val="auto"/>
        </w:rPr>
        <w:t>The main office of the Association shall be in the city of Portland, county of Multnomah, state of Oregon. The business of the Association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will be limited to fiduciary powers and the support of activities incidental to the exercise of those powers. The Association may not expand or alter its business beyond that stated in this article without the prior approval of the Comptroller of the Currency.</w:t>
      </w:r>
    </w:p>
    <w:p>
      <w:pPr>
        <w:spacing w:after="0" w:line="134" w:lineRule="exact"/>
        <w:rPr>
          <w:sz w:val="20"/>
          <w:szCs w:val="20"/>
          <w:color w:val="auto"/>
        </w:rPr>
      </w:pPr>
    </w:p>
    <w:p>
      <w:pPr>
        <w:jc w:val="both"/>
        <w:ind w:left="240" w:right="259"/>
        <w:spacing w:after="0" w:line="275" w:lineRule="auto"/>
        <w:rPr>
          <w:sz w:val="20"/>
          <w:szCs w:val="20"/>
          <w:color w:val="auto"/>
        </w:rPr>
      </w:pPr>
      <w:r>
        <w:rPr>
          <w:rFonts w:ascii="Times New Roman" w:cs="Times New Roman" w:eastAsia="Times New Roman" w:hAnsi="Times New Roman"/>
          <w:sz w:val="13"/>
          <w:szCs w:val="13"/>
          <w:b w:val="1"/>
          <w:bCs w:val="1"/>
          <w:color w:val="auto"/>
        </w:rPr>
        <w:t xml:space="preserve">THIRD. </w:t>
      </w:r>
      <w:r>
        <w:rPr>
          <w:rFonts w:ascii="Times New Roman" w:cs="Times New Roman" w:eastAsia="Times New Roman" w:hAnsi="Times New Roman"/>
          <w:sz w:val="13"/>
          <w:szCs w:val="13"/>
          <w:color w:val="auto"/>
        </w:rPr>
        <w:t>The board of directors of the Association shall consist of not less than five nor more than twenty-five persons, the exact number to be fixed and</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determined from time to time by resolution of a majority of the full board of directors or by resolution of a majority of the shareholders at any annual or special meeting thereof. Each director shall own common or preferred stock of the Association or of a holding company owning the Association, with an aggregate par, fair market, or equity value of not less than $1,000, as of either (i) the date of purchase, (ii) the date the person became a director, or</w:t>
      </w:r>
    </w:p>
    <w:p>
      <w:pPr>
        <w:spacing w:after="0" w:line="1" w:lineRule="exact"/>
        <w:rPr>
          <w:sz w:val="20"/>
          <w:szCs w:val="20"/>
          <w:color w:val="auto"/>
        </w:rPr>
      </w:pPr>
    </w:p>
    <w:p>
      <w:pPr>
        <w:ind w:left="240" w:right="299" w:hanging="5"/>
        <w:spacing w:after="0" w:line="259" w:lineRule="auto"/>
        <w:tabs>
          <w:tab w:leader="none" w:pos="484"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 of that person’s most recent election to the board of directors, whichever is more recent. Any combination of common or preferred stock of the Association or holding company may be used.</w:t>
      </w:r>
    </w:p>
    <w:p>
      <w:pPr>
        <w:spacing w:after="0" w:line="140" w:lineRule="exact"/>
        <w:rPr>
          <w:sz w:val="20"/>
          <w:szCs w:val="20"/>
          <w:color w:val="auto"/>
        </w:rPr>
      </w:pPr>
    </w:p>
    <w:p>
      <w:pPr>
        <w:ind w:left="240" w:right="279"/>
        <w:spacing w:after="0" w:line="257" w:lineRule="auto"/>
        <w:rPr>
          <w:sz w:val="20"/>
          <w:szCs w:val="20"/>
          <w:color w:val="auto"/>
        </w:rPr>
      </w:pPr>
      <w:r>
        <w:rPr>
          <w:rFonts w:ascii="Times New Roman" w:cs="Times New Roman" w:eastAsia="Times New Roman" w:hAnsi="Times New Roman"/>
          <w:sz w:val="14"/>
          <w:szCs w:val="14"/>
          <w:color w:val="auto"/>
        </w:rPr>
        <w:t>Any vacancy in the board of directors may be filled by action of a majority of the remaining directors between meetings of shareholders. The board of directors may increase the number of directors up to the maximum permitted by law. Terms of directors, including directors selected to fill vacancies, shall expire at the next regular meeting of shareholders at which directors are elected, unless the directors resign or are removed from office. Despite the expiration of a director’s term, the director shall continue to serve until his or her successor is elected and qualified or until there is a decrease in the number of directors and his or her position is eliminated.</w:t>
      </w:r>
    </w:p>
    <w:p>
      <w:pPr>
        <w:spacing w:after="0" w:line="143" w:lineRule="exact"/>
        <w:rPr>
          <w:sz w:val="20"/>
          <w:szCs w:val="20"/>
          <w:color w:val="auto"/>
        </w:rPr>
      </w:pPr>
    </w:p>
    <w:p>
      <w:pPr>
        <w:ind w:left="240" w:right="459"/>
        <w:spacing w:after="0" w:line="260" w:lineRule="auto"/>
        <w:rPr>
          <w:sz w:val="20"/>
          <w:szCs w:val="20"/>
          <w:color w:val="auto"/>
        </w:rPr>
      </w:pPr>
      <w:r>
        <w:rPr>
          <w:rFonts w:ascii="Times New Roman" w:cs="Times New Roman" w:eastAsia="Times New Roman" w:hAnsi="Times New Roman"/>
          <w:sz w:val="14"/>
          <w:szCs w:val="14"/>
          <w:color w:val="auto"/>
        </w:rPr>
        <w:t>Honorary or advisory members of the board of directors, without voting power or power of final decision in matters concerning the business of the Association, may be appointed by resolution of a majority of the full board of directors, or by resolution of shareholders at any annual or special meeting. Honorary or advisory directors shall not be counted to determined the number of directors of the Association or the presence of a quorum in connection with any board action, and shall not be required to own qualifying shares.</w:t>
      </w:r>
    </w:p>
    <w:p>
      <w:pPr>
        <w:spacing w:after="0" w:line="138" w:lineRule="exact"/>
        <w:rPr>
          <w:sz w:val="20"/>
          <w:szCs w:val="20"/>
          <w:color w:val="auto"/>
        </w:rPr>
      </w:pPr>
    </w:p>
    <w:p>
      <w:pPr>
        <w:ind w:left="240" w:right="299"/>
        <w:spacing w:after="0" w:line="266" w:lineRule="auto"/>
        <w:rPr>
          <w:sz w:val="20"/>
          <w:szCs w:val="20"/>
          <w:color w:val="auto"/>
        </w:rPr>
      </w:pPr>
      <w:r>
        <w:rPr>
          <w:rFonts w:ascii="Times New Roman" w:cs="Times New Roman" w:eastAsia="Times New Roman" w:hAnsi="Times New Roman"/>
          <w:sz w:val="14"/>
          <w:szCs w:val="14"/>
          <w:b w:val="1"/>
          <w:bCs w:val="1"/>
          <w:color w:val="auto"/>
        </w:rPr>
        <w:t xml:space="preserve">FOURTH. </w:t>
      </w:r>
      <w:r>
        <w:rPr>
          <w:rFonts w:ascii="Times New Roman" w:cs="Times New Roman" w:eastAsia="Times New Roman" w:hAnsi="Times New Roman"/>
          <w:sz w:val="14"/>
          <w:szCs w:val="14"/>
          <w:color w:val="auto"/>
        </w:rPr>
        <w:t>There shall be an annual meeting of the shareholders to elect directors and transact whatever other business may be brought before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meeting. It shall be held at the main office or any other convenient place the board of directors may designate, on the day of each year specified therefor in the Bylaws, or if that day falls on a legal holiday in the state in which the</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- 1 -</w:t>
      </w:r>
    </w:p>
    <w:p>
      <w:pPr>
        <w:sectPr>
          <w:pgSz w:w="11900" w:h="16838" w:orient="portrait"/>
          <w:cols w:equalWidth="0" w:num="1">
            <w:col w:w="9019"/>
          </w:cols>
          <w:pgMar w:left="1440" w:top="238" w:right="1440" w:bottom="1440" w:gutter="0" w:footer="0" w:header="0"/>
        </w:sectPr>
      </w:pPr>
    </w:p>
    <w:bookmarkStart w:id="103" w:name="page104"/>
    <w:bookmarkEnd w:id="103"/>
    <w:p>
      <w:pPr>
        <w:ind w:left="240" w:right="299"/>
        <w:spacing w:after="0" w:line="260"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62">
                      <a:extLst>
                        <a:ext uri="{28A0092B-C50C-407E-A947-70E740481C1C}"/>
                      </a:extLst>
                    </a:blip>
                    <a:srcRect/>
                    <a:stretch>
                      <a:fillRect/>
                    </a:stretch>
                  </pic:blipFill>
                  <pic:spPr bwMode="auto">
                    <a:xfrm>
                      <a:off x="0" y="0"/>
                      <a:ext cx="7201535" cy="32385"/>
                    </a:xfrm>
                    <a:prstGeom prst="rect">
                      <a:avLst/>
                    </a:prstGeom>
                    <a:noFill/>
                  </pic:spPr>
                </pic:pic>
              </a:graphicData>
            </a:graphic>
          </wp:anchor>
        </w:drawing>
        <w:t>Association is located, on the next following banking day. If no election is held on the day fixed or in the event of a legal holiday on the following banking day, an election may be held on any subsequent day within 60 days of the day fixed, to be designated by the board of directors, or, if the directors fail to fix the day, by shareholders representing two-thirds of the shares issued and outstanding. In all cases, at least 10 days’ advance notice of the meeting shall be given to the shareholders by first-class mail.</w:t>
      </w:r>
    </w:p>
    <w:p>
      <w:pPr>
        <w:spacing w:after="0" w:line="140" w:lineRule="exact"/>
        <w:rPr>
          <w:sz w:val="20"/>
          <w:szCs w:val="20"/>
          <w:color w:val="auto"/>
        </w:rPr>
      </w:pPr>
    </w:p>
    <w:p>
      <w:pPr>
        <w:ind w:left="240" w:right="359"/>
        <w:spacing w:after="0" w:line="260" w:lineRule="auto"/>
        <w:rPr>
          <w:sz w:val="20"/>
          <w:szCs w:val="20"/>
          <w:color w:val="auto"/>
        </w:rPr>
      </w:pPr>
      <w:r>
        <w:rPr>
          <w:rFonts w:ascii="Times New Roman" w:cs="Times New Roman" w:eastAsia="Times New Roman" w:hAnsi="Times New Roman"/>
          <w:sz w:val="14"/>
          <w:szCs w:val="14"/>
          <w:color w:val="auto"/>
        </w:rPr>
        <w:t>In all elections of directors, the number of votes each common shareholder may cast will be determined by multiplying the number of shares he or she owns by the number of directors to be elected. Those votes may be cumulated and cast for a single candidate or may be distributed among two or more candidates in the manner selected by the shareholder. On all other questions, each common shareholder shall be entitled to one vote for each share of stock held by him or her.</w:t>
      </w:r>
    </w:p>
    <w:p>
      <w:pPr>
        <w:spacing w:after="0" w:line="140" w:lineRule="exact"/>
        <w:rPr>
          <w:sz w:val="20"/>
          <w:szCs w:val="20"/>
          <w:color w:val="auto"/>
        </w:rPr>
      </w:pPr>
    </w:p>
    <w:p>
      <w:pPr>
        <w:ind w:left="240" w:right="319"/>
        <w:spacing w:after="0" w:line="281" w:lineRule="auto"/>
        <w:rPr>
          <w:sz w:val="20"/>
          <w:szCs w:val="20"/>
          <w:color w:val="auto"/>
        </w:rPr>
      </w:pPr>
      <w:r>
        <w:rPr>
          <w:rFonts w:ascii="Times New Roman" w:cs="Times New Roman" w:eastAsia="Times New Roman" w:hAnsi="Times New Roman"/>
          <w:sz w:val="14"/>
          <w:szCs w:val="14"/>
          <w:color w:val="auto"/>
        </w:rPr>
        <w:t>A director may resign at any time by delivering written notice to the board of directors, its chairperson, or to the Association, which resignation shall be effective when the notice is delivered unless the notice specifies a later effective date.</w:t>
      </w:r>
    </w:p>
    <w:p>
      <w:pPr>
        <w:spacing w:after="0" w:line="125" w:lineRule="exact"/>
        <w:rPr>
          <w:sz w:val="20"/>
          <w:szCs w:val="20"/>
          <w:color w:val="auto"/>
        </w:rPr>
      </w:pPr>
    </w:p>
    <w:p>
      <w:pPr>
        <w:ind w:left="240" w:right="339"/>
        <w:spacing w:after="0" w:line="260" w:lineRule="auto"/>
        <w:rPr>
          <w:sz w:val="20"/>
          <w:szCs w:val="20"/>
          <w:color w:val="auto"/>
        </w:rPr>
      </w:pPr>
      <w:r>
        <w:rPr>
          <w:rFonts w:ascii="Times New Roman" w:cs="Times New Roman" w:eastAsia="Times New Roman" w:hAnsi="Times New Roman"/>
          <w:sz w:val="14"/>
          <w:szCs w:val="14"/>
          <w:color w:val="auto"/>
        </w:rPr>
        <w:t>A director may be removed by the shareholders at a meeting called to remove him or her, when notice of the meeting stating that the purpose or one of the purposes is to remove him or her is provided, if there is a failure to fulfill one of the affirmative requirements for qualification, or for cause; provided, however, that a director may not be removed if the number of votes sufficient to elect him or her under cumulative voting is voted against his or her removal.</w:t>
      </w:r>
    </w:p>
    <w:p>
      <w:pPr>
        <w:spacing w:after="0" w:line="138" w:lineRule="exact"/>
        <w:rPr>
          <w:sz w:val="20"/>
          <w:szCs w:val="20"/>
          <w:color w:val="auto"/>
        </w:rPr>
      </w:pPr>
    </w:p>
    <w:p>
      <w:pPr>
        <w:ind w:left="240" w:right="279"/>
        <w:spacing w:after="0" w:line="266" w:lineRule="auto"/>
        <w:rPr>
          <w:sz w:val="20"/>
          <w:szCs w:val="20"/>
          <w:color w:val="auto"/>
        </w:rPr>
      </w:pPr>
      <w:r>
        <w:rPr>
          <w:rFonts w:ascii="Times New Roman" w:cs="Times New Roman" w:eastAsia="Times New Roman" w:hAnsi="Times New Roman"/>
          <w:sz w:val="14"/>
          <w:szCs w:val="14"/>
          <w:b w:val="1"/>
          <w:bCs w:val="1"/>
          <w:color w:val="auto"/>
        </w:rPr>
        <w:t xml:space="preserve">FIFTH. </w:t>
      </w:r>
      <w:r>
        <w:rPr>
          <w:rFonts w:ascii="Times New Roman" w:cs="Times New Roman" w:eastAsia="Times New Roman" w:hAnsi="Times New Roman"/>
          <w:sz w:val="14"/>
          <w:szCs w:val="14"/>
          <w:color w:val="auto"/>
        </w:rPr>
        <w:t>The authorized amount of capital stock of the Association shall be 1,000,000 shares of common stock of the par value of ten dollars ($10) each;</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but said capital stock may be increased or decreased from time to time, according to the provisions of the laws of the United States. The Association shall have only one class of capital stock.</w:t>
      </w:r>
    </w:p>
    <w:p>
      <w:pPr>
        <w:spacing w:after="0" w:line="136" w:lineRule="exact"/>
        <w:rPr>
          <w:sz w:val="20"/>
          <w:szCs w:val="20"/>
          <w:color w:val="auto"/>
        </w:rPr>
      </w:pPr>
    </w:p>
    <w:p>
      <w:pPr>
        <w:ind w:left="240" w:right="319"/>
        <w:spacing w:after="0" w:line="260" w:lineRule="auto"/>
        <w:rPr>
          <w:sz w:val="20"/>
          <w:szCs w:val="20"/>
          <w:color w:val="auto"/>
        </w:rPr>
      </w:pPr>
      <w:r>
        <w:rPr>
          <w:rFonts w:ascii="Times New Roman" w:cs="Times New Roman" w:eastAsia="Times New Roman" w:hAnsi="Times New Roman"/>
          <w:sz w:val="14"/>
          <w:szCs w:val="14"/>
          <w:color w:val="auto"/>
        </w:rPr>
        <w:t>No holder of shares of the capital stock of any class of the Association shall have any preemptive or preferential right of subscription to any shares of any class of stock of the Association, whether now or hereafter authorized, or to any obligations convertible into stock of the Association, issued, or sold, nor any right of subscription to any thereof other than such, if any, as the board of directors, in its discretion, may from time to time determine and at such price as the board of directors may from time to time fix.</w:t>
      </w:r>
    </w:p>
    <w:p>
      <w:pPr>
        <w:spacing w:after="0" w:line="140" w:lineRule="exact"/>
        <w:rPr>
          <w:sz w:val="20"/>
          <w:szCs w:val="20"/>
          <w:color w:val="auto"/>
        </w:rPr>
      </w:pPr>
    </w:p>
    <w:p>
      <w:pPr>
        <w:ind w:left="240" w:right="539"/>
        <w:spacing w:after="0" w:line="281" w:lineRule="auto"/>
        <w:rPr>
          <w:sz w:val="20"/>
          <w:szCs w:val="20"/>
          <w:color w:val="auto"/>
        </w:rPr>
      </w:pPr>
      <w:r>
        <w:rPr>
          <w:rFonts w:ascii="Times New Roman" w:cs="Times New Roman" w:eastAsia="Times New Roman" w:hAnsi="Times New Roman"/>
          <w:sz w:val="14"/>
          <w:szCs w:val="14"/>
          <w:color w:val="auto"/>
        </w:rPr>
        <w:t>Transfers of the Association’s stock are subject to the prior written approval of a federal depository institution regulatory agency. If no other agency approval is required, the approval of the Comptroller of the Currency must be obtained prior to any such transfers.</w:t>
      </w:r>
    </w:p>
    <w:p>
      <w:pPr>
        <w:spacing w:after="0" w:line="125" w:lineRule="exact"/>
        <w:rPr>
          <w:sz w:val="20"/>
          <w:szCs w:val="20"/>
          <w:color w:val="auto"/>
        </w:rPr>
      </w:pPr>
    </w:p>
    <w:p>
      <w:pPr>
        <w:jc w:val="both"/>
        <w:ind w:left="240" w:right="439"/>
        <w:spacing w:after="0" w:line="265" w:lineRule="auto"/>
        <w:rPr>
          <w:sz w:val="20"/>
          <w:szCs w:val="20"/>
          <w:color w:val="auto"/>
        </w:rPr>
      </w:pPr>
      <w:r>
        <w:rPr>
          <w:rFonts w:ascii="Times New Roman" w:cs="Times New Roman" w:eastAsia="Times New Roman" w:hAnsi="Times New Roman"/>
          <w:sz w:val="14"/>
          <w:szCs w:val="14"/>
          <w:color w:val="auto"/>
        </w:rPr>
        <w:t>Unless otherwise specified in the Articles of Association or required by law, (1) all matters requiring shareholder action, including amendments to the Articles of Association must be approved by shareholders owning a majority voting interest in the outstanding voting stock, and (2) each shareholder shall be entitled to one vote per share.</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w:t>
      </w:r>
    </w:p>
    <w:p>
      <w:pPr>
        <w:sectPr>
          <w:pgSz w:w="11900" w:h="16838" w:orient="portrait"/>
          <w:cols w:equalWidth="0" w:num="1">
            <w:col w:w="9019"/>
          </w:cols>
          <w:pgMar w:left="1440" w:top="240" w:right="1440" w:bottom="1440" w:gutter="0" w:footer="0" w:header="0"/>
        </w:sectPr>
      </w:pPr>
    </w:p>
    <w:bookmarkStart w:id="104" w:name="page105"/>
    <w:bookmarkEnd w:id="104"/>
    <w:p>
      <w:pPr>
        <w:ind w:left="240" w:right="359"/>
        <w:spacing w:after="0" w:line="281"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63">
                      <a:extLst>
                        <a:ext uri="{28A0092B-C50C-407E-A947-70E740481C1C}"/>
                      </a:extLst>
                    </a:blip>
                    <a:srcRect/>
                    <a:stretch>
                      <a:fillRect/>
                    </a:stretch>
                  </pic:blipFill>
                  <pic:spPr bwMode="auto">
                    <a:xfrm>
                      <a:off x="0" y="0"/>
                      <a:ext cx="7201535" cy="32385"/>
                    </a:xfrm>
                    <a:prstGeom prst="rect">
                      <a:avLst/>
                    </a:prstGeom>
                    <a:noFill/>
                  </pic:spPr>
                </pic:pic>
              </a:graphicData>
            </a:graphic>
          </wp:anchor>
        </w:drawing>
        <w:t>Unless otherwise specified in the Articles of Association or required by law, all shares of voting stock shall be voted together as a class, on any matters requiring shareholder approval.</w:t>
      </w:r>
    </w:p>
    <w:p>
      <w:pPr>
        <w:spacing w:after="0" w:line="125" w:lineRule="exact"/>
        <w:rPr>
          <w:sz w:val="20"/>
          <w:szCs w:val="20"/>
          <w:color w:val="auto"/>
        </w:rPr>
      </w:pPr>
    </w:p>
    <w:p>
      <w:pPr>
        <w:ind w:left="240" w:right="419"/>
        <w:spacing w:after="0" w:line="265" w:lineRule="auto"/>
        <w:rPr>
          <w:sz w:val="20"/>
          <w:szCs w:val="20"/>
          <w:color w:val="auto"/>
        </w:rPr>
      </w:pPr>
      <w:r>
        <w:rPr>
          <w:rFonts w:ascii="Times New Roman" w:cs="Times New Roman" w:eastAsia="Times New Roman" w:hAnsi="Times New Roman"/>
          <w:sz w:val="14"/>
          <w:szCs w:val="14"/>
          <w:color w:val="auto"/>
        </w:rPr>
        <w:t>Unless otherwise provided in the Bylaws, the record date for determining shareholders entitled to notice of and to vote at any meeting is the close of business on the day before the first notice is mailed or otherwise sent to the shareholders, provided that in no event may a record date be more than 70 days before the meeting.</w:t>
      </w:r>
    </w:p>
    <w:p>
      <w:pPr>
        <w:spacing w:after="0" w:line="136" w:lineRule="exact"/>
        <w:rPr>
          <w:sz w:val="20"/>
          <w:szCs w:val="20"/>
          <w:color w:val="auto"/>
        </w:rPr>
      </w:pPr>
    </w:p>
    <w:p>
      <w:pPr>
        <w:ind w:left="240" w:right="279"/>
        <w:spacing w:after="0" w:line="260" w:lineRule="auto"/>
        <w:rPr>
          <w:sz w:val="20"/>
          <w:szCs w:val="20"/>
          <w:color w:val="auto"/>
        </w:rPr>
      </w:pPr>
      <w:r>
        <w:rPr>
          <w:rFonts w:ascii="Times New Roman" w:cs="Times New Roman" w:eastAsia="Times New Roman" w:hAnsi="Times New Roman"/>
          <w:sz w:val="14"/>
          <w:szCs w:val="14"/>
          <w:color w:val="auto"/>
        </w:rPr>
        <w:t>The Association, at any time and from time to time, may authorize and issue debt obligations, whether subordinated, without the approval of the shareholders. Obligations classified as debt, whether subordinated, which may be issued by the Association without the approval of shareholders, do not carry voting rights on any issue, including an increase or decrease in the aggregate number of the securities, or the exchange or reclassification of all or part of securities into securities of another class or series.</w:t>
      </w:r>
    </w:p>
    <w:p>
      <w:pPr>
        <w:spacing w:after="0" w:line="138" w:lineRule="exact"/>
        <w:rPr>
          <w:sz w:val="20"/>
          <w:szCs w:val="20"/>
          <w:color w:val="auto"/>
        </w:rPr>
      </w:pPr>
    </w:p>
    <w:p>
      <w:pPr>
        <w:ind w:left="240" w:right="299"/>
        <w:spacing w:after="0" w:line="258" w:lineRule="auto"/>
        <w:rPr>
          <w:sz w:val="20"/>
          <w:szCs w:val="20"/>
          <w:color w:val="auto"/>
        </w:rPr>
      </w:pPr>
      <w:r>
        <w:rPr>
          <w:rFonts w:ascii="Times New Roman" w:cs="Times New Roman" w:eastAsia="Times New Roman" w:hAnsi="Times New Roman"/>
          <w:sz w:val="14"/>
          <w:szCs w:val="14"/>
          <w:b w:val="1"/>
          <w:bCs w:val="1"/>
          <w:color w:val="auto"/>
        </w:rPr>
        <w:t xml:space="preserve">SIXTH. </w:t>
      </w:r>
      <w:r>
        <w:rPr>
          <w:rFonts w:ascii="Times New Roman" w:cs="Times New Roman" w:eastAsia="Times New Roman" w:hAnsi="Times New Roman"/>
          <w:sz w:val="14"/>
          <w:szCs w:val="14"/>
          <w:color w:val="auto"/>
        </w:rPr>
        <w:t>The board of directors shall appoint one of its members president of this Association and one of its members chairperson of the board and shall</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have the power to appoint one or more vice presidents, a secretary who shall keep minutes of the directors’ and shareholders’ meetings and be responsible for authenticating the records of the Association, and such other officers and employees as may be required to transact the business of this Association. A duly appointed officer may appoint one or more officers or assistant officers if authorized by the board of directors in accordance with the Bylaws.</w:t>
      </w:r>
    </w:p>
    <w:p>
      <w:pPr>
        <w:spacing w:after="0" w:line="14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The board of directors shall have the power to:</w:t>
      </w:r>
    </w:p>
    <w:p>
      <w:pPr>
        <w:spacing w:after="0" w:line="101" w:lineRule="exact"/>
        <w:rPr>
          <w:sz w:val="20"/>
          <w:szCs w:val="20"/>
          <w:color w:val="auto"/>
        </w:rPr>
      </w:pPr>
    </w:p>
    <w:p>
      <w:pPr>
        <w:ind w:left="660" w:hanging="425"/>
        <w:spacing w:after="0"/>
        <w:tabs>
          <w:tab w:leader="none" w:pos="660"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Define the duties of the officers, employees, and agents of the Association.</w:t>
      </w:r>
    </w:p>
    <w:p>
      <w:pPr>
        <w:spacing w:after="0" w:line="100" w:lineRule="exact"/>
        <w:rPr>
          <w:rFonts w:ascii="Times New Roman" w:cs="Times New Roman" w:eastAsia="Times New Roman" w:hAnsi="Times New Roman"/>
          <w:sz w:val="14"/>
          <w:szCs w:val="14"/>
          <w:color w:val="auto"/>
        </w:rPr>
      </w:pPr>
    </w:p>
    <w:p>
      <w:pPr>
        <w:ind w:left="660" w:hanging="425"/>
        <w:spacing w:after="0"/>
        <w:tabs>
          <w:tab w:leader="none" w:pos="660"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Delegate the performance of its duties, but not the responsibility for its duties, to the officers, employees, and agents of the Association.</w:t>
      </w:r>
    </w:p>
    <w:p>
      <w:pPr>
        <w:spacing w:after="0" w:line="100" w:lineRule="exact"/>
        <w:rPr>
          <w:rFonts w:ascii="Times New Roman" w:cs="Times New Roman" w:eastAsia="Times New Roman" w:hAnsi="Times New Roman"/>
          <w:sz w:val="14"/>
          <w:szCs w:val="14"/>
          <w:color w:val="auto"/>
        </w:rPr>
      </w:pPr>
    </w:p>
    <w:p>
      <w:pPr>
        <w:ind w:left="660" w:right="559" w:hanging="425"/>
        <w:spacing w:after="0" w:line="281" w:lineRule="auto"/>
        <w:tabs>
          <w:tab w:leader="none" w:pos="660"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Fix the compensation and enter employment contracts with its officers and employees upon reasonable terms and conditions consistent with applicable law.</w:t>
      </w:r>
    </w:p>
    <w:p>
      <w:pPr>
        <w:spacing w:after="0" w:line="52" w:lineRule="exact"/>
        <w:rPr>
          <w:rFonts w:ascii="Times New Roman" w:cs="Times New Roman" w:eastAsia="Times New Roman" w:hAnsi="Times New Roman"/>
          <w:sz w:val="14"/>
          <w:szCs w:val="14"/>
          <w:color w:val="auto"/>
        </w:rPr>
      </w:pPr>
    </w:p>
    <w:p>
      <w:pPr>
        <w:ind w:left="660" w:hanging="425"/>
        <w:spacing w:after="0"/>
        <w:tabs>
          <w:tab w:leader="none" w:pos="660"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Dismiss officers and employees.</w:t>
      </w:r>
    </w:p>
    <w:p>
      <w:pPr>
        <w:spacing w:after="0" w:line="100" w:lineRule="exact"/>
        <w:rPr>
          <w:rFonts w:ascii="Times New Roman" w:cs="Times New Roman" w:eastAsia="Times New Roman" w:hAnsi="Times New Roman"/>
          <w:sz w:val="14"/>
          <w:szCs w:val="14"/>
          <w:color w:val="auto"/>
        </w:rPr>
      </w:pPr>
    </w:p>
    <w:p>
      <w:pPr>
        <w:ind w:left="660" w:hanging="425"/>
        <w:spacing w:after="0"/>
        <w:tabs>
          <w:tab w:leader="none" w:pos="660"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Require bonds from officers and employees and to fix the penalty thereof.</w:t>
      </w:r>
    </w:p>
    <w:p>
      <w:pPr>
        <w:spacing w:after="0" w:line="100" w:lineRule="exact"/>
        <w:rPr>
          <w:rFonts w:ascii="Times New Roman" w:cs="Times New Roman" w:eastAsia="Times New Roman" w:hAnsi="Times New Roman"/>
          <w:sz w:val="14"/>
          <w:szCs w:val="14"/>
          <w:color w:val="auto"/>
        </w:rPr>
      </w:pPr>
    </w:p>
    <w:p>
      <w:pPr>
        <w:ind w:left="660" w:hanging="425"/>
        <w:spacing w:after="0"/>
        <w:tabs>
          <w:tab w:leader="none" w:pos="660"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Ratify written policies authorized by the Association’s management or committees of the board.</w:t>
      </w:r>
    </w:p>
    <w:p>
      <w:pPr>
        <w:spacing w:after="0" w:line="100" w:lineRule="exact"/>
        <w:rPr>
          <w:rFonts w:ascii="Times New Roman" w:cs="Times New Roman" w:eastAsia="Times New Roman" w:hAnsi="Times New Roman"/>
          <w:sz w:val="14"/>
          <w:szCs w:val="14"/>
          <w:color w:val="auto"/>
        </w:rPr>
      </w:pPr>
    </w:p>
    <w:p>
      <w:pPr>
        <w:ind w:left="660" w:right="619" w:hanging="425"/>
        <w:spacing w:after="0" w:line="265" w:lineRule="auto"/>
        <w:tabs>
          <w:tab w:leader="none" w:pos="660"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Regulate the manner any increase or decrease of the capital of the Association shall be made; provided that nothing herein shall restrict the power of shareholders to increase or decrease the capital of the Association in accordance with law, and nothing shall raise or lower from two-thirds the percentage required for shareholder approval to increase or reduce the capital.</w:t>
      </w:r>
    </w:p>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ectPr>
          <w:pgSz w:w="11900" w:h="16838" w:orient="portrait"/>
          <w:cols w:equalWidth="0" w:num="1">
            <w:col w:w="9019"/>
          </w:cols>
          <w:pgMar w:left="1440" w:top="240" w:right="1440" w:bottom="1440" w:gutter="0" w:footer="0" w:header="0"/>
        </w:sectPr>
      </w:pPr>
    </w:p>
    <w:bookmarkStart w:id="105" w:name="page106"/>
    <w:bookmarkEnd w:id="105"/>
    <w:p>
      <w:pPr>
        <w:ind w:left="560" w:hanging="325"/>
        <w:spacing w:after="0"/>
        <w:tabs>
          <w:tab w:leader="none" w:pos="560"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64">
                      <a:extLst>
                        <a:ext uri="{28A0092B-C50C-407E-A947-70E740481C1C}"/>
                      </a:extLst>
                    </a:blip>
                    <a:srcRect/>
                    <a:stretch>
                      <a:fillRect/>
                    </a:stretch>
                  </pic:blipFill>
                  <pic:spPr bwMode="auto">
                    <a:xfrm>
                      <a:off x="0" y="0"/>
                      <a:ext cx="7201535" cy="32385"/>
                    </a:xfrm>
                    <a:prstGeom prst="rect">
                      <a:avLst/>
                    </a:prstGeom>
                    <a:noFill/>
                  </pic:spPr>
                </pic:pic>
              </a:graphicData>
            </a:graphic>
          </wp:anchor>
        </w:drawing>
        <w:t>Manage and administer the business and affairs of the Association.</w:t>
      </w:r>
    </w:p>
    <w:p>
      <w:pPr>
        <w:spacing w:after="0" w:line="100" w:lineRule="exact"/>
        <w:rPr>
          <w:rFonts w:ascii="Times New Roman" w:cs="Times New Roman" w:eastAsia="Times New Roman" w:hAnsi="Times New Roman"/>
          <w:sz w:val="14"/>
          <w:szCs w:val="14"/>
          <w:color w:val="auto"/>
        </w:rPr>
      </w:pPr>
    </w:p>
    <w:p>
      <w:pPr>
        <w:ind w:left="560" w:right="819" w:hanging="325"/>
        <w:spacing w:after="0" w:line="281" w:lineRule="auto"/>
        <w:tabs>
          <w:tab w:leader="none" w:pos="560"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Adopt initial Bylaws, not inconsistent with law or the Articles of Association, for managing the business and regulating the affairs of the Association.</w:t>
      </w:r>
    </w:p>
    <w:p>
      <w:pPr>
        <w:spacing w:after="0" w:line="52" w:lineRule="exact"/>
        <w:rPr>
          <w:rFonts w:ascii="Times New Roman" w:cs="Times New Roman" w:eastAsia="Times New Roman" w:hAnsi="Times New Roman"/>
          <w:sz w:val="14"/>
          <w:szCs w:val="14"/>
          <w:color w:val="auto"/>
        </w:rPr>
      </w:pPr>
    </w:p>
    <w:p>
      <w:pPr>
        <w:ind w:left="560" w:hanging="325"/>
        <w:spacing w:after="0"/>
        <w:tabs>
          <w:tab w:leader="none" w:pos="560"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Amend or repeal Bylaws, except to the extent that the Articles of Association reserve this power in whole or in part to the shareholders.</w:t>
      </w:r>
    </w:p>
    <w:p>
      <w:pPr>
        <w:spacing w:after="0" w:line="100" w:lineRule="exact"/>
        <w:rPr>
          <w:rFonts w:ascii="Times New Roman" w:cs="Times New Roman" w:eastAsia="Times New Roman" w:hAnsi="Times New Roman"/>
          <w:sz w:val="14"/>
          <w:szCs w:val="14"/>
          <w:color w:val="auto"/>
        </w:rPr>
      </w:pPr>
    </w:p>
    <w:p>
      <w:pPr>
        <w:ind w:left="560" w:hanging="325"/>
        <w:spacing w:after="0"/>
        <w:tabs>
          <w:tab w:leader="none" w:pos="560"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Make contracts.</w:t>
      </w:r>
    </w:p>
    <w:p>
      <w:pPr>
        <w:spacing w:after="0" w:line="100" w:lineRule="exact"/>
        <w:rPr>
          <w:rFonts w:ascii="Times New Roman" w:cs="Times New Roman" w:eastAsia="Times New Roman" w:hAnsi="Times New Roman"/>
          <w:sz w:val="14"/>
          <w:szCs w:val="14"/>
          <w:color w:val="auto"/>
        </w:rPr>
      </w:pPr>
    </w:p>
    <w:p>
      <w:pPr>
        <w:ind w:left="560" w:hanging="325"/>
        <w:spacing w:after="0"/>
        <w:tabs>
          <w:tab w:leader="none" w:pos="560"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Generally perform all acts that are legal for a board of directors to perform.</w:t>
      </w:r>
    </w:p>
    <w:p>
      <w:pPr>
        <w:spacing w:after="0" w:line="172" w:lineRule="exact"/>
        <w:rPr>
          <w:sz w:val="20"/>
          <w:szCs w:val="20"/>
          <w:color w:val="auto"/>
        </w:rPr>
      </w:pPr>
    </w:p>
    <w:p>
      <w:pPr>
        <w:ind w:left="240" w:right="359"/>
        <w:spacing w:after="0" w:line="256" w:lineRule="auto"/>
        <w:rPr>
          <w:sz w:val="20"/>
          <w:szCs w:val="20"/>
          <w:color w:val="auto"/>
        </w:rPr>
      </w:pPr>
      <w:r>
        <w:rPr>
          <w:rFonts w:ascii="Times New Roman" w:cs="Times New Roman" w:eastAsia="Times New Roman" w:hAnsi="Times New Roman"/>
          <w:sz w:val="14"/>
          <w:szCs w:val="14"/>
          <w:b w:val="1"/>
          <w:bCs w:val="1"/>
          <w:color w:val="auto"/>
        </w:rPr>
        <w:t xml:space="preserve">SEVENTH. </w:t>
      </w:r>
      <w:r>
        <w:rPr>
          <w:rFonts w:ascii="Times New Roman" w:cs="Times New Roman" w:eastAsia="Times New Roman" w:hAnsi="Times New Roman"/>
          <w:sz w:val="14"/>
          <w:szCs w:val="14"/>
          <w:color w:val="auto"/>
        </w:rPr>
        <w:t>The board of directors shall have the power to change the location of the main office to any authorized branch within the limits of the city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of Portland, Oregon, without the approval of the shareholders, or with a vote of shareholders owning two-thirds of the stock of the Association for a location outside such limits and upon receipt of a certificate of approval from the Comptroller of the Currency, to any other location within or outside the limits of the city of Portland, Oregon, but not more than thirty miles beyond such limits. The board of directors shall have the power to establish or change the location of any office or offices of the Association to any other location permitted under applicable law, without approval of shareholders, subject to approval by the Comptroller of the Currency.</w:t>
      </w:r>
    </w:p>
    <w:p>
      <w:pPr>
        <w:spacing w:after="0" w:line="14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b w:val="1"/>
          <w:bCs w:val="1"/>
          <w:color w:val="auto"/>
        </w:rPr>
        <w:t xml:space="preserve">EIGHTH. </w:t>
      </w:r>
      <w:r>
        <w:rPr>
          <w:rFonts w:ascii="Times New Roman" w:cs="Times New Roman" w:eastAsia="Times New Roman" w:hAnsi="Times New Roman"/>
          <w:sz w:val="14"/>
          <w:szCs w:val="14"/>
          <w:color w:val="auto"/>
        </w:rPr>
        <w:t>The corporate existence of this Association shall continue until termination according to the laws of the United States.</w:t>
      </w:r>
    </w:p>
    <w:p>
      <w:pPr>
        <w:spacing w:after="0" w:line="174" w:lineRule="exact"/>
        <w:rPr>
          <w:sz w:val="20"/>
          <w:szCs w:val="20"/>
          <w:color w:val="auto"/>
        </w:rPr>
      </w:pPr>
    </w:p>
    <w:p>
      <w:pPr>
        <w:ind w:left="240" w:right="279"/>
        <w:spacing w:after="0" w:line="256" w:lineRule="auto"/>
        <w:rPr>
          <w:sz w:val="20"/>
          <w:szCs w:val="20"/>
          <w:color w:val="auto"/>
        </w:rPr>
      </w:pPr>
      <w:r>
        <w:rPr>
          <w:rFonts w:ascii="Times New Roman" w:cs="Times New Roman" w:eastAsia="Times New Roman" w:hAnsi="Times New Roman"/>
          <w:sz w:val="14"/>
          <w:szCs w:val="14"/>
          <w:b w:val="1"/>
          <w:bCs w:val="1"/>
          <w:color w:val="auto"/>
        </w:rPr>
        <w:t xml:space="preserve">NINTH. </w:t>
      </w:r>
      <w:r>
        <w:rPr>
          <w:rFonts w:ascii="Times New Roman" w:cs="Times New Roman" w:eastAsia="Times New Roman" w:hAnsi="Times New Roman"/>
          <w:sz w:val="14"/>
          <w:szCs w:val="14"/>
          <w:color w:val="auto"/>
        </w:rPr>
        <w:t>The board of directors of the Association, or any shareholder owning, in the aggregate, not less than 25 percent of the stock of the Association,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may call a special meeting of shareholders at any time. Unless otherwise provided by the Bylaws or the laws of the United States, or waived by shareholders, a notice of the time, place, and purpose of every annual and special meeting of the shareholders shall be given by first-class mail, postage prepaid, mailed at least 10, and no more than 60, days prior to the date of the meeting to each shareholder of record at his/her address as shown upon the books of the Association. Unless otherwise provided by the Bylaws, any action requiring approval of shareholders must be effected at a duly called annual or special meeting.</w:t>
      </w:r>
    </w:p>
    <w:p>
      <w:pPr>
        <w:spacing w:after="0" w:line="142" w:lineRule="exact"/>
        <w:rPr>
          <w:sz w:val="20"/>
          <w:szCs w:val="20"/>
          <w:color w:val="auto"/>
        </w:rPr>
      </w:pPr>
    </w:p>
    <w:p>
      <w:pPr>
        <w:ind w:left="240" w:right="279"/>
        <w:spacing w:after="0" w:line="258" w:lineRule="auto"/>
        <w:rPr>
          <w:sz w:val="20"/>
          <w:szCs w:val="20"/>
          <w:color w:val="auto"/>
        </w:rPr>
      </w:pPr>
      <w:r>
        <w:rPr>
          <w:rFonts w:ascii="Times New Roman" w:cs="Times New Roman" w:eastAsia="Times New Roman" w:hAnsi="Times New Roman"/>
          <w:sz w:val="14"/>
          <w:szCs w:val="14"/>
          <w:b w:val="1"/>
          <w:bCs w:val="1"/>
          <w:color w:val="auto"/>
        </w:rPr>
        <w:t xml:space="preserve">TENTH. </w:t>
      </w:r>
      <w:r>
        <w:rPr>
          <w:rFonts w:ascii="Times New Roman" w:cs="Times New Roman" w:eastAsia="Times New Roman" w:hAnsi="Times New Roman"/>
          <w:sz w:val="14"/>
          <w:szCs w:val="14"/>
          <w:color w:val="auto"/>
        </w:rPr>
        <w:t>These Articles of Association may be amended at any regular or special meeting of the shareholders by the affirmative vote of the holders of a</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majority of the stock of the Association, unless the vote of the holders of a greater amount of stock is required by law, and in that case by the vote of the holders of such greater amount; provided, that the scope of the Association’s activities and services may not be expanded without the prior written approval of the Comptroller of the Currency. The Association’s board of directors may propose one or more amendments to the Articles of Association for submission to the shareholders.</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- 4 -</w:t>
      </w:r>
    </w:p>
    <w:p>
      <w:pPr>
        <w:sectPr>
          <w:pgSz w:w="11900" w:h="16838" w:orient="portrait"/>
          <w:cols w:equalWidth="0" w:num="1">
            <w:col w:w="9019"/>
          </w:cols>
          <w:pgMar w:left="1440" w:top="240" w:right="1440" w:bottom="1440" w:gutter="0" w:footer="0" w:header="0"/>
        </w:sectPr>
      </w:pPr>
    </w:p>
    <w:bookmarkStart w:id="106" w:name="page107"/>
    <w:bookmarkEnd w:id="106"/>
    <w:p>
      <w:pPr>
        <w:ind w:left="58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65">
                      <a:extLst>
                        <a:ext uri="{28A0092B-C50C-407E-A947-70E740481C1C}"/>
                      </a:extLst>
                    </a:blip>
                    <a:srcRect/>
                    <a:stretch>
                      <a:fillRect/>
                    </a:stretch>
                  </pic:blipFill>
                  <pic:spPr bwMode="auto">
                    <a:xfrm>
                      <a:off x="0" y="0"/>
                      <a:ext cx="7201535" cy="32385"/>
                    </a:xfrm>
                    <a:prstGeom prst="rect">
                      <a:avLst/>
                    </a:prstGeom>
                    <a:noFill/>
                  </pic:spPr>
                </pic:pic>
              </a:graphicData>
            </a:graphic>
          </wp:anchor>
        </w:drawing>
        <w:t>In witness whereof, we have hereunto set our hands this 11</w:t>
      </w:r>
      <w:r>
        <w:rPr>
          <w:rFonts w:ascii="Times New Roman" w:cs="Times New Roman" w:eastAsia="Times New Roman" w:hAnsi="Times New Roman"/>
          <w:sz w:val="19"/>
          <w:szCs w:val="19"/>
          <w:color w:val="auto"/>
          <w:vertAlign w:val="superscript"/>
        </w:rPr>
        <w:t>th</w:t>
      </w:r>
      <w:r>
        <w:rPr>
          <w:rFonts w:ascii="Times New Roman" w:cs="Times New Roman" w:eastAsia="Times New Roman" w:hAnsi="Times New Roman"/>
          <w:sz w:val="13"/>
          <w:szCs w:val="13"/>
          <w:color w:val="auto"/>
        </w:rPr>
        <w:t xml:space="preserve"> of June, 1997.</w:t>
      </w:r>
    </w:p>
    <w:p>
      <w:pPr>
        <w:spacing w:after="0" w:line="13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/s/ Jeffrey T. Grubb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149225</wp:posOffset>
            </wp:positionH>
            <wp:positionV relativeFrom="paragraph">
              <wp:posOffset>13335</wp:posOffset>
            </wp:positionV>
            <wp:extent cx="2165985" cy="635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66">
                      <a:extLst>
                        <a:ext uri="{28A0092B-C50C-407E-A947-70E740481C1C}"/>
                      </a:extLst>
                    </a:blip>
                    <a:srcRect/>
                    <a:stretch>
                      <a:fillRect/>
                    </a:stretch>
                  </pic:blipFill>
                  <pic:spPr bwMode="auto">
                    <a:xfrm>
                      <a:off x="0" y="0"/>
                      <a:ext cx="2165985" cy="6350"/>
                    </a:xfrm>
                    <a:prstGeom prst="rect">
                      <a:avLst/>
                    </a:prstGeom>
                    <a:noFill/>
                  </pic:spPr>
                </pic:pic>
              </a:graphicData>
            </a:graphic>
          </wp:anchor>
        </w:drawing>
      </w:r>
    </w:p>
    <w:p>
      <w:pPr>
        <w:spacing w:after="0" w:line="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Jeffrey T. Grubb</w:t>
      </w:r>
    </w:p>
    <w:p>
      <w:pPr>
        <w:spacing w:after="0" w:line="17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/s/ Robert D. Sznewajs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149225</wp:posOffset>
            </wp:positionH>
            <wp:positionV relativeFrom="paragraph">
              <wp:posOffset>13335</wp:posOffset>
            </wp:positionV>
            <wp:extent cx="2165985" cy="635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67">
                      <a:extLst>
                        <a:ext uri="{28A0092B-C50C-407E-A947-70E740481C1C}"/>
                      </a:extLst>
                    </a:blip>
                    <a:srcRect/>
                    <a:stretch>
                      <a:fillRect/>
                    </a:stretch>
                  </pic:blipFill>
                  <pic:spPr bwMode="auto">
                    <a:xfrm>
                      <a:off x="0" y="0"/>
                      <a:ext cx="2165985" cy="6350"/>
                    </a:xfrm>
                    <a:prstGeom prst="rect">
                      <a:avLst/>
                    </a:prstGeom>
                    <a:noFill/>
                  </pic:spPr>
                </pic:pic>
              </a:graphicData>
            </a:graphic>
          </wp:anchor>
        </w:drawing>
      </w:r>
    </w:p>
    <w:p>
      <w:pPr>
        <w:spacing w:after="0" w:line="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Robert D. Sznewajs</w:t>
      </w:r>
    </w:p>
    <w:p>
      <w:pPr>
        <w:spacing w:after="0" w:line="17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/s/ Dwight V.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149225</wp:posOffset>
            </wp:positionH>
            <wp:positionV relativeFrom="paragraph">
              <wp:posOffset>13335</wp:posOffset>
            </wp:positionV>
            <wp:extent cx="2165985" cy="635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68">
                      <a:extLst>
                        <a:ext uri="{28A0092B-C50C-407E-A947-70E740481C1C}"/>
                      </a:extLst>
                    </a:blip>
                    <a:srcRect/>
                    <a:stretch>
                      <a:fillRect/>
                    </a:stretch>
                  </pic:blipFill>
                  <pic:spPr bwMode="auto">
                    <a:xfrm>
                      <a:off x="0" y="0"/>
                      <a:ext cx="2165985" cy="6350"/>
                    </a:xfrm>
                    <a:prstGeom prst="rect">
                      <a:avLst/>
                    </a:prstGeom>
                    <a:noFill/>
                  </pic:spPr>
                </pic:pic>
              </a:graphicData>
            </a:graphic>
          </wp:anchor>
        </w:drawing>
      </w:r>
    </w:p>
    <w:p>
      <w:pPr>
        <w:spacing w:after="0" w:line="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Dwight V. Board</w:t>
      </w:r>
    </w:p>
    <w:p>
      <w:pPr>
        <w:spacing w:after="0" w:line="17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/s/ P. K. Chatterjee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149225</wp:posOffset>
            </wp:positionH>
            <wp:positionV relativeFrom="paragraph">
              <wp:posOffset>13335</wp:posOffset>
            </wp:positionV>
            <wp:extent cx="2165985" cy="635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69">
                      <a:extLst>
                        <a:ext uri="{28A0092B-C50C-407E-A947-70E740481C1C}"/>
                      </a:extLst>
                    </a:blip>
                    <a:srcRect/>
                    <a:stretch>
                      <a:fillRect/>
                    </a:stretch>
                  </pic:blipFill>
                  <pic:spPr bwMode="auto">
                    <a:xfrm>
                      <a:off x="0" y="0"/>
                      <a:ext cx="2165985" cy="6350"/>
                    </a:xfrm>
                    <a:prstGeom prst="rect">
                      <a:avLst/>
                    </a:prstGeom>
                    <a:noFill/>
                  </pic:spPr>
                </pic:pic>
              </a:graphicData>
            </a:graphic>
          </wp:anchor>
        </w:drawing>
      </w:r>
    </w:p>
    <w:p>
      <w:pPr>
        <w:spacing w:after="0" w:line="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P. K. Chatterjee</w:t>
      </w:r>
    </w:p>
    <w:p>
      <w:pPr>
        <w:spacing w:after="0" w:line="17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/s/ Robert Lane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149225</wp:posOffset>
            </wp:positionH>
            <wp:positionV relativeFrom="paragraph">
              <wp:posOffset>13335</wp:posOffset>
            </wp:positionV>
            <wp:extent cx="2165985" cy="635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70">
                      <a:extLst>
                        <a:ext uri="{28A0092B-C50C-407E-A947-70E740481C1C}"/>
                      </a:extLst>
                    </a:blip>
                    <a:srcRect/>
                    <a:stretch>
                      <a:fillRect/>
                    </a:stretch>
                  </pic:blipFill>
                  <pic:spPr bwMode="auto">
                    <a:xfrm>
                      <a:off x="0" y="0"/>
                      <a:ext cx="2165985" cy="6350"/>
                    </a:xfrm>
                    <a:prstGeom prst="rect">
                      <a:avLst/>
                    </a:prstGeom>
                    <a:noFill/>
                  </pic:spPr>
                </pic:pic>
              </a:graphicData>
            </a:graphic>
          </wp:anchor>
        </w:drawing>
      </w:r>
    </w:p>
    <w:p>
      <w:pPr>
        <w:spacing w:after="0" w:line="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Robert Lane</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ectPr>
          <w:pgSz w:w="11900" w:h="16838" w:orient="portrait"/>
          <w:cols w:equalWidth="0" w:num="1">
            <w:col w:w="9019"/>
          </w:cols>
          <w:pgMar w:left="1440" w:top="240" w:right="1440" w:bottom="1440" w:gutter="0" w:footer="0" w:header="0"/>
        </w:sectPr>
      </w:pPr>
    </w:p>
    <w:bookmarkStart w:id="107" w:name="page108"/>
    <w:bookmarkEnd w:id="107"/>
    <w:tbl>
      <w:tblPr>
        <w:tblLayout w:type="fixed"/>
        <w:tblInd w:w="240" w:type="dxa"/>
        <w:tblCellMar>
          <w:top w:w="0" w:type="dxa"/>
          <w:left w:w="0" w:type="dxa"/>
          <w:bottom w:w="0" w:type="dxa"/>
          <w:right w:w="0" w:type="dxa"/>
        </w:tblCellMar>
      </w:tblPr>
      <w:tr>
        <w:trPr>
          <w:trHeight w:val="161"/>
        </w:trPr>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0" w:type="dxa"/>
            <w:vAlign w:val="bottom"/>
          </w:tcPr>
          <w:p>
            <w:pPr>
              <w:spacing w:after="0"/>
              <w:rPr>
                <w:sz w:val="13"/>
                <w:szCs w:val="13"/>
                <w:color w:val="auto"/>
              </w:rPr>
            </w:pPr>
          </w:p>
        </w:tc>
        <w:tc>
          <w:tcPr>
            <w:tcW w:w="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4"/>
              </w:rPr>
              <w:t>Exhibit 2</w:t>
            </w:r>
          </w:p>
        </w:tc>
        <w:tc>
          <w:tcPr>
            <w:tcW w:w="4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08"/>
        </w:trPr>
        <w:tc>
          <w:tcPr>
            <w:tcW w:w="320" w:type="dxa"/>
            <w:vAlign w:val="bottom"/>
          </w:tcPr>
          <w:p>
            <w:pPr>
              <w:spacing w:after="0"/>
              <w:rPr>
                <w:sz w:val="24"/>
                <w:szCs w:val="24"/>
                <w:color w:val="auto"/>
              </w:rPr>
            </w:pPr>
          </w:p>
        </w:tc>
        <w:tc>
          <w:tcPr>
            <w:tcW w:w="8220" w:type="dxa"/>
            <w:vAlign w:val="bottom"/>
            <w:gridSpan w:val="4"/>
          </w:tcPr>
          <w:p>
            <w:pPr>
              <w:ind w:left="280"/>
              <w:spacing w:after="0"/>
              <w:rPr>
                <w:sz w:val="20"/>
                <w:szCs w:val="20"/>
                <w:color w:val="auto"/>
              </w:rPr>
            </w:pPr>
            <w:r>
              <w:rPr>
                <w:rFonts w:ascii="Times New Roman" w:cs="Times New Roman" w:eastAsia="Times New Roman" w:hAnsi="Times New Roman"/>
                <w:sz w:val="14"/>
                <w:szCs w:val="14"/>
                <w:color w:val="auto"/>
              </w:rPr>
              <w:t>Office of the Comptroller of the Currency</w:t>
            </w:r>
          </w:p>
        </w:tc>
        <w:tc>
          <w:tcPr>
            <w:tcW w:w="0" w:type="dxa"/>
            <w:vAlign w:val="bottom"/>
          </w:tcPr>
          <w:p>
            <w:pPr>
              <w:spacing w:after="0"/>
              <w:rPr>
                <w:sz w:val="1"/>
                <w:szCs w:val="1"/>
                <w:color w:val="auto"/>
              </w:rPr>
            </w:pPr>
          </w:p>
        </w:tc>
      </w:tr>
      <w:tr>
        <w:trPr>
          <w:trHeight w:val="199"/>
        </w:trPr>
        <w:tc>
          <w:tcPr>
            <w:tcW w:w="320" w:type="dxa"/>
            <w:vAlign w:val="bottom"/>
            <w:vMerge w:val="restart"/>
          </w:tcPr>
          <w:p>
            <w:pPr>
              <w:spacing w:after="0"/>
              <w:rPr>
                <w:sz w:val="20"/>
                <w:szCs w:val="20"/>
                <w:color w:val="auto"/>
              </w:rPr>
            </w:pPr>
            <w:r>
              <w:rPr>
                <w:rFonts w:ascii="Times New Roman" w:cs="Times New Roman" w:eastAsia="Times New Roman" w:hAnsi="Times New Roman"/>
                <w:sz w:val="25"/>
                <w:szCs w:val="25"/>
                <w:color w:val="auto"/>
              </w:rPr>
              <w:t> </w:t>
            </w:r>
          </w:p>
        </w:tc>
        <w:tc>
          <w:tcPr>
            <w:tcW w:w="280" w:type="dxa"/>
            <w:vAlign w:val="bottom"/>
          </w:tcPr>
          <w:p>
            <w:pPr>
              <w:spacing w:after="0"/>
              <w:rPr>
                <w:sz w:val="17"/>
                <w:szCs w:val="17"/>
                <w:color w:val="auto"/>
              </w:rPr>
            </w:pPr>
          </w:p>
        </w:tc>
        <w:tc>
          <w:tcPr>
            <w:tcW w:w="340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4000" w:type="dxa"/>
            <w:vAlign w:val="bottom"/>
            <w:tcBorders>
              <w:top w:val="single" w:sz="8" w:color="auto"/>
            </w:tcBorders>
          </w:tcPr>
          <w:p>
            <w:pPr>
              <w:ind w:left="2680"/>
              <w:spacing w:after="0"/>
              <w:rPr>
                <w:sz w:val="20"/>
                <w:szCs w:val="20"/>
                <w:color w:val="auto"/>
              </w:rPr>
            </w:pPr>
            <w:r>
              <w:rPr>
                <w:rFonts w:ascii="Times New Roman" w:cs="Times New Roman" w:eastAsia="Times New Roman" w:hAnsi="Times New Roman"/>
                <w:sz w:val="14"/>
                <w:szCs w:val="14"/>
                <w:color w:val="auto"/>
                <w:w w:val="97"/>
              </w:rPr>
              <w:t>Washington, DC 20219</w:t>
            </w:r>
          </w:p>
        </w:tc>
        <w:tc>
          <w:tcPr>
            <w:tcW w:w="0" w:type="dxa"/>
            <w:vAlign w:val="bottom"/>
          </w:tcPr>
          <w:p>
            <w:pPr>
              <w:spacing w:after="0"/>
              <w:rPr>
                <w:sz w:val="1"/>
                <w:szCs w:val="1"/>
                <w:color w:val="auto"/>
              </w:rPr>
            </w:pPr>
          </w:p>
        </w:tc>
      </w:tr>
      <w:tr>
        <w:trPr>
          <w:trHeight w:val="139"/>
        </w:trPr>
        <w:tc>
          <w:tcPr>
            <w:tcW w:w="32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71">
                      <a:extLst>
                        <a:ext uri="{28A0092B-C50C-407E-A947-70E740481C1C}"/>
                      </a:extLst>
                    </a:blip>
                    <a:srcRect/>
                    <a:stretch>
                      <a:fillRect/>
                    </a:stretch>
                  </pic:blipFill>
                  <pic:spPr bwMode="auto">
                    <a:xfrm>
                      <a:off x="0" y="0"/>
                      <a:ext cx="7201535" cy="32385"/>
                    </a:xfrm>
                    <a:prstGeom prst="rect">
                      <a:avLst/>
                    </a:prstGeom>
                    <a:noFill/>
                  </pic:spPr>
                </pic:pic>
              </a:graphicData>
            </a:graphic>
          </wp:anchor>
        </w:drawing>
        <w:drawing>
          <wp:anchor simplePos="0" relativeHeight="251657728" behindDoc="1" locked="0" layoutInCell="0" allowOverlap="1">
            <wp:simplePos x="0" y="0"/>
            <wp:positionH relativeFrom="column">
              <wp:posOffset>149225</wp:posOffset>
            </wp:positionH>
            <wp:positionV relativeFrom="paragraph">
              <wp:posOffset>-492760</wp:posOffset>
            </wp:positionV>
            <wp:extent cx="292100" cy="30543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72">
                      <a:extLst>
                        <a:ext uri="{28A0092B-C50C-407E-A947-70E740481C1C}"/>
                      </a:extLst>
                    </a:blip>
                    <a:srcRect/>
                    <a:stretch>
                      <a:fillRect/>
                    </a:stretch>
                  </pic:blipFill>
                  <pic:spPr bwMode="auto">
                    <a:xfrm>
                      <a:off x="0" y="0"/>
                      <a:ext cx="292100" cy="305435"/>
                    </a:xfrm>
                    <a:prstGeom prst="rect">
                      <a:avLst/>
                    </a:prstGeom>
                    <a:noFill/>
                  </pic:spPr>
                </pic:pic>
              </a:graphicData>
            </a:graphic>
          </wp:anchor>
        </w:drawing>
      </w:r>
    </w:p>
    <w:p>
      <w:pPr>
        <w:spacing w:after="0" w:line="128"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14"/>
          <w:szCs w:val="14"/>
          <w:b w:val="1"/>
          <w:bCs w:val="1"/>
          <w:color w:val="auto"/>
        </w:rPr>
        <w:t>CERTIFICATE OF CORPORATE EXISTENCE AND FIDUCIARY POWERS</w:t>
      </w:r>
    </w:p>
    <w:p>
      <w:pPr>
        <w:spacing w:after="0" w:line="17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I, Jonathan Gould, Comptroller of the Currency, do hereby certify that:</w:t>
      </w:r>
    </w:p>
    <w:p>
      <w:pPr>
        <w:spacing w:after="0" w:line="174" w:lineRule="exact"/>
        <w:rPr>
          <w:sz w:val="20"/>
          <w:szCs w:val="20"/>
          <w:color w:val="auto"/>
        </w:rPr>
      </w:pPr>
    </w:p>
    <w:p>
      <w:pPr>
        <w:ind w:left="240" w:right="399" w:hanging="5"/>
        <w:spacing w:after="0" w:line="281" w:lineRule="auto"/>
        <w:tabs>
          <w:tab w:leader="none" w:pos="379"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Comptroller of the Currency, pursuant to Revised Statutes 324, et seq, as amended, and 12 USC 1, et seq, as amended, has possession, custody, and control of all records pertaining to the chartering, regulation, and supervision of all national banking associations.</w:t>
      </w:r>
    </w:p>
    <w:p>
      <w:pPr>
        <w:spacing w:after="0" w:line="125" w:lineRule="exact"/>
        <w:rPr>
          <w:rFonts w:ascii="Times New Roman" w:cs="Times New Roman" w:eastAsia="Times New Roman" w:hAnsi="Times New Roman"/>
          <w:sz w:val="14"/>
          <w:szCs w:val="14"/>
          <w:color w:val="auto"/>
        </w:rPr>
      </w:pPr>
    </w:p>
    <w:p>
      <w:pPr>
        <w:ind w:left="240" w:right="279" w:hanging="5"/>
        <w:spacing w:after="0" w:line="281" w:lineRule="auto"/>
        <w:tabs>
          <w:tab w:leader="none" w:pos="379"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“U.S. Bank Trust Company, National Association,” Portland, Oregon (Charter No. 23412), is a national banking association formed under the laws of the United States and is authorized thereunder to transact the business of banking and exercise fiduciary powers on the date of this certificate.</w:t>
      </w:r>
    </w:p>
    <w:p>
      <w:pPr>
        <w:spacing w:after="0" w:line="125" w:lineRule="exact"/>
        <w:rPr>
          <w:sz w:val="20"/>
          <w:szCs w:val="20"/>
          <w:color w:val="auto"/>
        </w:rPr>
      </w:pPr>
    </w:p>
    <w:p>
      <w:pPr>
        <w:ind w:left="240" w:right="339"/>
        <w:spacing w:after="0" w:line="281" w:lineRule="auto"/>
        <w:rPr>
          <w:sz w:val="20"/>
          <w:szCs w:val="20"/>
          <w:color w:val="auto"/>
        </w:rPr>
      </w:pPr>
      <w:r>
        <w:rPr>
          <w:rFonts w:ascii="Times New Roman" w:cs="Times New Roman" w:eastAsia="Times New Roman" w:hAnsi="Times New Roman"/>
          <w:sz w:val="14"/>
          <w:szCs w:val="14"/>
          <w:color w:val="auto"/>
        </w:rPr>
        <w:t>IN TESTIMONY WHEREOF, today, March 27, 2026, I have hereunto subscribed my name and caused my seal of office to be affixed to these presents at the U.S. Department of the Treasury, in the City of Washington, District of Columbia.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1910080</wp:posOffset>
            </wp:positionH>
            <wp:positionV relativeFrom="paragraph">
              <wp:posOffset>102235</wp:posOffset>
            </wp:positionV>
            <wp:extent cx="1900555" cy="212661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73">
                      <a:extLst>
                        <a:ext uri="{28A0092B-C50C-407E-A947-70E740481C1C}"/>
                      </a:extLst>
                    </a:blip>
                    <a:srcRect/>
                    <a:stretch>
                      <a:fillRect/>
                    </a:stretch>
                  </pic:blipFill>
                  <pic:spPr bwMode="auto">
                    <a:xfrm>
                      <a:off x="0" y="0"/>
                      <a:ext cx="1900555" cy="21266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2026-00886-C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149225</wp:posOffset>
            </wp:positionH>
            <wp:positionV relativeFrom="paragraph">
              <wp:posOffset>40005</wp:posOffset>
            </wp:positionV>
            <wp:extent cx="5422265" cy="635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74">
                      <a:extLst>
                        <a:ext uri="{28A0092B-C50C-407E-A947-70E740481C1C}"/>
                      </a:extLst>
                    </a:blip>
                    <a:srcRect/>
                    <a:stretch>
                      <a:fillRect/>
                    </a:stretch>
                  </pic:blipFill>
                  <pic:spPr bwMode="auto">
                    <a:xfrm>
                      <a:off x="0" y="0"/>
                      <a:ext cx="5422265" cy="6350"/>
                    </a:xfrm>
                    <a:prstGeom prst="rect">
                      <a:avLst/>
                    </a:prstGeom>
                    <a:noFill/>
                  </pic:spPr>
                </pic:pic>
              </a:graphicData>
            </a:graphic>
          </wp:anchor>
        </w:drawing>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ectPr>
          <w:pgSz w:w="11900" w:h="16838" w:orient="portrait"/>
          <w:cols w:equalWidth="0" w:num="1">
            <w:col w:w="9019"/>
          </w:cols>
          <w:pgMar w:left="1440" w:top="230" w:right="1440" w:bottom="1440" w:gutter="0" w:footer="0" w:header="0"/>
        </w:sectPr>
      </w:pPr>
    </w:p>
    <w:bookmarkStart w:id="108" w:name="page109"/>
    <w:bookmarkEnd w:id="108"/>
    <w:p>
      <w:pPr>
        <w:jc w:val="center"/>
        <w:ind w:right="19"/>
        <w:spacing w:after="0"/>
        <w:rPr>
          <w:sz w:val="20"/>
          <w:szCs w:val="20"/>
          <w:color w:val="auto"/>
        </w:rPr>
      </w:pPr>
      <w:r>
        <w:rPr>
          <w:rFonts w:ascii="Times New Roman" w:cs="Times New Roman" w:eastAsia="Times New Roman" w:hAnsi="Times New Roman"/>
          <w:sz w:val="14"/>
          <w:szCs w:val="14"/>
          <w:b w:val="1"/>
          <w:bCs w:val="1"/>
          <w:u w:val="single" w:color="auto"/>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75">
                      <a:extLst>
                        <a:ext uri="{28A0092B-C50C-407E-A947-70E740481C1C}"/>
                      </a:extLst>
                    </a:blip>
                    <a:srcRect/>
                    <a:stretch>
                      <a:fillRect/>
                    </a:stretch>
                  </pic:blipFill>
                  <pic:spPr bwMode="auto">
                    <a:xfrm>
                      <a:off x="0" y="0"/>
                      <a:ext cx="7201535" cy="32385"/>
                    </a:xfrm>
                    <a:prstGeom prst="rect">
                      <a:avLst/>
                    </a:prstGeom>
                    <a:noFill/>
                  </pic:spPr>
                </pic:pic>
              </a:graphicData>
            </a:graphic>
          </wp:anchor>
        </w:drawing>
        <w:t>Exhibit 4</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U.S. BANK TRUST COMPANY, NATIONAL ASSOCIATION</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u w:val="single" w:color="auto"/>
          <w:color w:val="auto"/>
        </w:rPr>
        <w:t>AMENDED AND RESTATED BYLAWS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u w:val="single" w:color="auto"/>
          <w:color w:val="auto"/>
        </w:rPr>
        <w:t>ARTICLE I</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u w:val="single" w:color="auto"/>
          <w:color w:val="auto"/>
        </w:rPr>
        <w:t>Meetings of Shareholders</w:t>
      </w:r>
    </w:p>
    <w:p>
      <w:pPr>
        <w:spacing w:after="0" w:line="159" w:lineRule="exact"/>
        <w:rPr>
          <w:sz w:val="20"/>
          <w:szCs w:val="20"/>
          <w:color w:val="auto"/>
        </w:rPr>
      </w:pPr>
    </w:p>
    <w:p>
      <w:pPr>
        <w:ind w:left="240" w:right="259"/>
        <w:spacing w:after="0" w:line="254" w:lineRule="auto"/>
        <w:rPr>
          <w:sz w:val="20"/>
          <w:szCs w:val="20"/>
          <w:color w:val="auto"/>
        </w:rPr>
      </w:pPr>
      <w:r>
        <w:rPr>
          <w:rFonts w:ascii="Times New Roman" w:cs="Times New Roman" w:eastAsia="Times New Roman" w:hAnsi="Times New Roman"/>
          <w:sz w:val="14"/>
          <w:szCs w:val="14"/>
          <w:color w:val="auto"/>
        </w:rPr>
        <w:t xml:space="preserve">Section 1.1. </w:t>
      </w:r>
      <w:r>
        <w:rPr>
          <w:rFonts w:ascii="Times New Roman" w:cs="Times New Roman" w:eastAsia="Times New Roman" w:hAnsi="Times New Roman"/>
          <w:sz w:val="14"/>
          <w:szCs w:val="14"/>
          <w:u w:val="single" w:color="auto"/>
          <w:color w:val="auto"/>
        </w:rPr>
        <w:t>Annual Meeting</w:t>
      </w:r>
      <w:r>
        <w:rPr>
          <w:rFonts w:ascii="Times New Roman" w:cs="Times New Roman" w:eastAsia="Times New Roman" w:hAnsi="Times New Roman"/>
          <w:sz w:val="14"/>
          <w:szCs w:val="14"/>
          <w:color w:val="auto"/>
        </w:rPr>
        <w:t>. The annual meeting of the shareholders, for the election of directors and the transaction of any other proper business, shall be held at a time and place as the Chairman or President may designate. Notice of such meeting shall be given not less than ten (10) days or more than sixty (60) days prior to the date thereof, to each shareholder of the Association, unless the Office of the Comptroller of the Currency (the “OCC”) determines that an emergency circumstance exists. In accordance with applicable law, the sole shareholder of the Association is permitted to waive notice of the meeting. If, for any reason, an election of directors is not made on the designated day, the election shall be held on some subsequent day, as soon thereafter as practicable, with prior notice thereof. Failure to hold an annual meeting as required by these Bylaws shall not affect the validity of any corporate action or work a forfeiture or dissolution of the Association.</w:t>
      </w:r>
    </w:p>
    <w:p>
      <w:pPr>
        <w:spacing w:after="0" w:line="147" w:lineRule="exact"/>
        <w:rPr>
          <w:sz w:val="20"/>
          <w:szCs w:val="20"/>
          <w:color w:val="auto"/>
        </w:rPr>
      </w:pPr>
    </w:p>
    <w:p>
      <w:pPr>
        <w:jc w:val="both"/>
        <w:ind w:left="240" w:right="259"/>
        <w:spacing w:after="0" w:line="265" w:lineRule="auto"/>
        <w:rPr>
          <w:sz w:val="20"/>
          <w:szCs w:val="20"/>
          <w:color w:val="auto"/>
        </w:rPr>
      </w:pPr>
      <w:r>
        <w:rPr>
          <w:rFonts w:ascii="Times New Roman" w:cs="Times New Roman" w:eastAsia="Times New Roman" w:hAnsi="Times New Roman"/>
          <w:sz w:val="14"/>
          <w:szCs w:val="14"/>
          <w:color w:val="auto"/>
        </w:rPr>
        <w:t xml:space="preserve">Section 1.2. </w:t>
      </w:r>
      <w:r>
        <w:rPr>
          <w:rFonts w:ascii="Times New Roman" w:cs="Times New Roman" w:eastAsia="Times New Roman" w:hAnsi="Times New Roman"/>
          <w:sz w:val="14"/>
          <w:szCs w:val="14"/>
          <w:u w:val="single" w:color="auto"/>
          <w:color w:val="auto"/>
        </w:rPr>
        <w:t>Special Meetings</w:t>
      </w:r>
      <w:r>
        <w:rPr>
          <w:rFonts w:ascii="Times New Roman" w:cs="Times New Roman" w:eastAsia="Times New Roman" w:hAnsi="Times New Roman"/>
          <w:sz w:val="14"/>
          <w:szCs w:val="14"/>
          <w:color w:val="auto"/>
        </w:rPr>
        <w:t>. Except as otherwise specially provided by law, special meetings of the shareholders may be called for any purpose, at any time by a majority of the board of directors (the “Board”), or by any shareholder or group of shareholders owning at least ten percent of the outstanding stock.</w:t>
      </w:r>
    </w:p>
    <w:p>
      <w:pPr>
        <w:spacing w:after="0" w:line="136" w:lineRule="exact"/>
        <w:rPr>
          <w:sz w:val="20"/>
          <w:szCs w:val="20"/>
          <w:color w:val="auto"/>
        </w:rPr>
      </w:pPr>
    </w:p>
    <w:p>
      <w:pPr>
        <w:ind w:left="240" w:right="279"/>
        <w:spacing w:after="0" w:line="281" w:lineRule="auto"/>
        <w:rPr>
          <w:sz w:val="20"/>
          <w:szCs w:val="20"/>
          <w:color w:val="auto"/>
        </w:rPr>
      </w:pPr>
      <w:r>
        <w:rPr>
          <w:rFonts w:ascii="Times New Roman" w:cs="Times New Roman" w:eastAsia="Times New Roman" w:hAnsi="Times New Roman"/>
          <w:sz w:val="14"/>
          <w:szCs w:val="14"/>
          <w:color w:val="auto"/>
        </w:rPr>
        <w:t>Every such special meeting, unless otherwise provided by law, shall be called upon not less than ten (10) days nor more than sixty (60) days prior notice stating the purpose of the meeting.</w:t>
      </w:r>
    </w:p>
    <w:p>
      <w:pPr>
        <w:spacing w:after="0" w:line="12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 xml:space="preserve">Section 1.3. </w:t>
      </w:r>
      <w:r>
        <w:rPr>
          <w:rFonts w:ascii="Times New Roman" w:cs="Times New Roman" w:eastAsia="Times New Roman" w:hAnsi="Times New Roman"/>
          <w:sz w:val="14"/>
          <w:szCs w:val="14"/>
          <w:u w:val="single" w:color="auto"/>
          <w:color w:val="auto"/>
        </w:rPr>
        <w:t>Nominations for Directors</w:t>
      </w:r>
      <w:r>
        <w:rPr>
          <w:rFonts w:ascii="Times New Roman" w:cs="Times New Roman" w:eastAsia="Times New Roman" w:hAnsi="Times New Roman"/>
          <w:sz w:val="14"/>
          <w:szCs w:val="14"/>
          <w:color w:val="auto"/>
        </w:rPr>
        <w:t>. Nominations for election to the Board may be made by the Board or by any shareholder.</w:t>
      </w:r>
    </w:p>
    <w:p>
      <w:pPr>
        <w:spacing w:after="0" w:line="174" w:lineRule="exact"/>
        <w:rPr>
          <w:sz w:val="20"/>
          <w:szCs w:val="20"/>
          <w:color w:val="auto"/>
        </w:rPr>
      </w:pPr>
    </w:p>
    <w:p>
      <w:pPr>
        <w:ind w:left="240" w:right="279"/>
        <w:spacing w:after="0" w:line="281" w:lineRule="auto"/>
        <w:rPr>
          <w:sz w:val="20"/>
          <w:szCs w:val="20"/>
          <w:color w:val="auto"/>
        </w:rPr>
      </w:pPr>
      <w:r>
        <w:rPr>
          <w:rFonts w:ascii="Times New Roman" w:cs="Times New Roman" w:eastAsia="Times New Roman" w:hAnsi="Times New Roman"/>
          <w:sz w:val="14"/>
          <w:szCs w:val="14"/>
          <w:color w:val="auto"/>
        </w:rPr>
        <w:t xml:space="preserve">Section 1.4. </w:t>
      </w:r>
      <w:r>
        <w:rPr>
          <w:rFonts w:ascii="Times New Roman" w:cs="Times New Roman" w:eastAsia="Times New Roman" w:hAnsi="Times New Roman"/>
          <w:sz w:val="14"/>
          <w:szCs w:val="14"/>
          <w:u w:val="single" w:color="auto"/>
          <w:color w:val="auto"/>
        </w:rPr>
        <w:t>Proxies</w:t>
      </w:r>
      <w:r>
        <w:rPr>
          <w:rFonts w:ascii="Times New Roman" w:cs="Times New Roman" w:eastAsia="Times New Roman" w:hAnsi="Times New Roman"/>
          <w:sz w:val="14"/>
          <w:szCs w:val="14"/>
          <w:color w:val="auto"/>
        </w:rPr>
        <w:t>. Shareholders may vote at any meeting of the shareholders by proxies duly authorized in writing. Proxies shall be valid only for one meeting and any adjournments of such meeting and shall be filed with the records of the meeting.</w:t>
      </w:r>
    </w:p>
    <w:p>
      <w:pPr>
        <w:spacing w:after="0" w:line="125" w:lineRule="exact"/>
        <w:rPr>
          <w:sz w:val="20"/>
          <w:szCs w:val="20"/>
          <w:color w:val="auto"/>
        </w:rPr>
      </w:pPr>
    </w:p>
    <w:p>
      <w:pPr>
        <w:ind w:left="240" w:right="259"/>
        <w:spacing w:after="0" w:line="281" w:lineRule="auto"/>
        <w:rPr>
          <w:sz w:val="20"/>
          <w:szCs w:val="20"/>
          <w:color w:val="auto"/>
        </w:rPr>
      </w:pPr>
      <w:r>
        <w:rPr>
          <w:rFonts w:ascii="Times New Roman" w:cs="Times New Roman" w:eastAsia="Times New Roman" w:hAnsi="Times New Roman"/>
          <w:sz w:val="14"/>
          <w:szCs w:val="14"/>
          <w:color w:val="auto"/>
        </w:rPr>
        <w:t xml:space="preserve">Section 1.5. </w:t>
      </w:r>
      <w:r>
        <w:rPr>
          <w:rFonts w:ascii="Times New Roman" w:cs="Times New Roman" w:eastAsia="Times New Roman" w:hAnsi="Times New Roman"/>
          <w:sz w:val="14"/>
          <w:szCs w:val="14"/>
          <w:u w:val="single" w:color="auto"/>
          <w:color w:val="auto"/>
        </w:rPr>
        <w:t>Record Date</w:t>
      </w:r>
      <w:r>
        <w:rPr>
          <w:rFonts w:ascii="Times New Roman" w:cs="Times New Roman" w:eastAsia="Times New Roman" w:hAnsi="Times New Roman"/>
          <w:sz w:val="14"/>
          <w:szCs w:val="14"/>
          <w:color w:val="auto"/>
        </w:rPr>
        <w:t>. The record date for determining shareholders entitled to notice and to vote at any meeting will be thirty days before the date of such meeting, unless otherwise determined by the Board.</w:t>
      </w:r>
    </w:p>
    <w:p>
      <w:pPr>
        <w:spacing w:after="0" w:line="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10</w:t>
      </w:r>
    </w:p>
    <w:p>
      <w:pPr>
        <w:sectPr>
          <w:pgSz w:w="11900" w:h="16838" w:orient="portrait"/>
          <w:cols w:equalWidth="0" w:num="1">
            <w:col w:w="9019"/>
          </w:cols>
          <w:pgMar w:left="1440" w:top="238" w:right="1440" w:bottom="1440" w:gutter="0" w:footer="0" w:header="0"/>
        </w:sectPr>
      </w:pPr>
    </w:p>
    <w:bookmarkStart w:id="109" w:name="page110"/>
    <w:bookmarkEnd w:id="109"/>
    <w:p>
      <w:pPr>
        <w:ind w:left="240" w:right="259"/>
        <w:spacing w:after="0" w:line="260"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76">
                      <a:extLst>
                        <a:ext uri="{28A0092B-C50C-407E-A947-70E740481C1C}"/>
                      </a:extLst>
                    </a:blip>
                    <a:srcRect/>
                    <a:stretch>
                      <a:fillRect/>
                    </a:stretch>
                  </pic:blipFill>
                  <pic:spPr bwMode="auto">
                    <a:xfrm>
                      <a:off x="0" y="0"/>
                      <a:ext cx="7201535" cy="32385"/>
                    </a:xfrm>
                    <a:prstGeom prst="rect">
                      <a:avLst/>
                    </a:prstGeom>
                    <a:noFill/>
                  </pic:spPr>
                </pic:pic>
              </a:graphicData>
            </a:graphic>
          </wp:anchor>
        </w:drawing>
        <w:t xml:space="preserve">Section 1.6. </w:t>
      </w:r>
      <w:r>
        <w:rPr>
          <w:rFonts w:ascii="Times New Roman" w:cs="Times New Roman" w:eastAsia="Times New Roman" w:hAnsi="Times New Roman"/>
          <w:sz w:val="14"/>
          <w:szCs w:val="14"/>
          <w:u w:val="single" w:color="auto"/>
          <w:color w:val="auto"/>
        </w:rPr>
        <w:t>Quorum and Voting</w:t>
      </w:r>
      <w:r>
        <w:rPr>
          <w:rFonts w:ascii="Times New Roman" w:cs="Times New Roman" w:eastAsia="Times New Roman" w:hAnsi="Times New Roman"/>
          <w:sz w:val="14"/>
          <w:szCs w:val="14"/>
          <w:color w:val="auto"/>
        </w:rPr>
        <w:t>. A majority of the outstanding capital stock, represented in person or by proxy, shall constitute a quorum at any meeting of shareholders, unless otherwise provided by law, but less than a quorum may adjourn any meeting, from time to time, and the meeting may be held as adjourned without further notice. A majority of the votes cast shall decide every question or matter submitted to the shareholders at any meeting, unless otherwise provided by law or by the Articles of Association.</w:t>
      </w:r>
    </w:p>
    <w:p>
      <w:pPr>
        <w:spacing w:after="0" w:line="140" w:lineRule="exact"/>
        <w:rPr>
          <w:sz w:val="20"/>
          <w:szCs w:val="20"/>
          <w:color w:val="auto"/>
        </w:rPr>
      </w:pPr>
    </w:p>
    <w:p>
      <w:pPr>
        <w:jc w:val="both"/>
        <w:ind w:left="240" w:right="319"/>
        <w:spacing w:after="0" w:line="265" w:lineRule="auto"/>
        <w:rPr>
          <w:sz w:val="20"/>
          <w:szCs w:val="20"/>
          <w:color w:val="auto"/>
        </w:rPr>
      </w:pPr>
      <w:r>
        <w:rPr>
          <w:rFonts w:ascii="Times New Roman" w:cs="Times New Roman" w:eastAsia="Times New Roman" w:hAnsi="Times New Roman"/>
          <w:sz w:val="14"/>
          <w:szCs w:val="14"/>
          <w:color w:val="auto"/>
        </w:rPr>
        <w:t xml:space="preserve">Section 1.7. </w:t>
      </w:r>
      <w:r>
        <w:rPr>
          <w:rFonts w:ascii="Times New Roman" w:cs="Times New Roman" w:eastAsia="Times New Roman" w:hAnsi="Times New Roman"/>
          <w:sz w:val="14"/>
          <w:szCs w:val="14"/>
          <w:u w:val="single" w:color="auto"/>
          <w:color w:val="auto"/>
        </w:rPr>
        <w:t>Inspectors</w:t>
      </w:r>
      <w:r>
        <w:rPr>
          <w:rFonts w:ascii="Times New Roman" w:cs="Times New Roman" w:eastAsia="Times New Roman" w:hAnsi="Times New Roman"/>
          <w:sz w:val="14"/>
          <w:szCs w:val="14"/>
          <w:color w:val="auto"/>
        </w:rPr>
        <w:t>. The Board may, and in the event of its failure so to do, the Chairman of the Board may appoint Inspectors of Election who shall determine the presence of quorum, the validity of proxies, and the results of all elections and all other matters voted upon by shareholders at all annual and special meetings of shareholders.</w:t>
      </w:r>
    </w:p>
    <w:p>
      <w:pPr>
        <w:spacing w:after="0" w:line="13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 xml:space="preserve">Section 1.8. </w:t>
      </w:r>
      <w:r>
        <w:rPr>
          <w:rFonts w:ascii="Times New Roman" w:cs="Times New Roman" w:eastAsia="Times New Roman" w:hAnsi="Times New Roman"/>
          <w:sz w:val="14"/>
          <w:szCs w:val="14"/>
          <w:u w:val="single" w:color="auto"/>
          <w:color w:val="auto"/>
        </w:rPr>
        <w:t>Waiver and Consent</w:t>
      </w:r>
      <w:r>
        <w:rPr>
          <w:rFonts w:ascii="Times New Roman" w:cs="Times New Roman" w:eastAsia="Times New Roman" w:hAnsi="Times New Roman"/>
          <w:sz w:val="14"/>
          <w:szCs w:val="14"/>
          <w:color w:val="auto"/>
        </w:rPr>
        <w:t>. The shareholders may act without notice or a meeting by a unanimous written consent by all shareholders.</w:t>
      </w:r>
    </w:p>
    <w:p>
      <w:pPr>
        <w:spacing w:after="0" w:line="174" w:lineRule="exact"/>
        <w:rPr>
          <w:sz w:val="20"/>
          <w:szCs w:val="20"/>
          <w:color w:val="auto"/>
        </w:rPr>
      </w:pPr>
    </w:p>
    <w:p>
      <w:pPr>
        <w:ind w:left="240" w:right="379"/>
        <w:spacing w:after="0" w:line="281" w:lineRule="auto"/>
        <w:rPr>
          <w:sz w:val="20"/>
          <w:szCs w:val="20"/>
          <w:color w:val="auto"/>
        </w:rPr>
      </w:pPr>
      <w:r>
        <w:rPr>
          <w:rFonts w:ascii="Times New Roman" w:cs="Times New Roman" w:eastAsia="Times New Roman" w:hAnsi="Times New Roman"/>
          <w:sz w:val="14"/>
          <w:szCs w:val="14"/>
          <w:color w:val="auto"/>
        </w:rPr>
        <w:t xml:space="preserve">Section 1.9. </w:t>
      </w:r>
      <w:r>
        <w:rPr>
          <w:rFonts w:ascii="Times New Roman" w:cs="Times New Roman" w:eastAsia="Times New Roman" w:hAnsi="Times New Roman"/>
          <w:sz w:val="14"/>
          <w:szCs w:val="14"/>
          <w:u w:val="single" w:color="auto"/>
          <w:color w:val="auto"/>
        </w:rPr>
        <w:t>Remote Meetings</w:t>
      </w:r>
      <w:r>
        <w:rPr>
          <w:rFonts w:ascii="Times New Roman" w:cs="Times New Roman" w:eastAsia="Times New Roman" w:hAnsi="Times New Roman"/>
          <w:sz w:val="14"/>
          <w:szCs w:val="14"/>
          <w:color w:val="auto"/>
        </w:rPr>
        <w:t>. The Board shall have the right to determine that a shareholder meeting not be held at a place, but instead be held solely by means of remote communication in the manner and to the extent permitted by the General Corporation Law of the State of Delaware.</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u w:val="single" w:color="auto"/>
          <w:color w:val="auto"/>
        </w:rPr>
        <w:t>ARTICLE II</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u w:val="single" w:color="auto"/>
          <w:color w:val="auto"/>
        </w:rPr>
        <w:t>Directors</w:t>
      </w:r>
    </w:p>
    <w:p>
      <w:pPr>
        <w:spacing w:after="0" w:line="159" w:lineRule="exact"/>
        <w:rPr>
          <w:sz w:val="20"/>
          <w:szCs w:val="20"/>
          <w:color w:val="auto"/>
        </w:rPr>
      </w:pPr>
    </w:p>
    <w:p>
      <w:pPr>
        <w:ind w:left="240" w:right="719"/>
        <w:spacing w:after="0" w:line="281" w:lineRule="auto"/>
        <w:rPr>
          <w:sz w:val="20"/>
          <w:szCs w:val="20"/>
          <w:color w:val="auto"/>
        </w:rPr>
      </w:pPr>
      <w:r>
        <w:rPr>
          <w:rFonts w:ascii="Times New Roman" w:cs="Times New Roman" w:eastAsia="Times New Roman" w:hAnsi="Times New Roman"/>
          <w:sz w:val="14"/>
          <w:szCs w:val="14"/>
          <w:color w:val="auto"/>
        </w:rPr>
        <w:t xml:space="preserve">Section 2.1. </w:t>
      </w:r>
      <w:r>
        <w:rPr>
          <w:rFonts w:ascii="Times New Roman" w:cs="Times New Roman" w:eastAsia="Times New Roman" w:hAnsi="Times New Roman"/>
          <w:sz w:val="14"/>
          <w:szCs w:val="14"/>
          <w:u w:val="single" w:color="auto"/>
          <w:color w:val="auto"/>
        </w:rPr>
        <w:t>Board of Directors</w:t>
      </w:r>
      <w:r>
        <w:rPr>
          <w:rFonts w:ascii="Times New Roman" w:cs="Times New Roman" w:eastAsia="Times New Roman" w:hAnsi="Times New Roman"/>
          <w:sz w:val="14"/>
          <w:szCs w:val="14"/>
          <w:color w:val="auto"/>
        </w:rPr>
        <w:t>. The Board shall have the power to manage and administer the business and affairs of the Association. Except as expressly limited by law, all corporate powers of the Association shall be vested in and may be exercised by the Board.</w:t>
      </w:r>
    </w:p>
    <w:p>
      <w:pPr>
        <w:spacing w:after="0" w:line="125" w:lineRule="exact"/>
        <w:rPr>
          <w:sz w:val="20"/>
          <w:szCs w:val="20"/>
          <w:color w:val="auto"/>
        </w:rPr>
      </w:pPr>
    </w:p>
    <w:p>
      <w:pPr>
        <w:ind w:left="240" w:right="399"/>
        <w:spacing w:after="0" w:line="281" w:lineRule="auto"/>
        <w:rPr>
          <w:sz w:val="20"/>
          <w:szCs w:val="20"/>
          <w:color w:val="auto"/>
        </w:rPr>
      </w:pPr>
      <w:r>
        <w:rPr>
          <w:rFonts w:ascii="Times New Roman" w:cs="Times New Roman" w:eastAsia="Times New Roman" w:hAnsi="Times New Roman"/>
          <w:sz w:val="14"/>
          <w:szCs w:val="14"/>
          <w:color w:val="auto"/>
        </w:rPr>
        <w:t xml:space="preserve">Section 2.2. </w:t>
      </w:r>
      <w:r>
        <w:rPr>
          <w:rFonts w:ascii="Times New Roman" w:cs="Times New Roman" w:eastAsia="Times New Roman" w:hAnsi="Times New Roman"/>
          <w:sz w:val="14"/>
          <w:szCs w:val="14"/>
          <w:u w:val="single" w:color="auto"/>
          <w:color w:val="auto"/>
        </w:rPr>
        <w:t>Term of Office</w:t>
      </w:r>
      <w:r>
        <w:rPr>
          <w:rFonts w:ascii="Times New Roman" w:cs="Times New Roman" w:eastAsia="Times New Roman" w:hAnsi="Times New Roman"/>
          <w:sz w:val="14"/>
          <w:szCs w:val="14"/>
          <w:color w:val="auto"/>
        </w:rPr>
        <w:t>. The directors of this Association shall hold office for one year and until their successors are duly elected and qualified, or until their earlier resignation or removal.</w:t>
      </w:r>
    </w:p>
    <w:p>
      <w:pPr>
        <w:spacing w:after="0" w:line="125" w:lineRule="exact"/>
        <w:rPr>
          <w:sz w:val="20"/>
          <w:szCs w:val="20"/>
          <w:color w:val="auto"/>
        </w:rPr>
      </w:pPr>
    </w:p>
    <w:p>
      <w:pPr>
        <w:ind w:left="240" w:right="299"/>
        <w:spacing w:after="0" w:line="281" w:lineRule="auto"/>
        <w:rPr>
          <w:sz w:val="20"/>
          <w:szCs w:val="20"/>
          <w:color w:val="auto"/>
        </w:rPr>
      </w:pPr>
      <w:r>
        <w:rPr>
          <w:rFonts w:ascii="Times New Roman" w:cs="Times New Roman" w:eastAsia="Times New Roman" w:hAnsi="Times New Roman"/>
          <w:sz w:val="14"/>
          <w:szCs w:val="14"/>
          <w:color w:val="auto"/>
        </w:rPr>
        <w:t xml:space="preserve">Section 2.3. </w:t>
      </w:r>
      <w:r>
        <w:rPr>
          <w:rFonts w:ascii="Times New Roman" w:cs="Times New Roman" w:eastAsia="Times New Roman" w:hAnsi="Times New Roman"/>
          <w:sz w:val="14"/>
          <w:szCs w:val="14"/>
          <w:u w:val="single" w:color="auto"/>
          <w:color w:val="auto"/>
        </w:rPr>
        <w:t>Powers</w:t>
      </w:r>
      <w:r>
        <w:rPr>
          <w:rFonts w:ascii="Times New Roman" w:cs="Times New Roman" w:eastAsia="Times New Roman" w:hAnsi="Times New Roman"/>
          <w:sz w:val="14"/>
          <w:szCs w:val="14"/>
          <w:color w:val="auto"/>
        </w:rPr>
        <w:t>. In addition to the foregoing, the Board shall have and may exercise all of the powers granted to or conferred upon it by the Articles of Association, the Bylaws and by law.</w:t>
      </w:r>
    </w:p>
    <w:p>
      <w:pPr>
        <w:spacing w:after="0" w:line="125" w:lineRule="exact"/>
        <w:rPr>
          <w:sz w:val="20"/>
          <w:szCs w:val="20"/>
          <w:color w:val="auto"/>
        </w:rPr>
      </w:pPr>
    </w:p>
    <w:p>
      <w:pPr>
        <w:ind w:left="240" w:right="299"/>
        <w:spacing w:after="0" w:line="265" w:lineRule="auto"/>
        <w:rPr>
          <w:sz w:val="20"/>
          <w:szCs w:val="20"/>
          <w:color w:val="auto"/>
        </w:rPr>
      </w:pPr>
      <w:r>
        <w:rPr>
          <w:rFonts w:ascii="Times New Roman" w:cs="Times New Roman" w:eastAsia="Times New Roman" w:hAnsi="Times New Roman"/>
          <w:sz w:val="14"/>
          <w:szCs w:val="14"/>
          <w:color w:val="auto"/>
        </w:rPr>
        <w:t xml:space="preserve">Section 2.4. </w:t>
      </w:r>
      <w:r>
        <w:rPr>
          <w:rFonts w:ascii="Times New Roman" w:cs="Times New Roman" w:eastAsia="Times New Roman" w:hAnsi="Times New Roman"/>
          <w:sz w:val="14"/>
          <w:szCs w:val="14"/>
          <w:u w:val="single" w:color="auto"/>
          <w:color w:val="auto"/>
        </w:rPr>
        <w:t>Number</w:t>
      </w:r>
      <w:r>
        <w:rPr>
          <w:rFonts w:ascii="Times New Roman" w:cs="Times New Roman" w:eastAsia="Times New Roman" w:hAnsi="Times New Roman"/>
          <w:sz w:val="14"/>
          <w:szCs w:val="14"/>
          <w:color w:val="auto"/>
        </w:rPr>
        <w:t>. As provided in the Articles of Association, the Board of this Association shall consist of no less than five nor more than twenty-five members, unless the OCC has exempted the Association from the twenty-five-member limit. The Board shall consist of a number of members to be fixed and determined from time to time by resolution of the Board or the shareholders at any meeting thereof,</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11</w:t>
      </w:r>
    </w:p>
    <w:p>
      <w:pPr>
        <w:sectPr>
          <w:pgSz w:w="11900" w:h="16838" w:orient="portrait"/>
          <w:cols w:equalWidth="0" w:num="1">
            <w:col w:w="9019"/>
          </w:cols>
          <w:pgMar w:left="1440" w:top="240" w:right="1440" w:bottom="1440" w:gutter="0" w:footer="0" w:header="0"/>
        </w:sectPr>
      </w:pPr>
    </w:p>
    <w:bookmarkStart w:id="110" w:name="page111"/>
    <w:bookmarkEnd w:id="110"/>
    <w:p>
      <w:pPr>
        <w:ind w:left="240" w:right="319"/>
        <w:spacing w:after="0" w:line="254"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77">
                      <a:extLst>
                        <a:ext uri="{28A0092B-C50C-407E-A947-70E740481C1C}"/>
                      </a:extLst>
                    </a:blip>
                    <a:srcRect/>
                    <a:stretch>
                      <a:fillRect/>
                    </a:stretch>
                  </pic:blipFill>
                  <pic:spPr bwMode="auto">
                    <a:xfrm>
                      <a:off x="0" y="0"/>
                      <a:ext cx="7201535" cy="32385"/>
                    </a:xfrm>
                    <a:prstGeom prst="rect">
                      <a:avLst/>
                    </a:prstGeom>
                    <a:noFill/>
                  </pic:spPr>
                </pic:pic>
              </a:graphicData>
            </a:graphic>
          </wp:anchor>
        </w:drawing>
        <w:t>in accordance with the Articles of Association. Between meetings of the shareholders held for the purpose of electing directors, the Board by a majority vote of the full Board may increase the size of the Board but not to more than a total of twenty-five directors, and fill any vacancy so created in the Board; provided that the Board may increase the number of directors only by up to two directors, when the number of directors last elected by shareholders was fifteen or fewer, and by up to four directors, when the number of directors last elected by shareholders was sixteen or more. Each director shall own a qualifying equity interest in the Association or a company that has control of the Association in each case as required by applicable law. Each director shall own such qualifying equity interest in his or her own right and meet any minimum threshold ownership required by applicable law.</w:t>
      </w:r>
    </w:p>
    <w:p>
      <w:pPr>
        <w:spacing w:after="0" w:line="147" w:lineRule="exact"/>
        <w:rPr>
          <w:sz w:val="20"/>
          <w:szCs w:val="20"/>
          <w:color w:val="auto"/>
        </w:rPr>
      </w:pPr>
    </w:p>
    <w:p>
      <w:pPr>
        <w:jc w:val="both"/>
        <w:ind w:left="240" w:right="319"/>
        <w:spacing w:after="0" w:line="260" w:lineRule="auto"/>
        <w:rPr>
          <w:sz w:val="20"/>
          <w:szCs w:val="20"/>
          <w:color w:val="auto"/>
        </w:rPr>
      </w:pPr>
      <w:r>
        <w:rPr>
          <w:rFonts w:ascii="Times New Roman" w:cs="Times New Roman" w:eastAsia="Times New Roman" w:hAnsi="Times New Roman"/>
          <w:sz w:val="14"/>
          <w:szCs w:val="14"/>
          <w:color w:val="auto"/>
        </w:rPr>
        <w:t xml:space="preserve">Section 2.5. </w:t>
      </w:r>
      <w:r>
        <w:rPr>
          <w:rFonts w:ascii="Times New Roman" w:cs="Times New Roman" w:eastAsia="Times New Roman" w:hAnsi="Times New Roman"/>
          <w:sz w:val="14"/>
          <w:szCs w:val="14"/>
          <w:u w:val="single" w:color="auto"/>
          <w:color w:val="auto"/>
        </w:rPr>
        <w:t>Organization Meeting</w:t>
      </w:r>
      <w:r>
        <w:rPr>
          <w:rFonts w:ascii="Times New Roman" w:cs="Times New Roman" w:eastAsia="Times New Roman" w:hAnsi="Times New Roman"/>
          <w:sz w:val="14"/>
          <w:szCs w:val="14"/>
          <w:color w:val="auto"/>
        </w:rPr>
        <w:t>. The newly elected Board shall meet for the purpose of organizing the new Board and electing and appointing such officers of the Association as may be appropriate. Such meeting shall be held on the day of the election or as soon thereafter as practicable, and, in any event, within thirty days thereafter, at such time and place as the Chairman or President may designate. If, at the time fixed for such meeting, there shall not be a quorum present, the directors present may adjourn the meeting until a quorum is obtained.</w:t>
      </w:r>
    </w:p>
    <w:p>
      <w:pPr>
        <w:spacing w:after="0" w:line="140" w:lineRule="exact"/>
        <w:rPr>
          <w:sz w:val="20"/>
          <w:szCs w:val="20"/>
          <w:color w:val="auto"/>
        </w:rPr>
      </w:pPr>
    </w:p>
    <w:p>
      <w:pPr>
        <w:ind w:left="240" w:right="399"/>
        <w:spacing w:after="0" w:line="281" w:lineRule="auto"/>
        <w:rPr>
          <w:sz w:val="20"/>
          <w:szCs w:val="20"/>
          <w:color w:val="auto"/>
        </w:rPr>
      </w:pPr>
      <w:r>
        <w:rPr>
          <w:rFonts w:ascii="Times New Roman" w:cs="Times New Roman" w:eastAsia="Times New Roman" w:hAnsi="Times New Roman"/>
          <w:sz w:val="14"/>
          <w:szCs w:val="14"/>
          <w:color w:val="auto"/>
        </w:rPr>
        <w:t xml:space="preserve">Section 2.6. </w:t>
      </w:r>
      <w:r>
        <w:rPr>
          <w:rFonts w:ascii="Times New Roman" w:cs="Times New Roman" w:eastAsia="Times New Roman" w:hAnsi="Times New Roman"/>
          <w:sz w:val="14"/>
          <w:szCs w:val="14"/>
          <w:u w:val="single" w:color="auto"/>
          <w:color w:val="auto"/>
        </w:rPr>
        <w:t>Regular Meetings</w:t>
      </w:r>
      <w:r>
        <w:rPr>
          <w:rFonts w:ascii="Times New Roman" w:cs="Times New Roman" w:eastAsia="Times New Roman" w:hAnsi="Times New Roman"/>
          <w:sz w:val="14"/>
          <w:szCs w:val="14"/>
          <w:color w:val="auto"/>
        </w:rPr>
        <w:t>. The regular meetings of the Board shall be held, without notice, as the Chairman or President may designate and deem suitable.</w:t>
      </w:r>
    </w:p>
    <w:p>
      <w:pPr>
        <w:spacing w:after="0" w:line="125" w:lineRule="exact"/>
        <w:rPr>
          <w:sz w:val="20"/>
          <w:szCs w:val="20"/>
          <w:color w:val="auto"/>
        </w:rPr>
      </w:pPr>
    </w:p>
    <w:p>
      <w:pPr>
        <w:ind w:left="240" w:right="279"/>
        <w:spacing w:after="0" w:line="255" w:lineRule="auto"/>
        <w:rPr>
          <w:sz w:val="20"/>
          <w:szCs w:val="20"/>
          <w:color w:val="auto"/>
        </w:rPr>
      </w:pPr>
      <w:r>
        <w:rPr>
          <w:rFonts w:ascii="Times New Roman" w:cs="Times New Roman" w:eastAsia="Times New Roman" w:hAnsi="Times New Roman"/>
          <w:sz w:val="14"/>
          <w:szCs w:val="14"/>
          <w:color w:val="auto"/>
        </w:rPr>
        <w:t xml:space="preserve">Section 2.7. </w:t>
      </w:r>
      <w:r>
        <w:rPr>
          <w:rFonts w:ascii="Times New Roman" w:cs="Times New Roman" w:eastAsia="Times New Roman" w:hAnsi="Times New Roman"/>
          <w:sz w:val="14"/>
          <w:szCs w:val="14"/>
          <w:u w:val="single" w:color="auto"/>
          <w:color w:val="auto"/>
        </w:rPr>
        <w:t>Special Meetings</w:t>
      </w:r>
      <w:r>
        <w:rPr>
          <w:rFonts w:ascii="Times New Roman" w:cs="Times New Roman" w:eastAsia="Times New Roman" w:hAnsi="Times New Roman"/>
          <w:sz w:val="14"/>
          <w:szCs w:val="14"/>
          <w:color w:val="auto"/>
        </w:rPr>
        <w:t>. Special meetings of the Board may be called at any time, at any place and for any purpose by the Chairman of the Board or the President of the Association, or upon the request of a majority of the entire Board. Notice of every special meeting of the Board shall be given to the directors at their usual places of business, or at such other addresses as shall have been furnished by them for the purpose. Such notice shall be given at least twelve hours (three hours if meeting is to be conducted by conference telephone) before the meeting by telephone or by being personally delivered, mailed, or electronically delivered. Such notice need not include a statement of the business to be transacted at, or the purpose of, any such meeting.</w:t>
      </w:r>
    </w:p>
    <w:p>
      <w:pPr>
        <w:spacing w:after="0" w:line="146" w:lineRule="exact"/>
        <w:rPr>
          <w:sz w:val="20"/>
          <w:szCs w:val="20"/>
          <w:color w:val="auto"/>
        </w:rPr>
      </w:pPr>
    </w:p>
    <w:p>
      <w:pPr>
        <w:ind w:left="240" w:right="339"/>
        <w:spacing w:after="0" w:line="260" w:lineRule="auto"/>
        <w:rPr>
          <w:sz w:val="20"/>
          <w:szCs w:val="20"/>
          <w:color w:val="auto"/>
        </w:rPr>
      </w:pPr>
      <w:r>
        <w:rPr>
          <w:rFonts w:ascii="Times New Roman" w:cs="Times New Roman" w:eastAsia="Times New Roman" w:hAnsi="Times New Roman"/>
          <w:sz w:val="14"/>
          <w:szCs w:val="14"/>
          <w:color w:val="auto"/>
        </w:rPr>
        <w:t xml:space="preserve">Section 2.8. </w:t>
      </w:r>
      <w:r>
        <w:rPr>
          <w:rFonts w:ascii="Times New Roman" w:cs="Times New Roman" w:eastAsia="Times New Roman" w:hAnsi="Times New Roman"/>
          <w:sz w:val="14"/>
          <w:szCs w:val="14"/>
          <w:u w:val="single" w:color="auto"/>
          <w:color w:val="auto"/>
        </w:rPr>
        <w:t>Quorum and Necessary Vote</w:t>
      </w:r>
      <w:r>
        <w:rPr>
          <w:rFonts w:ascii="Times New Roman" w:cs="Times New Roman" w:eastAsia="Times New Roman" w:hAnsi="Times New Roman"/>
          <w:sz w:val="14"/>
          <w:szCs w:val="14"/>
          <w:color w:val="auto"/>
        </w:rPr>
        <w:t>. A majority of the directors shall constitute a quorum at any meeting of the Board, except when otherwise provided by law; but less than a quorum may adjourn any meeting, from time to time, and the meeting may be held as adjourned without further notice. Unless otherwise provided by law or the Articles or Bylaws of this Association, once a quorum is established, any act by a majority of those directors present and voting shall be the act of the Board.</w:t>
      </w:r>
    </w:p>
    <w:p>
      <w:pPr>
        <w:spacing w:after="0" w:line="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ectPr>
          <w:pgSz w:w="11900" w:h="16838" w:orient="portrait"/>
          <w:cols w:equalWidth="0" w:num="1">
            <w:col w:w="9019"/>
          </w:cols>
          <w:pgMar w:left="1440" w:top="240" w:right="1440" w:bottom="1440" w:gutter="0" w:footer="0" w:header="0"/>
        </w:sectPr>
      </w:pPr>
    </w:p>
    <w:bookmarkStart w:id="111" w:name="page112"/>
    <w:bookmarkEnd w:id="111"/>
    <w:p>
      <w:pPr>
        <w:ind w:left="240" w:right="479"/>
        <w:spacing w:after="0" w:line="281"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78">
                      <a:extLst>
                        <a:ext uri="{28A0092B-C50C-407E-A947-70E740481C1C}"/>
                      </a:extLst>
                    </a:blip>
                    <a:srcRect/>
                    <a:stretch>
                      <a:fillRect/>
                    </a:stretch>
                  </pic:blipFill>
                  <pic:spPr bwMode="auto">
                    <a:xfrm>
                      <a:off x="0" y="0"/>
                      <a:ext cx="7201535" cy="32385"/>
                    </a:xfrm>
                    <a:prstGeom prst="rect">
                      <a:avLst/>
                    </a:prstGeom>
                    <a:noFill/>
                  </pic:spPr>
                </pic:pic>
              </a:graphicData>
            </a:graphic>
          </wp:anchor>
        </w:drawing>
        <w:t xml:space="preserve">Section 2.9. </w:t>
      </w:r>
      <w:r>
        <w:rPr>
          <w:rFonts w:ascii="Times New Roman" w:cs="Times New Roman" w:eastAsia="Times New Roman" w:hAnsi="Times New Roman"/>
          <w:sz w:val="14"/>
          <w:szCs w:val="14"/>
          <w:u w:val="single" w:color="auto"/>
          <w:color w:val="auto"/>
        </w:rPr>
        <w:t>Written Consent</w:t>
      </w:r>
      <w:r>
        <w:rPr>
          <w:rFonts w:ascii="Times New Roman" w:cs="Times New Roman" w:eastAsia="Times New Roman" w:hAnsi="Times New Roman"/>
          <w:sz w:val="14"/>
          <w:szCs w:val="14"/>
          <w:color w:val="auto"/>
        </w:rPr>
        <w:t>. Except as otherwise required by applicable laws and regulations, the Board may act without a meeting by a unanimous written consent by all directors, to be filed with the Secretary of the Association as part of the corporate records.</w:t>
      </w:r>
    </w:p>
    <w:p>
      <w:pPr>
        <w:spacing w:after="0" w:line="125" w:lineRule="exact"/>
        <w:rPr>
          <w:sz w:val="20"/>
          <w:szCs w:val="20"/>
          <w:color w:val="auto"/>
        </w:rPr>
      </w:pPr>
    </w:p>
    <w:p>
      <w:pPr>
        <w:jc w:val="both"/>
        <w:ind w:left="240" w:right="259"/>
        <w:spacing w:after="0" w:line="265" w:lineRule="auto"/>
        <w:rPr>
          <w:sz w:val="20"/>
          <w:szCs w:val="20"/>
          <w:color w:val="auto"/>
        </w:rPr>
      </w:pPr>
      <w:r>
        <w:rPr>
          <w:rFonts w:ascii="Times New Roman" w:cs="Times New Roman" w:eastAsia="Times New Roman" w:hAnsi="Times New Roman"/>
          <w:sz w:val="14"/>
          <w:szCs w:val="14"/>
          <w:color w:val="auto"/>
        </w:rPr>
        <w:t xml:space="preserve">Section 2.10. </w:t>
      </w:r>
      <w:r>
        <w:rPr>
          <w:rFonts w:ascii="Times New Roman" w:cs="Times New Roman" w:eastAsia="Times New Roman" w:hAnsi="Times New Roman"/>
          <w:sz w:val="14"/>
          <w:szCs w:val="14"/>
          <w:u w:val="single" w:color="auto"/>
          <w:color w:val="auto"/>
        </w:rPr>
        <w:t>Remote Meetings</w:t>
      </w:r>
      <w:r>
        <w:rPr>
          <w:rFonts w:ascii="Times New Roman" w:cs="Times New Roman" w:eastAsia="Times New Roman" w:hAnsi="Times New Roman"/>
          <w:sz w:val="14"/>
          <w:szCs w:val="14"/>
          <w:color w:val="auto"/>
        </w:rPr>
        <w:t>. Members of the Board, or of any committee thereof, may participate in a meeting of such Board or committee by means of conference telephone, video or similar communications equipment by means of which all persons participating in the meeting can hear each other and such participation shall constitute presence in person at such meeting.</w:t>
      </w:r>
    </w:p>
    <w:p>
      <w:pPr>
        <w:spacing w:after="0" w:line="136" w:lineRule="exact"/>
        <w:rPr>
          <w:sz w:val="20"/>
          <w:szCs w:val="20"/>
          <w:color w:val="auto"/>
        </w:rPr>
      </w:pPr>
    </w:p>
    <w:p>
      <w:pPr>
        <w:jc w:val="both"/>
        <w:ind w:left="240" w:right="259"/>
        <w:spacing w:after="0" w:line="281" w:lineRule="auto"/>
        <w:rPr>
          <w:sz w:val="20"/>
          <w:szCs w:val="20"/>
          <w:color w:val="auto"/>
        </w:rPr>
      </w:pPr>
      <w:r>
        <w:rPr>
          <w:rFonts w:ascii="Times New Roman" w:cs="Times New Roman" w:eastAsia="Times New Roman" w:hAnsi="Times New Roman"/>
          <w:sz w:val="14"/>
          <w:szCs w:val="14"/>
          <w:color w:val="auto"/>
        </w:rPr>
        <w:t xml:space="preserve">Section 2.11. </w:t>
      </w:r>
      <w:r>
        <w:rPr>
          <w:rFonts w:ascii="Times New Roman" w:cs="Times New Roman" w:eastAsia="Times New Roman" w:hAnsi="Times New Roman"/>
          <w:sz w:val="14"/>
          <w:szCs w:val="14"/>
          <w:u w:val="single" w:color="auto"/>
          <w:color w:val="auto"/>
        </w:rPr>
        <w:t>Vacancies</w:t>
      </w:r>
      <w:r>
        <w:rPr>
          <w:rFonts w:ascii="Times New Roman" w:cs="Times New Roman" w:eastAsia="Times New Roman" w:hAnsi="Times New Roman"/>
          <w:sz w:val="14"/>
          <w:szCs w:val="14"/>
          <w:color w:val="auto"/>
        </w:rPr>
        <w:t>. When any vacancy occurs among the directors, the remaining members of the Board may appoint a director to fill such vacancy at any regular meeting of the Board, or at a special meeting called for that purpose.</w:t>
      </w:r>
    </w:p>
    <w:p>
      <w:pPr>
        <w:spacing w:after="0" w:line="125"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4"/>
          <w:szCs w:val="14"/>
          <w:u w:val="single" w:color="auto"/>
          <w:color w:val="auto"/>
        </w:rPr>
        <w:t>ARTICLE III</w:t>
      </w:r>
    </w:p>
    <w:p>
      <w:pPr>
        <w:spacing w:after="0" w:line="21"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4"/>
          <w:szCs w:val="14"/>
          <w:u w:val="single" w:color="auto"/>
          <w:color w:val="auto"/>
        </w:rPr>
        <w:t>Committees</w:t>
      </w:r>
    </w:p>
    <w:p>
      <w:pPr>
        <w:spacing w:after="0" w:line="159" w:lineRule="exact"/>
        <w:rPr>
          <w:sz w:val="20"/>
          <w:szCs w:val="20"/>
          <w:color w:val="auto"/>
        </w:rPr>
      </w:pPr>
    </w:p>
    <w:p>
      <w:pPr>
        <w:ind w:left="240" w:right="319"/>
        <w:spacing w:after="0" w:line="260" w:lineRule="auto"/>
        <w:rPr>
          <w:sz w:val="20"/>
          <w:szCs w:val="20"/>
          <w:color w:val="auto"/>
        </w:rPr>
      </w:pPr>
      <w:r>
        <w:rPr>
          <w:rFonts w:ascii="Times New Roman" w:cs="Times New Roman" w:eastAsia="Times New Roman" w:hAnsi="Times New Roman"/>
          <w:sz w:val="14"/>
          <w:szCs w:val="14"/>
          <w:color w:val="auto"/>
        </w:rPr>
        <w:t xml:space="preserve">Section 3.1. </w:t>
      </w:r>
      <w:r>
        <w:rPr>
          <w:rFonts w:ascii="Times New Roman" w:cs="Times New Roman" w:eastAsia="Times New Roman" w:hAnsi="Times New Roman"/>
          <w:sz w:val="14"/>
          <w:szCs w:val="14"/>
          <w:u w:val="single" w:color="auto"/>
          <w:color w:val="auto"/>
        </w:rPr>
        <w:t>Advisory Board of Directors</w:t>
      </w:r>
      <w:r>
        <w:rPr>
          <w:rFonts w:ascii="Times New Roman" w:cs="Times New Roman" w:eastAsia="Times New Roman" w:hAnsi="Times New Roman"/>
          <w:sz w:val="14"/>
          <w:szCs w:val="14"/>
          <w:color w:val="auto"/>
        </w:rPr>
        <w:t>. The Board may appoint persons, who need not be directors, to serve as advisory directors on an advisory board of directors established with respect to the business affairs of either this Association alone or the business affairs of a group of affiliated organizations of which this Association is one. Advisory directors shall have such powers and duties as may be determined by the Board, provided, that the Board’s responsibility for the business and affairs of this Association shall in no respect be delegated or diminished.</w:t>
      </w:r>
    </w:p>
    <w:p>
      <w:pPr>
        <w:spacing w:after="0" w:line="140" w:lineRule="exact"/>
        <w:rPr>
          <w:sz w:val="20"/>
          <w:szCs w:val="20"/>
          <w:color w:val="auto"/>
        </w:rPr>
      </w:pPr>
    </w:p>
    <w:p>
      <w:pPr>
        <w:ind w:left="240" w:right="319"/>
        <w:spacing w:after="0" w:line="257" w:lineRule="auto"/>
        <w:rPr>
          <w:sz w:val="20"/>
          <w:szCs w:val="20"/>
          <w:color w:val="auto"/>
        </w:rPr>
      </w:pPr>
      <w:r>
        <w:rPr>
          <w:rFonts w:ascii="Times New Roman" w:cs="Times New Roman" w:eastAsia="Times New Roman" w:hAnsi="Times New Roman"/>
          <w:sz w:val="14"/>
          <w:szCs w:val="14"/>
          <w:color w:val="auto"/>
        </w:rPr>
        <w:t xml:space="preserve">Section 3.2. </w:t>
      </w:r>
      <w:r>
        <w:rPr>
          <w:rFonts w:ascii="Times New Roman" w:cs="Times New Roman" w:eastAsia="Times New Roman" w:hAnsi="Times New Roman"/>
          <w:sz w:val="14"/>
          <w:szCs w:val="14"/>
          <w:u w:val="single" w:color="auto"/>
          <w:color w:val="auto"/>
        </w:rPr>
        <w:t>Trust Audit Committee</w:t>
      </w:r>
      <w:r>
        <w:rPr>
          <w:rFonts w:ascii="Times New Roman" w:cs="Times New Roman" w:eastAsia="Times New Roman" w:hAnsi="Times New Roman"/>
          <w:sz w:val="14"/>
          <w:szCs w:val="14"/>
          <w:color w:val="auto"/>
        </w:rPr>
        <w:t>. At least once during each calendar year, the Association shall arrange for a suitable audit (by internal or external auditors) of all significant fiduciary activities under the direction of its trust audit committee, a function that will be fulfilled by the Audit Committee of the financial holding company that is the ultimate parent of this Association. The Association shall note the results of the audit (including significant actions taken as a result of the audit) in the minutes of the Board. In lieu of annual audits, the Association may adopt a continuous audit system in accordance with 12 C.F.R. § 9.9(b).</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13</w:t>
      </w:r>
    </w:p>
    <w:p>
      <w:pPr>
        <w:sectPr>
          <w:pgSz w:w="11900" w:h="16838" w:orient="portrait"/>
          <w:cols w:equalWidth="0" w:num="1">
            <w:col w:w="9019"/>
          </w:cols>
          <w:pgMar w:left="1440" w:top="240" w:right="1440" w:bottom="1440" w:gutter="0" w:footer="0" w:header="0"/>
        </w:sectPr>
      </w:pPr>
    </w:p>
    <w:bookmarkStart w:id="112" w:name="page113"/>
    <w:bookmarkEnd w:id="112"/>
    <w:p>
      <w:pPr>
        <w:jc w:val="center"/>
        <w:ind w:right="19"/>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79">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The Audit Committee of the financial holding company that is the ultimate parent of this Association, fulfilling the function of the trust audit committee:</w:t>
      </w:r>
    </w:p>
    <w:p>
      <w:pPr>
        <w:spacing w:after="0" w:line="102" w:lineRule="exact"/>
        <w:rPr>
          <w:sz w:val="20"/>
          <w:szCs w:val="20"/>
          <w:color w:val="auto"/>
        </w:rPr>
      </w:pPr>
    </w:p>
    <w:p>
      <w:pPr>
        <w:ind w:left="580" w:right="279" w:hanging="4"/>
        <w:spacing w:after="0" w:line="281" w:lineRule="auto"/>
        <w:tabs>
          <w:tab w:leader="none" w:pos="777"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Must not include any officers of the Association or an affiliate who participate significantly in the administration of the Association’s fiduciary activities; and</w:t>
      </w:r>
    </w:p>
    <w:p>
      <w:pPr>
        <w:spacing w:after="0" w:line="41" w:lineRule="exact"/>
        <w:rPr>
          <w:rFonts w:ascii="Times New Roman" w:cs="Times New Roman" w:eastAsia="Times New Roman" w:hAnsi="Times New Roman"/>
          <w:sz w:val="14"/>
          <w:szCs w:val="14"/>
          <w:color w:val="auto"/>
        </w:rPr>
      </w:pPr>
    </w:p>
    <w:p>
      <w:pPr>
        <w:ind w:left="580" w:right="459" w:hanging="4"/>
        <w:spacing w:after="0" w:line="281" w:lineRule="auto"/>
        <w:tabs>
          <w:tab w:leader="none" w:pos="777"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Must consist of a majority of members who are not also members of any committee to which the Board has delegated power to manage and control the fiduciary activities of the Association.</w:t>
      </w:r>
    </w:p>
    <w:p>
      <w:pPr>
        <w:spacing w:after="0" w:line="125" w:lineRule="exact"/>
        <w:rPr>
          <w:sz w:val="20"/>
          <w:szCs w:val="20"/>
          <w:color w:val="auto"/>
        </w:rPr>
      </w:pPr>
    </w:p>
    <w:p>
      <w:pPr>
        <w:jc w:val="both"/>
        <w:ind w:left="240" w:right="319"/>
        <w:spacing w:after="0" w:line="265" w:lineRule="auto"/>
        <w:rPr>
          <w:sz w:val="20"/>
          <w:szCs w:val="20"/>
          <w:color w:val="auto"/>
        </w:rPr>
      </w:pPr>
      <w:r>
        <w:rPr>
          <w:rFonts w:ascii="Times New Roman" w:cs="Times New Roman" w:eastAsia="Times New Roman" w:hAnsi="Times New Roman"/>
          <w:sz w:val="14"/>
          <w:szCs w:val="14"/>
          <w:color w:val="auto"/>
        </w:rPr>
        <w:t xml:space="preserve">Section 3.3. </w:t>
      </w:r>
      <w:r>
        <w:rPr>
          <w:rFonts w:ascii="Times New Roman" w:cs="Times New Roman" w:eastAsia="Times New Roman" w:hAnsi="Times New Roman"/>
          <w:sz w:val="14"/>
          <w:szCs w:val="14"/>
          <w:u w:val="single" w:color="auto"/>
          <w:color w:val="auto"/>
        </w:rPr>
        <w:t>Executive Committee</w:t>
      </w:r>
      <w:r>
        <w:rPr>
          <w:rFonts w:ascii="Times New Roman" w:cs="Times New Roman" w:eastAsia="Times New Roman" w:hAnsi="Times New Roman"/>
          <w:sz w:val="14"/>
          <w:szCs w:val="14"/>
          <w:color w:val="auto"/>
        </w:rPr>
        <w:t>. The Board may appoint an Executive Committee which shall consist of at least three directors and which shall have, and may exercise, to the extent permitted by applicable law, all the powers of the Board between meetings of the Board or otherwise when the Board is not meeting.</w:t>
      </w:r>
    </w:p>
    <w:p>
      <w:pPr>
        <w:spacing w:after="0" w:line="136" w:lineRule="exact"/>
        <w:rPr>
          <w:sz w:val="20"/>
          <w:szCs w:val="20"/>
          <w:color w:val="auto"/>
        </w:rPr>
      </w:pPr>
    </w:p>
    <w:p>
      <w:pPr>
        <w:ind w:left="240" w:right="259"/>
        <w:spacing w:after="0" w:line="257" w:lineRule="auto"/>
        <w:rPr>
          <w:sz w:val="20"/>
          <w:szCs w:val="20"/>
          <w:color w:val="auto"/>
        </w:rPr>
      </w:pPr>
      <w:r>
        <w:rPr>
          <w:rFonts w:ascii="Times New Roman" w:cs="Times New Roman" w:eastAsia="Times New Roman" w:hAnsi="Times New Roman"/>
          <w:sz w:val="14"/>
          <w:szCs w:val="14"/>
          <w:color w:val="auto"/>
        </w:rPr>
        <w:t xml:space="preserve">Section 3.4. </w:t>
      </w:r>
      <w:r>
        <w:rPr>
          <w:rFonts w:ascii="Times New Roman" w:cs="Times New Roman" w:eastAsia="Times New Roman" w:hAnsi="Times New Roman"/>
          <w:sz w:val="14"/>
          <w:szCs w:val="14"/>
          <w:u w:val="single" w:color="auto"/>
          <w:color w:val="auto"/>
        </w:rPr>
        <w:t>Trust Management Committee</w:t>
      </w:r>
      <w:r>
        <w:rPr>
          <w:rFonts w:ascii="Times New Roman" w:cs="Times New Roman" w:eastAsia="Times New Roman" w:hAnsi="Times New Roman"/>
          <w:sz w:val="14"/>
          <w:szCs w:val="14"/>
          <w:color w:val="auto"/>
        </w:rPr>
        <w:t>. The Board of this Association shall appoint a Trust Management Committee to provide oversight of the fiduciary activities of the Association. The Trust Management Committee shall determine policies governing fiduciary activities. The Trust Management Committee or such sub-committees, officers or others as may be duly designated by the Trust Management Committee shall oversee the processes related to fiduciary activities to assure conformity with fiduciary policies it establishes, including ratifying the acceptance and the closing out or relinquishment of all trusts. The Trust Management Committee will provide regular reports of its activities to the Board.</w:t>
      </w:r>
    </w:p>
    <w:p>
      <w:pPr>
        <w:spacing w:after="0" w:line="143" w:lineRule="exact"/>
        <w:rPr>
          <w:sz w:val="20"/>
          <w:szCs w:val="20"/>
          <w:color w:val="auto"/>
        </w:rPr>
      </w:pPr>
    </w:p>
    <w:p>
      <w:pPr>
        <w:ind w:left="240" w:right="259"/>
        <w:spacing w:after="0" w:line="255" w:lineRule="auto"/>
        <w:rPr>
          <w:sz w:val="20"/>
          <w:szCs w:val="20"/>
          <w:color w:val="auto"/>
        </w:rPr>
      </w:pPr>
      <w:r>
        <w:rPr>
          <w:rFonts w:ascii="Times New Roman" w:cs="Times New Roman" w:eastAsia="Times New Roman" w:hAnsi="Times New Roman"/>
          <w:sz w:val="14"/>
          <w:szCs w:val="14"/>
          <w:color w:val="auto"/>
        </w:rPr>
        <w:t xml:space="preserve">Section 3.5. </w:t>
      </w:r>
      <w:r>
        <w:rPr>
          <w:rFonts w:ascii="Times New Roman" w:cs="Times New Roman" w:eastAsia="Times New Roman" w:hAnsi="Times New Roman"/>
          <w:sz w:val="14"/>
          <w:szCs w:val="14"/>
          <w:u w:val="single" w:color="auto"/>
          <w:color w:val="auto"/>
        </w:rPr>
        <w:t>Other Committees</w:t>
      </w:r>
      <w:r>
        <w:rPr>
          <w:rFonts w:ascii="Times New Roman" w:cs="Times New Roman" w:eastAsia="Times New Roman" w:hAnsi="Times New Roman"/>
          <w:sz w:val="14"/>
          <w:szCs w:val="14"/>
          <w:color w:val="auto"/>
        </w:rPr>
        <w:t>. The Board may appoint, from time to time, committees of one or more persons who need not be directors, for such purposes and with such powers as the Board may determine; however, the Board will not delegate to any committee any powers or responsibilities that it is prohibited from delegating under any law or regulation. In addition, either the Chairman or the President may appoint, from time to time, committees of one or more officers, employees, agents or other persons, for such purposes and with such powers as either the Chairman or the President deems appropriate and proper. Whether appointed by the Board, the Chairman, or the President, any such committee shall at all times be subject to the direction and control of the Board.</w:t>
      </w:r>
    </w:p>
    <w:p>
      <w:pPr>
        <w:spacing w:after="0" w:line="146" w:lineRule="exact"/>
        <w:rPr>
          <w:sz w:val="20"/>
          <w:szCs w:val="20"/>
          <w:color w:val="auto"/>
        </w:rPr>
      </w:pPr>
    </w:p>
    <w:p>
      <w:pPr>
        <w:ind w:left="240" w:right="359"/>
        <w:spacing w:after="0" w:line="260" w:lineRule="auto"/>
        <w:rPr>
          <w:sz w:val="20"/>
          <w:szCs w:val="20"/>
          <w:color w:val="auto"/>
        </w:rPr>
      </w:pPr>
      <w:r>
        <w:rPr>
          <w:rFonts w:ascii="Times New Roman" w:cs="Times New Roman" w:eastAsia="Times New Roman" w:hAnsi="Times New Roman"/>
          <w:sz w:val="14"/>
          <w:szCs w:val="14"/>
          <w:color w:val="auto"/>
        </w:rPr>
        <w:t xml:space="preserve">Section 3.6. </w:t>
      </w:r>
      <w:r>
        <w:rPr>
          <w:rFonts w:ascii="Times New Roman" w:cs="Times New Roman" w:eastAsia="Times New Roman" w:hAnsi="Times New Roman"/>
          <w:sz w:val="14"/>
          <w:szCs w:val="14"/>
          <w:u w:val="single" w:color="auto"/>
          <w:color w:val="auto"/>
        </w:rPr>
        <w:t>Meetings, Minutes and Rules</w:t>
      </w:r>
      <w:r>
        <w:rPr>
          <w:rFonts w:ascii="Times New Roman" w:cs="Times New Roman" w:eastAsia="Times New Roman" w:hAnsi="Times New Roman"/>
          <w:sz w:val="14"/>
          <w:szCs w:val="14"/>
          <w:color w:val="auto"/>
        </w:rPr>
        <w:t>. An advisory board of directors and/or committee shall meet as necessary in consideration of the purpose of the advisory board of directors or committee, and shall maintain minutes in sufficient detail to indicate actions taken or recommendations made; unless required by the members, discussions, votes or other specific details need not be reported. An advisory board of directors or a committee may, in consideration of its purpose, adopt its own rules for the exercise of any of its functions or authority.</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14</w:t>
      </w:r>
    </w:p>
    <w:p>
      <w:pPr>
        <w:sectPr>
          <w:pgSz w:w="11900" w:h="16838" w:orient="portrait"/>
          <w:cols w:equalWidth="0" w:num="1">
            <w:col w:w="9019"/>
          </w:cols>
          <w:pgMar w:left="1440" w:top="240" w:right="1440" w:bottom="1440" w:gutter="0" w:footer="0" w:header="0"/>
        </w:sectPr>
      </w:pPr>
    </w:p>
    <w:bookmarkStart w:id="113" w:name="page114"/>
    <w:bookmarkEnd w:id="113"/>
    <w:p>
      <w:pPr>
        <w:jc w:val="center"/>
        <w:spacing w:after="0"/>
        <w:rPr>
          <w:sz w:val="20"/>
          <w:szCs w:val="20"/>
          <w:color w:val="auto"/>
        </w:rPr>
      </w:pPr>
      <w:r>
        <w:rPr>
          <w:rFonts w:ascii="Times New Roman" w:cs="Times New Roman" w:eastAsia="Times New Roman" w:hAnsi="Times New Roman"/>
          <w:sz w:val="14"/>
          <w:szCs w:val="14"/>
          <w:u w:val="single" w:color="auto"/>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80">
                      <a:extLst>
                        <a:ext uri="{28A0092B-C50C-407E-A947-70E740481C1C}"/>
                      </a:extLst>
                    </a:blip>
                    <a:srcRect/>
                    <a:stretch>
                      <a:fillRect/>
                    </a:stretch>
                  </pic:blipFill>
                  <pic:spPr bwMode="auto">
                    <a:xfrm>
                      <a:off x="0" y="0"/>
                      <a:ext cx="7201535" cy="32385"/>
                    </a:xfrm>
                    <a:prstGeom prst="rect">
                      <a:avLst/>
                    </a:prstGeom>
                    <a:noFill/>
                  </pic:spPr>
                </pic:pic>
              </a:graphicData>
            </a:graphic>
          </wp:anchor>
        </w:drawing>
        <w:t>ARTICLE IV</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u w:val="single" w:color="auto"/>
          <w:color w:val="auto"/>
        </w:rPr>
        <w:t>Officers</w:t>
      </w:r>
    </w:p>
    <w:p>
      <w:pPr>
        <w:spacing w:after="0" w:line="159" w:lineRule="exact"/>
        <w:rPr>
          <w:sz w:val="20"/>
          <w:szCs w:val="20"/>
          <w:color w:val="auto"/>
        </w:rPr>
      </w:pPr>
    </w:p>
    <w:p>
      <w:pPr>
        <w:ind w:left="240" w:right="259"/>
        <w:spacing w:after="0" w:line="255" w:lineRule="auto"/>
        <w:rPr>
          <w:sz w:val="20"/>
          <w:szCs w:val="20"/>
          <w:color w:val="auto"/>
        </w:rPr>
      </w:pPr>
      <w:r>
        <w:rPr>
          <w:rFonts w:ascii="Times New Roman" w:cs="Times New Roman" w:eastAsia="Times New Roman" w:hAnsi="Times New Roman"/>
          <w:sz w:val="14"/>
          <w:szCs w:val="14"/>
          <w:color w:val="auto"/>
        </w:rPr>
        <w:t xml:space="preserve">Section 4.1 </w:t>
      </w:r>
      <w:r>
        <w:rPr>
          <w:rFonts w:ascii="Times New Roman" w:cs="Times New Roman" w:eastAsia="Times New Roman" w:hAnsi="Times New Roman"/>
          <w:sz w:val="14"/>
          <w:szCs w:val="14"/>
          <w:u w:val="single" w:color="auto"/>
          <w:color w:val="auto"/>
        </w:rPr>
        <w:t>Who Shall Constitute.</w:t>
      </w:r>
      <w:r>
        <w:rPr>
          <w:rFonts w:ascii="Times New Roman" w:cs="Times New Roman" w:eastAsia="Times New Roman" w:hAnsi="Times New Roman"/>
          <w:sz w:val="14"/>
          <w:szCs w:val="14"/>
          <w:color w:val="auto"/>
        </w:rPr>
        <w:t xml:space="preserve"> The Officers of the Association shall be a Chief Executive Officer, a President, a Secretary, and other officers such as Vice Chair, Executive Vice Presidents, Senior Vice Presidents, Vice Presidents, Assistant Vice Presidents, Assistant Secretaries, Trust Officers, Assistant Trust Officers, Controller, and Assistant Controller, as the Board may appoint from time to time. The Board may appoint or elect a person as a Vice Chair without regard to whether such person is a member of the Board. The Board may choose to delegate authority to elect officers other than the Chief Executive Officer, President, Secretary, Vice Chairs and Senior Executive Vice Presidents, to the President. Any person may hold two offices. The President shall at all times be a member of the Board of Directors.</w:t>
      </w:r>
    </w:p>
    <w:p>
      <w:pPr>
        <w:spacing w:after="0" w:line="146" w:lineRule="exact"/>
        <w:rPr>
          <w:sz w:val="20"/>
          <w:szCs w:val="20"/>
          <w:color w:val="auto"/>
        </w:rPr>
      </w:pPr>
    </w:p>
    <w:p>
      <w:pPr>
        <w:ind w:left="240" w:right="379"/>
        <w:spacing w:after="0" w:line="260" w:lineRule="auto"/>
        <w:rPr>
          <w:sz w:val="20"/>
          <w:szCs w:val="20"/>
          <w:color w:val="auto"/>
        </w:rPr>
      </w:pPr>
      <w:r>
        <w:rPr>
          <w:rFonts w:ascii="Times New Roman" w:cs="Times New Roman" w:eastAsia="Times New Roman" w:hAnsi="Times New Roman"/>
          <w:sz w:val="14"/>
          <w:szCs w:val="14"/>
          <w:color w:val="auto"/>
        </w:rPr>
        <w:t xml:space="preserve">Section 4.2 </w:t>
      </w:r>
      <w:r>
        <w:rPr>
          <w:rFonts w:ascii="Times New Roman" w:cs="Times New Roman" w:eastAsia="Times New Roman" w:hAnsi="Times New Roman"/>
          <w:sz w:val="14"/>
          <w:szCs w:val="14"/>
          <w:u w:val="single" w:color="auto"/>
          <w:color w:val="auto"/>
        </w:rPr>
        <w:t>Term of Office.</w:t>
      </w:r>
      <w:r>
        <w:rPr>
          <w:rFonts w:ascii="Times New Roman" w:cs="Times New Roman" w:eastAsia="Times New Roman" w:hAnsi="Times New Roman"/>
          <w:sz w:val="14"/>
          <w:szCs w:val="14"/>
          <w:color w:val="auto"/>
        </w:rPr>
        <w:t xml:space="preserve"> All officers shall be elected for and shall hold office until their respective successors are elected and qualified or until their earlier death, resignation, retirement, disqualification or removal from office, subject to the right of the Board of Directors in its sole discretion to discharge any officer at any time. The Board may choose to delegate authority to remove officers other than the Chairman, Chief Executive Officer, President, Secretary, Vice Chair and Senior Executive Vice Presidents, to the President.</w:t>
      </w:r>
    </w:p>
    <w:p>
      <w:pPr>
        <w:spacing w:after="0" w:line="140" w:lineRule="exact"/>
        <w:rPr>
          <w:sz w:val="20"/>
          <w:szCs w:val="20"/>
          <w:color w:val="auto"/>
        </w:rPr>
      </w:pPr>
    </w:p>
    <w:p>
      <w:pPr>
        <w:ind w:left="240" w:right="319"/>
        <w:spacing w:after="0" w:line="260" w:lineRule="auto"/>
        <w:rPr>
          <w:sz w:val="20"/>
          <w:szCs w:val="20"/>
          <w:color w:val="auto"/>
        </w:rPr>
      </w:pPr>
      <w:r>
        <w:rPr>
          <w:rFonts w:ascii="Times New Roman" w:cs="Times New Roman" w:eastAsia="Times New Roman" w:hAnsi="Times New Roman"/>
          <w:sz w:val="14"/>
          <w:szCs w:val="14"/>
          <w:color w:val="auto"/>
        </w:rPr>
        <w:t xml:space="preserve">Section 4.3. </w:t>
      </w:r>
      <w:r>
        <w:rPr>
          <w:rFonts w:ascii="Times New Roman" w:cs="Times New Roman" w:eastAsia="Times New Roman" w:hAnsi="Times New Roman"/>
          <w:sz w:val="14"/>
          <w:szCs w:val="14"/>
          <w:u w:val="single" w:color="auto"/>
          <w:color w:val="auto"/>
        </w:rPr>
        <w:t>Chairman of the Board</w:t>
      </w:r>
      <w:r>
        <w:rPr>
          <w:rFonts w:ascii="Times New Roman" w:cs="Times New Roman" w:eastAsia="Times New Roman" w:hAnsi="Times New Roman"/>
          <w:sz w:val="14"/>
          <w:szCs w:val="14"/>
          <w:color w:val="auto"/>
        </w:rPr>
        <w:t>. The Board may appoint one of its members to be Chairman of the Board to serve at the pleasure of the Board. The Chairman shall supervise the carrying out of the policies adopted or approved by the Board; shall have general executive powers, as well as the specific powers conferred by these Bylaws; and shall also have and may exercise such powers and duties as from time to time may be conferred upon or assigned by the Board.</w:t>
      </w:r>
    </w:p>
    <w:p>
      <w:pPr>
        <w:spacing w:after="0" w:line="140" w:lineRule="exact"/>
        <w:rPr>
          <w:sz w:val="20"/>
          <w:szCs w:val="20"/>
          <w:color w:val="auto"/>
        </w:rPr>
      </w:pPr>
    </w:p>
    <w:p>
      <w:pPr>
        <w:ind w:left="240" w:right="259"/>
        <w:spacing w:after="0" w:line="260" w:lineRule="auto"/>
        <w:rPr>
          <w:sz w:val="20"/>
          <w:szCs w:val="20"/>
          <w:color w:val="auto"/>
        </w:rPr>
      </w:pPr>
      <w:r>
        <w:rPr>
          <w:rFonts w:ascii="Times New Roman" w:cs="Times New Roman" w:eastAsia="Times New Roman" w:hAnsi="Times New Roman"/>
          <w:sz w:val="14"/>
          <w:szCs w:val="14"/>
          <w:color w:val="auto"/>
        </w:rPr>
        <w:t xml:space="preserve">Section 4.4. </w:t>
      </w:r>
      <w:r>
        <w:rPr>
          <w:rFonts w:ascii="Times New Roman" w:cs="Times New Roman" w:eastAsia="Times New Roman" w:hAnsi="Times New Roman"/>
          <w:sz w:val="14"/>
          <w:szCs w:val="14"/>
          <w:u w:val="single" w:color="auto"/>
          <w:color w:val="auto"/>
        </w:rPr>
        <w:t>President</w:t>
      </w:r>
      <w:r>
        <w:rPr>
          <w:rFonts w:ascii="Times New Roman" w:cs="Times New Roman" w:eastAsia="Times New Roman" w:hAnsi="Times New Roman"/>
          <w:sz w:val="14"/>
          <w:szCs w:val="14"/>
          <w:color w:val="auto"/>
        </w:rPr>
        <w:t>. The Board may appoint one of its members to be President of the Association. In the absence of the Chairman, the President shall preside at any meeting of the Board. The President shall have general executive powers, and shall have and may exercise any and all other powers and duties pertaining by law, regulation or practice, to the office of President, or imposed by these Bylaws. The President shall also have and may exercise such powers and duties as from time to time may be conferred or assigned by the Board.</w:t>
      </w:r>
    </w:p>
    <w:p>
      <w:pPr>
        <w:spacing w:after="0" w:line="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w:t>
      </w:r>
    </w:p>
    <w:p>
      <w:pPr>
        <w:sectPr>
          <w:pgSz w:w="11900" w:h="16838" w:orient="portrait"/>
          <w:cols w:equalWidth="0" w:num="1">
            <w:col w:w="9019"/>
          </w:cols>
          <w:pgMar w:left="1440" w:top="240" w:right="1440" w:bottom="1440" w:gutter="0" w:footer="0" w:header="0"/>
        </w:sectPr>
      </w:pPr>
    </w:p>
    <w:bookmarkStart w:id="114" w:name="page115"/>
    <w:bookmarkEnd w:id="114"/>
    <w:p>
      <w:pPr>
        <w:ind w:left="240" w:right="319"/>
        <w:spacing w:after="0" w:line="265"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81">
                      <a:extLst>
                        <a:ext uri="{28A0092B-C50C-407E-A947-70E740481C1C}"/>
                      </a:extLst>
                    </a:blip>
                    <a:srcRect/>
                    <a:stretch>
                      <a:fillRect/>
                    </a:stretch>
                  </pic:blipFill>
                  <pic:spPr bwMode="auto">
                    <a:xfrm>
                      <a:off x="0" y="0"/>
                      <a:ext cx="7201535" cy="32385"/>
                    </a:xfrm>
                    <a:prstGeom prst="rect">
                      <a:avLst/>
                    </a:prstGeom>
                    <a:noFill/>
                  </pic:spPr>
                </pic:pic>
              </a:graphicData>
            </a:graphic>
          </wp:anchor>
        </w:drawing>
        <w:t xml:space="preserve">Section 4.5. </w:t>
      </w:r>
      <w:r>
        <w:rPr>
          <w:rFonts w:ascii="Times New Roman" w:cs="Times New Roman" w:eastAsia="Times New Roman" w:hAnsi="Times New Roman"/>
          <w:sz w:val="14"/>
          <w:szCs w:val="14"/>
          <w:u w:val="single" w:color="auto"/>
          <w:color w:val="auto"/>
        </w:rPr>
        <w:t>Vice President</w:t>
      </w:r>
      <w:r>
        <w:rPr>
          <w:rFonts w:ascii="Times New Roman" w:cs="Times New Roman" w:eastAsia="Times New Roman" w:hAnsi="Times New Roman"/>
          <w:sz w:val="14"/>
          <w:szCs w:val="14"/>
          <w:color w:val="auto"/>
        </w:rPr>
        <w:t>. The Board may appoint one or more Vice Presidents who shall have such powers and duties as may be assigned by the Board and to perform the duties of the President on those occasions when the President is absent, including presiding at any meeting of the Board in the absence of both the Chairman and President.</w:t>
      </w:r>
    </w:p>
    <w:p>
      <w:pPr>
        <w:spacing w:after="0" w:line="136" w:lineRule="exact"/>
        <w:rPr>
          <w:sz w:val="20"/>
          <w:szCs w:val="20"/>
          <w:color w:val="auto"/>
        </w:rPr>
      </w:pPr>
    </w:p>
    <w:p>
      <w:pPr>
        <w:ind w:left="240" w:right="259"/>
        <w:spacing w:after="0" w:line="254" w:lineRule="auto"/>
        <w:rPr>
          <w:sz w:val="20"/>
          <w:szCs w:val="20"/>
          <w:color w:val="auto"/>
        </w:rPr>
      </w:pPr>
      <w:r>
        <w:rPr>
          <w:rFonts w:ascii="Times New Roman" w:cs="Times New Roman" w:eastAsia="Times New Roman" w:hAnsi="Times New Roman"/>
          <w:sz w:val="14"/>
          <w:szCs w:val="14"/>
          <w:color w:val="auto"/>
        </w:rPr>
        <w:t xml:space="preserve">Section 4.6. </w:t>
      </w:r>
      <w:r>
        <w:rPr>
          <w:rFonts w:ascii="Times New Roman" w:cs="Times New Roman" w:eastAsia="Times New Roman" w:hAnsi="Times New Roman"/>
          <w:sz w:val="14"/>
          <w:szCs w:val="14"/>
          <w:u w:val="single" w:color="auto"/>
          <w:color w:val="auto"/>
        </w:rPr>
        <w:t>Secretary</w:t>
      </w:r>
      <w:r>
        <w:rPr>
          <w:rFonts w:ascii="Times New Roman" w:cs="Times New Roman" w:eastAsia="Times New Roman" w:hAnsi="Times New Roman"/>
          <w:sz w:val="14"/>
          <w:szCs w:val="14"/>
          <w:color w:val="auto"/>
        </w:rPr>
        <w:t>. The Board shall appoint a Secretary, or other designated officer who shall be Secretary of the Board and of the Association, and shall keep accurate minutes of all meetings. The Secretary shall attend to the giving of all notices required by these Bylaws to be given; shall be custodian of the corporate seal, records, documents and papers of the Association; shall provide for the keeping of proper records of all transactions of the Association; shall, upon request, authenticate any records of the Association; shall have and may exercise any and all other powers and duties pertaining by law, regulation or practice, to the Secretary, or imposed by these Bylaws; and shall also perform such other duties as may be assigned from time to time by the Board. The Board may appoint one or more Assistant Secretaries with such powers and duties as the Board, the President or the Secretary shall from time to time determine.</w:t>
      </w:r>
    </w:p>
    <w:p>
      <w:pPr>
        <w:spacing w:after="0" w:line="147" w:lineRule="exact"/>
        <w:rPr>
          <w:sz w:val="20"/>
          <w:szCs w:val="20"/>
          <w:color w:val="auto"/>
        </w:rPr>
      </w:pPr>
    </w:p>
    <w:p>
      <w:pPr>
        <w:ind w:left="240" w:right="359"/>
        <w:spacing w:after="0" w:line="265" w:lineRule="auto"/>
        <w:rPr>
          <w:sz w:val="20"/>
          <w:szCs w:val="20"/>
          <w:color w:val="auto"/>
        </w:rPr>
      </w:pPr>
      <w:r>
        <w:rPr>
          <w:rFonts w:ascii="Times New Roman" w:cs="Times New Roman" w:eastAsia="Times New Roman" w:hAnsi="Times New Roman"/>
          <w:sz w:val="14"/>
          <w:szCs w:val="14"/>
          <w:color w:val="auto"/>
        </w:rPr>
        <w:t xml:space="preserve">Section 4.7. </w:t>
      </w:r>
      <w:r>
        <w:rPr>
          <w:rFonts w:ascii="Times New Roman" w:cs="Times New Roman" w:eastAsia="Times New Roman" w:hAnsi="Times New Roman"/>
          <w:sz w:val="14"/>
          <w:szCs w:val="14"/>
          <w:u w:val="single" w:color="auto"/>
          <w:color w:val="auto"/>
        </w:rPr>
        <w:t>Other Officers</w:t>
      </w:r>
      <w:r>
        <w:rPr>
          <w:rFonts w:ascii="Times New Roman" w:cs="Times New Roman" w:eastAsia="Times New Roman" w:hAnsi="Times New Roman"/>
          <w:sz w:val="14"/>
          <w:szCs w:val="14"/>
          <w:color w:val="auto"/>
        </w:rPr>
        <w:t>. The Board may appoint, and may authorize the Chairman, the President or any other officer to appoint, any officer as from time to time may appear to the Board, the Chairman, the President or such other officer to be required or desirable to transact the business of the Association.</w:t>
      </w:r>
    </w:p>
    <w:p>
      <w:pPr>
        <w:spacing w:after="0" w:line="136" w:lineRule="exact"/>
        <w:rPr>
          <w:sz w:val="20"/>
          <w:szCs w:val="20"/>
          <w:color w:val="auto"/>
        </w:rPr>
      </w:pPr>
    </w:p>
    <w:p>
      <w:pPr>
        <w:ind w:left="240" w:right="339"/>
        <w:spacing w:after="0" w:line="281" w:lineRule="auto"/>
        <w:rPr>
          <w:sz w:val="20"/>
          <w:szCs w:val="20"/>
          <w:color w:val="auto"/>
        </w:rPr>
      </w:pPr>
      <w:r>
        <w:rPr>
          <w:rFonts w:ascii="Times New Roman" w:cs="Times New Roman" w:eastAsia="Times New Roman" w:hAnsi="Times New Roman"/>
          <w:sz w:val="14"/>
          <w:szCs w:val="14"/>
          <w:color w:val="auto"/>
        </w:rPr>
        <w:t>Such officers shall exercise such powers and perform such duties as pertain to their several offices, or as may be conferred upon or assigned to them by these Bylaws, the Board, the Chairman, the President or such other authorized officer. Any person may hold two offices.</w:t>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u w:val="single" w:color="auto"/>
          <w:color w:val="auto"/>
        </w:rPr>
        <w:t>ARTICLE V</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u w:val="single" w:color="auto"/>
          <w:color w:val="auto"/>
        </w:rPr>
        <w:t>Stock</w:t>
      </w:r>
    </w:p>
    <w:p>
      <w:pPr>
        <w:spacing w:after="0" w:line="159" w:lineRule="exact"/>
        <w:rPr>
          <w:sz w:val="20"/>
          <w:szCs w:val="20"/>
          <w:color w:val="auto"/>
        </w:rPr>
      </w:pPr>
    </w:p>
    <w:p>
      <w:pPr>
        <w:ind w:left="240" w:right="239"/>
        <w:spacing w:after="0" w:line="277" w:lineRule="auto"/>
        <w:rPr>
          <w:sz w:val="20"/>
          <w:szCs w:val="20"/>
          <w:color w:val="auto"/>
        </w:rPr>
      </w:pPr>
      <w:r>
        <w:rPr>
          <w:rFonts w:ascii="Times New Roman" w:cs="Times New Roman" w:eastAsia="Times New Roman" w:hAnsi="Times New Roman"/>
          <w:sz w:val="13"/>
          <w:szCs w:val="13"/>
          <w:color w:val="auto"/>
        </w:rPr>
        <w:t>Section 5.1. The Board may authorize the issuance of stock either in certificated or in uncertificated form. Certificates for shares of stock shall be in such form as the Board may from time to time prescribe. If the Board issues certificated stock, the certificate shall be signed by the President, Secretary or any other such officer as the Board so determines. Shares of stock shall be transferable on the books of the Association, and a transfer book shall be kept in which all transfers of stock shall be recorded. Every person becoming a shareholder by such transfer shall, in proportion to such person’s shares, succeed to all rights of the prior holder of such shares. Each certificate of stock shall recite on its face that the stock represented thereby is transferable only upon the books of the Association properly endorsed. The Board may impose conditions upon the transfer of the stock reasonably calculated to simplify the work of the Association for stock transfers, voting at shareholder meetings, and related matters, and to protect it against fraudulent transfers.</w:t>
      </w: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w:t>
      </w:r>
    </w:p>
    <w:p>
      <w:pPr>
        <w:sectPr>
          <w:pgSz w:w="11900" w:h="16838" w:orient="portrait"/>
          <w:cols w:equalWidth="0" w:num="1">
            <w:col w:w="9019"/>
          </w:cols>
          <w:pgMar w:left="1440" w:top="240" w:right="1440" w:bottom="1440" w:gutter="0" w:footer="0" w:header="0"/>
        </w:sectPr>
      </w:pPr>
    </w:p>
    <w:bookmarkStart w:id="115" w:name="page116"/>
    <w:bookmarkEnd w:id="115"/>
    <w:p>
      <w:pPr>
        <w:ind w:left="4120"/>
        <w:spacing w:after="0"/>
        <w:rPr>
          <w:sz w:val="20"/>
          <w:szCs w:val="20"/>
          <w:color w:val="auto"/>
        </w:rPr>
      </w:pPr>
      <w:r>
        <w:rPr>
          <w:rFonts w:ascii="Times New Roman" w:cs="Times New Roman" w:eastAsia="Times New Roman" w:hAnsi="Times New Roman"/>
          <w:sz w:val="14"/>
          <w:szCs w:val="14"/>
          <w:u w:val="single" w:color="auto"/>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82">
                      <a:extLst>
                        <a:ext uri="{28A0092B-C50C-407E-A947-70E740481C1C}"/>
                      </a:extLst>
                    </a:blip>
                    <a:srcRect/>
                    <a:stretch>
                      <a:fillRect/>
                    </a:stretch>
                  </pic:blipFill>
                  <pic:spPr bwMode="auto">
                    <a:xfrm>
                      <a:off x="0" y="0"/>
                      <a:ext cx="7201535" cy="32385"/>
                    </a:xfrm>
                    <a:prstGeom prst="rect">
                      <a:avLst/>
                    </a:prstGeom>
                    <a:noFill/>
                  </pic:spPr>
                </pic:pic>
              </a:graphicData>
            </a:graphic>
          </wp:anchor>
        </w:drawing>
        <w:t>ARTICLE VI</w:t>
      </w:r>
    </w:p>
    <w:p>
      <w:pPr>
        <w:spacing w:after="0" w:line="21"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4"/>
          <w:szCs w:val="14"/>
          <w:u w:val="single" w:color="auto"/>
          <w:color w:val="auto"/>
        </w:rPr>
        <w:t>Corporate Seal</w:t>
      </w:r>
    </w:p>
    <w:p>
      <w:pPr>
        <w:spacing w:after="0" w:line="159" w:lineRule="exact"/>
        <w:rPr>
          <w:sz w:val="20"/>
          <w:szCs w:val="20"/>
          <w:color w:val="auto"/>
        </w:rPr>
      </w:pPr>
    </w:p>
    <w:p>
      <w:pPr>
        <w:ind w:left="240" w:right="279"/>
        <w:spacing w:after="0" w:line="265" w:lineRule="auto"/>
        <w:rPr>
          <w:sz w:val="20"/>
          <w:szCs w:val="20"/>
          <w:color w:val="auto"/>
        </w:rPr>
      </w:pPr>
      <w:r>
        <w:rPr>
          <w:rFonts w:ascii="Times New Roman" w:cs="Times New Roman" w:eastAsia="Times New Roman" w:hAnsi="Times New Roman"/>
          <w:sz w:val="14"/>
          <w:szCs w:val="14"/>
          <w:color w:val="auto"/>
        </w:rPr>
        <w:t>Section 6.1. The Association shall have no corporate seal; provided, however, that if the use of a seal is required by, or is otherwise convenient or advisable pursuant to, the laws or regulations of any jurisdiction, the following seal may be used, and the Chairman, the President, the Secretary and any Assistant Secretary shall have the authority to affix such seal:</w:t>
      </w: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u w:val="single" w:color="auto"/>
          <w:color w:val="auto"/>
        </w:rPr>
        <w:t>ARTICLE VII</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u w:val="single" w:color="auto"/>
          <w:color w:val="auto"/>
        </w:rPr>
        <w:t>Miscellaneous Provisions</w:t>
      </w:r>
    </w:p>
    <w:p>
      <w:pPr>
        <w:spacing w:after="0" w:line="159" w:lineRule="exact"/>
        <w:rPr>
          <w:sz w:val="20"/>
          <w:szCs w:val="20"/>
          <w:color w:val="auto"/>
        </w:rPr>
      </w:pPr>
    </w:p>
    <w:p>
      <w:pPr>
        <w:ind w:left="240" w:right="239"/>
        <w:spacing w:after="0" w:line="254" w:lineRule="auto"/>
        <w:rPr>
          <w:sz w:val="20"/>
          <w:szCs w:val="20"/>
          <w:color w:val="auto"/>
        </w:rPr>
      </w:pPr>
      <w:r>
        <w:rPr>
          <w:rFonts w:ascii="Times New Roman" w:cs="Times New Roman" w:eastAsia="Times New Roman" w:hAnsi="Times New Roman"/>
          <w:sz w:val="14"/>
          <w:szCs w:val="14"/>
          <w:color w:val="auto"/>
        </w:rPr>
        <w:t xml:space="preserve">Section 7.1. </w:t>
      </w:r>
      <w:r>
        <w:rPr>
          <w:rFonts w:ascii="Times New Roman" w:cs="Times New Roman" w:eastAsia="Times New Roman" w:hAnsi="Times New Roman"/>
          <w:sz w:val="14"/>
          <w:szCs w:val="14"/>
          <w:u w:val="single" w:color="auto"/>
          <w:color w:val="auto"/>
        </w:rPr>
        <w:t>Execution of Instruments</w:t>
      </w:r>
      <w:r>
        <w:rPr>
          <w:rFonts w:ascii="Times New Roman" w:cs="Times New Roman" w:eastAsia="Times New Roman" w:hAnsi="Times New Roman"/>
          <w:sz w:val="14"/>
          <w:szCs w:val="14"/>
          <w:color w:val="auto"/>
        </w:rPr>
        <w:t>. All agreements, checks, drafts, orders, indentures, notes, mortgages, deeds, conveyances, transfers, endorsements, assignments, certificates, declarations, receipts, discharges, releases, satisfactions, settlements, petitions, schedules, accounts, affidavits, bonds, undertakings, guarantees, proxies and other instruments or documents may be signed, countersigned, executed, acknowledged, endorsed, verified, delivered or accepted on behalf of the Association, whether in a fiduciary capacity or otherwise, by any officer of the Association, or such employee or agent as may be designated from time to time by the Board by resolution, or by the Chairman or the President by written instrument, which resolution or instrument shall be certified as in effect by the Secretary or an Assistant Secretary of the Association. The provisions of this section are supplementary to any other provision of the Articles of Association or Bylaws.</w:t>
      </w:r>
    </w:p>
    <w:p>
      <w:pPr>
        <w:spacing w:after="0" w:line="147" w:lineRule="exact"/>
        <w:rPr>
          <w:sz w:val="20"/>
          <w:szCs w:val="20"/>
          <w:color w:val="auto"/>
        </w:rPr>
      </w:pPr>
    </w:p>
    <w:p>
      <w:pPr>
        <w:ind w:left="240" w:right="319"/>
        <w:spacing w:after="0" w:line="265" w:lineRule="auto"/>
        <w:rPr>
          <w:sz w:val="20"/>
          <w:szCs w:val="20"/>
          <w:color w:val="auto"/>
        </w:rPr>
      </w:pPr>
      <w:r>
        <w:rPr>
          <w:rFonts w:ascii="Times New Roman" w:cs="Times New Roman" w:eastAsia="Times New Roman" w:hAnsi="Times New Roman"/>
          <w:sz w:val="14"/>
          <w:szCs w:val="14"/>
          <w:color w:val="auto"/>
        </w:rPr>
        <w:t xml:space="preserve">Section 7.2. </w:t>
      </w:r>
      <w:r>
        <w:rPr>
          <w:rFonts w:ascii="Times New Roman" w:cs="Times New Roman" w:eastAsia="Times New Roman" w:hAnsi="Times New Roman"/>
          <w:sz w:val="14"/>
          <w:szCs w:val="14"/>
          <w:u w:val="single" w:color="auto"/>
          <w:color w:val="auto"/>
        </w:rPr>
        <w:t>Records</w:t>
      </w:r>
      <w:r>
        <w:rPr>
          <w:rFonts w:ascii="Times New Roman" w:cs="Times New Roman" w:eastAsia="Times New Roman" w:hAnsi="Times New Roman"/>
          <w:sz w:val="14"/>
          <w:szCs w:val="14"/>
          <w:color w:val="auto"/>
        </w:rPr>
        <w:t>. The Articles of Association, the Bylaws as revised or amended from time to time and the proceedings of all meetings of the shareholders, the Board, and standing committees of the Board, shall be recorded in appropriate minute books provided for the purpose. The minutes of each meeting shall be signed by the Secretary, or other officer appointed to act as Secretary of the meeting.</w:t>
      </w:r>
    </w:p>
    <w:p>
      <w:pPr>
        <w:spacing w:after="0" w:line="136" w:lineRule="exact"/>
        <w:rPr>
          <w:sz w:val="20"/>
          <w:szCs w:val="20"/>
          <w:color w:val="auto"/>
        </w:rPr>
      </w:pPr>
    </w:p>
    <w:p>
      <w:pPr>
        <w:ind w:left="240" w:right="279"/>
        <w:spacing w:after="0" w:line="281" w:lineRule="auto"/>
        <w:rPr>
          <w:sz w:val="20"/>
          <w:szCs w:val="20"/>
          <w:color w:val="auto"/>
        </w:rPr>
      </w:pPr>
      <w:r>
        <w:rPr>
          <w:rFonts w:ascii="Times New Roman" w:cs="Times New Roman" w:eastAsia="Times New Roman" w:hAnsi="Times New Roman"/>
          <w:sz w:val="14"/>
          <w:szCs w:val="14"/>
          <w:color w:val="auto"/>
        </w:rPr>
        <w:t xml:space="preserve">Section 7.3. </w:t>
      </w:r>
      <w:r>
        <w:rPr>
          <w:rFonts w:ascii="Times New Roman" w:cs="Times New Roman" w:eastAsia="Times New Roman" w:hAnsi="Times New Roman"/>
          <w:sz w:val="14"/>
          <w:szCs w:val="14"/>
          <w:u w:val="single" w:color="auto"/>
          <w:color w:val="auto"/>
        </w:rPr>
        <w:t>Trust Files</w:t>
      </w:r>
      <w:r>
        <w:rPr>
          <w:rFonts w:ascii="Times New Roman" w:cs="Times New Roman" w:eastAsia="Times New Roman" w:hAnsi="Times New Roman"/>
          <w:sz w:val="14"/>
          <w:szCs w:val="14"/>
          <w:color w:val="auto"/>
        </w:rPr>
        <w:t>. There shall be maintained in the Association files all fiduciary records necessary to assure that its fiduciary responsibilities have been properly undertaken and discharged.</w:t>
      </w:r>
    </w:p>
    <w:p>
      <w:pPr>
        <w:spacing w:after="0" w:line="125" w:lineRule="exact"/>
        <w:rPr>
          <w:sz w:val="20"/>
          <w:szCs w:val="20"/>
          <w:color w:val="auto"/>
        </w:rPr>
      </w:pPr>
    </w:p>
    <w:p>
      <w:pPr>
        <w:jc w:val="both"/>
        <w:ind w:left="240" w:right="399"/>
        <w:spacing w:after="0" w:line="295" w:lineRule="auto"/>
        <w:rPr>
          <w:sz w:val="20"/>
          <w:szCs w:val="20"/>
          <w:color w:val="auto"/>
        </w:rPr>
      </w:pPr>
      <w:r>
        <w:rPr>
          <w:rFonts w:ascii="Times New Roman" w:cs="Times New Roman" w:eastAsia="Times New Roman" w:hAnsi="Times New Roman"/>
          <w:sz w:val="13"/>
          <w:szCs w:val="13"/>
          <w:color w:val="auto"/>
        </w:rPr>
        <w:t xml:space="preserve">Section 7.4. </w:t>
      </w:r>
      <w:r>
        <w:rPr>
          <w:rFonts w:ascii="Times New Roman" w:cs="Times New Roman" w:eastAsia="Times New Roman" w:hAnsi="Times New Roman"/>
          <w:sz w:val="13"/>
          <w:szCs w:val="13"/>
          <w:u w:val="single" w:color="auto"/>
          <w:color w:val="auto"/>
        </w:rPr>
        <w:t>Trust Investments</w:t>
      </w:r>
      <w:r>
        <w:rPr>
          <w:rFonts w:ascii="Times New Roman" w:cs="Times New Roman" w:eastAsia="Times New Roman" w:hAnsi="Times New Roman"/>
          <w:sz w:val="13"/>
          <w:szCs w:val="13"/>
          <w:color w:val="auto"/>
        </w:rPr>
        <w:t>. Funds held in a fiduciary capacity shall be invested according to the instrument establishing the fiduciary relationship and according to law. Where such instrument does not specify the character and class of investments to be made and does not vest in the Association a discretion in the matter, funds held pursuant to such instrument shall be invested in investments in which corporate fiduciaries may invest under law.</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w:t>
      </w:r>
    </w:p>
    <w:p>
      <w:pPr>
        <w:sectPr>
          <w:pgSz w:w="11900" w:h="16838" w:orient="portrait"/>
          <w:cols w:equalWidth="0" w:num="1">
            <w:col w:w="9019"/>
          </w:cols>
          <w:pgMar w:left="1440" w:top="240" w:right="1440" w:bottom="1440" w:gutter="0" w:footer="0" w:header="0"/>
        </w:sectPr>
      </w:pPr>
    </w:p>
    <w:bookmarkStart w:id="116" w:name="page117"/>
    <w:bookmarkEnd w:id="116"/>
    <w:p>
      <w:pPr>
        <w:jc w:val="both"/>
        <w:ind w:left="240" w:right="259"/>
        <w:spacing w:after="0" w:line="265"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83">
                      <a:extLst>
                        <a:ext uri="{28A0092B-C50C-407E-A947-70E740481C1C}"/>
                      </a:extLst>
                    </a:blip>
                    <a:srcRect/>
                    <a:stretch>
                      <a:fillRect/>
                    </a:stretch>
                  </pic:blipFill>
                  <pic:spPr bwMode="auto">
                    <a:xfrm>
                      <a:off x="0" y="0"/>
                      <a:ext cx="7201535" cy="32385"/>
                    </a:xfrm>
                    <a:prstGeom prst="rect">
                      <a:avLst/>
                    </a:prstGeom>
                    <a:noFill/>
                  </pic:spPr>
                </pic:pic>
              </a:graphicData>
            </a:graphic>
          </wp:anchor>
        </w:drawing>
        <w:t xml:space="preserve">Section 7.5. </w:t>
      </w:r>
      <w:r>
        <w:rPr>
          <w:rFonts w:ascii="Times New Roman" w:cs="Times New Roman" w:eastAsia="Times New Roman" w:hAnsi="Times New Roman"/>
          <w:sz w:val="14"/>
          <w:szCs w:val="14"/>
          <w:u w:val="single" w:color="auto"/>
          <w:color w:val="auto"/>
        </w:rPr>
        <w:t>Notice</w:t>
      </w:r>
      <w:r>
        <w:rPr>
          <w:rFonts w:ascii="Times New Roman" w:cs="Times New Roman" w:eastAsia="Times New Roman" w:hAnsi="Times New Roman"/>
          <w:sz w:val="14"/>
          <w:szCs w:val="14"/>
          <w:color w:val="auto"/>
        </w:rPr>
        <w:t>. Whenever notice is required by the Articles of Association, the Bylaws or law, such notice shall be by mail, postage prepaid, e-mail, in person, or by any other means by which such notice can reasonably be expected to be received, using the address of the person to receive such notice, or such other personal data, as may appear on the records of the Association.</w:t>
      </w:r>
    </w:p>
    <w:p>
      <w:pPr>
        <w:spacing w:after="0" w:line="136" w:lineRule="exact"/>
        <w:rPr>
          <w:sz w:val="20"/>
          <w:szCs w:val="20"/>
          <w:color w:val="auto"/>
        </w:rPr>
      </w:pPr>
    </w:p>
    <w:p>
      <w:pPr>
        <w:jc w:val="both"/>
        <w:ind w:left="240" w:right="279"/>
        <w:spacing w:after="0" w:line="281" w:lineRule="auto"/>
        <w:rPr>
          <w:sz w:val="20"/>
          <w:szCs w:val="20"/>
          <w:color w:val="auto"/>
        </w:rPr>
      </w:pPr>
      <w:r>
        <w:rPr>
          <w:rFonts w:ascii="Times New Roman" w:cs="Times New Roman" w:eastAsia="Times New Roman" w:hAnsi="Times New Roman"/>
          <w:sz w:val="14"/>
          <w:szCs w:val="14"/>
          <w:color w:val="auto"/>
        </w:rPr>
        <w:t>Except where specified otherwise in these Bylaws, prior notice shall be proper if given not more than 30 days nor less than 10 days prior to the event for which notice is given.</w:t>
      </w:r>
    </w:p>
    <w:p>
      <w:pPr>
        <w:spacing w:after="0" w:line="293"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4"/>
          <w:szCs w:val="14"/>
          <w:u w:val="single" w:color="auto"/>
          <w:color w:val="auto"/>
        </w:rPr>
        <w:t>ARTICLE VIII</w:t>
      </w:r>
    </w:p>
    <w:p>
      <w:pPr>
        <w:spacing w:after="0" w:line="21"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4"/>
          <w:szCs w:val="14"/>
          <w:u w:val="single" w:color="auto"/>
          <w:color w:val="auto"/>
        </w:rPr>
        <w:t>Indemnification</w:t>
      </w:r>
    </w:p>
    <w:p>
      <w:pPr>
        <w:spacing w:after="0" w:line="159" w:lineRule="exact"/>
        <w:rPr>
          <w:sz w:val="20"/>
          <w:szCs w:val="20"/>
          <w:color w:val="auto"/>
        </w:rPr>
      </w:pPr>
    </w:p>
    <w:p>
      <w:pPr>
        <w:ind w:left="240" w:right="359"/>
        <w:spacing w:after="0" w:line="255" w:lineRule="auto"/>
        <w:rPr>
          <w:sz w:val="20"/>
          <w:szCs w:val="20"/>
          <w:color w:val="auto"/>
        </w:rPr>
      </w:pPr>
      <w:r>
        <w:rPr>
          <w:rFonts w:ascii="Times New Roman" w:cs="Times New Roman" w:eastAsia="Times New Roman" w:hAnsi="Times New Roman"/>
          <w:sz w:val="14"/>
          <w:szCs w:val="14"/>
          <w:color w:val="auto"/>
        </w:rPr>
        <w:t>Section 8.1. The Association shall indemnify such persons for such liabilities in such manner under such circumstances and to such extent as permitted by Section 145 of the Delaware General Corporation Law, as now enacted or hereafter amended. The Board may authorize the purchase and maintenance of insurance and/or the execution of individual agreements for the purpose of such indemnification, and the Association shall advance all reasonable costs and expenses (including attorneys’ fees) incurred in defending any action, suit or proceeding to all persons entitled to indemnification under this Section 8.1. Such insurance shall be consistent with the requirements of 12 C.F.R. § 7.2014 and shall exclude coverage of liability for a formal order assessing civil money penalties against an institution-affiliated party, as defined at 12 U.S.C. § 1813(u).</w:t>
      </w:r>
    </w:p>
    <w:p>
      <w:pPr>
        <w:spacing w:after="0" w:line="146" w:lineRule="exact"/>
        <w:rPr>
          <w:sz w:val="20"/>
          <w:szCs w:val="20"/>
          <w:color w:val="auto"/>
        </w:rPr>
      </w:pPr>
    </w:p>
    <w:p>
      <w:pPr>
        <w:ind w:left="240" w:right="259"/>
        <w:spacing w:after="0" w:line="257" w:lineRule="auto"/>
        <w:rPr>
          <w:sz w:val="20"/>
          <w:szCs w:val="20"/>
          <w:color w:val="auto"/>
        </w:rPr>
      </w:pPr>
      <w:r>
        <w:rPr>
          <w:rFonts w:ascii="Times New Roman" w:cs="Times New Roman" w:eastAsia="Times New Roman" w:hAnsi="Times New Roman"/>
          <w:sz w:val="14"/>
          <w:szCs w:val="14"/>
          <w:color w:val="auto"/>
        </w:rPr>
        <w:t>Section 8.2. Notwithstanding Section 8.1, however, (a) any indemnification payments to an institution-affiliated party, as defined at 12 U.S.C. § 1813(u), for an administrative proceeding or civil action initiated by a federal banking agency, shall be reasonable and consistent with the requirements of 12 U.S.C. § 1828(k) and the implementing regulations thereunder; and (b) any indemnification payments and advancement of costs and expenses to an institution-affiliated party, as defined at 12 U.S.C. § 1813(u), in cases involving an administrative proceeding or civil action not initiated by a federal banking agency, shall be in accordance with Delaware General Corporation Law and consistent with safe and sound banking practices.</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18</w:t>
      </w:r>
    </w:p>
    <w:p>
      <w:pPr>
        <w:sectPr>
          <w:pgSz w:w="11900" w:h="16838" w:orient="portrait"/>
          <w:cols w:equalWidth="0" w:num="1">
            <w:col w:w="9019"/>
          </w:cols>
          <w:pgMar w:left="1440" w:top="240" w:right="1440" w:bottom="1440" w:gutter="0" w:footer="0" w:header="0"/>
        </w:sectPr>
      </w:pPr>
    </w:p>
    <w:bookmarkStart w:id="117" w:name="page118"/>
    <w:bookmarkEnd w:id="117"/>
    <w:p>
      <w:pPr>
        <w:jc w:val="center"/>
        <w:spacing w:after="0"/>
        <w:rPr>
          <w:sz w:val="20"/>
          <w:szCs w:val="20"/>
          <w:color w:val="auto"/>
        </w:rPr>
      </w:pPr>
      <w:r>
        <w:rPr>
          <w:rFonts w:ascii="Times New Roman" w:cs="Times New Roman" w:eastAsia="Times New Roman" w:hAnsi="Times New Roman"/>
          <w:sz w:val="14"/>
          <w:szCs w:val="14"/>
          <w:u w:val="single" w:color="auto"/>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84">
                      <a:extLst>
                        <a:ext uri="{28A0092B-C50C-407E-A947-70E740481C1C}"/>
                      </a:extLst>
                    </a:blip>
                    <a:srcRect/>
                    <a:stretch>
                      <a:fillRect/>
                    </a:stretch>
                  </pic:blipFill>
                  <pic:spPr bwMode="auto">
                    <a:xfrm>
                      <a:off x="0" y="0"/>
                      <a:ext cx="7201535" cy="32385"/>
                    </a:xfrm>
                    <a:prstGeom prst="rect">
                      <a:avLst/>
                    </a:prstGeom>
                    <a:noFill/>
                  </pic:spPr>
                </pic:pic>
              </a:graphicData>
            </a:graphic>
          </wp:anchor>
        </w:drawing>
        <w:t>ARTICLE IX</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u w:val="single" w:color="auto"/>
          <w:color w:val="auto"/>
        </w:rPr>
        <w:t>Bylaws: Interpretation and Amendment</w:t>
      </w:r>
    </w:p>
    <w:p>
      <w:pPr>
        <w:spacing w:after="0" w:line="159" w:lineRule="exact"/>
        <w:rPr>
          <w:sz w:val="20"/>
          <w:szCs w:val="20"/>
          <w:color w:val="auto"/>
        </w:rPr>
      </w:pPr>
    </w:p>
    <w:p>
      <w:pPr>
        <w:ind w:left="240" w:right="359"/>
        <w:spacing w:after="0" w:line="281" w:lineRule="auto"/>
        <w:rPr>
          <w:sz w:val="20"/>
          <w:szCs w:val="20"/>
          <w:color w:val="auto"/>
        </w:rPr>
      </w:pPr>
      <w:r>
        <w:rPr>
          <w:rFonts w:ascii="Times New Roman" w:cs="Times New Roman" w:eastAsia="Times New Roman" w:hAnsi="Times New Roman"/>
          <w:sz w:val="14"/>
          <w:szCs w:val="14"/>
          <w:color w:val="auto"/>
        </w:rPr>
        <w:t>Section 9.1. These Bylaws shall be interpreted in accordance with and subject to appropriate provisions of law, and may be added to, altered, amended, or repealed, at any regular or special meeting of the Board.</w:t>
      </w:r>
    </w:p>
    <w:p>
      <w:pPr>
        <w:spacing w:after="0" w:line="125" w:lineRule="exact"/>
        <w:rPr>
          <w:sz w:val="20"/>
          <w:szCs w:val="20"/>
          <w:color w:val="auto"/>
        </w:rPr>
      </w:pPr>
    </w:p>
    <w:p>
      <w:pPr>
        <w:ind w:left="240" w:right="279"/>
        <w:spacing w:after="0" w:line="281" w:lineRule="auto"/>
        <w:rPr>
          <w:sz w:val="20"/>
          <w:szCs w:val="20"/>
          <w:color w:val="auto"/>
        </w:rPr>
      </w:pPr>
      <w:r>
        <w:rPr>
          <w:rFonts w:ascii="Times New Roman" w:cs="Times New Roman" w:eastAsia="Times New Roman" w:hAnsi="Times New Roman"/>
          <w:sz w:val="14"/>
          <w:szCs w:val="14"/>
          <w:color w:val="auto"/>
        </w:rPr>
        <w:t>Section 9.2. A copy of the Bylaws and all amendments shall at all times be kept in a convenient place at the principal office of the Association, and shall be open for inspection to all shareholders during Association hours.</w:t>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u w:val="single" w:color="auto"/>
          <w:color w:val="auto"/>
        </w:rPr>
        <w:t>ARTICLE X</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u w:val="single" w:color="auto"/>
          <w:color w:val="auto"/>
        </w:rPr>
        <w:t>Miscellaneous Provisions</w:t>
      </w:r>
    </w:p>
    <w:p>
      <w:pPr>
        <w:spacing w:after="0" w:line="159" w:lineRule="exact"/>
        <w:rPr>
          <w:sz w:val="20"/>
          <w:szCs w:val="20"/>
          <w:color w:val="auto"/>
        </w:rPr>
      </w:pPr>
    </w:p>
    <w:p>
      <w:pPr>
        <w:ind w:left="240" w:right="459"/>
        <w:spacing w:after="0" w:line="281" w:lineRule="auto"/>
        <w:rPr>
          <w:sz w:val="20"/>
          <w:szCs w:val="20"/>
          <w:color w:val="auto"/>
        </w:rPr>
      </w:pPr>
      <w:r>
        <w:rPr>
          <w:rFonts w:ascii="Times New Roman" w:cs="Times New Roman" w:eastAsia="Times New Roman" w:hAnsi="Times New Roman"/>
          <w:sz w:val="14"/>
          <w:szCs w:val="14"/>
          <w:color w:val="auto"/>
        </w:rPr>
        <w:t xml:space="preserve">Section 10.1. </w:t>
      </w:r>
      <w:r>
        <w:rPr>
          <w:rFonts w:ascii="Times New Roman" w:cs="Times New Roman" w:eastAsia="Times New Roman" w:hAnsi="Times New Roman"/>
          <w:sz w:val="14"/>
          <w:szCs w:val="14"/>
          <w:u w:val="single" w:color="auto"/>
          <w:color w:val="auto"/>
        </w:rPr>
        <w:t>Fiscal Year</w:t>
      </w:r>
      <w:r>
        <w:rPr>
          <w:rFonts w:ascii="Times New Roman" w:cs="Times New Roman" w:eastAsia="Times New Roman" w:hAnsi="Times New Roman"/>
          <w:sz w:val="14"/>
          <w:szCs w:val="14"/>
          <w:color w:val="auto"/>
        </w:rPr>
        <w:t>. The fiscal year of the Association shall begin on the first day of January in each year and shall end on the thirty-first day of December following.</w:t>
      </w:r>
    </w:p>
    <w:p>
      <w:pPr>
        <w:spacing w:after="0" w:line="125" w:lineRule="exact"/>
        <w:rPr>
          <w:sz w:val="20"/>
          <w:szCs w:val="20"/>
          <w:color w:val="auto"/>
        </w:rPr>
      </w:pPr>
    </w:p>
    <w:p>
      <w:pPr>
        <w:ind w:left="240" w:right="319"/>
        <w:spacing w:after="0" w:line="281" w:lineRule="auto"/>
        <w:rPr>
          <w:sz w:val="20"/>
          <w:szCs w:val="20"/>
          <w:color w:val="auto"/>
        </w:rPr>
      </w:pPr>
      <w:r>
        <w:rPr>
          <w:rFonts w:ascii="Times New Roman" w:cs="Times New Roman" w:eastAsia="Times New Roman" w:hAnsi="Times New Roman"/>
          <w:sz w:val="14"/>
          <w:szCs w:val="14"/>
          <w:color w:val="auto"/>
        </w:rPr>
        <w:t xml:space="preserve">Section 10.2. </w:t>
      </w:r>
      <w:r>
        <w:rPr>
          <w:rFonts w:ascii="Times New Roman" w:cs="Times New Roman" w:eastAsia="Times New Roman" w:hAnsi="Times New Roman"/>
          <w:sz w:val="14"/>
          <w:szCs w:val="14"/>
          <w:u w:val="single" w:color="auto"/>
          <w:color w:val="auto"/>
        </w:rPr>
        <w:t>Governing Law</w:t>
      </w:r>
      <w:r>
        <w:rPr>
          <w:rFonts w:ascii="Times New Roman" w:cs="Times New Roman" w:eastAsia="Times New Roman" w:hAnsi="Times New Roman"/>
          <w:sz w:val="14"/>
          <w:szCs w:val="14"/>
          <w:color w:val="auto"/>
        </w:rPr>
        <w:t>. This Association designates the Delaware General Corporation Law, as amended from time to time, as the governing law for its corporate governance procedures, to the extent not inconsistent with Federal banking statutes and regulations or bank safety and soundness.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w:t>
      </w:r>
    </w:p>
    <w:p>
      <w:pPr>
        <w:spacing w:after="0" w:line="174" w:lineRule="exact"/>
        <w:rPr>
          <w:sz w:val="20"/>
          <w:szCs w:val="20"/>
          <w:color w:val="auto"/>
        </w:rPr>
      </w:pPr>
    </w:p>
    <w:p>
      <w:pPr>
        <w:jc w:val="right"/>
        <w:ind w:right="239"/>
        <w:spacing w:after="0"/>
        <w:rPr>
          <w:sz w:val="20"/>
          <w:szCs w:val="20"/>
          <w:color w:val="auto"/>
        </w:rPr>
      </w:pPr>
      <w:r>
        <w:rPr>
          <w:rFonts w:ascii="Times New Roman" w:cs="Times New Roman" w:eastAsia="Times New Roman" w:hAnsi="Times New Roman"/>
          <w:sz w:val="14"/>
          <w:szCs w:val="14"/>
          <w:color w:val="auto"/>
        </w:rPr>
        <w:t>(November 6, 2025)</w:t>
      </w:r>
    </w:p>
    <w:p>
      <w:pPr>
        <w:sectPr>
          <w:pgSz w:w="11900" w:h="16838" w:orient="portrait"/>
          <w:cols w:equalWidth="0" w:num="1">
            <w:col w:w="9019"/>
          </w:cols>
          <w:pgMar w:left="1440" w:top="240" w:right="1440" w:bottom="1440" w:gutter="0" w:footer="0" w:header="0"/>
        </w:sectPr>
      </w:pPr>
    </w:p>
    <w:bookmarkStart w:id="118" w:name="page119"/>
    <w:bookmarkEnd w:id="118"/>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85">
                      <a:extLst>
                        <a:ext uri="{28A0092B-C50C-407E-A947-70E740481C1C}"/>
                      </a:extLst>
                    </a:blip>
                    <a:srcRect/>
                    <a:stretch>
                      <a:fillRect/>
                    </a:stretch>
                  </pic:blipFill>
                  <pic:spPr bwMode="auto">
                    <a:xfrm>
                      <a:off x="0" y="0"/>
                      <a:ext cx="7201535" cy="32385"/>
                    </a:xfrm>
                    <a:prstGeom prst="rect">
                      <a:avLst/>
                    </a:prstGeom>
                    <a:noFill/>
                  </pic:spPr>
                </pic:pic>
              </a:graphicData>
            </a:graphic>
          </wp:anchor>
        </w:drawing>
        <w:t>Exhibit 17(a)</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u w:val="single" w:color="auto"/>
          <w:color w:val="auto"/>
        </w:rPr>
        <w:t>Exhibit 6</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CONSENT</w:t>
      </w:r>
    </w:p>
    <w:p>
      <w:pPr>
        <w:spacing w:after="0" w:line="176" w:lineRule="exact"/>
        <w:rPr>
          <w:sz w:val="20"/>
          <w:szCs w:val="20"/>
          <w:color w:val="auto"/>
        </w:rPr>
      </w:pPr>
    </w:p>
    <w:p>
      <w:pPr>
        <w:ind w:left="240" w:right="319" w:firstLine="341"/>
        <w:spacing w:after="0" w:line="265" w:lineRule="auto"/>
        <w:rPr>
          <w:sz w:val="20"/>
          <w:szCs w:val="20"/>
          <w:color w:val="auto"/>
        </w:rPr>
      </w:pPr>
      <w:r>
        <w:rPr>
          <w:rFonts w:ascii="Times New Roman" w:cs="Times New Roman" w:eastAsia="Times New Roman" w:hAnsi="Times New Roman"/>
          <w:sz w:val="14"/>
          <w:szCs w:val="14"/>
          <w:color w:val="auto"/>
        </w:rPr>
        <w:t>In accordance with Section 321(b) of the Trust Indenture Act of 1939, the undersigned, U.S. BANK TRUST COMPANY, NATIONAL ASSOCIATION hereby consents that reports of examination of the undersigned by Federal, State, Territorial or District authorities may be furnished by such authorities to the Securities and Exchange Commission upon its request therefor.</w:t>
      </w:r>
    </w:p>
    <w:p>
      <w:pPr>
        <w:spacing w:after="0" w:line="13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Dated: June 26, 2026</w:t>
      </w:r>
    </w:p>
    <w:p>
      <w:pPr>
        <w:spacing w:after="0" w:line="195"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By: /s/ Joshua A. Hahn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3584575</wp:posOffset>
            </wp:positionH>
            <wp:positionV relativeFrom="paragraph">
              <wp:posOffset>13335</wp:posOffset>
            </wp:positionV>
            <wp:extent cx="1986915" cy="635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86">
                      <a:extLst>
                        <a:ext uri="{28A0092B-C50C-407E-A947-70E740481C1C}"/>
                      </a:extLst>
                    </a:blip>
                    <a:srcRect/>
                    <a:stretch>
                      <a:fillRect/>
                    </a:stretch>
                  </pic:blipFill>
                  <pic:spPr bwMode="auto">
                    <a:xfrm>
                      <a:off x="0" y="0"/>
                      <a:ext cx="1986915" cy="6350"/>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color w:val="auto"/>
        </w:rPr>
        <w:t>Joshua A. Hahn</w:t>
      </w:r>
    </w:p>
    <w:p>
      <w:pPr>
        <w:spacing w:after="0" w:line="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color w:val="auto"/>
        </w:rPr>
        <w:t>Vice President</w:t>
      </w:r>
    </w:p>
    <w:p>
      <w:pPr>
        <w:sectPr>
          <w:pgSz w:w="11900" w:h="16838" w:orient="portrait"/>
          <w:cols w:equalWidth="0" w:num="1">
            <w:col w:w="9019"/>
          </w:cols>
          <w:pgMar w:left="1440" w:top="238" w:right="1440" w:bottom="1440" w:gutter="0" w:footer="0" w:header="0"/>
        </w:sectPr>
      </w:pPr>
    </w:p>
    <w:bookmarkStart w:id="119" w:name="page120"/>
    <w:bookmarkEnd w:id="119"/>
    <w:p>
      <w:pPr>
        <w:jc w:val="center"/>
        <w:ind w:right="19"/>
        <w:spacing w:after="0"/>
        <w:rPr>
          <w:sz w:val="20"/>
          <w:szCs w:val="20"/>
          <w:color w:val="auto"/>
        </w:rPr>
      </w:pPr>
      <w:r>
        <w:rPr>
          <w:rFonts w:ascii="Times New Roman" w:cs="Times New Roman" w:eastAsia="Times New Roman" w:hAnsi="Times New Roman"/>
          <w:sz w:val="14"/>
          <w:szCs w:val="14"/>
          <w:b w:val="1"/>
          <w:bCs w:val="1"/>
          <w:u w:val="single" w:color="auto"/>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87">
                      <a:extLst>
                        <a:ext uri="{28A0092B-C50C-407E-A947-70E740481C1C}"/>
                      </a:extLst>
                    </a:blip>
                    <a:srcRect/>
                    <a:stretch>
                      <a:fillRect/>
                    </a:stretch>
                  </pic:blipFill>
                  <pic:spPr bwMode="auto">
                    <a:xfrm>
                      <a:off x="0" y="0"/>
                      <a:ext cx="7201535" cy="32385"/>
                    </a:xfrm>
                    <a:prstGeom prst="rect">
                      <a:avLst/>
                    </a:prstGeom>
                    <a:noFill/>
                  </pic:spPr>
                </pic:pic>
              </a:graphicData>
            </a:graphic>
          </wp:anchor>
        </w:drawing>
        <w:t>Exhibit 7</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U.S. Bank Trust Company, National Association</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Statement of Financial Condition</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as of 3/31/2026</w:t>
      </w:r>
    </w:p>
    <w:p>
      <w:pPr>
        <w:spacing w:after="0" w:line="1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($000’s)</w:t>
      </w:r>
    </w:p>
    <w:p>
      <w:pPr>
        <w:spacing w:after="0" w:line="192" w:lineRule="exact"/>
        <w:rPr>
          <w:sz w:val="20"/>
          <w:szCs w:val="20"/>
          <w:color w:val="auto"/>
        </w:rPr>
      </w:pPr>
    </w:p>
    <w:tbl>
      <w:tblPr>
        <w:tblLayout w:type="fixed"/>
        <w:tblInd w:w="1600" w:type="dxa"/>
        <w:tblCellMar>
          <w:top w:w="0" w:type="dxa"/>
          <w:left w:w="0" w:type="dxa"/>
          <w:bottom w:w="0" w:type="dxa"/>
          <w:right w:w="0" w:type="dxa"/>
        </w:tblCellMar>
      </w:tblPr>
      <w:tr>
        <w:trPr>
          <w:trHeight w:val="134"/>
        </w:trPr>
        <w:tc>
          <w:tcPr>
            <w:tcW w:w="4200" w:type="dxa"/>
            <w:vAlign w:val="bottom"/>
            <w:tcBorders>
              <w:bottom w:val="single" w:sz="8" w:color="CCEEFF"/>
            </w:tcBorders>
          </w:tcPr>
          <w:p>
            <w:pPr>
              <w:spacing w:after="0"/>
              <w:rPr>
                <w:sz w:val="11"/>
                <w:szCs w:val="11"/>
                <w:color w:val="auto"/>
              </w:rPr>
            </w:pPr>
          </w:p>
        </w:tc>
        <w:tc>
          <w:tcPr>
            <w:tcW w:w="92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1"/>
                <w:szCs w:val="11"/>
                <w:b w:val="1"/>
                <w:bCs w:val="1"/>
                <w:color w:val="auto"/>
                <w:w w:val="98"/>
              </w:rPr>
              <w:t>3/31/2026</w:t>
            </w:r>
          </w:p>
        </w:tc>
        <w:tc>
          <w:tcPr>
            <w:tcW w:w="40" w:type="dxa"/>
            <w:vAlign w:val="bottom"/>
            <w:tcBorders>
              <w:bottom w:val="single" w:sz="8" w:color="CCEEFF"/>
            </w:tcBorders>
          </w:tcPr>
          <w:p>
            <w:pPr>
              <w:spacing w:after="0"/>
              <w:rPr>
                <w:sz w:val="11"/>
                <w:szCs w:val="11"/>
                <w:color w:val="auto"/>
              </w:rPr>
            </w:pPr>
          </w:p>
        </w:tc>
      </w:tr>
      <w:tr>
        <w:trPr>
          <w:trHeight w:val="147"/>
        </w:trPr>
        <w:tc>
          <w:tcPr>
            <w:tcW w:w="420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4"/>
                <w:szCs w:val="14"/>
                <w:b w:val="1"/>
                <w:bCs w:val="1"/>
                <w:color w:val="auto"/>
              </w:rPr>
              <w:t>Assets</w:t>
            </w:r>
          </w:p>
        </w:tc>
        <w:tc>
          <w:tcPr>
            <w:tcW w:w="9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67"/>
        </w:trPr>
        <w:tc>
          <w:tcPr>
            <w:tcW w:w="42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Cash and Balances Due From Depository Institutions</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w w:val="96"/>
              </w:rPr>
              <w:t>2,159,991</w:t>
            </w:r>
          </w:p>
        </w:tc>
      </w:tr>
      <w:tr>
        <w:trPr>
          <w:trHeight w:val="167"/>
        </w:trPr>
        <w:tc>
          <w:tcPr>
            <w:tcW w:w="42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Securities</w:t>
            </w: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4,683</w:t>
            </w:r>
          </w:p>
        </w:tc>
      </w:tr>
      <w:tr>
        <w:trPr>
          <w:trHeight w:val="167"/>
        </w:trPr>
        <w:tc>
          <w:tcPr>
            <w:tcW w:w="42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Federal Funds</w:t>
            </w: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0</w:t>
            </w:r>
          </w:p>
        </w:tc>
      </w:tr>
      <w:tr>
        <w:trPr>
          <w:trHeight w:val="167"/>
        </w:trPr>
        <w:tc>
          <w:tcPr>
            <w:tcW w:w="42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Loans &amp; Lease Financing Receivables</w:t>
            </w: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0</w:t>
            </w:r>
          </w:p>
        </w:tc>
      </w:tr>
      <w:tr>
        <w:trPr>
          <w:trHeight w:val="167"/>
        </w:trPr>
        <w:tc>
          <w:tcPr>
            <w:tcW w:w="42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Fixed Assets</w:t>
            </w: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534</w:t>
            </w:r>
          </w:p>
        </w:tc>
      </w:tr>
      <w:tr>
        <w:trPr>
          <w:trHeight w:val="167"/>
        </w:trPr>
        <w:tc>
          <w:tcPr>
            <w:tcW w:w="42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Intangible Assets</w:t>
            </w: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573,596</w:t>
            </w:r>
          </w:p>
        </w:tc>
      </w:tr>
      <w:tr>
        <w:trPr>
          <w:trHeight w:val="167"/>
        </w:trPr>
        <w:tc>
          <w:tcPr>
            <w:tcW w:w="42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Other Assets</w:t>
            </w: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160,011</w:t>
            </w:r>
          </w:p>
        </w:tc>
      </w:tr>
      <w:tr>
        <w:trPr>
          <w:trHeight w:val="21"/>
        </w:trPr>
        <w:tc>
          <w:tcPr>
            <w:tcW w:w="4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67"/>
        </w:trPr>
        <w:tc>
          <w:tcPr>
            <w:tcW w:w="42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w w:val="96"/>
              </w:rPr>
              <w:t>2,898,815</w:t>
            </w:r>
          </w:p>
        </w:tc>
      </w:tr>
      <w:tr>
        <w:trPr>
          <w:trHeight w:val="167"/>
        </w:trPr>
        <w:tc>
          <w:tcPr>
            <w:tcW w:w="42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7"/>
        </w:trPr>
        <w:tc>
          <w:tcPr>
            <w:tcW w:w="42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Deposits</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0</w:t>
            </w:r>
          </w:p>
        </w:tc>
      </w:tr>
      <w:tr>
        <w:trPr>
          <w:trHeight w:val="167"/>
        </w:trPr>
        <w:tc>
          <w:tcPr>
            <w:tcW w:w="42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Fed Funds</w:t>
            </w: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0</w:t>
            </w:r>
          </w:p>
        </w:tc>
      </w:tr>
      <w:tr>
        <w:trPr>
          <w:trHeight w:val="167"/>
        </w:trPr>
        <w:tc>
          <w:tcPr>
            <w:tcW w:w="42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Treasury Demand Notes</w:t>
            </w: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0</w:t>
            </w:r>
          </w:p>
        </w:tc>
      </w:tr>
      <w:tr>
        <w:trPr>
          <w:trHeight w:val="167"/>
        </w:trPr>
        <w:tc>
          <w:tcPr>
            <w:tcW w:w="42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Trading Liabilities</w:t>
            </w: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0</w:t>
            </w:r>
          </w:p>
        </w:tc>
      </w:tr>
      <w:tr>
        <w:trPr>
          <w:trHeight w:val="167"/>
        </w:trPr>
        <w:tc>
          <w:tcPr>
            <w:tcW w:w="42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Other Borrowed Money</w:t>
            </w: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0</w:t>
            </w:r>
          </w:p>
        </w:tc>
      </w:tr>
      <w:tr>
        <w:trPr>
          <w:trHeight w:val="167"/>
        </w:trPr>
        <w:tc>
          <w:tcPr>
            <w:tcW w:w="42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Acceptances</w:t>
            </w: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0</w:t>
            </w:r>
          </w:p>
        </w:tc>
      </w:tr>
      <w:tr>
        <w:trPr>
          <w:trHeight w:val="167"/>
        </w:trPr>
        <w:tc>
          <w:tcPr>
            <w:tcW w:w="42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Subordinated Notes and Debentures</w:t>
            </w: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0</w:t>
            </w:r>
          </w:p>
        </w:tc>
      </w:tr>
      <w:tr>
        <w:trPr>
          <w:trHeight w:val="167"/>
        </w:trPr>
        <w:tc>
          <w:tcPr>
            <w:tcW w:w="42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Other Liabilities</w:t>
            </w: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221,704</w:t>
            </w:r>
          </w:p>
        </w:tc>
      </w:tr>
      <w:tr>
        <w:trPr>
          <w:trHeight w:val="21"/>
        </w:trPr>
        <w:tc>
          <w:tcPr>
            <w:tcW w:w="4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67"/>
        </w:trPr>
        <w:tc>
          <w:tcPr>
            <w:tcW w:w="42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b w:val="1"/>
                <w:bCs w:val="1"/>
                <w:color w:val="auto"/>
              </w:rPr>
              <w:t>Total Liabilities</w:t>
            </w: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221,704</w:t>
            </w:r>
          </w:p>
        </w:tc>
      </w:tr>
      <w:tr>
        <w:trPr>
          <w:trHeight w:val="167"/>
        </w:trPr>
        <w:tc>
          <w:tcPr>
            <w:tcW w:w="42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7"/>
        </w:trPr>
        <w:tc>
          <w:tcPr>
            <w:tcW w:w="42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Common and Preferred Stock</w:t>
            </w: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200</w:t>
            </w:r>
          </w:p>
        </w:tc>
      </w:tr>
      <w:tr>
        <w:trPr>
          <w:trHeight w:val="167"/>
        </w:trPr>
        <w:tc>
          <w:tcPr>
            <w:tcW w:w="42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Surplus</w:t>
            </w: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w w:val="96"/>
              </w:rPr>
              <w:t>1,171,635</w:t>
            </w:r>
          </w:p>
        </w:tc>
      </w:tr>
      <w:tr>
        <w:trPr>
          <w:trHeight w:val="167"/>
        </w:trPr>
        <w:tc>
          <w:tcPr>
            <w:tcW w:w="42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Undivided Profits</w:t>
            </w: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w w:val="96"/>
              </w:rPr>
              <w:t>1,505,276</w:t>
            </w:r>
          </w:p>
        </w:tc>
      </w:tr>
      <w:tr>
        <w:trPr>
          <w:trHeight w:val="167"/>
        </w:trPr>
        <w:tc>
          <w:tcPr>
            <w:tcW w:w="42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Minority Interest in Subsidiaries</w:t>
            </w: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0</w:t>
            </w:r>
          </w:p>
        </w:tc>
      </w:tr>
      <w:tr>
        <w:trPr>
          <w:trHeight w:val="21"/>
        </w:trPr>
        <w:tc>
          <w:tcPr>
            <w:tcW w:w="4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67"/>
        </w:trPr>
        <w:tc>
          <w:tcPr>
            <w:tcW w:w="42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4"/>
                <w:szCs w:val="14"/>
                <w:b w:val="1"/>
                <w:bCs w:val="1"/>
                <w:color w:val="auto"/>
              </w:rPr>
              <w:t>Total Equity Capital</w:t>
            </w: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w w:val="96"/>
              </w:rPr>
              <w:t>2,677,111</w:t>
            </w:r>
          </w:p>
        </w:tc>
      </w:tr>
      <w:tr>
        <w:trPr>
          <w:trHeight w:val="184"/>
        </w:trPr>
        <w:tc>
          <w:tcPr>
            <w:tcW w:w="420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Total Liabilities and Equity Capital</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w w:val="96"/>
              </w:rPr>
              <w:t>2,898,815</w:t>
            </w:r>
          </w:p>
        </w:tc>
      </w:tr>
    </w:tbl>
    <w:p>
      <w:pPr>
        <w:sectPr>
          <w:pgSz w:w="11900" w:h="16838" w:orient="portrait"/>
          <w:cols w:equalWidth="0" w:num="1">
            <w:col w:w="9019"/>
          </w:cols>
          <w:pgMar w:left="1440" w:top="238" w:right="1440" w:bottom="1440" w:gutter="0" w:footer="0" w:header="0"/>
        </w:sectPr>
      </w:pPr>
    </w:p>
    <w:bookmarkStart w:id="120" w:name="page121"/>
    <w:bookmarkEnd w:id="120"/>
    <w:p>
      <w:pPr>
        <w:ind w:left="3500"/>
        <w:spacing w:after="0"/>
        <w:rPr>
          <w:sz w:val="20"/>
          <w:szCs w:val="20"/>
          <w:color w:val="auto"/>
        </w:rPr>
      </w:pPr>
      <w:r>
        <w:rPr>
          <w:rFonts w:ascii="Arial" w:cs="Arial" w:eastAsia="Arial" w:hAnsi="Arial"/>
          <w:sz w:val="28"/>
          <w:szCs w:val="28"/>
          <w:b w:val="1"/>
          <w:bCs w:val="1"/>
          <w:color w:val="auto"/>
        </w:rPr>
        <w:t>Calculation of Filing Fee Tables</w:t>
      </w:r>
    </w:p>
    <w:p>
      <w:pPr>
        <w:spacing w:after="0" w:line="170" w:lineRule="exact"/>
        <w:rPr>
          <w:sz w:val="20"/>
          <w:szCs w:val="20"/>
          <w:color w:val="auto"/>
        </w:rPr>
      </w:pPr>
    </w:p>
    <w:p>
      <w:pPr>
        <w:ind w:left="5280"/>
        <w:spacing w:after="0"/>
        <w:rPr>
          <w:sz w:val="20"/>
          <w:szCs w:val="20"/>
          <w:color w:val="auto"/>
        </w:rPr>
      </w:pPr>
      <w:r>
        <w:rPr>
          <w:rFonts w:ascii="Arial" w:cs="Arial" w:eastAsia="Arial" w:hAnsi="Arial"/>
          <w:sz w:val="28"/>
          <w:szCs w:val="28"/>
          <w:b w:val="1"/>
          <w:bCs w:val="1"/>
          <w:color w:val="auto"/>
        </w:rPr>
        <w:t>N-14</w:t>
      </w:r>
    </w:p>
    <w:p>
      <w:pPr>
        <w:spacing w:after="0" w:line="97" w:lineRule="exact"/>
        <w:rPr>
          <w:sz w:val="20"/>
          <w:szCs w:val="20"/>
          <w:color w:val="auto"/>
        </w:rPr>
      </w:pPr>
    </w:p>
    <w:p>
      <w:pPr>
        <w:jc w:val="center"/>
        <w:ind w:right="200"/>
        <w:spacing w:after="0"/>
        <w:rPr>
          <w:sz w:val="20"/>
          <w:szCs w:val="20"/>
          <w:color w:val="auto"/>
        </w:rPr>
      </w:pPr>
      <w:r>
        <w:rPr>
          <w:rFonts w:ascii="Arial" w:cs="Arial" w:eastAsia="Arial" w:hAnsi="Arial"/>
          <w:sz w:val="28"/>
          <w:szCs w:val="28"/>
          <w:b w:val="1"/>
          <w:bCs w:val="1"/>
          <w:color w:val="auto"/>
        </w:rPr>
        <w:t>FIDUS INVESTMENT Corp</w:t>
      </w:r>
    </w:p>
    <w:p>
      <w:pPr>
        <w:spacing w:after="0" w:line="98" w:lineRule="exact"/>
        <w:rPr>
          <w:sz w:val="20"/>
          <w:szCs w:val="20"/>
          <w:color w:val="auto"/>
        </w:rPr>
      </w:pPr>
    </w:p>
    <w:tbl>
      <w:tblPr>
        <w:tblLayout w:type="fixed"/>
        <w:tblInd w:w="10" w:type="dxa"/>
        <w:tblCellMar>
          <w:top w:w="0" w:type="dxa"/>
          <w:left w:w="0" w:type="dxa"/>
          <w:bottom w:w="0" w:type="dxa"/>
          <w:right w:w="0" w:type="dxa"/>
        </w:tblCellMar>
      </w:tblPr>
      <w:tr>
        <w:trPr>
          <w:trHeight w:val="274"/>
        </w:trPr>
        <w:tc>
          <w:tcPr>
            <w:tcW w:w="40" w:type="dxa"/>
            <w:vAlign w:val="bottom"/>
            <w:tcBorders>
              <w:bottom w:val="single" w:sz="8" w:color="auto"/>
            </w:tcBorders>
          </w:tcPr>
          <w:p>
            <w:pPr>
              <w:spacing w:after="0"/>
              <w:rPr>
                <w:sz w:val="23"/>
                <w:szCs w:val="23"/>
                <w:color w:val="auto"/>
              </w:rPr>
            </w:pPr>
          </w:p>
        </w:tc>
        <w:tc>
          <w:tcPr>
            <w:tcW w:w="3300" w:type="dxa"/>
            <w:vAlign w:val="bottom"/>
            <w:tcBorders>
              <w:bottom w:val="single" w:sz="8" w:color="auto"/>
            </w:tcBorders>
            <w:gridSpan w:val="9"/>
          </w:tcPr>
          <w:p>
            <w:pPr>
              <w:spacing w:after="0"/>
              <w:rPr>
                <w:sz w:val="20"/>
                <w:szCs w:val="20"/>
                <w:color w:val="auto"/>
              </w:rPr>
            </w:pPr>
            <w:r>
              <w:rPr>
                <w:rFonts w:ascii="Arial" w:cs="Arial" w:eastAsia="Arial" w:hAnsi="Arial"/>
                <w:sz w:val="17"/>
                <w:szCs w:val="17"/>
                <w:b w:val="1"/>
                <w:bCs w:val="1"/>
                <w:color w:val="auto"/>
              </w:rPr>
              <w:t>Table 1: Newly Registered Securities</w:t>
            </w:r>
          </w:p>
        </w:tc>
        <w:tc>
          <w:tcPr>
            <w:tcW w:w="2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700" w:type="dxa"/>
            <w:vAlign w:val="bottom"/>
            <w:tcBorders>
              <w:bottom w:val="single" w:sz="8" w:color="auto"/>
            </w:tcBorders>
            <w:gridSpan w:val="3"/>
          </w:tcPr>
          <w:p>
            <w:pPr>
              <w:ind w:left="280"/>
              <w:spacing w:after="0" w:line="196" w:lineRule="exact"/>
              <w:rPr>
                <w:sz w:val="20"/>
                <w:szCs w:val="20"/>
                <w:color w:val="auto"/>
              </w:rPr>
            </w:pPr>
            <w:r>
              <w:rPr>
                <w:rFonts w:ascii="MS PGothic" w:cs="MS PGothic" w:eastAsia="MS PGothic" w:hAnsi="MS PGothic"/>
                <w:sz w:val="17"/>
                <w:szCs w:val="17"/>
                <w:color w:val="auto"/>
                <w:highlight w:val="black"/>
              </w:rPr>
              <w:t>☐</w:t>
            </w:r>
            <w:r>
              <w:rPr>
                <w:rFonts w:ascii="Arial" w:cs="Arial" w:eastAsia="Arial" w:hAnsi="Arial"/>
                <w:sz w:val="17"/>
                <w:szCs w:val="17"/>
                <w:b w:val="1"/>
                <w:bCs w:val="1"/>
                <w:color w:val="auto"/>
              </w:rPr>
              <w:t>Not Applicable</w:t>
            </w:r>
          </w:p>
        </w:tc>
        <w:tc>
          <w:tcPr>
            <w:tcW w:w="0" w:type="dxa"/>
            <w:vAlign w:val="bottom"/>
          </w:tcPr>
          <w:p>
            <w:pPr>
              <w:spacing w:after="0"/>
              <w:rPr>
                <w:sz w:val="1"/>
                <w:szCs w:val="1"/>
                <w:color w:val="auto"/>
              </w:rPr>
            </w:pPr>
          </w:p>
        </w:tc>
      </w:tr>
      <w:tr>
        <w:trPr>
          <w:trHeight w:val="194"/>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9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w w:val="98"/>
              </w:rPr>
              <w:t>Filing Fee</w:t>
            </w:r>
          </w:p>
        </w:tc>
        <w:tc>
          <w:tcPr>
            <w:tcW w:w="0" w:type="dxa"/>
            <w:vAlign w:val="bottom"/>
          </w:tcPr>
          <w:p>
            <w:pPr>
              <w:spacing w:after="0"/>
              <w:rPr>
                <w:sz w:val="1"/>
                <w:szCs w:val="1"/>
                <w:color w:val="auto"/>
              </w:rPr>
            </w:pPr>
          </w:p>
        </w:tc>
      </w:tr>
      <w:tr>
        <w:trPr>
          <w:trHeight w:val="188"/>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9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Previously</w:t>
            </w:r>
          </w:p>
        </w:tc>
        <w:tc>
          <w:tcPr>
            <w:tcW w:w="0" w:type="dxa"/>
            <w:vAlign w:val="bottom"/>
          </w:tcPr>
          <w:p>
            <w:pPr>
              <w:spacing w:after="0"/>
              <w:rPr>
                <w:sz w:val="1"/>
                <w:szCs w:val="1"/>
                <w:color w:val="auto"/>
              </w:rPr>
            </w:pPr>
          </w:p>
        </w:tc>
      </w:tr>
      <w:tr>
        <w:trPr>
          <w:trHeight w:val="188"/>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9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Proposed</w:t>
            </w:r>
          </w:p>
        </w:tc>
        <w:tc>
          <w:tcPr>
            <w:tcW w:w="20" w:type="dxa"/>
            <w:vAlign w:val="bottom"/>
          </w:tcPr>
          <w:p>
            <w:pPr>
              <w:spacing w:after="0"/>
              <w:rPr>
                <w:sz w:val="16"/>
                <w:szCs w:val="16"/>
                <w:color w:val="auto"/>
              </w:rPr>
            </w:pPr>
          </w:p>
        </w:tc>
        <w:tc>
          <w:tcPr>
            <w:tcW w:w="11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Carry</w:t>
            </w: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6"/>
              </w:rPr>
              <w:t>Paid in</w:t>
            </w:r>
          </w:p>
        </w:tc>
        <w:tc>
          <w:tcPr>
            <w:tcW w:w="0" w:type="dxa"/>
            <w:vAlign w:val="bottom"/>
          </w:tcPr>
          <w:p>
            <w:pPr>
              <w:spacing w:after="0"/>
              <w:rPr>
                <w:sz w:val="1"/>
                <w:szCs w:val="1"/>
                <w:color w:val="auto"/>
              </w:rPr>
            </w:pPr>
          </w:p>
        </w:tc>
      </w:tr>
      <w:tr>
        <w:trPr>
          <w:trHeight w:val="94"/>
        </w:trPr>
        <w:tc>
          <w:tcPr>
            <w:tcW w:w="40" w:type="dxa"/>
            <w:vAlign w:val="bottom"/>
            <w:tcBorders>
              <w:left w:val="single" w:sz="8" w:color="auto"/>
            </w:tcBorders>
          </w:tcPr>
          <w:p>
            <w:pPr>
              <w:spacing w:after="0"/>
              <w:rPr>
                <w:sz w:val="8"/>
                <w:szCs w:val="8"/>
                <w:color w:val="auto"/>
              </w:rPr>
            </w:pPr>
          </w:p>
        </w:tc>
        <w:tc>
          <w:tcPr>
            <w:tcW w:w="8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shd w:val="clear" w:color="auto" w:fill="9ADAF6"/>
          </w:tcPr>
          <w:p>
            <w:pPr>
              <w:spacing w:after="0"/>
              <w:rPr>
                <w:sz w:val="8"/>
                <w:szCs w:val="8"/>
                <w:color w:val="auto"/>
              </w:rPr>
            </w:pPr>
          </w:p>
        </w:tc>
        <w:tc>
          <w:tcPr>
            <w:tcW w:w="40" w:type="dxa"/>
            <w:vAlign w:val="bottom"/>
          </w:tcPr>
          <w:p>
            <w:pPr>
              <w:spacing w:after="0"/>
              <w:rPr>
                <w:sz w:val="8"/>
                <w:szCs w:val="8"/>
                <w:color w:val="auto"/>
              </w:rPr>
            </w:pPr>
          </w:p>
        </w:tc>
        <w:tc>
          <w:tcPr>
            <w:tcW w:w="9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6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18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0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Carry</w:t>
            </w:r>
          </w:p>
        </w:tc>
        <w:tc>
          <w:tcPr>
            <w:tcW w:w="20" w:type="dxa"/>
            <w:vAlign w:val="bottom"/>
          </w:tcPr>
          <w:p>
            <w:pPr>
              <w:spacing w:after="0"/>
              <w:rPr>
                <w:sz w:val="8"/>
                <w:szCs w:val="8"/>
                <w:color w:val="auto"/>
              </w:rPr>
            </w:pPr>
          </w:p>
        </w:tc>
        <w:tc>
          <w:tcPr>
            <w:tcW w:w="7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Carry</w:t>
            </w:r>
          </w:p>
        </w:tc>
        <w:tc>
          <w:tcPr>
            <w:tcW w:w="20" w:type="dxa"/>
            <w:vAlign w:val="bottom"/>
          </w:tcPr>
          <w:p>
            <w:pPr>
              <w:spacing w:after="0"/>
              <w:rPr>
                <w:sz w:val="8"/>
                <w:szCs w:val="8"/>
                <w:color w:val="auto"/>
              </w:rPr>
            </w:pPr>
          </w:p>
        </w:tc>
        <w:tc>
          <w:tcPr>
            <w:tcW w:w="72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60" w:type="dxa"/>
            <w:vAlign w:val="bottom"/>
            <w:tcBorders>
              <w:right w:val="single" w:sz="8" w:color="auto"/>
            </w:tcBorders>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Connection</w:t>
            </w:r>
          </w:p>
        </w:tc>
        <w:tc>
          <w:tcPr>
            <w:tcW w:w="0" w:type="dxa"/>
            <w:vAlign w:val="bottom"/>
          </w:tcPr>
          <w:p>
            <w:pPr>
              <w:spacing w:after="0"/>
              <w:rPr>
                <w:sz w:val="1"/>
                <w:szCs w:val="1"/>
                <w:color w:val="auto"/>
              </w:rPr>
            </w:pPr>
          </w:p>
        </w:tc>
      </w:tr>
      <w:tr>
        <w:trPr>
          <w:trHeight w:val="168"/>
        </w:trPr>
        <w:tc>
          <w:tcPr>
            <w:tcW w:w="40" w:type="dxa"/>
            <w:vAlign w:val="bottom"/>
            <w:tcBorders>
              <w:left w:val="single" w:sz="8" w:color="auto"/>
            </w:tcBorders>
          </w:tcPr>
          <w:p>
            <w:pPr>
              <w:spacing w:after="0"/>
              <w:rPr>
                <w:sz w:val="14"/>
                <w:szCs w:val="14"/>
                <w:color w:val="auto"/>
              </w:rPr>
            </w:pPr>
          </w:p>
        </w:tc>
        <w:tc>
          <w:tcPr>
            <w:tcW w:w="8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shd w:val="clear" w:color="auto" w:fill="9ADAF6"/>
          </w:tcPr>
          <w:p>
            <w:pPr>
              <w:ind w:left="20"/>
              <w:spacing w:after="0" w:line="167" w:lineRule="exact"/>
              <w:rPr>
                <w:sz w:val="20"/>
                <w:szCs w:val="20"/>
                <w:color w:val="auto"/>
              </w:rPr>
            </w:pPr>
            <w:r>
              <w:rPr>
                <w:rFonts w:ascii="Arial" w:cs="Arial" w:eastAsia="Arial" w:hAnsi="Arial"/>
                <w:sz w:val="17"/>
                <w:szCs w:val="17"/>
                <w:b w:val="1"/>
                <w:bCs w:val="1"/>
                <w:color w:val="auto"/>
                <w:w w:val="95"/>
              </w:rPr>
              <w:t>Security</w:t>
            </w:r>
          </w:p>
        </w:tc>
        <w:tc>
          <w:tcPr>
            <w:tcW w:w="40" w:type="dxa"/>
            <w:vAlign w:val="bottom"/>
          </w:tcPr>
          <w:p>
            <w:pPr>
              <w:spacing w:after="0"/>
              <w:rPr>
                <w:sz w:val="14"/>
                <w:szCs w:val="14"/>
                <w:color w:val="auto"/>
              </w:rPr>
            </w:pPr>
          </w:p>
        </w:tc>
        <w:tc>
          <w:tcPr>
            <w:tcW w:w="920" w:type="dxa"/>
            <w:vAlign w:val="bottom"/>
            <w:shd w:val="clear" w:color="auto" w:fill="9ADAF6"/>
          </w:tcPr>
          <w:p>
            <w:pPr>
              <w:jc w:val="center"/>
              <w:spacing w:after="0" w:line="167" w:lineRule="exact"/>
              <w:rPr>
                <w:sz w:val="20"/>
                <w:szCs w:val="20"/>
                <w:color w:val="auto"/>
              </w:rPr>
            </w:pPr>
            <w:r>
              <w:rPr>
                <w:rFonts w:ascii="Arial" w:cs="Arial" w:eastAsia="Arial" w:hAnsi="Arial"/>
                <w:sz w:val="17"/>
                <w:szCs w:val="17"/>
                <w:b w:val="1"/>
                <w:bCs w:val="1"/>
                <w:color w:val="auto"/>
                <w:w w:val="95"/>
              </w:rPr>
              <w:t>Fee</w:t>
            </w:r>
          </w:p>
        </w:tc>
        <w:tc>
          <w:tcPr>
            <w:tcW w:w="20" w:type="dxa"/>
            <w:vAlign w:val="bottom"/>
          </w:tcPr>
          <w:p>
            <w:pPr>
              <w:spacing w:after="0"/>
              <w:rPr>
                <w:sz w:val="14"/>
                <w:szCs w:val="14"/>
                <w:color w:val="auto"/>
              </w:rPr>
            </w:pPr>
          </w:p>
        </w:tc>
        <w:tc>
          <w:tcPr>
            <w:tcW w:w="96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shd w:val="clear" w:color="auto" w:fill="9ADAF6"/>
          </w:tcPr>
          <w:p>
            <w:pPr>
              <w:jc w:val="center"/>
              <w:spacing w:after="0" w:line="167" w:lineRule="exact"/>
              <w:rPr>
                <w:sz w:val="20"/>
                <w:szCs w:val="20"/>
                <w:color w:val="auto"/>
              </w:rPr>
            </w:pPr>
            <w:r>
              <w:rPr>
                <w:rFonts w:ascii="Arial" w:cs="Arial" w:eastAsia="Arial" w:hAnsi="Arial"/>
                <w:sz w:val="17"/>
                <w:szCs w:val="17"/>
                <w:b w:val="1"/>
                <w:bCs w:val="1"/>
                <w:color w:val="auto"/>
                <w:w w:val="99"/>
              </w:rPr>
              <w:t>Maximum</w:t>
            </w:r>
          </w:p>
        </w:tc>
        <w:tc>
          <w:tcPr>
            <w:tcW w:w="20" w:type="dxa"/>
            <w:vAlign w:val="bottom"/>
          </w:tcPr>
          <w:p>
            <w:pPr>
              <w:spacing w:after="0"/>
              <w:rPr>
                <w:sz w:val="14"/>
                <w:szCs w:val="14"/>
                <w:color w:val="auto"/>
              </w:rPr>
            </w:pPr>
          </w:p>
        </w:tc>
        <w:tc>
          <w:tcPr>
            <w:tcW w:w="1180" w:type="dxa"/>
            <w:vAlign w:val="bottom"/>
            <w:shd w:val="clear" w:color="auto" w:fill="9ADAF6"/>
          </w:tcPr>
          <w:p>
            <w:pPr>
              <w:jc w:val="center"/>
              <w:spacing w:after="0" w:line="167" w:lineRule="exact"/>
              <w:rPr>
                <w:sz w:val="20"/>
                <w:szCs w:val="20"/>
                <w:color w:val="auto"/>
              </w:rPr>
            </w:pPr>
            <w:r>
              <w:rPr>
                <w:rFonts w:ascii="Arial" w:cs="Arial" w:eastAsia="Arial" w:hAnsi="Arial"/>
                <w:sz w:val="17"/>
                <w:szCs w:val="17"/>
                <w:b w:val="1"/>
                <w:bCs w:val="1"/>
                <w:color w:val="auto"/>
                <w:w w:val="99"/>
              </w:rPr>
              <w:t>Maximum</w:t>
            </w:r>
          </w:p>
        </w:tc>
        <w:tc>
          <w:tcPr>
            <w:tcW w:w="20" w:type="dxa"/>
            <w:vAlign w:val="bottom"/>
          </w:tcPr>
          <w:p>
            <w:pPr>
              <w:spacing w:after="0"/>
              <w:rPr>
                <w:sz w:val="14"/>
                <w:szCs w:val="14"/>
                <w:color w:val="auto"/>
              </w:rPr>
            </w:pPr>
          </w:p>
        </w:tc>
        <w:tc>
          <w:tcPr>
            <w:tcW w:w="8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shd w:val="clear" w:color="auto" w:fill="9ADAF6"/>
          </w:tcPr>
          <w:p>
            <w:pPr>
              <w:jc w:val="center"/>
              <w:spacing w:after="0" w:line="167" w:lineRule="exact"/>
              <w:rPr>
                <w:sz w:val="20"/>
                <w:szCs w:val="20"/>
                <w:color w:val="auto"/>
              </w:rPr>
            </w:pPr>
            <w:r>
              <w:rPr>
                <w:rFonts w:ascii="Arial" w:cs="Arial" w:eastAsia="Arial" w:hAnsi="Arial"/>
                <w:sz w:val="17"/>
                <w:szCs w:val="17"/>
                <w:b w:val="1"/>
                <w:bCs w:val="1"/>
                <w:color w:val="auto"/>
                <w:w w:val="98"/>
              </w:rPr>
              <w:t>Amount of</w:t>
            </w:r>
          </w:p>
        </w:tc>
        <w:tc>
          <w:tcPr>
            <w:tcW w:w="20" w:type="dxa"/>
            <w:vAlign w:val="bottom"/>
          </w:tcPr>
          <w:p>
            <w:pPr>
              <w:spacing w:after="0"/>
              <w:rPr>
                <w:sz w:val="14"/>
                <w:szCs w:val="14"/>
                <w:color w:val="auto"/>
              </w:rPr>
            </w:pPr>
          </w:p>
        </w:tc>
        <w:tc>
          <w:tcPr>
            <w:tcW w:w="70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shd w:val="clear" w:color="auto" w:fill="9ADAF6"/>
          </w:tcPr>
          <w:p>
            <w:pPr>
              <w:jc w:val="center"/>
              <w:spacing w:after="0" w:line="167" w:lineRule="exact"/>
              <w:rPr>
                <w:sz w:val="20"/>
                <w:szCs w:val="20"/>
                <w:color w:val="auto"/>
              </w:rPr>
            </w:pPr>
            <w:r>
              <w:rPr>
                <w:rFonts w:ascii="Arial" w:cs="Arial" w:eastAsia="Arial" w:hAnsi="Arial"/>
                <w:sz w:val="17"/>
                <w:szCs w:val="17"/>
                <w:b w:val="1"/>
                <w:bCs w:val="1"/>
                <w:color w:val="auto"/>
                <w:w w:val="98"/>
              </w:rPr>
              <w:t>Forward</w:t>
            </w:r>
          </w:p>
        </w:tc>
        <w:tc>
          <w:tcPr>
            <w:tcW w:w="20" w:type="dxa"/>
            <w:vAlign w:val="bottom"/>
          </w:tcPr>
          <w:p>
            <w:pPr>
              <w:spacing w:after="0"/>
              <w:rPr>
                <w:sz w:val="14"/>
                <w:szCs w:val="14"/>
                <w:color w:val="auto"/>
              </w:rPr>
            </w:pPr>
          </w:p>
        </w:tc>
        <w:tc>
          <w:tcPr>
            <w:tcW w:w="960" w:type="dxa"/>
            <w:vAlign w:val="bottom"/>
            <w:tcBorders>
              <w:right w:val="single" w:sz="8" w:color="auto"/>
            </w:tcBorders>
            <w:vMerge w:val="continue"/>
            <w:shd w:val="clear" w:color="auto" w:fill="9ADAF6"/>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ind w:left="20"/>
              <w:spacing w:after="0" w:line="189" w:lineRule="exact"/>
              <w:rPr>
                <w:sz w:val="20"/>
                <w:szCs w:val="20"/>
                <w:color w:val="auto"/>
              </w:rPr>
            </w:pPr>
            <w:r>
              <w:rPr>
                <w:rFonts w:ascii="Arial" w:cs="Arial" w:eastAsia="Arial" w:hAnsi="Arial"/>
                <w:sz w:val="17"/>
                <w:szCs w:val="17"/>
                <w:b w:val="1"/>
                <w:bCs w:val="1"/>
                <w:color w:val="auto"/>
                <w:w w:val="98"/>
              </w:rPr>
              <w:t>Security</w:t>
            </w:r>
          </w:p>
        </w:tc>
        <w:tc>
          <w:tcPr>
            <w:tcW w:w="20" w:type="dxa"/>
            <w:vAlign w:val="bottom"/>
          </w:tcPr>
          <w:p>
            <w:pPr>
              <w:spacing w:after="0"/>
              <w:rPr>
                <w:sz w:val="16"/>
                <w:szCs w:val="16"/>
                <w:color w:val="auto"/>
              </w:rPr>
            </w:pPr>
          </w:p>
        </w:tc>
        <w:tc>
          <w:tcPr>
            <w:tcW w:w="680" w:type="dxa"/>
            <w:vAlign w:val="bottom"/>
            <w:shd w:val="clear" w:color="auto" w:fill="9ADAF6"/>
          </w:tcPr>
          <w:p>
            <w:pPr>
              <w:ind w:left="120"/>
              <w:spacing w:after="0" w:line="189" w:lineRule="exact"/>
              <w:rPr>
                <w:sz w:val="20"/>
                <w:szCs w:val="20"/>
                <w:color w:val="auto"/>
              </w:rPr>
            </w:pPr>
            <w:r>
              <w:rPr>
                <w:rFonts w:ascii="Arial" w:cs="Arial" w:eastAsia="Arial" w:hAnsi="Arial"/>
                <w:sz w:val="17"/>
                <w:szCs w:val="17"/>
                <w:b w:val="1"/>
                <w:bCs w:val="1"/>
                <w:color w:val="auto"/>
              </w:rPr>
              <w:t>Class</w:t>
            </w:r>
          </w:p>
        </w:tc>
        <w:tc>
          <w:tcPr>
            <w:tcW w:w="40" w:type="dxa"/>
            <w:vAlign w:val="bottom"/>
          </w:tcPr>
          <w:p>
            <w:pPr>
              <w:spacing w:after="0"/>
              <w:rPr>
                <w:sz w:val="16"/>
                <w:szCs w:val="16"/>
                <w:color w:val="auto"/>
              </w:rPr>
            </w:pPr>
          </w:p>
        </w:tc>
        <w:tc>
          <w:tcPr>
            <w:tcW w:w="9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Calculation</w:t>
            </w:r>
          </w:p>
        </w:tc>
        <w:tc>
          <w:tcPr>
            <w:tcW w:w="20" w:type="dxa"/>
            <w:vAlign w:val="bottom"/>
          </w:tcPr>
          <w:p>
            <w:pPr>
              <w:spacing w:after="0"/>
              <w:rPr>
                <w:sz w:val="16"/>
                <w:szCs w:val="16"/>
                <w:color w:val="auto"/>
              </w:rPr>
            </w:pPr>
          </w:p>
        </w:tc>
        <w:tc>
          <w:tcPr>
            <w:tcW w:w="960" w:type="dxa"/>
            <w:vAlign w:val="bottom"/>
            <w:shd w:val="clear" w:color="auto" w:fill="9ADAF6"/>
          </w:tcPr>
          <w:p>
            <w:pPr>
              <w:jc w:val="right"/>
              <w:ind w:right="76"/>
              <w:spacing w:after="0" w:line="189" w:lineRule="exact"/>
              <w:rPr>
                <w:sz w:val="20"/>
                <w:szCs w:val="20"/>
                <w:color w:val="auto"/>
              </w:rPr>
            </w:pPr>
            <w:r>
              <w:rPr>
                <w:rFonts w:ascii="Arial" w:cs="Arial" w:eastAsia="Arial" w:hAnsi="Arial"/>
                <w:sz w:val="17"/>
                <w:szCs w:val="17"/>
                <w:b w:val="1"/>
                <w:bCs w:val="1"/>
                <w:color w:val="auto"/>
              </w:rPr>
              <w:t>Amount</w:t>
            </w:r>
          </w:p>
        </w:tc>
        <w:tc>
          <w:tcPr>
            <w:tcW w:w="20" w:type="dxa"/>
            <w:vAlign w:val="bottom"/>
          </w:tcPr>
          <w:p>
            <w:pPr>
              <w:spacing w:after="0"/>
              <w:rPr>
                <w:sz w:val="16"/>
                <w:szCs w:val="16"/>
                <w:color w:val="auto"/>
              </w:rPr>
            </w:pPr>
          </w:p>
        </w:tc>
        <w:tc>
          <w:tcPr>
            <w:tcW w:w="8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Offering</w:t>
            </w:r>
          </w:p>
        </w:tc>
        <w:tc>
          <w:tcPr>
            <w:tcW w:w="20" w:type="dxa"/>
            <w:vAlign w:val="bottom"/>
          </w:tcPr>
          <w:p>
            <w:pPr>
              <w:spacing w:after="0"/>
              <w:rPr>
                <w:sz w:val="16"/>
                <w:szCs w:val="16"/>
                <w:color w:val="auto"/>
              </w:rPr>
            </w:pPr>
          </w:p>
        </w:tc>
        <w:tc>
          <w:tcPr>
            <w:tcW w:w="118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Aggregate</w:t>
            </w:r>
          </w:p>
        </w:tc>
        <w:tc>
          <w:tcPr>
            <w:tcW w:w="20" w:type="dxa"/>
            <w:vAlign w:val="bottom"/>
          </w:tcPr>
          <w:p>
            <w:pPr>
              <w:spacing w:after="0"/>
              <w:rPr>
                <w:sz w:val="16"/>
                <w:szCs w:val="16"/>
                <w:color w:val="auto"/>
              </w:rPr>
            </w:pPr>
          </w:p>
        </w:tc>
        <w:tc>
          <w:tcPr>
            <w:tcW w:w="8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Fee Rate</w:t>
            </w:r>
          </w:p>
        </w:tc>
        <w:tc>
          <w:tcPr>
            <w:tcW w:w="20" w:type="dxa"/>
            <w:vAlign w:val="bottom"/>
          </w:tcPr>
          <w:p>
            <w:pPr>
              <w:spacing w:after="0"/>
              <w:rPr>
                <w:sz w:val="16"/>
                <w:szCs w:val="16"/>
                <w:color w:val="auto"/>
              </w:rPr>
            </w:pPr>
          </w:p>
        </w:tc>
        <w:tc>
          <w:tcPr>
            <w:tcW w:w="10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Registration</w:t>
            </w:r>
          </w:p>
        </w:tc>
        <w:tc>
          <w:tcPr>
            <w:tcW w:w="20" w:type="dxa"/>
            <w:vAlign w:val="bottom"/>
          </w:tcPr>
          <w:p>
            <w:pPr>
              <w:spacing w:after="0"/>
              <w:rPr>
                <w:sz w:val="16"/>
                <w:szCs w:val="16"/>
                <w:color w:val="auto"/>
              </w:rPr>
            </w:pPr>
          </w:p>
        </w:tc>
        <w:tc>
          <w:tcPr>
            <w:tcW w:w="7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Forward</w:t>
            </w:r>
          </w:p>
        </w:tc>
        <w:tc>
          <w:tcPr>
            <w:tcW w:w="20" w:type="dxa"/>
            <w:vAlign w:val="bottom"/>
          </w:tcPr>
          <w:p>
            <w:pPr>
              <w:spacing w:after="0"/>
              <w:rPr>
                <w:sz w:val="16"/>
                <w:szCs w:val="16"/>
                <w:color w:val="auto"/>
              </w:rPr>
            </w:pPr>
          </w:p>
        </w:tc>
        <w:tc>
          <w:tcPr>
            <w:tcW w:w="7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Forward</w:t>
            </w:r>
          </w:p>
        </w:tc>
        <w:tc>
          <w:tcPr>
            <w:tcW w:w="20" w:type="dxa"/>
            <w:vAlign w:val="bottom"/>
          </w:tcPr>
          <w:p>
            <w:pPr>
              <w:spacing w:after="0"/>
              <w:rPr>
                <w:sz w:val="16"/>
                <w:szCs w:val="16"/>
                <w:color w:val="auto"/>
              </w:rPr>
            </w:pPr>
          </w:p>
        </w:tc>
        <w:tc>
          <w:tcPr>
            <w:tcW w:w="7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Initial</w:t>
            </w: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with</w:t>
            </w:r>
          </w:p>
        </w:tc>
        <w:tc>
          <w:tcPr>
            <w:tcW w:w="0" w:type="dxa"/>
            <w:vAlign w:val="bottom"/>
          </w:tcPr>
          <w:p>
            <w:pPr>
              <w:spacing w:after="0"/>
              <w:rPr>
                <w:sz w:val="1"/>
                <w:szCs w:val="1"/>
                <w:color w:val="auto"/>
              </w:rPr>
            </w:pPr>
          </w:p>
        </w:tc>
      </w:tr>
      <w:tr>
        <w:trPr>
          <w:trHeight w:val="188"/>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ind w:left="160"/>
              <w:spacing w:after="0" w:line="189" w:lineRule="exact"/>
              <w:rPr>
                <w:sz w:val="20"/>
                <w:szCs w:val="20"/>
                <w:color w:val="auto"/>
              </w:rPr>
            </w:pPr>
            <w:r>
              <w:rPr>
                <w:rFonts w:ascii="Arial" w:cs="Arial" w:eastAsia="Arial" w:hAnsi="Arial"/>
                <w:sz w:val="17"/>
                <w:szCs w:val="17"/>
                <w:b w:val="1"/>
                <w:bCs w:val="1"/>
                <w:color w:val="auto"/>
              </w:rPr>
              <w:t>Type</w:t>
            </w:r>
          </w:p>
        </w:tc>
        <w:tc>
          <w:tcPr>
            <w:tcW w:w="20" w:type="dxa"/>
            <w:vAlign w:val="bottom"/>
          </w:tcPr>
          <w:p>
            <w:pPr>
              <w:spacing w:after="0"/>
              <w:rPr>
                <w:sz w:val="16"/>
                <w:szCs w:val="16"/>
                <w:color w:val="auto"/>
              </w:rPr>
            </w:pPr>
          </w:p>
        </w:tc>
        <w:tc>
          <w:tcPr>
            <w:tcW w:w="680" w:type="dxa"/>
            <w:vAlign w:val="bottom"/>
            <w:shd w:val="clear" w:color="auto" w:fill="9ADAF6"/>
          </w:tcPr>
          <w:p>
            <w:pPr>
              <w:ind w:left="180"/>
              <w:spacing w:after="0" w:line="189" w:lineRule="exact"/>
              <w:rPr>
                <w:sz w:val="20"/>
                <w:szCs w:val="20"/>
                <w:color w:val="auto"/>
              </w:rPr>
            </w:pPr>
            <w:r>
              <w:rPr>
                <w:rFonts w:ascii="Arial" w:cs="Arial" w:eastAsia="Arial" w:hAnsi="Arial"/>
                <w:sz w:val="17"/>
                <w:szCs w:val="17"/>
                <w:b w:val="1"/>
                <w:bCs w:val="1"/>
                <w:color w:val="auto"/>
              </w:rPr>
              <w:t>Title</w:t>
            </w:r>
          </w:p>
        </w:tc>
        <w:tc>
          <w:tcPr>
            <w:tcW w:w="40" w:type="dxa"/>
            <w:vAlign w:val="bottom"/>
          </w:tcPr>
          <w:p>
            <w:pPr>
              <w:spacing w:after="0"/>
              <w:rPr>
                <w:sz w:val="16"/>
                <w:szCs w:val="16"/>
                <w:color w:val="auto"/>
              </w:rPr>
            </w:pPr>
          </w:p>
        </w:tc>
        <w:tc>
          <w:tcPr>
            <w:tcW w:w="9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Rule</w:t>
            </w:r>
          </w:p>
        </w:tc>
        <w:tc>
          <w:tcPr>
            <w:tcW w:w="20" w:type="dxa"/>
            <w:vAlign w:val="bottom"/>
          </w:tcPr>
          <w:p>
            <w:pPr>
              <w:spacing w:after="0"/>
              <w:rPr>
                <w:sz w:val="16"/>
                <w:szCs w:val="16"/>
                <w:color w:val="auto"/>
              </w:rPr>
            </w:pPr>
          </w:p>
        </w:tc>
        <w:tc>
          <w:tcPr>
            <w:tcW w:w="960" w:type="dxa"/>
            <w:vAlign w:val="bottom"/>
            <w:shd w:val="clear" w:color="auto" w:fill="9ADAF6"/>
          </w:tcPr>
          <w:p>
            <w:pPr>
              <w:jc w:val="right"/>
              <w:spacing w:after="0" w:line="189" w:lineRule="exact"/>
              <w:rPr>
                <w:sz w:val="20"/>
                <w:szCs w:val="20"/>
                <w:color w:val="auto"/>
              </w:rPr>
            </w:pPr>
            <w:r>
              <w:rPr>
                <w:rFonts w:ascii="Arial" w:cs="Arial" w:eastAsia="Arial" w:hAnsi="Arial"/>
                <w:sz w:val="17"/>
                <w:szCs w:val="17"/>
                <w:b w:val="1"/>
                <w:bCs w:val="1"/>
                <w:color w:val="auto"/>
              </w:rPr>
              <w:t>Registered</w:t>
            </w:r>
          </w:p>
        </w:tc>
        <w:tc>
          <w:tcPr>
            <w:tcW w:w="20" w:type="dxa"/>
            <w:vAlign w:val="bottom"/>
          </w:tcPr>
          <w:p>
            <w:pPr>
              <w:spacing w:after="0"/>
              <w:rPr>
                <w:sz w:val="16"/>
                <w:szCs w:val="16"/>
                <w:color w:val="auto"/>
              </w:rPr>
            </w:pPr>
          </w:p>
        </w:tc>
        <w:tc>
          <w:tcPr>
            <w:tcW w:w="8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Price Per</w:t>
            </w:r>
          </w:p>
        </w:tc>
        <w:tc>
          <w:tcPr>
            <w:tcW w:w="20" w:type="dxa"/>
            <w:vAlign w:val="bottom"/>
          </w:tcPr>
          <w:p>
            <w:pPr>
              <w:spacing w:after="0"/>
              <w:rPr>
                <w:sz w:val="16"/>
                <w:szCs w:val="16"/>
                <w:color w:val="auto"/>
              </w:rPr>
            </w:pPr>
          </w:p>
        </w:tc>
        <w:tc>
          <w:tcPr>
            <w:tcW w:w="118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Offering Price</w:t>
            </w: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5"/>
              </w:rPr>
              <w:t>Fee</w:t>
            </w:r>
          </w:p>
        </w:tc>
        <w:tc>
          <w:tcPr>
            <w:tcW w:w="20" w:type="dxa"/>
            <w:vAlign w:val="bottom"/>
          </w:tcPr>
          <w:p>
            <w:pPr>
              <w:spacing w:after="0"/>
              <w:rPr>
                <w:sz w:val="16"/>
                <w:szCs w:val="16"/>
                <w:color w:val="auto"/>
              </w:rPr>
            </w:pPr>
          </w:p>
        </w:tc>
        <w:tc>
          <w:tcPr>
            <w:tcW w:w="7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Form</w:t>
            </w:r>
          </w:p>
        </w:tc>
        <w:tc>
          <w:tcPr>
            <w:tcW w:w="20" w:type="dxa"/>
            <w:vAlign w:val="bottom"/>
          </w:tcPr>
          <w:p>
            <w:pPr>
              <w:spacing w:after="0"/>
              <w:rPr>
                <w:sz w:val="16"/>
                <w:szCs w:val="16"/>
                <w:color w:val="auto"/>
              </w:rPr>
            </w:pPr>
          </w:p>
        </w:tc>
        <w:tc>
          <w:tcPr>
            <w:tcW w:w="7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5"/>
              </w:rPr>
              <w:t>File</w:t>
            </w:r>
          </w:p>
        </w:tc>
        <w:tc>
          <w:tcPr>
            <w:tcW w:w="20" w:type="dxa"/>
            <w:vAlign w:val="bottom"/>
          </w:tcPr>
          <w:p>
            <w:pPr>
              <w:spacing w:after="0"/>
              <w:rPr>
                <w:sz w:val="16"/>
                <w:szCs w:val="16"/>
                <w:color w:val="auto"/>
              </w:rPr>
            </w:pPr>
          </w:p>
        </w:tc>
        <w:tc>
          <w:tcPr>
            <w:tcW w:w="7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Effective</w:t>
            </w: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Unsold</w:t>
            </w:r>
          </w:p>
        </w:tc>
        <w:tc>
          <w:tcPr>
            <w:tcW w:w="0" w:type="dxa"/>
            <w:vAlign w:val="bottom"/>
          </w:tcPr>
          <w:p>
            <w:pPr>
              <w:spacing w:after="0"/>
              <w:rPr>
                <w:sz w:val="1"/>
                <w:szCs w:val="1"/>
                <w:color w:val="auto"/>
              </w:rPr>
            </w:pPr>
          </w:p>
        </w:tc>
      </w:tr>
      <w:tr>
        <w:trPr>
          <w:trHeight w:val="115"/>
        </w:trPr>
        <w:tc>
          <w:tcPr>
            <w:tcW w:w="40" w:type="dxa"/>
            <w:vAlign w:val="bottom"/>
            <w:tcBorders>
              <w:left w:val="single" w:sz="8" w:color="auto"/>
            </w:tcBorders>
          </w:tcPr>
          <w:p>
            <w:pPr>
              <w:spacing w:after="0"/>
              <w:rPr>
                <w:sz w:val="10"/>
                <w:szCs w:val="10"/>
                <w:color w:val="auto"/>
              </w:rPr>
            </w:pPr>
          </w:p>
        </w:tc>
        <w:tc>
          <w:tcPr>
            <w:tcW w:w="80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shd w:val="clear" w:color="auto" w:fill="9ADAF6"/>
          </w:tcPr>
          <w:p>
            <w:pPr>
              <w:spacing w:after="0"/>
              <w:rPr>
                <w:sz w:val="10"/>
                <w:szCs w:val="10"/>
                <w:color w:val="auto"/>
              </w:rPr>
            </w:pPr>
          </w:p>
        </w:tc>
        <w:tc>
          <w:tcPr>
            <w:tcW w:w="40" w:type="dxa"/>
            <w:vAlign w:val="bottom"/>
          </w:tcPr>
          <w:p>
            <w:pPr>
              <w:spacing w:after="0"/>
              <w:rPr>
                <w:sz w:val="10"/>
                <w:szCs w:val="10"/>
                <w:color w:val="auto"/>
              </w:rPr>
            </w:pPr>
          </w:p>
        </w:tc>
        <w:tc>
          <w:tcPr>
            <w:tcW w:w="92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96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6"/>
              </w:rPr>
              <w:t>Unit</w:t>
            </w:r>
          </w:p>
        </w:tc>
        <w:tc>
          <w:tcPr>
            <w:tcW w:w="20" w:type="dxa"/>
            <w:vAlign w:val="bottom"/>
          </w:tcPr>
          <w:p>
            <w:pPr>
              <w:spacing w:after="0"/>
              <w:rPr>
                <w:sz w:val="10"/>
                <w:szCs w:val="10"/>
                <w:color w:val="auto"/>
              </w:rPr>
            </w:pPr>
          </w:p>
        </w:tc>
        <w:tc>
          <w:tcPr>
            <w:tcW w:w="118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82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00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shd w:val="clear" w:color="auto" w:fill="9ADAF6"/>
          </w:tcPr>
          <w:p>
            <w:pPr>
              <w:jc w:val="center"/>
              <w:spacing w:after="0" w:line="115" w:lineRule="exact"/>
              <w:rPr>
                <w:sz w:val="20"/>
                <w:szCs w:val="20"/>
                <w:color w:val="auto"/>
              </w:rPr>
            </w:pPr>
            <w:r>
              <w:rPr>
                <w:rFonts w:ascii="Arial" w:cs="Arial" w:eastAsia="Arial" w:hAnsi="Arial"/>
                <w:sz w:val="13"/>
                <w:szCs w:val="13"/>
                <w:b w:val="1"/>
                <w:bCs w:val="1"/>
                <w:color w:val="auto"/>
              </w:rPr>
              <w:t>Type</w:t>
            </w:r>
          </w:p>
        </w:tc>
        <w:tc>
          <w:tcPr>
            <w:tcW w:w="20" w:type="dxa"/>
            <w:vAlign w:val="bottom"/>
          </w:tcPr>
          <w:p>
            <w:pPr>
              <w:spacing w:after="0"/>
              <w:rPr>
                <w:sz w:val="10"/>
                <w:szCs w:val="10"/>
                <w:color w:val="auto"/>
              </w:rPr>
            </w:pPr>
          </w:p>
        </w:tc>
        <w:tc>
          <w:tcPr>
            <w:tcW w:w="700" w:type="dxa"/>
            <w:vAlign w:val="bottom"/>
            <w:shd w:val="clear" w:color="auto" w:fill="9ADAF6"/>
          </w:tcPr>
          <w:p>
            <w:pPr>
              <w:jc w:val="center"/>
              <w:spacing w:after="0" w:line="115" w:lineRule="exact"/>
              <w:rPr>
                <w:sz w:val="20"/>
                <w:szCs w:val="20"/>
                <w:color w:val="auto"/>
              </w:rPr>
            </w:pPr>
            <w:r>
              <w:rPr>
                <w:rFonts w:ascii="Arial" w:cs="Arial" w:eastAsia="Arial" w:hAnsi="Arial"/>
                <w:sz w:val="13"/>
                <w:szCs w:val="13"/>
                <w:b w:val="1"/>
                <w:bCs w:val="1"/>
                <w:color w:val="auto"/>
              </w:rPr>
              <w:t>Number</w:t>
            </w:r>
          </w:p>
        </w:tc>
        <w:tc>
          <w:tcPr>
            <w:tcW w:w="20" w:type="dxa"/>
            <w:vAlign w:val="bottom"/>
          </w:tcPr>
          <w:p>
            <w:pPr>
              <w:spacing w:after="0"/>
              <w:rPr>
                <w:sz w:val="10"/>
                <w:szCs w:val="10"/>
                <w:color w:val="auto"/>
              </w:rPr>
            </w:pPr>
          </w:p>
        </w:tc>
        <w:tc>
          <w:tcPr>
            <w:tcW w:w="7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7"/>
              </w:rPr>
              <w:t>Date</w:t>
            </w:r>
          </w:p>
        </w:tc>
        <w:tc>
          <w:tcPr>
            <w:tcW w:w="20" w:type="dxa"/>
            <w:vAlign w:val="bottom"/>
          </w:tcPr>
          <w:p>
            <w:pPr>
              <w:spacing w:after="0"/>
              <w:rPr>
                <w:sz w:val="10"/>
                <w:szCs w:val="10"/>
                <w:color w:val="auto"/>
              </w:rPr>
            </w:pPr>
          </w:p>
        </w:tc>
        <w:tc>
          <w:tcPr>
            <w:tcW w:w="960" w:type="dxa"/>
            <w:vAlign w:val="bottom"/>
            <w:tcBorders>
              <w:right w:val="single" w:sz="8" w:color="auto"/>
            </w:tcBorders>
            <w:shd w:val="clear" w:color="auto" w:fill="9ADAF6"/>
          </w:tcPr>
          <w:p>
            <w:pPr>
              <w:jc w:val="center"/>
              <w:spacing w:after="0" w:line="115" w:lineRule="exact"/>
              <w:rPr>
                <w:sz w:val="20"/>
                <w:szCs w:val="20"/>
                <w:color w:val="auto"/>
              </w:rPr>
            </w:pPr>
            <w:r>
              <w:rPr>
                <w:rFonts w:ascii="Arial" w:cs="Arial" w:eastAsia="Arial" w:hAnsi="Arial"/>
                <w:sz w:val="13"/>
                <w:szCs w:val="13"/>
                <w:b w:val="1"/>
                <w:bCs w:val="1"/>
                <w:color w:val="auto"/>
              </w:rPr>
              <w:t>Securities</w:t>
            </w:r>
          </w:p>
        </w:tc>
        <w:tc>
          <w:tcPr>
            <w:tcW w:w="0" w:type="dxa"/>
            <w:vAlign w:val="bottom"/>
          </w:tcPr>
          <w:p>
            <w:pPr>
              <w:spacing w:after="0"/>
              <w:rPr>
                <w:sz w:val="1"/>
                <w:szCs w:val="1"/>
                <w:color w:val="auto"/>
              </w:rPr>
            </w:pPr>
          </w:p>
        </w:tc>
      </w:tr>
      <w:tr>
        <w:trPr>
          <w:trHeight w:val="135"/>
        </w:trPr>
        <w:tc>
          <w:tcPr>
            <w:tcW w:w="40" w:type="dxa"/>
            <w:vAlign w:val="bottom"/>
            <w:tcBorders>
              <w:left w:val="single" w:sz="8" w:color="auto"/>
            </w:tcBorders>
          </w:tcPr>
          <w:p>
            <w:pPr>
              <w:spacing w:after="0"/>
              <w:rPr>
                <w:sz w:val="11"/>
                <w:szCs w:val="11"/>
                <w:color w:val="auto"/>
              </w:rPr>
            </w:pPr>
          </w:p>
        </w:tc>
        <w:tc>
          <w:tcPr>
            <w:tcW w:w="80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shd w:val="clear" w:color="auto" w:fill="9ADAF6"/>
          </w:tcPr>
          <w:p>
            <w:pPr>
              <w:spacing w:after="0"/>
              <w:rPr>
                <w:sz w:val="11"/>
                <w:szCs w:val="11"/>
                <w:color w:val="auto"/>
              </w:rPr>
            </w:pPr>
          </w:p>
        </w:tc>
        <w:tc>
          <w:tcPr>
            <w:tcW w:w="40" w:type="dxa"/>
            <w:vAlign w:val="bottom"/>
          </w:tcPr>
          <w:p>
            <w:pPr>
              <w:spacing w:after="0"/>
              <w:rPr>
                <w:sz w:val="11"/>
                <w:szCs w:val="11"/>
                <w:color w:val="auto"/>
              </w:rPr>
            </w:pPr>
          </w:p>
        </w:tc>
        <w:tc>
          <w:tcPr>
            <w:tcW w:w="92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96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vMerge w:val="continue"/>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18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00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vMerge w:val="continue"/>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960" w:type="dxa"/>
            <w:vAlign w:val="bottom"/>
            <w:tcBorders>
              <w:right w:val="single" w:sz="8" w:color="auto"/>
            </w:tcBorders>
            <w:vMerge w:val="restart"/>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to be</w:t>
            </w:r>
          </w:p>
        </w:tc>
        <w:tc>
          <w:tcPr>
            <w:tcW w:w="0" w:type="dxa"/>
            <w:vAlign w:val="bottom"/>
          </w:tcPr>
          <w:p>
            <w:pPr>
              <w:spacing w:after="0"/>
              <w:rPr>
                <w:sz w:val="1"/>
                <w:szCs w:val="1"/>
                <w:color w:val="auto"/>
              </w:rPr>
            </w:pPr>
          </w:p>
        </w:tc>
      </w:tr>
      <w:tr>
        <w:trPr>
          <w:trHeight w:val="53"/>
        </w:trPr>
        <w:tc>
          <w:tcPr>
            <w:tcW w:w="40" w:type="dxa"/>
            <w:vAlign w:val="bottom"/>
            <w:tcBorders>
              <w:left w:val="single" w:sz="8" w:color="auto"/>
            </w:tcBorders>
          </w:tcPr>
          <w:p>
            <w:pPr>
              <w:spacing w:after="0"/>
              <w:rPr>
                <w:sz w:val="4"/>
                <w:szCs w:val="4"/>
                <w:color w:val="auto"/>
              </w:rPr>
            </w:pPr>
          </w:p>
        </w:tc>
        <w:tc>
          <w:tcPr>
            <w:tcW w:w="80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70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680" w:type="dxa"/>
            <w:vAlign w:val="bottom"/>
            <w:shd w:val="clear" w:color="auto" w:fill="9ADAF6"/>
          </w:tcPr>
          <w:p>
            <w:pPr>
              <w:spacing w:after="0"/>
              <w:rPr>
                <w:sz w:val="4"/>
                <w:szCs w:val="4"/>
                <w:color w:val="auto"/>
              </w:rPr>
            </w:pPr>
          </w:p>
        </w:tc>
        <w:tc>
          <w:tcPr>
            <w:tcW w:w="40" w:type="dxa"/>
            <w:vAlign w:val="bottom"/>
          </w:tcPr>
          <w:p>
            <w:pPr>
              <w:spacing w:after="0"/>
              <w:rPr>
                <w:sz w:val="4"/>
                <w:szCs w:val="4"/>
                <w:color w:val="auto"/>
              </w:rPr>
            </w:pPr>
          </w:p>
        </w:tc>
        <w:tc>
          <w:tcPr>
            <w:tcW w:w="92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96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80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118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82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100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70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70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72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960" w:type="dxa"/>
            <w:vAlign w:val="bottom"/>
            <w:tcBorders>
              <w:right w:val="single" w:sz="8" w:color="auto"/>
            </w:tcBorders>
            <w:vMerge w:val="continue"/>
            <w:shd w:val="clear" w:color="auto" w:fill="9ADAF6"/>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9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Carried</w:t>
            </w:r>
          </w:p>
        </w:tc>
        <w:tc>
          <w:tcPr>
            <w:tcW w:w="0" w:type="dxa"/>
            <w:vAlign w:val="bottom"/>
          </w:tcPr>
          <w:p>
            <w:pPr>
              <w:spacing w:after="0"/>
              <w:rPr>
                <w:sz w:val="1"/>
                <w:szCs w:val="1"/>
                <w:color w:val="auto"/>
              </w:rPr>
            </w:pPr>
          </w:p>
        </w:tc>
      </w:tr>
      <w:tr>
        <w:trPr>
          <w:trHeight w:val="220"/>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9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1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Forward</w:t>
            </w:r>
          </w:p>
        </w:tc>
        <w:tc>
          <w:tcPr>
            <w:tcW w:w="0" w:type="dxa"/>
            <w:vAlign w:val="bottom"/>
          </w:tcPr>
          <w:p>
            <w:pPr>
              <w:spacing w:after="0"/>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40" w:type="dxa"/>
            <w:vAlign w:val="bottom"/>
            <w:gridSpan w:val="5"/>
          </w:tcPr>
          <w:p>
            <w:pPr>
              <w:ind w:left="220"/>
              <w:spacing w:after="0"/>
              <w:rPr>
                <w:sz w:val="20"/>
                <w:szCs w:val="20"/>
                <w:color w:val="auto"/>
              </w:rPr>
            </w:pPr>
            <w:r>
              <w:rPr>
                <w:rFonts w:ascii="Arial" w:cs="Arial" w:eastAsia="Arial" w:hAnsi="Arial"/>
                <w:sz w:val="17"/>
                <w:szCs w:val="17"/>
                <w:b w:val="1"/>
                <w:bCs w:val="1"/>
                <w:color w:val="auto"/>
              </w:rPr>
              <w:t>Newly Registered Securities</w:t>
            </w:r>
          </w:p>
        </w:tc>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line="189" w:lineRule="exact"/>
              <w:rPr>
                <w:sz w:val="20"/>
                <w:szCs w:val="20"/>
                <w:color w:val="auto"/>
              </w:rPr>
            </w:pPr>
            <w:r>
              <w:rPr>
                <w:rFonts w:ascii="Arial" w:cs="Arial" w:eastAsia="Arial" w:hAnsi="Arial"/>
                <w:sz w:val="17"/>
                <w:szCs w:val="17"/>
                <w:color w:val="auto"/>
              </w:rPr>
              <w:t>6.625%</w:t>
            </w:r>
          </w:p>
        </w:tc>
        <w:tc>
          <w:tcPr>
            <w:tcW w:w="4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62"/>
        </w:trPr>
        <w:tc>
          <w:tcPr>
            <w:tcW w:w="40" w:type="dxa"/>
            <w:vAlign w:val="bottom"/>
            <w:tcBorders>
              <w:left w:val="single" w:sz="8" w:color="auto"/>
            </w:tcBorders>
          </w:tcPr>
          <w:p>
            <w:pPr>
              <w:spacing w:after="0"/>
              <w:rPr>
                <w:sz w:val="22"/>
                <w:szCs w:val="22"/>
                <w:color w:val="auto"/>
              </w:rPr>
            </w:pPr>
          </w:p>
        </w:tc>
        <w:tc>
          <w:tcPr>
            <w:tcW w:w="800" w:type="dxa"/>
            <w:vAlign w:val="bottom"/>
            <w:shd w:val="clear" w:color="auto" w:fill="E7E7E2"/>
          </w:tcPr>
          <w:p>
            <w:pPr>
              <w:spacing w:after="0"/>
              <w:rPr>
                <w:sz w:val="20"/>
                <w:szCs w:val="20"/>
                <w:color w:val="auto"/>
              </w:rPr>
            </w:pPr>
            <w:r>
              <w:rPr>
                <w:rFonts w:ascii="Arial" w:cs="Arial" w:eastAsia="Arial" w:hAnsi="Arial"/>
                <w:sz w:val="17"/>
                <w:szCs w:val="17"/>
                <w:color w:val="auto"/>
              </w:rPr>
              <w:t>Fees to</w:t>
            </w:r>
          </w:p>
        </w:tc>
        <w:tc>
          <w:tcPr>
            <w:tcW w:w="20" w:type="dxa"/>
            <w:vAlign w:val="bottom"/>
          </w:tcPr>
          <w:p>
            <w:pPr>
              <w:spacing w:after="0"/>
              <w:rPr>
                <w:sz w:val="22"/>
                <w:szCs w:val="22"/>
                <w:color w:val="auto"/>
              </w:rPr>
            </w:pPr>
          </w:p>
        </w:tc>
        <w:tc>
          <w:tcPr>
            <w:tcW w:w="100" w:type="dxa"/>
            <w:vAlign w:val="bottom"/>
            <w:shd w:val="clear" w:color="auto" w:fill="E7E7E2"/>
          </w:tcPr>
          <w:p>
            <w:pPr>
              <w:jc w:val="right"/>
              <w:spacing w:after="0"/>
              <w:rPr>
                <w:sz w:val="20"/>
                <w:szCs w:val="20"/>
                <w:color w:val="auto"/>
              </w:rPr>
            </w:pPr>
            <w:r>
              <w:rPr>
                <w:rFonts w:ascii="Arial" w:cs="Arial" w:eastAsia="Arial" w:hAnsi="Arial"/>
                <w:sz w:val="17"/>
                <w:szCs w:val="17"/>
                <w:color w:val="auto"/>
                <w:w w:val="84"/>
              </w:rPr>
              <w:t>1</w:t>
            </w:r>
          </w:p>
        </w:tc>
        <w:tc>
          <w:tcPr>
            <w:tcW w:w="20" w:type="dxa"/>
            <w:vAlign w:val="bottom"/>
          </w:tcPr>
          <w:p>
            <w:pPr>
              <w:spacing w:after="0"/>
              <w:rPr>
                <w:sz w:val="22"/>
                <w:szCs w:val="22"/>
                <w:color w:val="auto"/>
              </w:rPr>
            </w:pPr>
          </w:p>
        </w:tc>
        <w:tc>
          <w:tcPr>
            <w:tcW w:w="700" w:type="dxa"/>
            <w:vAlign w:val="bottom"/>
            <w:shd w:val="clear" w:color="auto" w:fill="E7E7E2"/>
          </w:tcPr>
          <w:p>
            <w:pPr>
              <w:ind w:left="20"/>
              <w:spacing w:after="0"/>
              <w:rPr>
                <w:sz w:val="20"/>
                <w:szCs w:val="20"/>
                <w:color w:val="auto"/>
              </w:rPr>
            </w:pPr>
            <w:r>
              <w:rPr>
                <w:rFonts w:ascii="Arial" w:cs="Arial" w:eastAsia="Arial" w:hAnsi="Arial"/>
                <w:sz w:val="17"/>
                <w:szCs w:val="17"/>
                <w:color w:val="auto"/>
              </w:rPr>
              <w:t>Debt</w:t>
            </w:r>
          </w:p>
        </w:tc>
        <w:tc>
          <w:tcPr>
            <w:tcW w:w="20" w:type="dxa"/>
            <w:vAlign w:val="bottom"/>
          </w:tcPr>
          <w:p>
            <w:pPr>
              <w:spacing w:after="0"/>
              <w:rPr>
                <w:sz w:val="22"/>
                <w:szCs w:val="22"/>
                <w:color w:val="auto"/>
              </w:rPr>
            </w:pPr>
          </w:p>
        </w:tc>
        <w:tc>
          <w:tcPr>
            <w:tcW w:w="680" w:type="dxa"/>
            <w:vAlign w:val="bottom"/>
            <w:shd w:val="clear" w:color="auto" w:fill="E7E7E2"/>
          </w:tcPr>
          <w:p>
            <w:pPr>
              <w:spacing w:after="0"/>
              <w:rPr>
                <w:sz w:val="20"/>
                <w:szCs w:val="20"/>
                <w:color w:val="auto"/>
              </w:rPr>
            </w:pPr>
            <w:r>
              <w:rPr>
                <w:rFonts w:ascii="Arial" w:cs="Arial" w:eastAsia="Arial" w:hAnsi="Arial"/>
                <w:sz w:val="17"/>
                <w:szCs w:val="17"/>
                <w:color w:val="auto"/>
              </w:rPr>
              <w:t>Notes</w:t>
            </w:r>
          </w:p>
        </w:tc>
        <w:tc>
          <w:tcPr>
            <w:tcW w:w="40" w:type="dxa"/>
            <w:vAlign w:val="bottom"/>
          </w:tcPr>
          <w:p>
            <w:pPr>
              <w:spacing w:after="0"/>
              <w:rPr>
                <w:sz w:val="22"/>
                <w:szCs w:val="22"/>
                <w:color w:val="auto"/>
              </w:rPr>
            </w:pPr>
          </w:p>
        </w:tc>
        <w:tc>
          <w:tcPr>
            <w:tcW w:w="920" w:type="dxa"/>
            <w:vAlign w:val="bottom"/>
            <w:shd w:val="clear" w:color="auto" w:fill="E7E7E2"/>
          </w:tcPr>
          <w:p>
            <w:pPr>
              <w:jc w:val="center"/>
              <w:spacing w:after="0"/>
              <w:rPr>
                <w:sz w:val="20"/>
                <w:szCs w:val="20"/>
                <w:color w:val="auto"/>
              </w:rPr>
            </w:pPr>
            <w:r>
              <w:rPr>
                <w:rFonts w:ascii="Arial" w:cs="Arial" w:eastAsia="Arial" w:hAnsi="Arial"/>
                <w:sz w:val="17"/>
                <w:szCs w:val="17"/>
                <w:color w:val="auto"/>
                <w:w w:val="97"/>
              </w:rPr>
              <w:t>457(a)</w:t>
            </w:r>
          </w:p>
        </w:tc>
        <w:tc>
          <w:tcPr>
            <w:tcW w:w="20" w:type="dxa"/>
            <w:vAlign w:val="bottom"/>
          </w:tcPr>
          <w:p>
            <w:pPr>
              <w:spacing w:after="0"/>
              <w:rPr>
                <w:sz w:val="22"/>
                <w:szCs w:val="22"/>
                <w:color w:val="auto"/>
              </w:rPr>
            </w:pPr>
          </w:p>
        </w:tc>
        <w:tc>
          <w:tcPr>
            <w:tcW w:w="960" w:type="dxa"/>
            <w:vAlign w:val="bottom"/>
            <w:shd w:val="clear" w:color="auto" w:fill="E7E7E2"/>
          </w:tcPr>
          <w:p>
            <w:pPr>
              <w:jc w:val="right"/>
              <w:spacing w:after="0"/>
              <w:rPr>
                <w:sz w:val="20"/>
                <w:szCs w:val="20"/>
                <w:color w:val="auto"/>
              </w:rPr>
            </w:pPr>
            <w:r>
              <w:rPr>
                <w:rFonts w:ascii="Arial" w:cs="Arial" w:eastAsia="Arial" w:hAnsi="Arial"/>
                <w:sz w:val="17"/>
                <w:szCs w:val="17"/>
                <w:color w:val="auto"/>
                <w:w w:val="97"/>
              </w:rPr>
              <w:t>120,000,000</w:t>
            </w:r>
          </w:p>
        </w:tc>
        <w:tc>
          <w:tcPr>
            <w:tcW w:w="20" w:type="dxa"/>
            <w:vAlign w:val="bottom"/>
          </w:tcPr>
          <w:p>
            <w:pPr>
              <w:spacing w:after="0"/>
              <w:rPr>
                <w:sz w:val="22"/>
                <w:szCs w:val="22"/>
                <w:color w:val="auto"/>
              </w:rPr>
            </w:pPr>
          </w:p>
        </w:tc>
        <w:tc>
          <w:tcPr>
            <w:tcW w:w="800" w:type="dxa"/>
            <w:vAlign w:val="bottom"/>
            <w:shd w:val="clear" w:color="auto" w:fill="E7E7E2"/>
          </w:tcPr>
          <w:p>
            <w:pPr>
              <w:spacing w:after="0"/>
              <w:rPr>
                <w:sz w:val="22"/>
                <w:szCs w:val="22"/>
                <w:color w:val="auto"/>
              </w:rPr>
            </w:pPr>
          </w:p>
        </w:tc>
        <w:tc>
          <w:tcPr>
            <w:tcW w:w="20" w:type="dxa"/>
            <w:vAlign w:val="bottom"/>
          </w:tcPr>
          <w:p>
            <w:pPr>
              <w:spacing w:after="0"/>
              <w:rPr>
                <w:sz w:val="22"/>
                <w:szCs w:val="22"/>
                <w:color w:val="auto"/>
              </w:rPr>
            </w:pPr>
          </w:p>
        </w:tc>
        <w:tc>
          <w:tcPr>
            <w:tcW w:w="1180" w:type="dxa"/>
            <w:vAlign w:val="bottom"/>
            <w:shd w:val="clear" w:color="auto" w:fill="E7E7E2"/>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22"/>
                <w:szCs w:val="22"/>
                <w:color w:val="auto"/>
              </w:rPr>
            </w:pPr>
          </w:p>
        </w:tc>
        <w:tc>
          <w:tcPr>
            <w:tcW w:w="820" w:type="dxa"/>
            <w:vAlign w:val="bottom"/>
            <w:shd w:val="clear" w:color="auto" w:fill="E7E7E2"/>
          </w:tcPr>
          <w:p>
            <w:pPr>
              <w:jc w:val="right"/>
              <w:spacing w:after="0"/>
              <w:rPr>
                <w:sz w:val="20"/>
                <w:szCs w:val="20"/>
                <w:color w:val="auto"/>
              </w:rPr>
            </w:pPr>
            <w:r>
              <w:rPr>
                <w:rFonts w:ascii="Arial" w:cs="Arial" w:eastAsia="Arial" w:hAnsi="Arial"/>
                <w:sz w:val="17"/>
                <w:szCs w:val="17"/>
                <w:color w:val="auto"/>
                <w:w w:val="99"/>
              </w:rPr>
              <w:t>0.0001381</w:t>
            </w:r>
          </w:p>
        </w:tc>
        <w:tc>
          <w:tcPr>
            <w:tcW w:w="20" w:type="dxa"/>
            <w:vAlign w:val="bottom"/>
          </w:tcPr>
          <w:p>
            <w:pPr>
              <w:spacing w:after="0"/>
              <w:rPr>
                <w:sz w:val="22"/>
                <w:szCs w:val="22"/>
                <w:color w:val="auto"/>
              </w:rPr>
            </w:pPr>
          </w:p>
        </w:tc>
        <w:tc>
          <w:tcPr>
            <w:tcW w:w="1000" w:type="dxa"/>
            <w:vAlign w:val="bottom"/>
            <w:shd w:val="clear" w:color="auto" w:fill="E7E7E2"/>
          </w:tcPr>
          <w:p>
            <w:pPr>
              <w:jc w:val="right"/>
              <w:spacing w:after="0"/>
              <w:rPr>
                <w:sz w:val="20"/>
                <w:szCs w:val="20"/>
                <w:color w:val="auto"/>
              </w:rPr>
            </w:pPr>
            <w:r>
              <w:rPr>
                <w:rFonts w:ascii="Arial" w:cs="Arial" w:eastAsia="Arial" w:hAnsi="Arial"/>
                <w:sz w:val="17"/>
                <w:szCs w:val="17"/>
                <w:color w:val="auto"/>
              </w:rPr>
              <w:t>$ 16,572.00</w:t>
            </w:r>
          </w:p>
        </w:tc>
        <w:tc>
          <w:tcPr>
            <w:tcW w:w="20" w:type="dxa"/>
            <w:vAlign w:val="bottom"/>
          </w:tcPr>
          <w:p>
            <w:pPr>
              <w:spacing w:after="0"/>
              <w:rPr>
                <w:sz w:val="22"/>
                <w:szCs w:val="22"/>
                <w:color w:val="auto"/>
              </w:rPr>
            </w:pPr>
          </w:p>
        </w:tc>
        <w:tc>
          <w:tcPr>
            <w:tcW w:w="700" w:type="dxa"/>
            <w:vAlign w:val="bottom"/>
            <w:shd w:val="clear" w:color="auto" w:fill="E7E7E2"/>
          </w:tcPr>
          <w:p>
            <w:pPr>
              <w:spacing w:after="0"/>
              <w:rPr>
                <w:sz w:val="22"/>
                <w:szCs w:val="22"/>
                <w:color w:val="auto"/>
              </w:rPr>
            </w:pPr>
          </w:p>
        </w:tc>
        <w:tc>
          <w:tcPr>
            <w:tcW w:w="20" w:type="dxa"/>
            <w:vAlign w:val="bottom"/>
          </w:tcPr>
          <w:p>
            <w:pPr>
              <w:spacing w:after="0"/>
              <w:rPr>
                <w:sz w:val="22"/>
                <w:szCs w:val="22"/>
                <w:color w:val="auto"/>
              </w:rPr>
            </w:pPr>
          </w:p>
        </w:tc>
        <w:tc>
          <w:tcPr>
            <w:tcW w:w="700" w:type="dxa"/>
            <w:vAlign w:val="bottom"/>
            <w:shd w:val="clear" w:color="auto" w:fill="E7E7E2"/>
          </w:tcPr>
          <w:p>
            <w:pPr>
              <w:spacing w:after="0"/>
              <w:rPr>
                <w:sz w:val="22"/>
                <w:szCs w:val="22"/>
                <w:color w:val="auto"/>
              </w:rPr>
            </w:pPr>
          </w:p>
        </w:tc>
        <w:tc>
          <w:tcPr>
            <w:tcW w:w="20" w:type="dxa"/>
            <w:vAlign w:val="bottom"/>
          </w:tcPr>
          <w:p>
            <w:pPr>
              <w:spacing w:after="0"/>
              <w:rPr>
                <w:sz w:val="22"/>
                <w:szCs w:val="22"/>
                <w:color w:val="auto"/>
              </w:rPr>
            </w:pPr>
          </w:p>
        </w:tc>
        <w:tc>
          <w:tcPr>
            <w:tcW w:w="720" w:type="dxa"/>
            <w:vAlign w:val="bottom"/>
            <w:shd w:val="clear" w:color="auto" w:fill="E7E7E2"/>
          </w:tcPr>
          <w:p>
            <w:pPr>
              <w:spacing w:after="0"/>
              <w:rPr>
                <w:sz w:val="22"/>
                <w:szCs w:val="22"/>
                <w:color w:val="auto"/>
              </w:rPr>
            </w:pPr>
          </w:p>
        </w:tc>
        <w:tc>
          <w:tcPr>
            <w:tcW w:w="20" w:type="dxa"/>
            <w:vAlign w:val="bottom"/>
          </w:tcPr>
          <w:p>
            <w:pPr>
              <w:spacing w:after="0"/>
              <w:rPr>
                <w:sz w:val="22"/>
                <w:szCs w:val="22"/>
                <w:color w:val="auto"/>
              </w:rPr>
            </w:pPr>
          </w:p>
        </w:tc>
        <w:tc>
          <w:tcPr>
            <w:tcW w:w="960" w:type="dxa"/>
            <w:vAlign w:val="bottom"/>
            <w:tcBorders>
              <w:right w:val="single" w:sz="8" w:color="auto"/>
            </w:tcBorders>
            <w:shd w:val="clear" w:color="auto" w:fill="E7E7E2"/>
          </w:tcPr>
          <w:p>
            <w:pPr>
              <w:spacing w:after="0"/>
              <w:rPr>
                <w:sz w:val="22"/>
                <w:szCs w:val="22"/>
                <w:color w:val="auto"/>
              </w:rPr>
            </w:pPr>
          </w:p>
        </w:tc>
        <w:tc>
          <w:tcPr>
            <w:tcW w:w="0" w:type="dxa"/>
            <w:vAlign w:val="bottom"/>
          </w:tcPr>
          <w:p>
            <w:pPr>
              <w:spacing w:after="0"/>
              <w:rPr>
                <w:sz w:val="1"/>
                <w:szCs w:val="1"/>
                <w:color w:val="auto"/>
              </w:rPr>
            </w:pPr>
          </w:p>
        </w:tc>
      </w:tr>
      <w:tr>
        <w:trPr>
          <w:trHeight w:val="115"/>
        </w:trPr>
        <w:tc>
          <w:tcPr>
            <w:tcW w:w="40" w:type="dxa"/>
            <w:vAlign w:val="bottom"/>
            <w:tcBorders>
              <w:left w:val="single" w:sz="8" w:color="auto"/>
            </w:tcBorders>
          </w:tcPr>
          <w:p>
            <w:pPr>
              <w:spacing w:after="0"/>
              <w:rPr>
                <w:sz w:val="10"/>
                <w:szCs w:val="10"/>
                <w:color w:val="auto"/>
              </w:rPr>
            </w:pPr>
          </w:p>
        </w:tc>
        <w:tc>
          <w:tcPr>
            <w:tcW w:w="800" w:type="dxa"/>
            <w:vAlign w:val="bottom"/>
            <w:shd w:val="clear" w:color="auto" w:fill="E7E7E2"/>
          </w:tcPr>
          <w:p>
            <w:pPr>
              <w:spacing w:after="0" w:line="115" w:lineRule="exact"/>
              <w:rPr>
                <w:sz w:val="20"/>
                <w:szCs w:val="20"/>
                <w:color w:val="auto"/>
              </w:rPr>
            </w:pPr>
            <w:r>
              <w:rPr>
                <w:rFonts w:ascii="Arial" w:cs="Arial" w:eastAsia="Arial" w:hAnsi="Arial"/>
                <w:sz w:val="13"/>
                <w:szCs w:val="13"/>
                <w:color w:val="auto"/>
              </w:rPr>
              <w:t>be Paid</w:t>
            </w:r>
          </w:p>
        </w:tc>
        <w:tc>
          <w:tcPr>
            <w:tcW w:w="20" w:type="dxa"/>
            <w:vAlign w:val="bottom"/>
          </w:tcPr>
          <w:p>
            <w:pPr>
              <w:spacing w:after="0"/>
              <w:rPr>
                <w:sz w:val="10"/>
                <w:szCs w:val="10"/>
                <w:color w:val="auto"/>
              </w:rPr>
            </w:pPr>
          </w:p>
        </w:tc>
        <w:tc>
          <w:tcPr>
            <w:tcW w:w="1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shd w:val="clear" w:color="auto" w:fill="E7E7E2"/>
          </w:tcPr>
          <w:p>
            <w:pPr>
              <w:spacing w:after="0" w:line="115" w:lineRule="exact"/>
              <w:rPr>
                <w:sz w:val="20"/>
                <w:szCs w:val="20"/>
                <w:color w:val="auto"/>
              </w:rPr>
            </w:pPr>
            <w:r>
              <w:rPr>
                <w:rFonts w:ascii="Arial" w:cs="Arial" w:eastAsia="Arial" w:hAnsi="Arial"/>
                <w:sz w:val="13"/>
                <w:szCs w:val="13"/>
                <w:color w:val="auto"/>
              </w:rPr>
              <w:t>due</w:t>
            </w:r>
          </w:p>
        </w:tc>
        <w:tc>
          <w:tcPr>
            <w:tcW w:w="40" w:type="dxa"/>
            <w:vAlign w:val="bottom"/>
          </w:tcPr>
          <w:p>
            <w:pPr>
              <w:spacing w:after="0"/>
              <w:rPr>
                <w:sz w:val="10"/>
                <w:szCs w:val="10"/>
                <w:color w:val="auto"/>
              </w:rPr>
            </w:pPr>
          </w:p>
        </w:tc>
        <w:tc>
          <w:tcPr>
            <w:tcW w:w="9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6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180" w:type="dxa"/>
            <w:vAlign w:val="bottom"/>
            <w:shd w:val="clear" w:color="auto" w:fill="E7E7E2"/>
          </w:tcPr>
          <w:p>
            <w:pPr>
              <w:jc w:val="right"/>
              <w:spacing w:after="0" w:line="115" w:lineRule="exact"/>
              <w:rPr>
                <w:sz w:val="20"/>
                <w:szCs w:val="20"/>
                <w:color w:val="auto"/>
              </w:rPr>
            </w:pPr>
            <w:r>
              <w:rPr>
                <w:rFonts w:ascii="Arial" w:cs="Arial" w:eastAsia="Arial" w:hAnsi="Arial"/>
                <w:sz w:val="13"/>
                <w:szCs w:val="13"/>
                <w:color w:val="auto"/>
              </w:rPr>
              <w:t>120,000,000.00</w:t>
            </w:r>
          </w:p>
        </w:tc>
        <w:tc>
          <w:tcPr>
            <w:tcW w:w="20" w:type="dxa"/>
            <w:vAlign w:val="bottom"/>
          </w:tcPr>
          <w:p>
            <w:pPr>
              <w:spacing w:after="0"/>
              <w:rPr>
                <w:sz w:val="10"/>
                <w:szCs w:val="10"/>
                <w:color w:val="auto"/>
              </w:rPr>
            </w:pPr>
          </w:p>
        </w:tc>
        <w:tc>
          <w:tcPr>
            <w:tcW w:w="8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0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60" w:type="dxa"/>
            <w:vAlign w:val="bottom"/>
            <w:tcBorders>
              <w:right w:val="single" w:sz="8" w:color="auto"/>
            </w:tcBorders>
            <w:shd w:val="clear" w:color="auto" w:fill="E7E7E2"/>
          </w:tcPr>
          <w:p>
            <w:pPr>
              <w:spacing w:after="0"/>
              <w:rPr>
                <w:sz w:val="10"/>
                <w:szCs w:val="10"/>
                <w:color w:val="auto"/>
              </w:rPr>
            </w:pPr>
          </w:p>
        </w:tc>
        <w:tc>
          <w:tcPr>
            <w:tcW w:w="0" w:type="dxa"/>
            <w:vAlign w:val="bottom"/>
          </w:tcPr>
          <w:p>
            <w:pPr>
              <w:spacing w:after="0"/>
              <w:rPr>
                <w:sz w:val="1"/>
                <w:szCs w:val="1"/>
                <w:color w:val="auto"/>
              </w:rPr>
            </w:pPr>
          </w:p>
        </w:tc>
      </w:tr>
      <w:tr>
        <w:trPr>
          <w:trHeight w:val="220"/>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20"/>
                <w:szCs w:val="20"/>
                <w:color w:val="auto"/>
              </w:rPr>
            </w:pPr>
            <w:r>
              <w:rPr>
                <w:rFonts w:ascii="Arial" w:cs="Arial" w:eastAsia="Arial" w:hAnsi="Arial"/>
                <w:sz w:val="17"/>
                <w:szCs w:val="17"/>
                <w:color w:val="auto"/>
              </w:rPr>
              <w:t>2029</w:t>
            </w:r>
          </w:p>
        </w:tc>
        <w:tc>
          <w:tcPr>
            <w:tcW w:w="40" w:type="dxa"/>
            <w:vAlign w:val="bottom"/>
          </w:tcPr>
          <w:p>
            <w:pPr>
              <w:spacing w:after="0"/>
              <w:rPr>
                <w:sz w:val="19"/>
                <w:szCs w:val="19"/>
                <w:color w:val="auto"/>
              </w:rPr>
            </w:pPr>
          </w:p>
        </w:tc>
        <w:tc>
          <w:tcPr>
            <w:tcW w:w="9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1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Borders>
              <w:right w:val="single" w:sz="8" w:color="auto"/>
            </w:tcBorders>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40" w:type="dxa"/>
            <w:vAlign w:val="bottom"/>
            <w:tcBorders>
              <w:left w:val="single" w:sz="8" w:color="auto"/>
            </w:tcBorders>
          </w:tcPr>
          <w:p>
            <w:pPr>
              <w:spacing w:after="0"/>
              <w:rPr>
                <w:sz w:val="15"/>
                <w:szCs w:val="15"/>
                <w:color w:val="auto"/>
              </w:rPr>
            </w:pPr>
          </w:p>
        </w:tc>
        <w:tc>
          <w:tcPr>
            <w:tcW w:w="800" w:type="dxa"/>
            <w:vAlign w:val="bottom"/>
            <w:shd w:val="clear" w:color="auto" w:fill="E7E7E2"/>
          </w:tcPr>
          <w:p>
            <w:pPr>
              <w:spacing w:after="0" w:line="178" w:lineRule="exact"/>
              <w:rPr>
                <w:sz w:val="20"/>
                <w:szCs w:val="20"/>
                <w:color w:val="auto"/>
              </w:rPr>
            </w:pPr>
            <w:r>
              <w:rPr>
                <w:rFonts w:ascii="Arial" w:cs="Arial" w:eastAsia="Arial" w:hAnsi="Arial"/>
                <w:sz w:val="17"/>
                <w:szCs w:val="17"/>
                <w:color w:val="auto"/>
              </w:rPr>
              <w:t>Fees</w:t>
            </w:r>
          </w:p>
        </w:tc>
        <w:tc>
          <w:tcPr>
            <w:tcW w:w="20" w:type="dxa"/>
            <w:vAlign w:val="bottom"/>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4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1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line="189" w:lineRule="exact"/>
              <w:rPr>
                <w:sz w:val="20"/>
                <w:szCs w:val="20"/>
                <w:color w:val="auto"/>
              </w:rPr>
            </w:pPr>
            <w:r>
              <w:rPr>
                <w:rFonts w:ascii="Arial" w:cs="Arial" w:eastAsia="Arial" w:hAnsi="Arial"/>
                <w:sz w:val="17"/>
                <w:szCs w:val="17"/>
                <w:color w:val="auto"/>
                <w:w w:val="99"/>
              </w:rPr>
              <w:t>Previously</w:t>
            </w:r>
          </w:p>
        </w:tc>
        <w:tc>
          <w:tcPr>
            <w:tcW w:w="20" w:type="dxa"/>
            <w:vAlign w:val="bottom"/>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E7E7E2"/>
          </w:tcPr>
          <w:p>
            <w:pPr>
              <w:spacing w:after="0"/>
              <w:rPr>
                <w:sz w:val="20"/>
                <w:szCs w:val="20"/>
                <w:color w:val="auto"/>
              </w:rPr>
            </w:pPr>
            <w:r>
              <w:rPr>
                <w:rFonts w:ascii="Arial" w:cs="Arial" w:eastAsia="Arial" w:hAnsi="Arial"/>
                <w:sz w:val="17"/>
                <w:szCs w:val="17"/>
                <w:color w:val="auto"/>
              </w:rPr>
              <w:t>Paid</w:t>
            </w:r>
          </w:p>
        </w:tc>
        <w:tc>
          <w:tcPr>
            <w:tcW w:w="20" w:type="dxa"/>
            <w:vAlign w:val="bottom"/>
          </w:tcPr>
          <w:p>
            <w:pPr>
              <w:spacing w:after="0"/>
              <w:rPr>
                <w:sz w:val="19"/>
                <w:szCs w:val="19"/>
                <w:color w:val="auto"/>
              </w:rPr>
            </w:pPr>
          </w:p>
        </w:tc>
        <w:tc>
          <w:tcPr>
            <w:tcW w:w="1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9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1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Borders>
              <w:right w:val="single" w:sz="8" w:color="auto"/>
            </w:tcBorders>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40" w:type="dxa"/>
            <w:vAlign w:val="bottom"/>
            <w:tcBorders>
              <w:left w:val="single" w:sz="8" w:color="auto"/>
            </w:tcBorders>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900" w:type="dxa"/>
            <w:vAlign w:val="bottom"/>
            <w:gridSpan w:val="3"/>
          </w:tcPr>
          <w:p>
            <w:pPr>
              <w:jc w:val="right"/>
              <w:spacing w:after="0"/>
              <w:rPr>
                <w:sz w:val="20"/>
                <w:szCs w:val="20"/>
                <w:color w:val="auto"/>
              </w:rPr>
            </w:pPr>
            <w:r>
              <w:rPr>
                <w:rFonts w:ascii="Arial" w:cs="Arial" w:eastAsia="Arial" w:hAnsi="Arial"/>
                <w:sz w:val="17"/>
                <w:szCs w:val="17"/>
                <w:color w:val="auto"/>
              </w:rPr>
              <w:t>Total Offering Amounts:</w:t>
            </w: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$ 16,572.00</w:t>
            </w: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40" w:type="dxa"/>
            <w:vAlign w:val="bottom"/>
            <w:tcBorders>
              <w:left w:val="single" w:sz="8" w:color="auto"/>
            </w:tcBorders>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0" w:type="dxa"/>
            <w:vAlign w:val="bottom"/>
            <w:gridSpan w:val="2"/>
          </w:tcPr>
          <w:p>
            <w:pPr>
              <w:jc w:val="right"/>
              <w:spacing w:after="0"/>
              <w:rPr>
                <w:sz w:val="20"/>
                <w:szCs w:val="20"/>
                <w:color w:val="auto"/>
              </w:rPr>
            </w:pPr>
            <w:r>
              <w:rPr>
                <w:rFonts w:ascii="Arial" w:cs="Arial" w:eastAsia="Arial" w:hAnsi="Arial"/>
                <w:sz w:val="17"/>
                <w:szCs w:val="17"/>
                <w:color w:val="auto"/>
                <w:w w:val="99"/>
              </w:rPr>
              <w:t>120,000,000.00</w:t>
            </w:r>
          </w:p>
        </w:tc>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Borders>
              <w:left w:val="single" w:sz="8" w:color="auto"/>
            </w:tcBorders>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20" w:type="dxa"/>
            <w:vAlign w:val="bottom"/>
            <w:gridSpan w:val="5"/>
          </w:tcPr>
          <w:p>
            <w:pPr>
              <w:jc w:val="right"/>
              <w:spacing w:after="0"/>
              <w:rPr>
                <w:sz w:val="20"/>
                <w:szCs w:val="20"/>
                <w:color w:val="auto"/>
              </w:rPr>
            </w:pPr>
            <w:r>
              <w:rPr>
                <w:rFonts w:ascii="Arial" w:cs="Arial" w:eastAsia="Arial" w:hAnsi="Arial"/>
                <w:sz w:val="17"/>
                <w:szCs w:val="17"/>
                <w:color w:val="auto"/>
              </w:rPr>
              <w:t>Total Fees Previously Paid:</w:t>
            </w: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$ 0.00</w:t>
            </w: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0" w:type="dxa"/>
            <w:vAlign w:val="bottom"/>
            <w:tcBorders>
              <w:left w:val="single" w:sz="8" w:color="auto"/>
            </w:tcBorders>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900" w:type="dxa"/>
            <w:vAlign w:val="bottom"/>
            <w:gridSpan w:val="3"/>
          </w:tcPr>
          <w:p>
            <w:pPr>
              <w:jc w:val="right"/>
              <w:spacing w:after="0"/>
              <w:rPr>
                <w:sz w:val="20"/>
                <w:szCs w:val="20"/>
                <w:color w:val="auto"/>
              </w:rPr>
            </w:pPr>
            <w:r>
              <w:rPr>
                <w:rFonts w:ascii="Arial" w:cs="Arial" w:eastAsia="Arial" w:hAnsi="Arial"/>
                <w:sz w:val="17"/>
                <w:szCs w:val="17"/>
                <w:color w:val="auto"/>
              </w:rPr>
              <w:t>Total Fee Offsets:</w:t>
            </w: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$ 0.00</w:t>
            </w: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40" w:type="dxa"/>
            <w:vAlign w:val="bottom"/>
            <w:tcBorders>
              <w:left w:val="single" w:sz="8" w:color="auto"/>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90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color w:val="auto"/>
              </w:rPr>
              <w:t>Net Fee Due:</w:t>
            </w:r>
          </w:p>
        </w:tc>
        <w:tc>
          <w:tcPr>
            <w:tcW w:w="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$ 16,572.00</w:t>
            </w:r>
          </w:p>
        </w:tc>
        <w:tc>
          <w:tcPr>
            <w:tcW w:w="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9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Offering Note</w:t>
      </w:r>
    </w:p>
    <w:p>
      <w:pPr>
        <w:spacing w:after="0" w:line="88" w:lineRule="exact"/>
        <w:rPr>
          <w:sz w:val="20"/>
          <w:szCs w:val="20"/>
          <w:color w:val="auto"/>
        </w:rPr>
      </w:pPr>
    </w:p>
    <w:p>
      <w:pPr>
        <w:ind w:left="220" w:hanging="185"/>
        <w:spacing w:after="0"/>
        <w:tabs>
          <w:tab w:leader="none" w:pos="220" w:val="left"/>
        </w:tabs>
        <w:numPr>
          <w:ilvl w:val="0"/>
          <w:numId w:val="69"/>
        </w:numPr>
        <w:rPr>
          <w:rFonts w:ascii="Arial" w:cs="Arial" w:eastAsia="Arial" w:hAnsi="Arial"/>
          <w:sz w:val="21"/>
          <w:szCs w:val="21"/>
          <w:color w:val="auto"/>
          <w:vertAlign w:val="superscript"/>
        </w:rPr>
      </w:pPr>
      <w:r>
        <w:rPr>
          <w:rFonts w:ascii="Arial" w:cs="Arial" w:eastAsia="Arial" w:hAnsi="Arial"/>
          <w:sz w:val="17"/>
          <w:szCs w:val="17"/>
          <w:color w:val="auto"/>
        </w:rPr>
        <w:t>Rule 457(f) Fee Calculation Details</w:t>
      </w:r>
    </w:p>
    <w:p>
      <w:pPr>
        <w:spacing w:after="0" w:line="155" w:lineRule="exact"/>
        <w:rPr>
          <w:sz w:val="20"/>
          <w:szCs w:val="20"/>
          <w:color w:val="auto"/>
        </w:rPr>
      </w:pPr>
    </w:p>
    <w:p>
      <w:pPr>
        <w:ind w:left="220" w:right="140"/>
        <w:spacing w:after="0" w:line="263" w:lineRule="auto"/>
        <w:rPr>
          <w:sz w:val="20"/>
          <w:szCs w:val="20"/>
          <w:color w:val="auto"/>
        </w:rPr>
      </w:pPr>
      <w:r>
        <w:rPr>
          <w:rFonts w:ascii="Arial" w:cs="Arial" w:eastAsia="Arial" w:hAnsi="Arial"/>
          <w:sz w:val="17"/>
          <w:szCs w:val="17"/>
          <w:color w:val="auto"/>
        </w:rPr>
        <w:t>Estimated solely for the purpose of calculating the registration fee required by Section 6(b) of the Securities Act of 1933, as amended (the "Securities Act") and computed pursuant to Rule 457(a) and 457(f)(2) of the Securities Act.</w:t>
      </w:r>
    </w:p>
    <w:p>
      <w:pPr>
        <w:spacing w:after="0" w:line="77" w:lineRule="exact"/>
        <w:rPr>
          <w:sz w:val="20"/>
          <w:szCs w:val="20"/>
          <w:color w:val="auto"/>
        </w:rPr>
      </w:pPr>
    </w:p>
    <w:tbl>
      <w:tblPr>
        <w:tblLayout w:type="fixed"/>
        <w:tblInd w:w="10" w:type="dxa"/>
        <w:tblCellMar>
          <w:top w:w="0" w:type="dxa"/>
          <w:left w:w="0" w:type="dxa"/>
          <w:bottom w:w="0" w:type="dxa"/>
          <w:right w:w="0" w:type="dxa"/>
        </w:tblCellMar>
      </w:tblPr>
      <w:tr>
        <w:trPr>
          <w:trHeight w:val="195"/>
        </w:trPr>
        <w:tc>
          <w:tcPr>
            <w:tcW w:w="40" w:type="dxa"/>
            <w:vAlign w:val="bottom"/>
          </w:tcPr>
          <w:p>
            <w:pPr>
              <w:spacing w:after="0"/>
              <w:rPr>
                <w:sz w:val="16"/>
                <w:szCs w:val="16"/>
                <w:color w:val="auto"/>
              </w:rPr>
            </w:pPr>
          </w:p>
        </w:tc>
        <w:tc>
          <w:tcPr>
            <w:tcW w:w="2020" w:type="dxa"/>
            <w:vAlign w:val="bottom"/>
            <w:gridSpan w:val="7"/>
          </w:tcPr>
          <w:p>
            <w:pPr>
              <w:jc w:val="center"/>
              <w:ind w:left="136"/>
              <w:spacing w:after="0"/>
              <w:rPr>
                <w:sz w:val="20"/>
                <w:szCs w:val="20"/>
                <w:color w:val="auto"/>
              </w:rPr>
            </w:pPr>
            <w:r>
              <w:rPr>
                <w:rFonts w:ascii="Arial" w:cs="Arial" w:eastAsia="Arial" w:hAnsi="Arial"/>
                <w:sz w:val="17"/>
                <w:szCs w:val="17"/>
                <w:b w:val="1"/>
                <w:bCs w:val="1"/>
                <w:color w:val="auto"/>
                <w:w w:val="98"/>
              </w:rPr>
              <w:t>Amount of Securities</w:t>
            </w:r>
          </w:p>
        </w:tc>
        <w:tc>
          <w:tcPr>
            <w:tcW w:w="20" w:type="dxa"/>
            <w:vAlign w:val="bottom"/>
          </w:tcPr>
          <w:p>
            <w:pPr>
              <w:spacing w:after="0"/>
              <w:rPr>
                <w:sz w:val="16"/>
                <w:szCs w:val="16"/>
                <w:color w:val="auto"/>
              </w:rPr>
            </w:pPr>
          </w:p>
        </w:tc>
        <w:tc>
          <w:tcPr>
            <w:tcW w:w="1920" w:type="dxa"/>
            <w:vAlign w:val="bottom"/>
            <w:gridSpan w:val="4"/>
          </w:tcPr>
          <w:p>
            <w:pPr>
              <w:jc w:val="center"/>
              <w:ind w:left="296"/>
              <w:spacing w:after="0"/>
              <w:rPr>
                <w:sz w:val="20"/>
                <w:szCs w:val="20"/>
                <w:color w:val="auto"/>
              </w:rPr>
            </w:pPr>
            <w:r>
              <w:rPr>
                <w:rFonts w:ascii="Arial" w:cs="Arial" w:eastAsia="Arial" w:hAnsi="Arial"/>
                <w:sz w:val="17"/>
                <w:szCs w:val="17"/>
                <w:b w:val="1"/>
                <w:bCs w:val="1"/>
                <w:color w:val="auto"/>
                <w:w w:val="97"/>
              </w:rPr>
              <w:t>Value per Share of</w:t>
            </w:r>
          </w:p>
        </w:tc>
        <w:tc>
          <w:tcPr>
            <w:tcW w:w="20" w:type="dxa"/>
            <w:vAlign w:val="bottom"/>
          </w:tcPr>
          <w:p>
            <w:pPr>
              <w:spacing w:after="0"/>
              <w:rPr>
                <w:sz w:val="16"/>
                <w:szCs w:val="16"/>
                <w:color w:val="auto"/>
              </w:rPr>
            </w:pPr>
          </w:p>
        </w:tc>
        <w:tc>
          <w:tcPr>
            <w:tcW w:w="5800" w:type="dxa"/>
            <w:vAlign w:val="bottom"/>
            <w:gridSpan w:val="25"/>
          </w:tcPr>
          <w:p>
            <w:pPr>
              <w:ind w:left="380"/>
              <w:spacing w:after="0"/>
              <w:rPr>
                <w:sz w:val="20"/>
                <w:szCs w:val="20"/>
                <w:color w:val="auto"/>
              </w:rPr>
            </w:pPr>
            <w:r>
              <w:rPr>
                <w:rFonts w:ascii="Arial" w:cs="Arial" w:eastAsia="Arial" w:hAnsi="Arial"/>
                <w:sz w:val="17"/>
                <w:szCs w:val="17"/>
                <w:b w:val="1"/>
                <w:bCs w:val="1"/>
                <w:color w:val="auto"/>
              </w:rPr>
              <w:t>Total Value of Securities  Cash Consideration  Cash Consideration</w:t>
            </w:r>
          </w:p>
        </w:tc>
        <w:tc>
          <w:tcPr>
            <w:tcW w:w="1460" w:type="dxa"/>
            <w:vAlign w:val="bottom"/>
            <w:gridSpan w:val="6"/>
          </w:tcPr>
          <w:p>
            <w:pPr>
              <w:jc w:val="center"/>
              <w:spacing w:after="0"/>
              <w:rPr>
                <w:sz w:val="20"/>
                <w:szCs w:val="20"/>
                <w:color w:val="auto"/>
              </w:rPr>
            </w:pPr>
            <w:r>
              <w:rPr>
                <w:rFonts w:ascii="Arial" w:cs="Arial" w:eastAsia="Arial" w:hAnsi="Arial"/>
                <w:sz w:val="17"/>
                <w:szCs w:val="17"/>
                <w:b w:val="1"/>
                <w:bCs w:val="1"/>
                <w:color w:val="auto"/>
                <w:w w:val="96"/>
              </w:rPr>
              <w:t>Maximum</w:t>
            </w: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2020" w:type="dxa"/>
            <w:vAlign w:val="bottom"/>
            <w:gridSpan w:val="7"/>
          </w:tcPr>
          <w:p>
            <w:pPr>
              <w:jc w:val="center"/>
              <w:ind w:left="136"/>
              <w:spacing w:after="0" w:line="189" w:lineRule="exact"/>
              <w:rPr>
                <w:sz w:val="20"/>
                <w:szCs w:val="20"/>
                <w:color w:val="auto"/>
              </w:rPr>
            </w:pPr>
            <w:r>
              <w:rPr>
                <w:rFonts w:ascii="Arial" w:cs="Arial" w:eastAsia="Arial" w:hAnsi="Arial"/>
                <w:sz w:val="17"/>
                <w:szCs w:val="17"/>
                <w:b w:val="1"/>
                <w:bCs w:val="1"/>
                <w:color w:val="auto"/>
                <w:w w:val="98"/>
              </w:rPr>
              <w:t>to be Received or</w:t>
            </w:r>
          </w:p>
        </w:tc>
        <w:tc>
          <w:tcPr>
            <w:tcW w:w="20" w:type="dxa"/>
            <w:vAlign w:val="bottom"/>
          </w:tcPr>
          <w:p>
            <w:pPr>
              <w:spacing w:after="0"/>
              <w:rPr>
                <w:sz w:val="16"/>
                <w:szCs w:val="16"/>
                <w:color w:val="auto"/>
              </w:rPr>
            </w:pPr>
          </w:p>
        </w:tc>
        <w:tc>
          <w:tcPr>
            <w:tcW w:w="2480" w:type="dxa"/>
            <w:vAlign w:val="bottom"/>
            <w:gridSpan w:val="6"/>
          </w:tcPr>
          <w:p>
            <w:pPr>
              <w:jc w:val="center"/>
              <w:ind w:right="96"/>
              <w:spacing w:after="0" w:line="189" w:lineRule="exact"/>
              <w:rPr>
                <w:sz w:val="20"/>
                <w:szCs w:val="20"/>
                <w:color w:val="auto"/>
              </w:rPr>
            </w:pPr>
            <w:r>
              <w:rPr>
                <w:rFonts w:ascii="Arial" w:cs="Arial" w:eastAsia="Arial" w:hAnsi="Arial"/>
                <w:sz w:val="17"/>
                <w:szCs w:val="17"/>
                <w:b w:val="1"/>
                <w:bCs w:val="1"/>
                <w:color w:val="auto"/>
                <w:w w:val="98"/>
              </w:rPr>
              <w:t>Securities to be Received</w:t>
            </w:r>
          </w:p>
        </w:tc>
        <w:tc>
          <w:tcPr>
            <w:tcW w:w="1580" w:type="dxa"/>
            <w:vAlign w:val="bottom"/>
            <w:gridSpan w:val="9"/>
          </w:tcPr>
          <w:p>
            <w:pPr>
              <w:jc w:val="center"/>
              <w:spacing w:after="0" w:line="189" w:lineRule="exact"/>
              <w:rPr>
                <w:sz w:val="20"/>
                <w:szCs w:val="20"/>
                <w:color w:val="auto"/>
              </w:rPr>
            </w:pPr>
            <w:r>
              <w:rPr>
                <w:rFonts w:ascii="Arial" w:cs="Arial" w:eastAsia="Arial" w:hAnsi="Arial"/>
                <w:sz w:val="17"/>
                <w:szCs w:val="17"/>
                <w:b w:val="1"/>
                <w:bCs w:val="1"/>
                <w:color w:val="auto"/>
                <w:w w:val="98"/>
              </w:rPr>
              <w:t>to be Received or</w:t>
            </w: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20" w:type="dxa"/>
            <w:vAlign w:val="bottom"/>
            <w:gridSpan w:val="5"/>
          </w:tcPr>
          <w:p>
            <w:pPr>
              <w:jc w:val="center"/>
              <w:ind w:right="380"/>
              <w:spacing w:after="0" w:line="189" w:lineRule="exact"/>
              <w:rPr>
                <w:sz w:val="20"/>
                <w:szCs w:val="20"/>
                <w:color w:val="auto"/>
              </w:rPr>
            </w:pPr>
            <w:r>
              <w:rPr>
                <w:rFonts w:ascii="Arial" w:cs="Arial" w:eastAsia="Arial" w:hAnsi="Arial"/>
                <w:sz w:val="17"/>
                <w:szCs w:val="17"/>
                <w:b w:val="1"/>
                <w:bCs w:val="1"/>
                <w:color w:val="auto"/>
                <w:w w:val="98"/>
              </w:rPr>
              <w:t>Received by the</w:t>
            </w:r>
          </w:p>
        </w:tc>
        <w:tc>
          <w:tcPr>
            <w:tcW w:w="1040" w:type="dxa"/>
            <w:vAlign w:val="bottom"/>
            <w:gridSpan w:val="6"/>
          </w:tcPr>
          <w:p>
            <w:pPr>
              <w:spacing w:after="0" w:line="189" w:lineRule="exact"/>
              <w:rPr>
                <w:sz w:val="20"/>
                <w:szCs w:val="20"/>
                <w:color w:val="auto"/>
              </w:rPr>
            </w:pPr>
            <w:r>
              <w:rPr>
                <w:rFonts w:ascii="Arial" w:cs="Arial" w:eastAsia="Arial" w:hAnsi="Arial"/>
                <w:sz w:val="17"/>
                <w:szCs w:val="17"/>
                <w:b w:val="1"/>
                <w:bCs w:val="1"/>
                <w:color w:val="auto"/>
                <w:w w:val="99"/>
              </w:rPr>
              <w:t>(Paid) by the</w:t>
            </w: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60" w:type="dxa"/>
            <w:vAlign w:val="bottom"/>
            <w:gridSpan w:val="6"/>
          </w:tcPr>
          <w:p>
            <w:pPr>
              <w:jc w:val="center"/>
              <w:spacing w:after="0" w:line="189" w:lineRule="exact"/>
              <w:rPr>
                <w:sz w:val="20"/>
                <w:szCs w:val="20"/>
                <w:color w:val="auto"/>
              </w:rPr>
            </w:pPr>
            <w:r>
              <w:rPr>
                <w:rFonts w:ascii="Arial" w:cs="Arial" w:eastAsia="Arial" w:hAnsi="Arial"/>
                <w:sz w:val="17"/>
                <w:szCs w:val="17"/>
                <w:b w:val="1"/>
                <w:bCs w:val="1"/>
                <w:color w:val="auto"/>
                <w:w w:val="99"/>
              </w:rPr>
              <w:t>Aggregate</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60" w:type="dxa"/>
            <w:vAlign w:val="bottom"/>
            <w:gridSpan w:val="5"/>
          </w:tcPr>
          <w:p>
            <w:pPr>
              <w:jc w:val="center"/>
              <w:ind w:right="156"/>
              <w:spacing w:after="0"/>
              <w:rPr>
                <w:sz w:val="20"/>
                <w:szCs w:val="20"/>
                <w:color w:val="auto"/>
              </w:rPr>
            </w:pPr>
            <w:r>
              <w:rPr>
                <w:rFonts w:ascii="Arial" w:cs="Arial" w:eastAsia="Arial" w:hAnsi="Arial"/>
                <w:sz w:val="17"/>
                <w:szCs w:val="17"/>
                <w:b w:val="1"/>
                <w:bCs w:val="1"/>
                <w:color w:val="auto"/>
                <w:w w:val="99"/>
              </w:rPr>
              <w:t>Cancelled</w:t>
            </w:r>
          </w:p>
        </w:tc>
        <w:tc>
          <w:tcPr>
            <w:tcW w:w="20" w:type="dxa"/>
            <w:vAlign w:val="bottom"/>
          </w:tcPr>
          <w:p>
            <w:pPr>
              <w:spacing w:after="0"/>
              <w:rPr>
                <w:sz w:val="19"/>
                <w:szCs w:val="19"/>
                <w:color w:val="auto"/>
              </w:rPr>
            </w:pPr>
          </w:p>
        </w:tc>
        <w:tc>
          <w:tcPr>
            <w:tcW w:w="1920" w:type="dxa"/>
            <w:vAlign w:val="bottom"/>
            <w:gridSpan w:val="4"/>
          </w:tcPr>
          <w:p>
            <w:pPr>
              <w:jc w:val="center"/>
              <w:ind w:left="276"/>
              <w:spacing w:after="0"/>
              <w:rPr>
                <w:sz w:val="20"/>
                <w:szCs w:val="20"/>
                <w:color w:val="auto"/>
              </w:rPr>
            </w:pPr>
            <w:r>
              <w:rPr>
                <w:rFonts w:ascii="Arial" w:cs="Arial" w:eastAsia="Arial" w:hAnsi="Arial"/>
                <w:sz w:val="17"/>
                <w:szCs w:val="17"/>
                <w:b w:val="1"/>
                <w:bCs w:val="1"/>
                <w:color w:val="auto"/>
                <w:w w:val="97"/>
              </w:rPr>
              <w:t>or Cancelled</w:t>
            </w: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40" w:type="dxa"/>
            <w:vAlign w:val="bottom"/>
            <w:gridSpan w:val="5"/>
          </w:tcPr>
          <w:p>
            <w:pPr>
              <w:jc w:val="center"/>
              <w:ind w:right="236"/>
              <w:spacing w:after="0"/>
              <w:rPr>
                <w:sz w:val="20"/>
                <w:szCs w:val="20"/>
                <w:color w:val="auto"/>
              </w:rPr>
            </w:pPr>
            <w:r>
              <w:rPr>
                <w:rFonts w:ascii="Arial" w:cs="Arial" w:eastAsia="Arial" w:hAnsi="Arial"/>
                <w:sz w:val="17"/>
                <w:szCs w:val="17"/>
                <w:b w:val="1"/>
                <w:bCs w:val="1"/>
                <w:color w:val="auto"/>
                <w:w w:val="99"/>
              </w:rPr>
              <w:t>Cancelled</w:t>
            </w: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tcPr>
          <w:p>
            <w:pPr>
              <w:jc w:val="center"/>
              <w:ind w:left="39"/>
              <w:spacing w:after="0"/>
              <w:rPr>
                <w:sz w:val="20"/>
                <w:szCs w:val="20"/>
                <w:color w:val="auto"/>
              </w:rPr>
            </w:pPr>
            <w:r>
              <w:rPr>
                <w:rFonts w:ascii="Arial" w:cs="Arial" w:eastAsia="Arial" w:hAnsi="Arial"/>
                <w:sz w:val="17"/>
                <w:szCs w:val="17"/>
                <w:b w:val="1"/>
                <w:bCs w:val="1"/>
                <w:color w:val="auto"/>
                <w:w w:val="96"/>
              </w:rPr>
              <w:t>registrant</w:t>
            </w:r>
          </w:p>
        </w:tc>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gridSpan w:val="4"/>
          </w:tcPr>
          <w:p>
            <w:pPr>
              <w:ind w:left="20"/>
              <w:spacing w:after="0"/>
              <w:rPr>
                <w:sz w:val="20"/>
                <w:szCs w:val="20"/>
                <w:color w:val="auto"/>
              </w:rPr>
            </w:pPr>
            <w:r>
              <w:rPr>
                <w:rFonts w:ascii="Arial" w:cs="Arial" w:eastAsia="Arial" w:hAnsi="Arial"/>
                <w:sz w:val="17"/>
                <w:szCs w:val="17"/>
                <w:b w:val="1"/>
                <w:bCs w:val="1"/>
                <w:color w:val="auto"/>
              </w:rPr>
              <w:t>registrant</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gridSpan w:val="6"/>
          </w:tcPr>
          <w:p>
            <w:pPr>
              <w:jc w:val="center"/>
              <w:spacing w:after="0"/>
              <w:rPr>
                <w:sz w:val="20"/>
                <w:szCs w:val="20"/>
                <w:color w:val="auto"/>
              </w:rPr>
            </w:pPr>
            <w:r>
              <w:rPr>
                <w:rFonts w:ascii="Arial" w:cs="Arial" w:eastAsia="Arial" w:hAnsi="Arial"/>
                <w:sz w:val="17"/>
                <w:szCs w:val="17"/>
                <w:b w:val="1"/>
                <w:bCs w:val="1"/>
                <w:color w:val="auto"/>
                <w:w w:val="99"/>
              </w:rPr>
              <w:t>Offering Price</w:t>
            </w:r>
          </w:p>
        </w:tc>
        <w:tc>
          <w:tcPr>
            <w:tcW w:w="0" w:type="dxa"/>
            <w:vAlign w:val="bottom"/>
          </w:tcPr>
          <w:p>
            <w:pPr>
              <w:spacing w:after="0"/>
              <w:rPr>
                <w:sz w:val="1"/>
                <w:szCs w:val="1"/>
                <w:color w:val="auto"/>
              </w:rPr>
            </w:pPr>
          </w:p>
        </w:tc>
      </w:tr>
      <w:tr>
        <w:trPr>
          <w:trHeight w:val="222"/>
        </w:trPr>
        <w:tc>
          <w:tcPr>
            <w:tcW w:w="40" w:type="dxa"/>
            <w:vAlign w:val="bottom"/>
          </w:tcPr>
          <w:p>
            <w:pPr>
              <w:spacing w:after="0"/>
              <w:rPr>
                <w:sz w:val="19"/>
                <w:szCs w:val="19"/>
                <w:color w:val="auto"/>
              </w:rPr>
            </w:pPr>
          </w:p>
        </w:tc>
        <w:tc>
          <w:tcPr>
            <w:tcW w:w="1720" w:type="dxa"/>
            <w:vAlign w:val="bottom"/>
            <w:gridSpan w:val="5"/>
          </w:tcPr>
          <w:p>
            <w:pPr>
              <w:jc w:val="center"/>
              <w:ind w:left="416"/>
              <w:spacing w:after="0"/>
              <w:rPr>
                <w:sz w:val="20"/>
                <w:szCs w:val="20"/>
                <w:color w:val="auto"/>
              </w:rPr>
            </w:pPr>
            <w:r>
              <w:rPr>
                <w:rFonts w:ascii="Arial" w:cs="Arial" w:eastAsia="Arial" w:hAnsi="Arial"/>
                <w:sz w:val="17"/>
                <w:szCs w:val="17"/>
                <w:color w:val="auto"/>
                <w:w w:val="99"/>
              </w:rPr>
              <w:t>120,000,000</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0" w:type="dxa"/>
            <w:vAlign w:val="bottom"/>
            <w:gridSpan w:val="4"/>
          </w:tcPr>
          <w:p>
            <w:pPr>
              <w:jc w:val="center"/>
              <w:ind w:left="856"/>
              <w:spacing w:after="0"/>
              <w:rPr>
                <w:sz w:val="20"/>
                <w:szCs w:val="20"/>
                <w:color w:val="auto"/>
              </w:rPr>
            </w:pPr>
            <w:r>
              <w:rPr>
                <w:rFonts w:ascii="Arial" w:cs="Arial" w:eastAsia="Arial" w:hAnsi="Arial"/>
                <w:sz w:val="17"/>
                <w:szCs w:val="17"/>
                <w:color w:val="auto"/>
                <w:w w:val="97"/>
              </w:rPr>
              <w:t>$ 1.00</w:t>
            </w: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gridSpan w:val="6"/>
          </w:tcPr>
          <w:p>
            <w:pPr>
              <w:jc w:val="center"/>
              <w:spacing w:after="0"/>
              <w:rPr>
                <w:sz w:val="20"/>
                <w:szCs w:val="20"/>
                <w:color w:val="auto"/>
              </w:rPr>
            </w:pPr>
            <w:r>
              <w:rPr>
                <w:rFonts w:ascii="Arial" w:cs="Arial" w:eastAsia="Arial" w:hAnsi="Arial"/>
                <w:sz w:val="17"/>
                <w:szCs w:val="17"/>
                <w:color w:val="auto"/>
                <w:w w:val="93"/>
              </w:rPr>
              <w:t>$ 120,000,000.00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gridSpan w:val="5"/>
          </w:tcPr>
          <w:p>
            <w:pPr>
              <w:jc w:val="center"/>
              <w:spacing w:after="0"/>
              <w:rPr>
                <w:sz w:val="20"/>
                <w:szCs w:val="20"/>
                <w:color w:val="auto"/>
              </w:rPr>
            </w:pPr>
            <w:r>
              <w:rPr>
                <w:rFonts w:ascii="Arial" w:cs="Arial" w:eastAsia="Arial" w:hAnsi="Arial"/>
                <w:sz w:val="17"/>
                <w:szCs w:val="17"/>
                <w:color w:val="auto"/>
                <w:w w:val="98"/>
              </w:rPr>
              <w:t>$ 120,000,000.00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gridSpan w:val="2"/>
          </w:tcPr>
          <w:p>
            <w:pPr>
              <w:spacing w:after="0"/>
              <w:rPr>
                <w:sz w:val="9"/>
                <w:szCs w:val="9"/>
                <w:color w:val="auto"/>
              </w:rPr>
            </w:pPr>
          </w:p>
        </w:tc>
        <w:tc>
          <w:tcPr>
            <w:tcW w:w="12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gridSpan w:val="2"/>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r>
        <w:trPr>
          <w:trHeight w:val="581"/>
        </w:trPr>
        <w:tc>
          <w:tcPr>
            <w:tcW w:w="4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gridSpan w:val="11"/>
          </w:tcPr>
          <w:p>
            <w:pPr>
              <w:spacing w:after="0"/>
              <w:rPr>
                <w:sz w:val="20"/>
                <w:szCs w:val="20"/>
                <w:color w:val="auto"/>
              </w:rPr>
            </w:pPr>
            <w:r>
              <w:rPr>
                <w:rFonts w:ascii="Arial" w:cs="Arial" w:eastAsia="Arial" w:hAnsi="Arial"/>
                <w:sz w:val="17"/>
                <w:szCs w:val="17"/>
                <w:b w:val="1"/>
                <w:bCs w:val="1"/>
                <w:color w:val="auto"/>
              </w:rPr>
              <w:t>Table 2: Fee Offset Claims and Sources</w:t>
            </w:r>
          </w:p>
        </w:tc>
        <w:tc>
          <w:tcPr>
            <w:tcW w:w="5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6"/>
          </w:tcPr>
          <w:p>
            <w:pPr>
              <w:ind w:left="120"/>
              <w:spacing w:after="0" w:line="196" w:lineRule="exact"/>
              <w:rPr>
                <w:sz w:val="20"/>
                <w:szCs w:val="20"/>
                <w:color w:val="auto"/>
              </w:rPr>
            </w:pPr>
            <w:r>
              <w:rPr>
                <w:rFonts w:ascii="MS PGothic" w:cs="MS PGothic" w:eastAsia="MS PGothic" w:hAnsi="MS PGothic"/>
                <w:sz w:val="17"/>
                <w:szCs w:val="17"/>
                <w:color w:val="auto"/>
                <w:highlight w:val="black"/>
                <w:w w:val="95"/>
              </w:rPr>
              <w:t>☑</w:t>
            </w:r>
            <w:r>
              <w:rPr>
                <w:rFonts w:ascii="Arial" w:cs="Arial" w:eastAsia="Arial" w:hAnsi="Arial"/>
                <w:sz w:val="17"/>
                <w:szCs w:val="17"/>
                <w:b w:val="1"/>
                <w:bCs w:val="1"/>
                <w:color w:val="auto"/>
                <w:w w:val="95"/>
              </w:rPr>
              <w:t>Not Applicable</w:t>
            </w:r>
          </w:p>
        </w:tc>
        <w:tc>
          <w:tcPr>
            <w:tcW w:w="0" w:type="dxa"/>
            <w:vAlign w:val="bottom"/>
          </w:tcPr>
          <w:p>
            <w:pPr>
              <w:spacing w:after="0"/>
              <w:rPr>
                <w:sz w:val="1"/>
                <w:szCs w:val="1"/>
                <w:color w:val="auto"/>
              </w:rPr>
            </w:pPr>
          </w:p>
        </w:tc>
      </w:tr>
      <w:tr>
        <w:trPr>
          <w:trHeight w:val="194"/>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2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5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shd w:val="clear" w:color="auto" w:fill="9ADAF6"/>
          </w:tcPr>
          <w:p>
            <w:pPr>
              <w:spacing w:after="0"/>
              <w:rPr>
                <w:sz w:val="16"/>
                <w:szCs w:val="16"/>
                <w:color w:val="auto"/>
              </w:rPr>
            </w:pPr>
          </w:p>
        </w:tc>
        <w:tc>
          <w:tcPr>
            <w:tcW w:w="200" w:type="dxa"/>
            <w:vAlign w:val="bottom"/>
            <w:tcBorders>
              <w:right w:val="single" w:sz="8" w:color="9ADAF6"/>
            </w:tcBorders>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3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2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3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gridSpan w:val="4"/>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w w:val="97"/>
              </w:rPr>
              <w:t>Unsold</w:t>
            </w:r>
          </w:p>
        </w:tc>
        <w:tc>
          <w:tcPr>
            <w:tcW w:w="20" w:type="dxa"/>
            <w:vAlign w:val="bottom"/>
          </w:tcPr>
          <w:p>
            <w:pPr>
              <w:spacing w:after="0"/>
              <w:rPr>
                <w:sz w:val="16"/>
                <w:szCs w:val="16"/>
                <w:color w:val="auto"/>
              </w:rPr>
            </w:pPr>
          </w:p>
        </w:tc>
        <w:tc>
          <w:tcPr>
            <w:tcW w:w="660" w:type="dxa"/>
            <w:vAlign w:val="bottom"/>
            <w:shd w:val="clear" w:color="auto" w:fill="9ADAF6"/>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2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5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shd w:val="clear" w:color="auto" w:fill="9ADAF6"/>
          </w:tcPr>
          <w:p>
            <w:pPr>
              <w:spacing w:after="0"/>
              <w:rPr>
                <w:sz w:val="16"/>
                <w:szCs w:val="16"/>
                <w:color w:val="auto"/>
              </w:rPr>
            </w:pPr>
          </w:p>
        </w:tc>
        <w:tc>
          <w:tcPr>
            <w:tcW w:w="200" w:type="dxa"/>
            <w:vAlign w:val="bottom"/>
            <w:tcBorders>
              <w:right w:val="single" w:sz="8" w:color="9ADAF6"/>
            </w:tcBorders>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3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2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Security</w:t>
            </w:r>
          </w:p>
        </w:tc>
        <w:tc>
          <w:tcPr>
            <w:tcW w:w="20" w:type="dxa"/>
            <w:vAlign w:val="bottom"/>
          </w:tcPr>
          <w:p>
            <w:pPr>
              <w:spacing w:after="0"/>
              <w:rPr>
                <w:sz w:val="16"/>
                <w:szCs w:val="16"/>
                <w:color w:val="auto"/>
              </w:rPr>
            </w:pPr>
          </w:p>
        </w:tc>
        <w:tc>
          <w:tcPr>
            <w:tcW w:w="820" w:type="dxa"/>
            <w:vAlign w:val="bottom"/>
            <w:shd w:val="clear" w:color="auto" w:fill="9ADAF6"/>
          </w:tcPr>
          <w:p>
            <w:pPr>
              <w:jc w:val="center"/>
              <w:ind w:left="40"/>
              <w:spacing w:after="0" w:line="189" w:lineRule="exact"/>
              <w:rPr>
                <w:sz w:val="20"/>
                <w:szCs w:val="20"/>
                <w:color w:val="auto"/>
              </w:rPr>
            </w:pPr>
            <w:r>
              <w:rPr>
                <w:rFonts w:ascii="Arial" w:cs="Arial" w:eastAsia="Arial" w:hAnsi="Arial"/>
                <w:sz w:val="17"/>
                <w:szCs w:val="17"/>
                <w:b w:val="1"/>
                <w:bCs w:val="1"/>
                <w:color w:val="auto"/>
                <w:w w:val="98"/>
              </w:rPr>
              <w:t>Security</w:t>
            </w:r>
          </w:p>
        </w:tc>
        <w:tc>
          <w:tcPr>
            <w:tcW w:w="20" w:type="dxa"/>
            <w:vAlign w:val="bottom"/>
            <w:shd w:val="clear" w:color="auto" w:fill="9ADAF6"/>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Unsold</w:t>
            </w:r>
          </w:p>
        </w:tc>
        <w:tc>
          <w:tcPr>
            <w:tcW w:w="20" w:type="dxa"/>
            <w:vAlign w:val="bottom"/>
          </w:tcPr>
          <w:p>
            <w:pPr>
              <w:spacing w:after="0"/>
              <w:rPr>
                <w:sz w:val="16"/>
                <w:szCs w:val="16"/>
                <w:color w:val="auto"/>
              </w:rPr>
            </w:pPr>
          </w:p>
        </w:tc>
        <w:tc>
          <w:tcPr>
            <w:tcW w:w="980" w:type="dxa"/>
            <w:vAlign w:val="bottom"/>
            <w:gridSpan w:val="4"/>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Aggregate</w:t>
            </w:r>
          </w:p>
        </w:tc>
        <w:tc>
          <w:tcPr>
            <w:tcW w:w="20" w:type="dxa"/>
            <w:vAlign w:val="bottom"/>
          </w:tcPr>
          <w:p>
            <w:pPr>
              <w:spacing w:after="0"/>
              <w:rPr>
                <w:sz w:val="16"/>
                <w:szCs w:val="16"/>
                <w:color w:val="auto"/>
              </w:rPr>
            </w:pPr>
          </w:p>
        </w:tc>
        <w:tc>
          <w:tcPr>
            <w:tcW w:w="66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Fee</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2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540" w:type="dxa"/>
            <w:vAlign w:val="bottom"/>
            <w:shd w:val="clear" w:color="auto" w:fill="9ADAF6"/>
          </w:tcPr>
          <w:p>
            <w:pPr>
              <w:jc w:val="center"/>
              <w:ind w:right="2"/>
              <w:spacing w:after="0" w:line="189" w:lineRule="exact"/>
              <w:rPr>
                <w:sz w:val="20"/>
                <w:szCs w:val="20"/>
                <w:color w:val="auto"/>
              </w:rPr>
            </w:pPr>
            <w:r>
              <w:rPr>
                <w:rFonts w:ascii="Arial" w:cs="Arial" w:eastAsia="Arial" w:hAnsi="Arial"/>
                <w:sz w:val="17"/>
                <w:szCs w:val="17"/>
                <w:b w:val="1"/>
                <w:bCs w:val="1"/>
                <w:color w:val="auto"/>
                <w:w w:val="98"/>
              </w:rPr>
              <w:t>Form</w:t>
            </w:r>
          </w:p>
        </w:tc>
        <w:tc>
          <w:tcPr>
            <w:tcW w:w="20" w:type="dxa"/>
            <w:vAlign w:val="bottom"/>
          </w:tcPr>
          <w:p>
            <w:pPr>
              <w:spacing w:after="0"/>
              <w:rPr>
                <w:sz w:val="16"/>
                <w:szCs w:val="16"/>
                <w:color w:val="auto"/>
              </w:rPr>
            </w:pPr>
          </w:p>
        </w:tc>
        <w:tc>
          <w:tcPr>
            <w:tcW w:w="540" w:type="dxa"/>
            <w:vAlign w:val="bottom"/>
            <w:shd w:val="clear" w:color="auto" w:fill="9ADAF6"/>
          </w:tcPr>
          <w:p>
            <w:pPr>
              <w:spacing w:after="0"/>
              <w:rPr>
                <w:sz w:val="16"/>
                <w:szCs w:val="16"/>
                <w:color w:val="auto"/>
              </w:rPr>
            </w:pPr>
          </w:p>
        </w:tc>
        <w:tc>
          <w:tcPr>
            <w:tcW w:w="200" w:type="dxa"/>
            <w:vAlign w:val="bottom"/>
            <w:tcBorders>
              <w:right w:val="single" w:sz="8" w:color="9ADAF6"/>
            </w:tcBorders>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Initial</w:t>
            </w: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60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5"/>
              </w:rPr>
              <w:t>Fee</w:t>
            </w: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5"/>
              </w:rPr>
              <w:t>Type</w:t>
            </w:r>
          </w:p>
        </w:tc>
        <w:tc>
          <w:tcPr>
            <w:tcW w:w="20" w:type="dxa"/>
            <w:vAlign w:val="bottom"/>
          </w:tcPr>
          <w:p>
            <w:pPr>
              <w:spacing w:after="0"/>
              <w:rPr>
                <w:sz w:val="16"/>
                <w:szCs w:val="16"/>
                <w:color w:val="auto"/>
              </w:rPr>
            </w:pPr>
          </w:p>
        </w:tc>
        <w:tc>
          <w:tcPr>
            <w:tcW w:w="820" w:type="dxa"/>
            <w:vAlign w:val="bottom"/>
            <w:shd w:val="clear" w:color="auto" w:fill="9ADAF6"/>
          </w:tcPr>
          <w:p>
            <w:pPr>
              <w:jc w:val="center"/>
              <w:ind w:left="40"/>
              <w:spacing w:after="0" w:line="189" w:lineRule="exact"/>
              <w:rPr>
                <w:sz w:val="20"/>
                <w:szCs w:val="20"/>
                <w:color w:val="auto"/>
              </w:rPr>
            </w:pPr>
            <w:r>
              <w:rPr>
                <w:rFonts w:ascii="Arial" w:cs="Arial" w:eastAsia="Arial" w:hAnsi="Arial"/>
                <w:sz w:val="17"/>
                <w:szCs w:val="17"/>
                <w:b w:val="1"/>
                <w:bCs w:val="1"/>
                <w:color w:val="auto"/>
                <w:w w:val="97"/>
              </w:rPr>
              <w:t>Title</w:t>
            </w:r>
          </w:p>
        </w:tc>
        <w:tc>
          <w:tcPr>
            <w:tcW w:w="20" w:type="dxa"/>
            <w:vAlign w:val="bottom"/>
            <w:shd w:val="clear" w:color="auto" w:fill="9ADAF6"/>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Securities</w:t>
            </w:r>
          </w:p>
        </w:tc>
        <w:tc>
          <w:tcPr>
            <w:tcW w:w="20" w:type="dxa"/>
            <w:vAlign w:val="bottom"/>
          </w:tcPr>
          <w:p>
            <w:pPr>
              <w:spacing w:after="0"/>
              <w:rPr>
                <w:sz w:val="16"/>
                <w:szCs w:val="16"/>
                <w:color w:val="auto"/>
              </w:rPr>
            </w:pPr>
          </w:p>
        </w:tc>
        <w:tc>
          <w:tcPr>
            <w:tcW w:w="980" w:type="dxa"/>
            <w:vAlign w:val="bottom"/>
            <w:gridSpan w:val="4"/>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6"/>
              </w:rPr>
              <w:t>Offering</w:t>
            </w:r>
          </w:p>
        </w:tc>
        <w:tc>
          <w:tcPr>
            <w:tcW w:w="20" w:type="dxa"/>
            <w:vAlign w:val="bottom"/>
          </w:tcPr>
          <w:p>
            <w:pPr>
              <w:spacing w:after="0"/>
              <w:rPr>
                <w:sz w:val="16"/>
                <w:szCs w:val="16"/>
                <w:color w:val="auto"/>
              </w:rPr>
            </w:pPr>
          </w:p>
        </w:tc>
        <w:tc>
          <w:tcPr>
            <w:tcW w:w="66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4"/>
              </w:rPr>
              <w:t>Paid</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94"/>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20" w:type="dxa"/>
            <w:vAlign w:val="bottom"/>
            <w:shd w:val="clear" w:color="auto" w:fill="9ADAF6"/>
          </w:tcPr>
          <w:p>
            <w:pPr>
              <w:spacing w:after="0"/>
              <w:rPr>
                <w:sz w:val="8"/>
                <w:szCs w:val="8"/>
                <w:color w:val="auto"/>
              </w:rPr>
            </w:pPr>
          </w:p>
        </w:tc>
        <w:tc>
          <w:tcPr>
            <w:tcW w:w="40" w:type="dxa"/>
            <w:vAlign w:val="bottom"/>
          </w:tcPr>
          <w:p>
            <w:pPr>
              <w:spacing w:after="0"/>
              <w:rPr>
                <w:sz w:val="8"/>
                <w:szCs w:val="8"/>
                <w:color w:val="auto"/>
              </w:rPr>
            </w:pPr>
          </w:p>
        </w:tc>
        <w:tc>
          <w:tcPr>
            <w:tcW w:w="7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8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Registrant or Filer</w:t>
            </w:r>
          </w:p>
        </w:tc>
        <w:tc>
          <w:tcPr>
            <w:tcW w:w="20" w:type="dxa"/>
            <w:vAlign w:val="bottom"/>
          </w:tcPr>
          <w:p>
            <w:pPr>
              <w:spacing w:after="0"/>
              <w:rPr>
                <w:sz w:val="8"/>
                <w:szCs w:val="8"/>
                <w:color w:val="auto"/>
              </w:rPr>
            </w:pPr>
          </w:p>
        </w:tc>
        <w:tc>
          <w:tcPr>
            <w:tcW w:w="80" w:type="dxa"/>
            <w:vAlign w:val="bottom"/>
            <w:shd w:val="clear" w:color="auto" w:fill="9ADAF6"/>
          </w:tcPr>
          <w:p>
            <w:pPr>
              <w:spacing w:after="0"/>
              <w:rPr>
                <w:sz w:val="8"/>
                <w:szCs w:val="8"/>
                <w:color w:val="auto"/>
              </w:rPr>
            </w:pPr>
          </w:p>
        </w:tc>
        <w:tc>
          <w:tcPr>
            <w:tcW w:w="540" w:type="dxa"/>
            <w:vAlign w:val="bottom"/>
            <w:vMerge w:val="restart"/>
            <w:shd w:val="clear" w:color="auto" w:fill="9ADAF6"/>
          </w:tcPr>
          <w:p>
            <w:pPr>
              <w:jc w:val="center"/>
              <w:ind w:right="22"/>
              <w:spacing w:after="0"/>
              <w:rPr>
                <w:sz w:val="20"/>
                <w:szCs w:val="20"/>
                <w:color w:val="auto"/>
              </w:rPr>
            </w:pPr>
            <w:r>
              <w:rPr>
                <w:rFonts w:ascii="Arial" w:cs="Arial" w:eastAsia="Arial" w:hAnsi="Arial"/>
                <w:sz w:val="17"/>
                <w:szCs w:val="17"/>
                <w:b w:val="1"/>
                <w:bCs w:val="1"/>
                <w:color w:val="auto"/>
                <w:w w:val="93"/>
              </w:rPr>
              <w:t>or</w:t>
            </w:r>
          </w:p>
        </w:tc>
        <w:tc>
          <w:tcPr>
            <w:tcW w:w="20" w:type="dxa"/>
            <w:vAlign w:val="bottom"/>
          </w:tcPr>
          <w:p>
            <w:pPr>
              <w:spacing w:after="0"/>
              <w:rPr>
                <w:sz w:val="8"/>
                <w:szCs w:val="8"/>
                <w:color w:val="auto"/>
              </w:rPr>
            </w:pPr>
          </w:p>
        </w:tc>
        <w:tc>
          <w:tcPr>
            <w:tcW w:w="540" w:type="dxa"/>
            <w:vAlign w:val="bottom"/>
            <w:vMerge w:val="restart"/>
            <w:shd w:val="clear" w:color="auto" w:fill="9ADAF6"/>
          </w:tcPr>
          <w:p>
            <w:pPr>
              <w:jc w:val="center"/>
              <w:ind w:left="116"/>
              <w:spacing w:after="0"/>
              <w:rPr>
                <w:sz w:val="20"/>
                <w:szCs w:val="20"/>
                <w:color w:val="auto"/>
              </w:rPr>
            </w:pPr>
            <w:r>
              <w:rPr>
                <w:rFonts w:ascii="Arial" w:cs="Arial" w:eastAsia="Arial" w:hAnsi="Arial"/>
                <w:sz w:val="17"/>
                <w:szCs w:val="17"/>
                <w:b w:val="1"/>
                <w:bCs w:val="1"/>
                <w:color w:val="auto"/>
              </w:rPr>
              <w:t>File</w:t>
            </w:r>
          </w:p>
        </w:tc>
        <w:tc>
          <w:tcPr>
            <w:tcW w:w="200" w:type="dxa"/>
            <w:vAlign w:val="bottom"/>
            <w:tcBorders>
              <w:right w:val="single" w:sz="8" w:color="9ADAF6"/>
            </w:tcBorders>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Filing</w:t>
            </w:r>
          </w:p>
        </w:tc>
        <w:tc>
          <w:tcPr>
            <w:tcW w:w="20" w:type="dxa"/>
            <w:vAlign w:val="bottom"/>
          </w:tcPr>
          <w:p>
            <w:pPr>
              <w:spacing w:after="0"/>
              <w:rPr>
                <w:sz w:val="8"/>
                <w:szCs w:val="8"/>
                <w:color w:val="auto"/>
              </w:rPr>
            </w:pPr>
          </w:p>
        </w:tc>
        <w:tc>
          <w:tcPr>
            <w:tcW w:w="80" w:type="dxa"/>
            <w:vAlign w:val="bottom"/>
            <w:shd w:val="clear" w:color="auto" w:fill="9ADAF6"/>
          </w:tcPr>
          <w:p>
            <w:pPr>
              <w:spacing w:after="0"/>
              <w:rPr>
                <w:sz w:val="8"/>
                <w:szCs w:val="8"/>
                <w:color w:val="auto"/>
              </w:rPr>
            </w:pPr>
          </w:p>
        </w:tc>
        <w:tc>
          <w:tcPr>
            <w:tcW w:w="600" w:type="dxa"/>
            <w:vAlign w:val="bottom"/>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Associated</w:t>
            </w:r>
          </w:p>
        </w:tc>
        <w:tc>
          <w:tcPr>
            <w:tcW w:w="20" w:type="dxa"/>
            <w:vAlign w:val="bottom"/>
          </w:tcPr>
          <w:p>
            <w:pPr>
              <w:spacing w:after="0"/>
              <w:rPr>
                <w:sz w:val="8"/>
                <w:szCs w:val="8"/>
                <w:color w:val="auto"/>
              </w:rPr>
            </w:pPr>
          </w:p>
        </w:tc>
        <w:tc>
          <w:tcPr>
            <w:tcW w:w="92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Associated</w:t>
            </w:r>
          </w:p>
        </w:tc>
        <w:tc>
          <w:tcPr>
            <w:tcW w:w="20" w:type="dxa"/>
            <w:vAlign w:val="bottom"/>
          </w:tcPr>
          <w:p>
            <w:pPr>
              <w:spacing w:after="0"/>
              <w:rPr>
                <w:sz w:val="8"/>
                <w:szCs w:val="8"/>
                <w:color w:val="auto"/>
              </w:rPr>
            </w:pPr>
          </w:p>
        </w:tc>
        <w:tc>
          <w:tcPr>
            <w:tcW w:w="92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Associated</w:t>
            </w:r>
          </w:p>
        </w:tc>
        <w:tc>
          <w:tcPr>
            <w:tcW w:w="20" w:type="dxa"/>
            <w:vAlign w:val="bottom"/>
          </w:tcPr>
          <w:p>
            <w:pPr>
              <w:spacing w:after="0"/>
              <w:rPr>
                <w:sz w:val="8"/>
                <w:szCs w:val="8"/>
                <w:color w:val="auto"/>
              </w:rPr>
            </w:pPr>
          </w:p>
        </w:tc>
        <w:tc>
          <w:tcPr>
            <w:tcW w:w="980" w:type="dxa"/>
            <w:vAlign w:val="bottom"/>
            <w:gridSpan w:val="4"/>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Amount</w:t>
            </w:r>
          </w:p>
        </w:tc>
        <w:tc>
          <w:tcPr>
            <w:tcW w:w="20" w:type="dxa"/>
            <w:vAlign w:val="bottom"/>
          </w:tcPr>
          <w:p>
            <w:pPr>
              <w:spacing w:after="0"/>
              <w:rPr>
                <w:sz w:val="8"/>
                <w:szCs w:val="8"/>
                <w:color w:val="auto"/>
              </w:rPr>
            </w:pPr>
          </w:p>
        </w:tc>
        <w:tc>
          <w:tcPr>
            <w:tcW w:w="66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with</w:t>
            </w:r>
          </w:p>
        </w:tc>
        <w:tc>
          <w:tcPr>
            <w:tcW w:w="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68"/>
        </w:trPr>
        <w:tc>
          <w:tcPr>
            <w:tcW w:w="40" w:type="dxa"/>
            <w:vAlign w:val="bottom"/>
            <w:tcBorders>
              <w:left w:val="single" w:sz="8" w:color="auto"/>
            </w:tcBorders>
          </w:tcPr>
          <w:p>
            <w:pPr>
              <w:spacing w:after="0"/>
              <w:rPr>
                <w:sz w:val="14"/>
                <w:szCs w:val="14"/>
                <w:color w:val="auto"/>
              </w:rPr>
            </w:pPr>
          </w:p>
        </w:tc>
        <w:tc>
          <w:tcPr>
            <w:tcW w:w="440" w:type="dxa"/>
            <w:vAlign w:val="bottom"/>
            <w:shd w:val="clear" w:color="auto" w:fill="9ADAF6"/>
          </w:tcPr>
          <w:p>
            <w:pPr>
              <w:spacing w:after="0"/>
              <w:rPr>
                <w:sz w:val="14"/>
                <w:szCs w:val="14"/>
                <w:color w:val="auto"/>
              </w:rPr>
            </w:pPr>
          </w:p>
        </w:tc>
        <w:tc>
          <w:tcPr>
            <w:tcW w:w="20" w:type="dxa"/>
            <w:vAlign w:val="bottom"/>
            <w:shd w:val="clear" w:color="auto" w:fill="9ADAF6"/>
          </w:tcPr>
          <w:p>
            <w:pPr>
              <w:spacing w:after="0"/>
              <w:rPr>
                <w:sz w:val="14"/>
                <w:szCs w:val="14"/>
                <w:color w:val="auto"/>
              </w:rPr>
            </w:pPr>
          </w:p>
        </w:tc>
        <w:tc>
          <w:tcPr>
            <w:tcW w:w="520" w:type="dxa"/>
            <w:vAlign w:val="bottom"/>
            <w:shd w:val="clear" w:color="auto" w:fill="9ADAF6"/>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580" w:type="dxa"/>
            <w:vAlign w:val="bottom"/>
            <w:gridSpan w:val="3"/>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shd w:val="clear" w:color="auto" w:fill="9ADAF6"/>
          </w:tcPr>
          <w:p>
            <w:pPr>
              <w:spacing w:after="0"/>
              <w:rPr>
                <w:sz w:val="14"/>
                <w:szCs w:val="14"/>
                <w:color w:val="auto"/>
              </w:rPr>
            </w:pPr>
          </w:p>
        </w:tc>
        <w:tc>
          <w:tcPr>
            <w:tcW w:w="54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vMerge w:val="continue"/>
            <w:shd w:val="clear" w:color="auto" w:fill="9ADAF6"/>
          </w:tcPr>
          <w:p>
            <w:pPr>
              <w:spacing w:after="0"/>
              <w:rPr>
                <w:sz w:val="14"/>
                <w:szCs w:val="14"/>
                <w:color w:val="auto"/>
              </w:rPr>
            </w:pPr>
          </w:p>
        </w:tc>
        <w:tc>
          <w:tcPr>
            <w:tcW w:w="200" w:type="dxa"/>
            <w:vAlign w:val="bottom"/>
            <w:tcBorders>
              <w:right w:val="single" w:sz="8" w:color="9ADAF6"/>
            </w:tcBorders>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gridSpan w:val="3"/>
            <w:shd w:val="clear" w:color="auto" w:fill="9ADAF6"/>
          </w:tcPr>
          <w:p>
            <w:pPr>
              <w:jc w:val="center"/>
              <w:spacing w:after="0" w:line="167" w:lineRule="exact"/>
              <w:rPr>
                <w:sz w:val="20"/>
                <w:szCs w:val="20"/>
                <w:color w:val="auto"/>
              </w:rPr>
            </w:pPr>
            <w:r>
              <w:rPr>
                <w:rFonts w:ascii="Arial" w:cs="Arial" w:eastAsia="Arial" w:hAnsi="Arial"/>
                <w:sz w:val="17"/>
                <w:szCs w:val="17"/>
                <w:b w:val="1"/>
                <w:bCs w:val="1"/>
                <w:color w:val="auto"/>
                <w:w w:val="96"/>
              </w:rPr>
              <w:t>Filing</w:t>
            </w:r>
          </w:p>
        </w:tc>
        <w:tc>
          <w:tcPr>
            <w:tcW w:w="20" w:type="dxa"/>
            <w:vAlign w:val="bottom"/>
          </w:tcPr>
          <w:p>
            <w:pPr>
              <w:spacing w:after="0"/>
              <w:rPr>
                <w:sz w:val="14"/>
                <w:szCs w:val="14"/>
                <w:color w:val="auto"/>
              </w:rPr>
            </w:pPr>
          </w:p>
        </w:tc>
        <w:tc>
          <w:tcPr>
            <w:tcW w:w="6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shd w:val="clear" w:color="auto" w:fill="9ADAF6"/>
          </w:tcPr>
          <w:p>
            <w:pPr>
              <w:spacing w:after="0"/>
              <w:rPr>
                <w:sz w:val="14"/>
                <w:szCs w:val="14"/>
                <w:color w:val="auto"/>
              </w:rPr>
            </w:pPr>
          </w:p>
        </w:tc>
        <w:tc>
          <w:tcPr>
            <w:tcW w:w="600" w:type="dxa"/>
            <w:vAlign w:val="bottom"/>
            <w:gridSpan w:val="3"/>
            <w:shd w:val="clear" w:color="auto" w:fill="9ADAF6"/>
          </w:tcPr>
          <w:p>
            <w:pPr>
              <w:jc w:val="center"/>
              <w:spacing w:after="0" w:line="167" w:lineRule="exact"/>
              <w:rPr>
                <w:sz w:val="20"/>
                <w:szCs w:val="20"/>
                <w:color w:val="auto"/>
              </w:rPr>
            </w:pPr>
            <w:r>
              <w:rPr>
                <w:rFonts w:ascii="Arial" w:cs="Arial" w:eastAsia="Arial" w:hAnsi="Arial"/>
                <w:sz w:val="17"/>
                <w:szCs w:val="17"/>
                <w:b w:val="1"/>
                <w:bCs w:val="1"/>
                <w:color w:val="auto"/>
                <w:w w:val="97"/>
              </w:rPr>
              <w:t>Offset</w:t>
            </w:r>
          </w:p>
        </w:tc>
        <w:tc>
          <w:tcPr>
            <w:tcW w:w="20" w:type="dxa"/>
            <w:vAlign w:val="bottom"/>
          </w:tcPr>
          <w:p>
            <w:pPr>
              <w:spacing w:after="0"/>
              <w:rPr>
                <w:sz w:val="14"/>
                <w:szCs w:val="14"/>
                <w:color w:val="auto"/>
              </w:rPr>
            </w:pPr>
          </w:p>
        </w:tc>
        <w:tc>
          <w:tcPr>
            <w:tcW w:w="9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gridSpan w:val="3"/>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gridSpan w:val="3"/>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gridSpan w:val="4"/>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vMerge w:val="continue"/>
            <w:shd w:val="clear" w:color="auto" w:fill="9ADAF6"/>
          </w:tcPr>
          <w:p>
            <w:pPr>
              <w:spacing w:after="0"/>
              <w:rPr>
                <w:sz w:val="14"/>
                <w:szCs w:val="14"/>
                <w:color w:val="auto"/>
              </w:rPr>
            </w:pPr>
          </w:p>
        </w:tc>
        <w:tc>
          <w:tcPr>
            <w:tcW w:w="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280" w:type="dxa"/>
            <w:vAlign w:val="bottom"/>
            <w:shd w:val="clear" w:color="auto" w:fill="9ADAF6"/>
          </w:tcPr>
          <w:p>
            <w:pPr>
              <w:jc w:val="center"/>
              <w:ind w:right="216"/>
              <w:spacing w:after="0" w:line="189" w:lineRule="exact"/>
              <w:rPr>
                <w:sz w:val="20"/>
                <w:szCs w:val="20"/>
                <w:color w:val="auto"/>
              </w:rPr>
            </w:pPr>
            <w:r>
              <w:rPr>
                <w:rFonts w:ascii="Arial" w:cs="Arial" w:eastAsia="Arial" w:hAnsi="Arial"/>
                <w:sz w:val="17"/>
                <w:szCs w:val="17"/>
                <w:b w:val="1"/>
                <w:bCs w:val="1"/>
                <w:color w:val="auto"/>
                <w:w w:val="99"/>
              </w:rPr>
              <w:t>Name</w:t>
            </w:r>
          </w:p>
        </w:tc>
        <w:tc>
          <w:tcPr>
            <w:tcW w:w="20" w:type="dxa"/>
            <w:vAlign w:val="bottom"/>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540" w:type="dxa"/>
            <w:vAlign w:val="bottom"/>
            <w:shd w:val="clear" w:color="auto" w:fill="9ADAF6"/>
          </w:tcPr>
          <w:p>
            <w:pPr>
              <w:jc w:val="center"/>
              <w:ind w:right="22"/>
              <w:spacing w:after="0" w:line="189" w:lineRule="exact"/>
              <w:rPr>
                <w:sz w:val="20"/>
                <w:szCs w:val="20"/>
                <w:color w:val="auto"/>
              </w:rPr>
            </w:pPr>
            <w:r>
              <w:rPr>
                <w:rFonts w:ascii="Arial" w:cs="Arial" w:eastAsia="Arial" w:hAnsi="Arial"/>
                <w:sz w:val="17"/>
                <w:szCs w:val="17"/>
                <w:b w:val="1"/>
                <w:bCs w:val="1"/>
                <w:color w:val="auto"/>
                <w:w w:val="96"/>
              </w:rPr>
              <w:t>Filing</w:t>
            </w:r>
          </w:p>
        </w:tc>
        <w:tc>
          <w:tcPr>
            <w:tcW w:w="20" w:type="dxa"/>
            <w:vAlign w:val="bottom"/>
          </w:tcPr>
          <w:p>
            <w:pPr>
              <w:spacing w:after="0"/>
              <w:rPr>
                <w:sz w:val="16"/>
                <w:szCs w:val="16"/>
                <w:color w:val="auto"/>
              </w:rPr>
            </w:pPr>
          </w:p>
        </w:tc>
        <w:tc>
          <w:tcPr>
            <w:tcW w:w="740" w:type="dxa"/>
            <w:vAlign w:val="bottom"/>
            <w:tcBorders>
              <w:right w:val="single" w:sz="8" w:color="9ADAF6"/>
            </w:tcBorders>
            <w:gridSpan w:val="2"/>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6"/>
              </w:rPr>
              <w:t>Number</w:t>
            </w:r>
          </w:p>
        </w:tc>
        <w:tc>
          <w:tcPr>
            <w:tcW w:w="20" w:type="dxa"/>
            <w:vAlign w:val="bottom"/>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00" w:type="dxa"/>
            <w:vAlign w:val="bottom"/>
            <w:shd w:val="clear" w:color="auto" w:fill="9ADAF6"/>
          </w:tcPr>
          <w:p>
            <w:pPr>
              <w:jc w:val="center"/>
              <w:ind w:right="16"/>
              <w:spacing w:after="0" w:line="189" w:lineRule="exact"/>
              <w:rPr>
                <w:sz w:val="20"/>
                <w:szCs w:val="20"/>
                <w:color w:val="auto"/>
              </w:rPr>
            </w:pPr>
            <w:r>
              <w:rPr>
                <w:rFonts w:ascii="Arial" w:cs="Arial" w:eastAsia="Arial" w:hAnsi="Arial"/>
                <w:sz w:val="17"/>
                <w:szCs w:val="17"/>
                <w:b w:val="1"/>
                <w:bCs w:val="1"/>
                <w:color w:val="auto"/>
                <w:w w:val="97"/>
              </w:rPr>
              <w:t>Date</w:t>
            </w:r>
          </w:p>
        </w:tc>
        <w:tc>
          <w:tcPr>
            <w:tcW w:w="20" w:type="dxa"/>
            <w:vAlign w:val="bottom"/>
          </w:tcPr>
          <w:p>
            <w:pPr>
              <w:spacing w:after="0"/>
              <w:rPr>
                <w:sz w:val="16"/>
                <w:szCs w:val="16"/>
                <w:color w:val="auto"/>
              </w:rPr>
            </w:pPr>
          </w:p>
        </w:tc>
        <w:tc>
          <w:tcPr>
            <w:tcW w:w="6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Date</w:t>
            </w:r>
          </w:p>
        </w:tc>
        <w:tc>
          <w:tcPr>
            <w:tcW w:w="20" w:type="dxa"/>
            <w:vAlign w:val="bottom"/>
          </w:tcPr>
          <w:p>
            <w:pPr>
              <w:spacing w:after="0"/>
              <w:rPr>
                <w:sz w:val="16"/>
                <w:szCs w:val="16"/>
                <w:color w:val="auto"/>
              </w:rPr>
            </w:pPr>
          </w:p>
        </w:tc>
        <w:tc>
          <w:tcPr>
            <w:tcW w:w="680" w:type="dxa"/>
            <w:vAlign w:val="bottom"/>
            <w:gridSpan w:val="4"/>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6"/>
              </w:rPr>
              <w:t>Claimed</w:t>
            </w: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with Fee</w:t>
            </w:r>
          </w:p>
        </w:tc>
        <w:tc>
          <w:tcPr>
            <w:tcW w:w="20" w:type="dxa"/>
            <w:vAlign w:val="bottom"/>
          </w:tcPr>
          <w:p>
            <w:pPr>
              <w:spacing w:after="0"/>
              <w:rPr>
                <w:sz w:val="16"/>
                <w:szCs w:val="16"/>
                <w:color w:val="auto"/>
              </w:rPr>
            </w:pPr>
          </w:p>
        </w:tc>
        <w:tc>
          <w:tcPr>
            <w:tcW w:w="820" w:type="dxa"/>
            <w:vAlign w:val="bottom"/>
            <w:shd w:val="clear" w:color="auto" w:fill="9ADAF6"/>
          </w:tcPr>
          <w:p>
            <w:pPr>
              <w:jc w:val="center"/>
              <w:ind w:left="40"/>
              <w:spacing w:after="0" w:line="189" w:lineRule="exact"/>
              <w:rPr>
                <w:sz w:val="20"/>
                <w:szCs w:val="20"/>
                <w:color w:val="auto"/>
              </w:rPr>
            </w:pPr>
            <w:r>
              <w:rPr>
                <w:rFonts w:ascii="Arial" w:cs="Arial" w:eastAsia="Arial" w:hAnsi="Arial"/>
                <w:sz w:val="17"/>
                <w:szCs w:val="17"/>
                <w:b w:val="1"/>
                <w:bCs w:val="1"/>
                <w:color w:val="auto"/>
                <w:w w:val="96"/>
              </w:rPr>
              <w:t>with Fee</w:t>
            </w:r>
          </w:p>
        </w:tc>
        <w:tc>
          <w:tcPr>
            <w:tcW w:w="20" w:type="dxa"/>
            <w:vAlign w:val="bottom"/>
            <w:shd w:val="clear" w:color="auto" w:fill="9ADAF6"/>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6"/>
              </w:rPr>
              <w:t>with Fee</w:t>
            </w:r>
          </w:p>
        </w:tc>
        <w:tc>
          <w:tcPr>
            <w:tcW w:w="20" w:type="dxa"/>
            <w:vAlign w:val="bottom"/>
          </w:tcPr>
          <w:p>
            <w:pPr>
              <w:spacing w:after="0"/>
              <w:rPr>
                <w:sz w:val="16"/>
                <w:szCs w:val="16"/>
                <w:color w:val="auto"/>
              </w:rPr>
            </w:pPr>
          </w:p>
        </w:tc>
        <w:tc>
          <w:tcPr>
            <w:tcW w:w="980" w:type="dxa"/>
            <w:vAlign w:val="bottom"/>
            <w:gridSpan w:val="4"/>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Associated</w:t>
            </w:r>
          </w:p>
        </w:tc>
        <w:tc>
          <w:tcPr>
            <w:tcW w:w="20" w:type="dxa"/>
            <w:vAlign w:val="bottom"/>
          </w:tcPr>
          <w:p>
            <w:pPr>
              <w:spacing w:after="0"/>
              <w:rPr>
                <w:sz w:val="16"/>
                <w:szCs w:val="16"/>
                <w:color w:val="auto"/>
              </w:rPr>
            </w:pPr>
          </w:p>
        </w:tc>
        <w:tc>
          <w:tcPr>
            <w:tcW w:w="66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Fee</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15"/>
        </w:trPr>
        <w:tc>
          <w:tcPr>
            <w:tcW w:w="40" w:type="dxa"/>
            <w:vAlign w:val="bottom"/>
            <w:tcBorders>
              <w:left w:val="single" w:sz="8" w:color="auto"/>
            </w:tcBorders>
          </w:tcPr>
          <w:p>
            <w:pPr>
              <w:spacing w:after="0"/>
              <w:rPr>
                <w:sz w:val="10"/>
                <w:szCs w:val="10"/>
                <w:color w:val="auto"/>
              </w:rPr>
            </w:pPr>
          </w:p>
        </w:tc>
        <w:tc>
          <w:tcPr>
            <w:tcW w:w="440" w:type="dxa"/>
            <w:vAlign w:val="bottom"/>
            <w:shd w:val="clear" w:color="auto" w:fill="9ADAF6"/>
          </w:tcPr>
          <w:p>
            <w:pPr>
              <w:spacing w:after="0"/>
              <w:rPr>
                <w:sz w:val="10"/>
                <w:szCs w:val="10"/>
                <w:color w:val="auto"/>
              </w:rPr>
            </w:pPr>
          </w:p>
        </w:tc>
        <w:tc>
          <w:tcPr>
            <w:tcW w:w="20" w:type="dxa"/>
            <w:vAlign w:val="bottom"/>
            <w:shd w:val="clear" w:color="auto" w:fill="9ADAF6"/>
          </w:tcPr>
          <w:p>
            <w:pPr>
              <w:spacing w:after="0"/>
              <w:rPr>
                <w:sz w:val="10"/>
                <w:szCs w:val="10"/>
                <w:color w:val="auto"/>
              </w:rPr>
            </w:pPr>
          </w:p>
        </w:tc>
        <w:tc>
          <w:tcPr>
            <w:tcW w:w="520" w:type="dxa"/>
            <w:vAlign w:val="bottom"/>
            <w:shd w:val="clear" w:color="auto" w:fill="9ADAF6"/>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shd w:val="clear" w:color="auto" w:fill="9ADAF6"/>
          </w:tcPr>
          <w:p>
            <w:pPr>
              <w:spacing w:after="0"/>
              <w:rPr>
                <w:sz w:val="10"/>
                <w:szCs w:val="10"/>
                <w:color w:val="auto"/>
              </w:rPr>
            </w:pPr>
          </w:p>
        </w:tc>
        <w:tc>
          <w:tcPr>
            <w:tcW w:w="20" w:type="dxa"/>
            <w:vAlign w:val="bottom"/>
            <w:shd w:val="clear" w:color="auto" w:fill="9ADAF6"/>
          </w:tcPr>
          <w:p>
            <w:pPr>
              <w:spacing w:after="0"/>
              <w:rPr>
                <w:sz w:val="10"/>
                <w:szCs w:val="10"/>
                <w:color w:val="auto"/>
              </w:rPr>
            </w:pPr>
          </w:p>
        </w:tc>
        <w:tc>
          <w:tcPr>
            <w:tcW w:w="128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shd w:val="clear" w:color="auto" w:fill="9ADAF6"/>
          </w:tcPr>
          <w:p>
            <w:pPr>
              <w:spacing w:after="0"/>
              <w:rPr>
                <w:sz w:val="10"/>
                <w:szCs w:val="10"/>
                <w:color w:val="auto"/>
              </w:rPr>
            </w:pPr>
          </w:p>
        </w:tc>
        <w:tc>
          <w:tcPr>
            <w:tcW w:w="540" w:type="dxa"/>
            <w:vAlign w:val="bottom"/>
            <w:shd w:val="clear" w:color="auto" w:fill="9ADAF6"/>
          </w:tcPr>
          <w:p>
            <w:pPr>
              <w:jc w:val="center"/>
              <w:ind w:right="2"/>
              <w:spacing w:after="0" w:line="115" w:lineRule="exact"/>
              <w:rPr>
                <w:sz w:val="20"/>
                <w:szCs w:val="20"/>
                <w:color w:val="auto"/>
              </w:rPr>
            </w:pPr>
            <w:r>
              <w:rPr>
                <w:rFonts w:ascii="Arial" w:cs="Arial" w:eastAsia="Arial" w:hAnsi="Arial"/>
                <w:sz w:val="13"/>
                <w:szCs w:val="13"/>
                <w:b w:val="1"/>
                <w:bCs w:val="1"/>
                <w:color w:val="auto"/>
              </w:rPr>
              <w:t>Type</w:t>
            </w:r>
          </w:p>
        </w:tc>
        <w:tc>
          <w:tcPr>
            <w:tcW w:w="20" w:type="dxa"/>
            <w:vAlign w:val="bottom"/>
          </w:tcPr>
          <w:p>
            <w:pPr>
              <w:spacing w:after="0"/>
              <w:rPr>
                <w:sz w:val="10"/>
                <w:szCs w:val="10"/>
                <w:color w:val="auto"/>
              </w:rPr>
            </w:pPr>
          </w:p>
        </w:tc>
        <w:tc>
          <w:tcPr>
            <w:tcW w:w="540" w:type="dxa"/>
            <w:vAlign w:val="bottom"/>
            <w:shd w:val="clear" w:color="auto" w:fill="9ADAF6"/>
          </w:tcPr>
          <w:p>
            <w:pPr>
              <w:spacing w:after="0"/>
              <w:rPr>
                <w:sz w:val="10"/>
                <w:szCs w:val="10"/>
                <w:color w:val="auto"/>
              </w:rPr>
            </w:pPr>
          </w:p>
        </w:tc>
        <w:tc>
          <w:tcPr>
            <w:tcW w:w="200" w:type="dxa"/>
            <w:vAlign w:val="bottom"/>
            <w:tcBorders>
              <w:right w:val="single" w:sz="8" w:color="9ADAF6"/>
            </w:tcBorders>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shd w:val="clear" w:color="auto" w:fill="9ADAF6"/>
          </w:tcPr>
          <w:p>
            <w:pPr>
              <w:spacing w:after="0"/>
              <w:rPr>
                <w:sz w:val="10"/>
                <w:szCs w:val="10"/>
                <w:color w:val="auto"/>
              </w:rPr>
            </w:pPr>
          </w:p>
        </w:tc>
        <w:tc>
          <w:tcPr>
            <w:tcW w:w="20" w:type="dxa"/>
            <w:vAlign w:val="bottom"/>
            <w:shd w:val="clear" w:color="auto" w:fill="9ADAF6"/>
          </w:tcPr>
          <w:p>
            <w:pPr>
              <w:spacing w:after="0"/>
              <w:rPr>
                <w:sz w:val="10"/>
                <w:szCs w:val="10"/>
                <w:color w:val="auto"/>
              </w:rPr>
            </w:pPr>
          </w:p>
        </w:tc>
        <w:tc>
          <w:tcPr>
            <w:tcW w:w="50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shd w:val="clear" w:color="auto" w:fill="9ADAF6"/>
          </w:tcPr>
          <w:p>
            <w:pPr>
              <w:spacing w:after="0"/>
              <w:rPr>
                <w:sz w:val="10"/>
                <w:szCs w:val="10"/>
                <w:color w:val="auto"/>
              </w:rPr>
            </w:pPr>
          </w:p>
        </w:tc>
        <w:tc>
          <w:tcPr>
            <w:tcW w:w="340" w:type="dxa"/>
            <w:vAlign w:val="bottom"/>
            <w:shd w:val="clear" w:color="auto" w:fill="9ADAF6"/>
          </w:tcPr>
          <w:p>
            <w:pPr>
              <w:spacing w:after="0"/>
              <w:rPr>
                <w:sz w:val="10"/>
                <w:szCs w:val="10"/>
                <w:color w:val="auto"/>
              </w:rPr>
            </w:pPr>
          </w:p>
        </w:tc>
        <w:tc>
          <w:tcPr>
            <w:tcW w:w="20" w:type="dxa"/>
            <w:vAlign w:val="bottom"/>
            <w:shd w:val="clear" w:color="auto" w:fill="9ADAF6"/>
          </w:tcPr>
          <w:p>
            <w:pPr>
              <w:spacing w:after="0"/>
              <w:rPr>
                <w:sz w:val="10"/>
                <w:szCs w:val="10"/>
                <w:color w:val="auto"/>
              </w:rPr>
            </w:pPr>
          </w:p>
        </w:tc>
        <w:tc>
          <w:tcPr>
            <w:tcW w:w="24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920" w:type="dxa"/>
            <w:vAlign w:val="bottom"/>
            <w:shd w:val="clear" w:color="auto" w:fill="9ADAF6"/>
          </w:tcPr>
          <w:p>
            <w:pPr>
              <w:jc w:val="center"/>
              <w:spacing w:after="0" w:line="115" w:lineRule="exact"/>
              <w:rPr>
                <w:sz w:val="20"/>
                <w:szCs w:val="20"/>
                <w:color w:val="auto"/>
              </w:rPr>
            </w:pPr>
            <w:r>
              <w:rPr>
                <w:rFonts w:ascii="Arial" w:cs="Arial" w:eastAsia="Arial" w:hAnsi="Arial"/>
                <w:sz w:val="13"/>
                <w:szCs w:val="13"/>
                <w:b w:val="1"/>
                <w:bCs w:val="1"/>
                <w:color w:val="auto"/>
              </w:rPr>
              <w:t>Offset</w:t>
            </w:r>
          </w:p>
        </w:tc>
        <w:tc>
          <w:tcPr>
            <w:tcW w:w="20" w:type="dxa"/>
            <w:vAlign w:val="bottom"/>
          </w:tcPr>
          <w:p>
            <w:pPr>
              <w:spacing w:after="0"/>
              <w:rPr>
                <w:sz w:val="10"/>
                <w:szCs w:val="10"/>
                <w:color w:val="auto"/>
              </w:rPr>
            </w:pPr>
          </w:p>
        </w:tc>
        <w:tc>
          <w:tcPr>
            <w:tcW w:w="820" w:type="dxa"/>
            <w:vAlign w:val="bottom"/>
            <w:shd w:val="clear" w:color="auto" w:fill="9ADAF6"/>
          </w:tcPr>
          <w:p>
            <w:pPr>
              <w:jc w:val="center"/>
              <w:ind w:left="20"/>
              <w:spacing w:after="0" w:line="115" w:lineRule="exact"/>
              <w:rPr>
                <w:sz w:val="20"/>
                <w:szCs w:val="20"/>
                <w:color w:val="auto"/>
              </w:rPr>
            </w:pPr>
            <w:r>
              <w:rPr>
                <w:rFonts w:ascii="Arial" w:cs="Arial" w:eastAsia="Arial" w:hAnsi="Arial"/>
                <w:sz w:val="13"/>
                <w:szCs w:val="13"/>
                <w:b w:val="1"/>
                <w:bCs w:val="1"/>
                <w:color w:val="auto"/>
              </w:rPr>
              <w:t>Offset</w:t>
            </w:r>
          </w:p>
        </w:tc>
        <w:tc>
          <w:tcPr>
            <w:tcW w:w="20" w:type="dxa"/>
            <w:vAlign w:val="bottom"/>
            <w:shd w:val="clear" w:color="auto" w:fill="9ADAF6"/>
          </w:tcPr>
          <w:p>
            <w:pPr>
              <w:spacing w:after="0"/>
              <w:rPr>
                <w:sz w:val="10"/>
                <w:szCs w:val="10"/>
                <w:color w:val="auto"/>
              </w:rPr>
            </w:pPr>
          </w:p>
        </w:tc>
        <w:tc>
          <w:tcPr>
            <w:tcW w:w="8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920" w:type="dxa"/>
            <w:vAlign w:val="bottom"/>
            <w:gridSpan w:val="3"/>
            <w:shd w:val="clear" w:color="auto" w:fill="9ADAF6"/>
          </w:tcPr>
          <w:p>
            <w:pPr>
              <w:jc w:val="center"/>
              <w:spacing w:after="0" w:line="115" w:lineRule="exact"/>
              <w:rPr>
                <w:sz w:val="20"/>
                <w:szCs w:val="20"/>
                <w:color w:val="auto"/>
              </w:rPr>
            </w:pPr>
            <w:r>
              <w:rPr>
                <w:rFonts w:ascii="Arial" w:cs="Arial" w:eastAsia="Arial" w:hAnsi="Arial"/>
                <w:sz w:val="13"/>
                <w:szCs w:val="13"/>
                <w:b w:val="1"/>
                <w:bCs w:val="1"/>
                <w:color w:val="auto"/>
              </w:rPr>
              <w:t>Offset</w:t>
            </w:r>
          </w:p>
        </w:tc>
        <w:tc>
          <w:tcPr>
            <w:tcW w:w="20" w:type="dxa"/>
            <w:vAlign w:val="bottom"/>
          </w:tcPr>
          <w:p>
            <w:pPr>
              <w:spacing w:after="0"/>
              <w:rPr>
                <w:sz w:val="10"/>
                <w:szCs w:val="10"/>
                <w:color w:val="auto"/>
              </w:rPr>
            </w:pPr>
          </w:p>
        </w:tc>
        <w:tc>
          <w:tcPr>
            <w:tcW w:w="980" w:type="dxa"/>
            <w:vAlign w:val="bottom"/>
            <w:gridSpan w:val="4"/>
            <w:shd w:val="clear" w:color="auto" w:fill="9ADAF6"/>
          </w:tcPr>
          <w:p>
            <w:pPr>
              <w:jc w:val="center"/>
              <w:spacing w:after="0" w:line="115" w:lineRule="exact"/>
              <w:rPr>
                <w:sz w:val="20"/>
                <w:szCs w:val="20"/>
                <w:color w:val="auto"/>
              </w:rPr>
            </w:pPr>
            <w:r>
              <w:rPr>
                <w:rFonts w:ascii="Arial" w:cs="Arial" w:eastAsia="Arial" w:hAnsi="Arial"/>
                <w:sz w:val="13"/>
                <w:szCs w:val="13"/>
                <w:b w:val="1"/>
                <w:bCs w:val="1"/>
                <w:color w:val="auto"/>
              </w:rPr>
              <w:t>with Fee</w:t>
            </w:r>
          </w:p>
        </w:tc>
        <w:tc>
          <w:tcPr>
            <w:tcW w:w="20" w:type="dxa"/>
            <w:vAlign w:val="bottom"/>
          </w:tcPr>
          <w:p>
            <w:pPr>
              <w:spacing w:after="0"/>
              <w:rPr>
                <w:sz w:val="10"/>
                <w:szCs w:val="10"/>
                <w:color w:val="auto"/>
              </w:rPr>
            </w:pPr>
          </w:p>
        </w:tc>
        <w:tc>
          <w:tcPr>
            <w:tcW w:w="660" w:type="dxa"/>
            <w:vAlign w:val="bottom"/>
            <w:shd w:val="clear" w:color="auto" w:fill="9ADAF6"/>
          </w:tcPr>
          <w:p>
            <w:pPr>
              <w:jc w:val="center"/>
              <w:spacing w:after="0" w:line="115" w:lineRule="exact"/>
              <w:rPr>
                <w:sz w:val="20"/>
                <w:szCs w:val="20"/>
                <w:color w:val="auto"/>
              </w:rPr>
            </w:pPr>
            <w:r>
              <w:rPr>
                <w:rFonts w:ascii="Arial" w:cs="Arial" w:eastAsia="Arial" w:hAnsi="Arial"/>
                <w:sz w:val="13"/>
                <w:szCs w:val="13"/>
                <w:b w:val="1"/>
                <w:bCs w:val="1"/>
                <w:color w:val="auto"/>
              </w:rPr>
              <w:t>Offset</w:t>
            </w:r>
          </w:p>
        </w:tc>
        <w:tc>
          <w:tcPr>
            <w:tcW w:w="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88"/>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2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5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shd w:val="clear" w:color="auto" w:fill="9ADAF6"/>
          </w:tcPr>
          <w:p>
            <w:pPr>
              <w:spacing w:after="0"/>
              <w:rPr>
                <w:sz w:val="16"/>
                <w:szCs w:val="16"/>
                <w:color w:val="auto"/>
              </w:rPr>
            </w:pPr>
          </w:p>
        </w:tc>
        <w:tc>
          <w:tcPr>
            <w:tcW w:w="200" w:type="dxa"/>
            <w:vAlign w:val="bottom"/>
            <w:tcBorders>
              <w:right w:val="single" w:sz="8" w:color="9ADAF6"/>
            </w:tcBorders>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3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2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6"/>
              </w:rPr>
              <w:t>Claimed</w:t>
            </w:r>
          </w:p>
        </w:tc>
        <w:tc>
          <w:tcPr>
            <w:tcW w:w="20" w:type="dxa"/>
            <w:vAlign w:val="bottom"/>
          </w:tcPr>
          <w:p>
            <w:pPr>
              <w:spacing w:after="0"/>
              <w:rPr>
                <w:sz w:val="16"/>
                <w:szCs w:val="16"/>
                <w:color w:val="auto"/>
              </w:rPr>
            </w:pPr>
          </w:p>
        </w:tc>
        <w:tc>
          <w:tcPr>
            <w:tcW w:w="820" w:type="dxa"/>
            <w:vAlign w:val="bottom"/>
            <w:shd w:val="clear" w:color="auto" w:fill="9ADAF6"/>
          </w:tcPr>
          <w:p>
            <w:pPr>
              <w:jc w:val="center"/>
              <w:ind w:left="40"/>
              <w:spacing w:after="0" w:line="189" w:lineRule="exact"/>
              <w:rPr>
                <w:sz w:val="20"/>
                <w:szCs w:val="20"/>
                <w:color w:val="auto"/>
              </w:rPr>
            </w:pPr>
            <w:r>
              <w:rPr>
                <w:rFonts w:ascii="Arial" w:cs="Arial" w:eastAsia="Arial" w:hAnsi="Arial"/>
                <w:sz w:val="17"/>
                <w:szCs w:val="17"/>
                <w:b w:val="1"/>
                <w:bCs w:val="1"/>
                <w:color w:val="auto"/>
                <w:w w:val="99"/>
              </w:rPr>
              <w:t>Claimed</w:t>
            </w:r>
          </w:p>
        </w:tc>
        <w:tc>
          <w:tcPr>
            <w:tcW w:w="20" w:type="dxa"/>
            <w:vAlign w:val="bottom"/>
            <w:shd w:val="clear" w:color="auto" w:fill="9ADAF6"/>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Claimed</w:t>
            </w:r>
          </w:p>
        </w:tc>
        <w:tc>
          <w:tcPr>
            <w:tcW w:w="20" w:type="dxa"/>
            <w:vAlign w:val="bottom"/>
          </w:tcPr>
          <w:p>
            <w:pPr>
              <w:spacing w:after="0"/>
              <w:rPr>
                <w:sz w:val="16"/>
                <w:szCs w:val="16"/>
                <w:color w:val="auto"/>
              </w:rPr>
            </w:pPr>
          </w:p>
        </w:tc>
        <w:tc>
          <w:tcPr>
            <w:tcW w:w="240" w:type="dxa"/>
            <w:vAlign w:val="bottom"/>
            <w:shd w:val="clear" w:color="auto" w:fill="9ADAF6"/>
          </w:tcPr>
          <w:p>
            <w:pPr>
              <w:spacing w:after="0"/>
              <w:rPr>
                <w:sz w:val="16"/>
                <w:szCs w:val="16"/>
                <w:color w:val="auto"/>
              </w:rPr>
            </w:pPr>
          </w:p>
        </w:tc>
        <w:tc>
          <w:tcPr>
            <w:tcW w:w="740" w:type="dxa"/>
            <w:vAlign w:val="bottom"/>
            <w:gridSpan w:val="3"/>
            <w:shd w:val="clear" w:color="auto" w:fill="9ADAF6"/>
          </w:tcPr>
          <w:p>
            <w:pPr>
              <w:jc w:val="center"/>
              <w:ind w:right="136"/>
              <w:spacing w:after="0" w:line="189" w:lineRule="exact"/>
              <w:rPr>
                <w:sz w:val="20"/>
                <w:szCs w:val="20"/>
                <w:color w:val="auto"/>
              </w:rPr>
            </w:pPr>
            <w:r>
              <w:rPr>
                <w:rFonts w:ascii="Arial" w:cs="Arial" w:eastAsia="Arial" w:hAnsi="Arial"/>
                <w:sz w:val="17"/>
                <w:szCs w:val="17"/>
                <w:b w:val="1"/>
                <w:bCs w:val="1"/>
                <w:color w:val="auto"/>
                <w:w w:val="97"/>
              </w:rPr>
              <w:t>Offset</w:t>
            </w:r>
          </w:p>
        </w:tc>
        <w:tc>
          <w:tcPr>
            <w:tcW w:w="20" w:type="dxa"/>
            <w:vAlign w:val="bottom"/>
          </w:tcPr>
          <w:p>
            <w:pPr>
              <w:spacing w:after="0"/>
              <w:rPr>
                <w:sz w:val="16"/>
                <w:szCs w:val="16"/>
                <w:color w:val="auto"/>
              </w:rPr>
            </w:pPr>
          </w:p>
        </w:tc>
        <w:tc>
          <w:tcPr>
            <w:tcW w:w="66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Source</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40" w:type="dxa"/>
            <w:vAlign w:val="bottom"/>
            <w:tcBorders>
              <w:left w:val="single" w:sz="8" w:color="auto"/>
            </w:tcBorders>
          </w:tcPr>
          <w:p>
            <w:pPr>
              <w:spacing w:after="0"/>
              <w:rPr>
                <w:sz w:val="19"/>
                <w:szCs w:val="19"/>
                <w:color w:val="auto"/>
              </w:rPr>
            </w:pPr>
          </w:p>
        </w:tc>
        <w:tc>
          <w:tcPr>
            <w:tcW w:w="44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52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12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shd w:val="clear" w:color="auto" w:fill="9ADAF6"/>
          </w:tcPr>
          <w:p>
            <w:pPr>
              <w:spacing w:after="0"/>
              <w:rPr>
                <w:sz w:val="19"/>
                <w:szCs w:val="19"/>
                <w:color w:val="auto"/>
              </w:rPr>
            </w:pPr>
          </w:p>
        </w:tc>
        <w:tc>
          <w:tcPr>
            <w:tcW w:w="5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shd w:val="clear" w:color="auto" w:fill="9ADAF6"/>
          </w:tcPr>
          <w:p>
            <w:pPr>
              <w:spacing w:after="0"/>
              <w:rPr>
                <w:sz w:val="19"/>
                <w:szCs w:val="19"/>
                <w:color w:val="auto"/>
              </w:rPr>
            </w:pPr>
          </w:p>
        </w:tc>
        <w:tc>
          <w:tcPr>
            <w:tcW w:w="200" w:type="dxa"/>
            <w:vAlign w:val="bottom"/>
            <w:tcBorders>
              <w:right w:val="single" w:sz="8" w:color="9ADAF6"/>
            </w:tcBorders>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5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shd w:val="clear" w:color="auto" w:fill="9ADAF6"/>
          </w:tcPr>
          <w:p>
            <w:pPr>
              <w:spacing w:after="0"/>
              <w:rPr>
                <w:sz w:val="19"/>
                <w:szCs w:val="19"/>
                <w:color w:val="auto"/>
              </w:rPr>
            </w:pPr>
          </w:p>
        </w:tc>
        <w:tc>
          <w:tcPr>
            <w:tcW w:w="34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2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3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gridSpan w:val="4"/>
            <w:shd w:val="clear" w:color="auto" w:fill="9ADAF6"/>
          </w:tcPr>
          <w:p>
            <w:pPr>
              <w:jc w:val="center"/>
              <w:spacing w:after="0"/>
              <w:rPr>
                <w:sz w:val="20"/>
                <w:szCs w:val="20"/>
                <w:color w:val="auto"/>
              </w:rPr>
            </w:pPr>
            <w:r>
              <w:rPr>
                <w:rFonts w:ascii="Arial" w:cs="Arial" w:eastAsia="Arial" w:hAnsi="Arial"/>
                <w:sz w:val="17"/>
                <w:szCs w:val="17"/>
                <w:b w:val="1"/>
                <w:bCs w:val="1"/>
                <w:color w:val="auto"/>
                <w:w w:val="96"/>
              </w:rPr>
              <w:t>Claimed</w:t>
            </w:r>
          </w:p>
        </w:tc>
        <w:tc>
          <w:tcPr>
            <w:tcW w:w="20" w:type="dxa"/>
            <w:vAlign w:val="bottom"/>
          </w:tcPr>
          <w:p>
            <w:pPr>
              <w:spacing w:after="0"/>
              <w:rPr>
                <w:sz w:val="19"/>
                <w:szCs w:val="19"/>
                <w:color w:val="auto"/>
              </w:rPr>
            </w:pPr>
          </w:p>
        </w:tc>
        <w:tc>
          <w:tcPr>
            <w:tcW w:w="660" w:type="dxa"/>
            <w:vAlign w:val="bottom"/>
            <w:shd w:val="clear" w:color="auto" w:fill="9ADAF6"/>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180" w:type="dxa"/>
            <w:vAlign w:val="bottom"/>
            <w:gridSpan w:val="12"/>
          </w:tcPr>
          <w:p>
            <w:pPr>
              <w:ind w:left="20"/>
              <w:spacing w:after="0"/>
              <w:rPr>
                <w:sz w:val="20"/>
                <w:szCs w:val="20"/>
                <w:color w:val="auto"/>
              </w:rPr>
            </w:pPr>
            <w:r>
              <w:rPr>
                <w:rFonts w:ascii="Arial" w:cs="Arial" w:eastAsia="Arial" w:hAnsi="Arial"/>
                <w:sz w:val="17"/>
                <w:szCs w:val="17"/>
                <w:b w:val="1"/>
                <w:bCs w:val="1"/>
                <w:color w:val="auto"/>
                <w:w w:val="98"/>
              </w:rPr>
              <w:t>Rules 457(b) and 0-11(a)(2)</w:t>
            </w:r>
          </w:p>
        </w:tc>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980" w:type="dxa"/>
            <w:vAlign w:val="bottom"/>
            <w:gridSpan w:val="3"/>
            <w:shd w:val="clear" w:color="auto" w:fill="E7E7E2"/>
          </w:tcPr>
          <w:p>
            <w:pPr>
              <w:spacing w:after="0" w:line="189" w:lineRule="exact"/>
              <w:rPr>
                <w:sz w:val="20"/>
                <w:szCs w:val="20"/>
                <w:color w:val="auto"/>
              </w:rPr>
            </w:pPr>
            <w:r>
              <w:rPr>
                <w:rFonts w:ascii="Arial" w:cs="Arial" w:eastAsia="Arial" w:hAnsi="Arial"/>
                <w:sz w:val="17"/>
                <w:szCs w:val="17"/>
                <w:color w:val="auto"/>
              </w:rPr>
              <w:t>Fee Offset</w:t>
            </w:r>
          </w:p>
        </w:tc>
        <w:tc>
          <w:tcPr>
            <w:tcW w:w="4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2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shd w:val="clear" w:color="auto" w:fill="E7E7E2"/>
          </w:tcPr>
          <w:p>
            <w:pPr>
              <w:spacing w:after="0"/>
              <w:rPr>
                <w:sz w:val="16"/>
                <w:szCs w:val="16"/>
                <w:color w:val="auto"/>
              </w:rPr>
            </w:pPr>
          </w:p>
        </w:tc>
        <w:tc>
          <w:tcPr>
            <w:tcW w:w="5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shd w:val="clear" w:color="auto" w:fill="E7E7E2"/>
          </w:tcPr>
          <w:p>
            <w:pPr>
              <w:spacing w:after="0"/>
              <w:rPr>
                <w:sz w:val="16"/>
                <w:szCs w:val="16"/>
                <w:color w:val="auto"/>
              </w:rPr>
            </w:pPr>
          </w:p>
        </w:tc>
        <w:tc>
          <w:tcPr>
            <w:tcW w:w="200" w:type="dxa"/>
            <w:vAlign w:val="bottom"/>
            <w:tcBorders>
              <w:right w:val="single" w:sz="8" w:color="E7E7E2"/>
            </w:tcBorders>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5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shd w:val="clear" w:color="auto" w:fill="E7E7E2"/>
          </w:tcPr>
          <w:p>
            <w:pPr>
              <w:spacing w:after="0"/>
              <w:rPr>
                <w:sz w:val="16"/>
                <w:szCs w:val="16"/>
                <w:color w:val="auto"/>
              </w:rPr>
            </w:pPr>
          </w:p>
        </w:tc>
        <w:tc>
          <w:tcPr>
            <w:tcW w:w="34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2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3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shd w:val="clear" w:color="auto" w:fill="E7E7E2"/>
          </w:tcPr>
          <w:p>
            <w:pPr>
              <w:spacing w:after="0"/>
              <w:rPr>
                <w:sz w:val="16"/>
                <w:szCs w:val="16"/>
                <w:color w:val="auto"/>
              </w:rPr>
            </w:pPr>
          </w:p>
        </w:tc>
        <w:tc>
          <w:tcPr>
            <w:tcW w:w="52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2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shd w:val="clear" w:color="auto" w:fill="E7E7E2"/>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40" w:type="dxa"/>
            <w:vAlign w:val="bottom"/>
            <w:tcBorders>
              <w:left w:val="single" w:sz="8" w:color="auto"/>
            </w:tcBorders>
          </w:tcPr>
          <w:p>
            <w:pPr>
              <w:spacing w:after="0"/>
              <w:rPr>
                <w:sz w:val="19"/>
                <w:szCs w:val="19"/>
                <w:color w:val="auto"/>
              </w:rPr>
            </w:pPr>
          </w:p>
        </w:tc>
        <w:tc>
          <w:tcPr>
            <w:tcW w:w="980" w:type="dxa"/>
            <w:vAlign w:val="bottom"/>
            <w:gridSpan w:val="3"/>
            <w:shd w:val="clear" w:color="auto" w:fill="E7E7E2"/>
          </w:tcPr>
          <w:p>
            <w:pPr>
              <w:spacing w:after="0"/>
              <w:rPr>
                <w:sz w:val="20"/>
                <w:szCs w:val="20"/>
                <w:color w:val="auto"/>
              </w:rPr>
            </w:pPr>
            <w:r>
              <w:rPr>
                <w:rFonts w:ascii="Arial" w:cs="Arial" w:eastAsia="Arial" w:hAnsi="Arial"/>
                <w:sz w:val="17"/>
                <w:szCs w:val="17"/>
                <w:color w:val="auto"/>
              </w:rPr>
              <w:t>Claims</w:t>
            </w:r>
          </w:p>
        </w:tc>
        <w:tc>
          <w:tcPr>
            <w:tcW w:w="4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2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5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shd w:val="clear" w:color="auto" w:fill="E7E7E2"/>
          </w:tcPr>
          <w:p>
            <w:pPr>
              <w:spacing w:after="0"/>
              <w:rPr>
                <w:sz w:val="19"/>
                <w:szCs w:val="19"/>
                <w:color w:val="auto"/>
              </w:rPr>
            </w:pPr>
          </w:p>
        </w:tc>
        <w:tc>
          <w:tcPr>
            <w:tcW w:w="200" w:type="dxa"/>
            <w:vAlign w:val="bottom"/>
            <w:tcBorders>
              <w:right w:val="single" w:sz="8" w:color="E7E7E2"/>
            </w:tcBorders>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5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2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shd w:val="clear" w:color="auto" w:fill="E7E7E2"/>
          </w:tcPr>
          <w:p>
            <w:pPr>
              <w:spacing w:after="0"/>
              <w:rPr>
                <w:sz w:val="19"/>
                <w:szCs w:val="19"/>
                <w:color w:val="auto"/>
              </w:rPr>
            </w:pPr>
          </w:p>
        </w:tc>
        <w:tc>
          <w:tcPr>
            <w:tcW w:w="52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2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shd w:val="clear" w:color="auto" w:fill="E7E7E2"/>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40" w:type="dxa"/>
            <w:vAlign w:val="bottom"/>
            <w:tcBorders>
              <w:left w:val="single" w:sz="8" w:color="auto"/>
            </w:tcBorders>
          </w:tcPr>
          <w:p>
            <w:pPr>
              <w:spacing w:after="0"/>
              <w:rPr>
                <w:sz w:val="15"/>
                <w:szCs w:val="15"/>
                <w:color w:val="auto"/>
              </w:rPr>
            </w:pPr>
          </w:p>
        </w:tc>
        <w:tc>
          <w:tcPr>
            <w:tcW w:w="980" w:type="dxa"/>
            <w:vAlign w:val="bottom"/>
            <w:gridSpan w:val="3"/>
            <w:shd w:val="clear" w:color="auto" w:fill="E7E7E2"/>
          </w:tcPr>
          <w:p>
            <w:pPr>
              <w:spacing w:after="0" w:line="178" w:lineRule="exact"/>
              <w:rPr>
                <w:sz w:val="20"/>
                <w:szCs w:val="20"/>
                <w:color w:val="auto"/>
              </w:rPr>
            </w:pPr>
            <w:r>
              <w:rPr>
                <w:rFonts w:ascii="Arial" w:cs="Arial" w:eastAsia="Arial" w:hAnsi="Arial"/>
                <w:sz w:val="17"/>
                <w:szCs w:val="17"/>
                <w:color w:val="auto"/>
              </w:rPr>
              <w:t>Fee Offset</w:t>
            </w:r>
          </w:p>
        </w:tc>
        <w:tc>
          <w:tcPr>
            <w:tcW w:w="40" w:type="dxa"/>
            <w:vAlign w:val="bottom"/>
            <w:vMerge w:val="continue"/>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vMerge w:val="continue"/>
          </w:tcPr>
          <w:p>
            <w:pPr>
              <w:spacing w:after="0"/>
              <w:rPr>
                <w:sz w:val="15"/>
                <w:szCs w:val="15"/>
                <w:color w:val="auto"/>
              </w:rPr>
            </w:pPr>
          </w:p>
        </w:tc>
        <w:tc>
          <w:tcPr>
            <w:tcW w:w="28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2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shd w:val="clear" w:color="auto" w:fill="E7E7E2"/>
          </w:tcPr>
          <w:p>
            <w:pPr>
              <w:spacing w:after="0"/>
              <w:rPr>
                <w:sz w:val="15"/>
                <w:szCs w:val="15"/>
                <w:color w:val="auto"/>
              </w:rPr>
            </w:pPr>
          </w:p>
        </w:tc>
        <w:tc>
          <w:tcPr>
            <w:tcW w:w="5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shd w:val="clear" w:color="auto" w:fill="E7E7E2"/>
          </w:tcPr>
          <w:p>
            <w:pPr>
              <w:spacing w:after="0"/>
              <w:rPr>
                <w:sz w:val="15"/>
                <w:szCs w:val="15"/>
                <w:color w:val="auto"/>
              </w:rPr>
            </w:pPr>
          </w:p>
        </w:tc>
        <w:tc>
          <w:tcPr>
            <w:tcW w:w="200" w:type="dxa"/>
            <w:vAlign w:val="bottom"/>
            <w:tcBorders>
              <w:right w:val="single" w:sz="8" w:color="E7E7E2"/>
            </w:tcBorders>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5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shd w:val="clear" w:color="auto" w:fill="E7E7E2"/>
          </w:tcPr>
          <w:p>
            <w:pPr>
              <w:spacing w:after="0"/>
              <w:rPr>
                <w:sz w:val="15"/>
                <w:szCs w:val="15"/>
                <w:color w:val="auto"/>
              </w:rPr>
            </w:pPr>
          </w:p>
        </w:tc>
        <w:tc>
          <w:tcPr>
            <w:tcW w:w="3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2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shd w:val="clear" w:color="auto" w:fill="E7E7E2"/>
          </w:tcPr>
          <w:p>
            <w:pPr>
              <w:spacing w:after="0"/>
              <w:rPr>
                <w:sz w:val="15"/>
                <w:szCs w:val="15"/>
                <w:color w:val="auto"/>
              </w:rPr>
            </w:pPr>
          </w:p>
        </w:tc>
        <w:tc>
          <w:tcPr>
            <w:tcW w:w="52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2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40" w:type="dxa"/>
            <w:vAlign w:val="bottom"/>
            <w:tcBorders>
              <w:left w:val="single" w:sz="8" w:color="auto"/>
            </w:tcBorders>
          </w:tcPr>
          <w:p>
            <w:pPr>
              <w:spacing w:after="0"/>
              <w:rPr>
                <w:sz w:val="19"/>
                <w:szCs w:val="19"/>
                <w:color w:val="auto"/>
              </w:rPr>
            </w:pPr>
          </w:p>
        </w:tc>
        <w:tc>
          <w:tcPr>
            <w:tcW w:w="980" w:type="dxa"/>
            <w:vAlign w:val="bottom"/>
            <w:gridSpan w:val="3"/>
            <w:shd w:val="clear" w:color="auto" w:fill="E7E7E2"/>
          </w:tcPr>
          <w:p>
            <w:pPr>
              <w:spacing w:after="0"/>
              <w:rPr>
                <w:sz w:val="20"/>
                <w:szCs w:val="20"/>
                <w:color w:val="auto"/>
              </w:rPr>
            </w:pPr>
            <w:r>
              <w:rPr>
                <w:rFonts w:ascii="Arial" w:cs="Arial" w:eastAsia="Arial" w:hAnsi="Arial"/>
                <w:sz w:val="17"/>
                <w:szCs w:val="17"/>
                <w:color w:val="auto"/>
              </w:rPr>
              <w:t>Sources</w:t>
            </w:r>
          </w:p>
        </w:tc>
        <w:tc>
          <w:tcPr>
            <w:tcW w:w="4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2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5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shd w:val="clear" w:color="auto" w:fill="E7E7E2"/>
          </w:tcPr>
          <w:p>
            <w:pPr>
              <w:spacing w:after="0"/>
              <w:rPr>
                <w:sz w:val="19"/>
                <w:szCs w:val="19"/>
                <w:color w:val="auto"/>
              </w:rPr>
            </w:pPr>
          </w:p>
        </w:tc>
        <w:tc>
          <w:tcPr>
            <w:tcW w:w="200" w:type="dxa"/>
            <w:vAlign w:val="bottom"/>
            <w:tcBorders>
              <w:right w:val="single" w:sz="8" w:color="E7E7E2"/>
            </w:tcBorders>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5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2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shd w:val="clear" w:color="auto" w:fill="E7E7E2"/>
          </w:tcPr>
          <w:p>
            <w:pPr>
              <w:spacing w:after="0"/>
              <w:rPr>
                <w:sz w:val="19"/>
                <w:szCs w:val="19"/>
                <w:color w:val="auto"/>
              </w:rPr>
            </w:pPr>
          </w:p>
        </w:tc>
        <w:tc>
          <w:tcPr>
            <w:tcW w:w="52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2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shd w:val="clear" w:color="auto" w:fill="E7E7E2"/>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40" w:type="dxa"/>
            <w:vAlign w:val="bottom"/>
            <w:gridSpan w:val="5"/>
          </w:tcPr>
          <w:p>
            <w:pPr>
              <w:ind w:left="300"/>
              <w:spacing w:after="0"/>
              <w:rPr>
                <w:sz w:val="20"/>
                <w:szCs w:val="20"/>
                <w:color w:val="auto"/>
              </w:rPr>
            </w:pPr>
            <w:r>
              <w:rPr>
                <w:rFonts w:ascii="Arial" w:cs="Arial" w:eastAsia="Arial" w:hAnsi="Arial"/>
                <w:sz w:val="17"/>
                <w:szCs w:val="17"/>
                <w:b w:val="1"/>
                <w:bCs w:val="1"/>
                <w:color w:val="auto"/>
              </w:rPr>
              <w:t>Rule 457(p)</w:t>
            </w: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980" w:type="dxa"/>
            <w:vAlign w:val="bottom"/>
            <w:gridSpan w:val="3"/>
            <w:shd w:val="clear" w:color="auto" w:fill="E7E7E2"/>
          </w:tcPr>
          <w:p>
            <w:pPr>
              <w:spacing w:after="0" w:line="189" w:lineRule="exact"/>
              <w:rPr>
                <w:sz w:val="20"/>
                <w:szCs w:val="20"/>
                <w:color w:val="auto"/>
              </w:rPr>
            </w:pPr>
            <w:r>
              <w:rPr>
                <w:rFonts w:ascii="Arial" w:cs="Arial" w:eastAsia="Arial" w:hAnsi="Arial"/>
                <w:sz w:val="17"/>
                <w:szCs w:val="17"/>
                <w:color w:val="auto"/>
              </w:rPr>
              <w:t>Fee Offset</w:t>
            </w:r>
          </w:p>
        </w:tc>
        <w:tc>
          <w:tcPr>
            <w:tcW w:w="4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2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shd w:val="clear" w:color="auto" w:fill="E7E7E2"/>
          </w:tcPr>
          <w:p>
            <w:pPr>
              <w:spacing w:after="0"/>
              <w:rPr>
                <w:sz w:val="16"/>
                <w:szCs w:val="16"/>
                <w:color w:val="auto"/>
              </w:rPr>
            </w:pPr>
          </w:p>
        </w:tc>
        <w:tc>
          <w:tcPr>
            <w:tcW w:w="5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shd w:val="clear" w:color="auto" w:fill="E7E7E2"/>
          </w:tcPr>
          <w:p>
            <w:pPr>
              <w:spacing w:after="0"/>
              <w:rPr>
                <w:sz w:val="16"/>
                <w:szCs w:val="16"/>
                <w:color w:val="auto"/>
              </w:rPr>
            </w:pPr>
          </w:p>
        </w:tc>
        <w:tc>
          <w:tcPr>
            <w:tcW w:w="200" w:type="dxa"/>
            <w:vAlign w:val="bottom"/>
            <w:tcBorders>
              <w:right w:val="single" w:sz="8" w:color="E7E7E2"/>
            </w:tcBorders>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5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shd w:val="clear" w:color="auto" w:fill="E7E7E2"/>
          </w:tcPr>
          <w:p>
            <w:pPr>
              <w:spacing w:after="0"/>
              <w:rPr>
                <w:sz w:val="16"/>
                <w:szCs w:val="16"/>
                <w:color w:val="auto"/>
              </w:rPr>
            </w:pPr>
          </w:p>
        </w:tc>
        <w:tc>
          <w:tcPr>
            <w:tcW w:w="34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2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3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shd w:val="clear" w:color="auto" w:fill="E7E7E2"/>
          </w:tcPr>
          <w:p>
            <w:pPr>
              <w:spacing w:after="0"/>
              <w:rPr>
                <w:sz w:val="16"/>
                <w:szCs w:val="16"/>
                <w:color w:val="auto"/>
              </w:rPr>
            </w:pPr>
          </w:p>
        </w:tc>
        <w:tc>
          <w:tcPr>
            <w:tcW w:w="52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2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shd w:val="clear" w:color="auto" w:fill="E7E7E2"/>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40" w:type="dxa"/>
            <w:vAlign w:val="bottom"/>
            <w:tcBorders>
              <w:left w:val="single" w:sz="8" w:color="auto"/>
            </w:tcBorders>
          </w:tcPr>
          <w:p>
            <w:pPr>
              <w:spacing w:after="0"/>
              <w:rPr>
                <w:sz w:val="19"/>
                <w:szCs w:val="19"/>
                <w:color w:val="auto"/>
              </w:rPr>
            </w:pPr>
          </w:p>
        </w:tc>
        <w:tc>
          <w:tcPr>
            <w:tcW w:w="980" w:type="dxa"/>
            <w:vAlign w:val="bottom"/>
            <w:gridSpan w:val="3"/>
            <w:shd w:val="clear" w:color="auto" w:fill="E7E7E2"/>
          </w:tcPr>
          <w:p>
            <w:pPr>
              <w:spacing w:after="0"/>
              <w:rPr>
                <w:sz w:val="20"/>
                <w:szCs w:val="20"/>
                <w:color w:val="auto"/>
              </w:rPr>
            </w:pPr>
            <w:r>
              <w:rPr>
                <w:rFonts w:ascii="Arial" w:cs="Arial" w:eastAsia="Arial" w:hAnsi="Arial"/>
                <w:sz w:val="17"/>
                <w:szCs w:val="17"/>
                <w:color w:val="auto"/>
              </w:rPr>
              <w:t>Claims</w:t>
            </w:r>
          </w:p>
        </w:tc>
        <w:tc>
          <w:tcPr>
            <w:tcW w:w="4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2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5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shd w:val="clear" w:color="auto" w:fill="E7E7E2"/>
          </w:tcPr>
          <w:p>
            <w:pPr>
              <w:spacing w:after="0"/>
              <w:rPr>
                <w:sz w:val="19"/>
                <w:szCs w:val="19"/>
                <w:color w:val="auto"/>
              </w:rPr>
            </w:pPr>
          </w:p>
        </w:tc>
        <w:tc>
          <w:tcPr>
            <w:tcW w:w="200" w:type="dxa"/>
            <w:vAlign w:val="bottom"/>
            <w:tcBorders>
              <w:right w:val="single" w:sz="8" w:color="E7E7E2"/>
            </w:tcBorders>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5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2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shd w:val="clear" w:color="auto" w:fill="E7E7E2"/>
          </w:tcPr>
          <w:p>
            <w:pPr>
              <w:spacing w:after="0"/>
              <w:rPr>
                <w:sz w:val="19"/>
                <w:szCs w:val="19"/>
                <w:color w:val="auto"/>
              </w:rPr>
            </w:pPr>
          </w:p>
        </w:tc>
        <w:tc>
          <w:tcPr>
            <w:tcW w:w="52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2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shd w:val="clear" w:color="auto" w:fill="E7E7E2"/>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40" w:type="dxa"/>
            <w:vAlign w:val="bottom"/>
            <w:tcBorders>
              <w:left w:val="single" w:sz="8" w:color="auto"/>
            </w:tcBorders>
          </w:tcPr>
          <w:p>
            <w:pPr>
              <w:spacing w:after="0"/>
              <w:rPr>
                <w:sz w:val="15"/>
                <w:szCs w:val="15"/>
                <w:color w:val="auto"/>
              </w:rPr>
            </w:pPr>
          </w:p>
        </w:tc>
        <w:tc>
          <w:tcPr>
            <w:tcW w:w="980" w:type="dxa"/>
            <w:vAlign w:val="bottom"/>
            <w:gridSpan w:val="3"/>
            <w:shd w:val="clear" w:color="auto" w:fill="E7E7E2"/>
          </w:tcPr>
          <w:p>
            <w:pPr>
              <w:spacing w:after="0" w:line="178" w:lineRule="exact"/>
              <w:rPr>
                <w:sz w:val="20"/>
                <w:szCs w:val="20"/>
                <w:color w:val="auto"/>
              </w:rPr>
            </w:pPr>
            <w:r>
              <w:rPr>
                <w:rFonts w:ascii="Arial" w:cs="Arial" w:eastAsia="Arial" w:hAnsi="Arial"/>
                <w:sz w:val="17"/>
                <w:szCs w:val="17"/>
                <w:color w:val="auto"/>
              </w:rPr>
              <w:t>Fee Offset</w:t>
            </w:r>
          </w:p>
        </w:tc>
        <w:tc>
          <w:tcPr>
            <w:tcW w:w="40" w:type="dxa"/>
            <w:vAlign w:val="bottom"/>
            <w:vMerge w:val="continue"/>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vMerge w:val="continue"/>
          </w:tcPr>
          <w:p>
            <w:pPr>
              <w:spacing w:after="0"/>
              <w:rPr>
                <w:sz w:val="15"/>
                <w:szCs w:val="15"/>
                <w:color w:val="auto"/>
              </w:rPr>
            </w:pPr>
          </w:p>
        </w:tc>
        <w:tc>
          <w:tcPr>
            <w:tcW w:w="28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2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shd w:val="clear" w:color="auto" w:fill="E7E7E2"/>
          </w:tcPr>
          <w:p>
            <w:pPr>
              <w:spacing w:after="0"/>
              <w:rPr>
                <w:sz w:val="15"/>
                <w:szCs w:val="15"/>
                <w:color w:val="auto"/>
              </w:rPr>
            </w:pPr>
          </w:p>
        </w:tc>
        <w:tc>
          <w:tcPr>
            <w:tcW w:w="5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shd w:val="clear" w:color="auto" w:fill="E7E7E2"/>
          </w:tcPr>
          <w:p>
            <w:pPr>
              <w:spacing w:after="0"/>
              <w:rPr>
                <w:sz w:val="15"/>
                <w:szCs w:val="15"/>
                <w:color w:val="auto"/>
              </w:rPr>
            </w:pPr>
          </w:p>
        </w:tc>
        <w:tc>
          <w:tcPr>
            <w:tcW w:w="200" w:type="dxa"/>
            <w:vAlign w:val="bottom"/>
            <w:tcBorders>
              <w:right w:val="single" w:sz="8" w:color="E7E7E2"/>
            </w:tcBorders>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5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shd w:val="clear" w:color="auto" w:fill="E7E7E2"/>
          </w:tcPr>
          <w:p>
            <w:pPr>
              <w:spacing w:after="0"/>
              <w:rPr>
                <w:sz w:val="15"/>
                <w:szCs w:val="15"/>
                <w:color w:val="auto"/>
              </w:rPr>
            </w:pPr>
          </w:p>
        </w:tc>
        <w:tc>
          <w:tcPr>
            <w:tcW w:w="3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2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shd w:val="clear" w:color="auto" w:fill="E7E7E2"/>
          </w:tcPr>
          <w:p>
            <w:pPr>
              <w:spacing w:after="0"/>
              <w:rPr>
                <w:sz w:val="15"/>
                <w:szCs w:val="15"/>
                <w:color w:val="auto"/>
              </w:rPr>
            </w:pPr>
          </w:p>
        </w:tc>
        <w:tc>
          <w:tcPr>
            <w:tcW w:w="52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2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40" w:type="dxa"/>
            <w:vAlign w:val="bottom"/>
            <w:tcBorders>
              <w:left w:val="single" w:sz="8" w:color="auto"/>
            </w:tcBorders>
          </w:tcPr>
          <w:p>
            <w:pPr>
              <w:spacing w:after="0"/>
              <w:rPr>
                <w:sz w:val="19"/>
                <w:szCs w:val="19"/>
                <w:color w:val="auto"/>
              </w:rPr>
            </w:pPr>
          </w:p>
        </w:tc>
        <w:tc>
          <w:tcPr>
            <w:tcW w:w="980" w:type="dxa"/>
            <w:vAlign w:val="bottom"/>
            <w:gridSpan w:val="3"/>
            <w:shd w:val="clear" w:color="auto" w:fill="E7E7E2"/>
          </w:tcPr>
          <w:p>
            <w:pPr>
              <w:spacing w:after="0"/>
              <w:rPr>
                <w:sz w:val="20"/>
                <w:szCs w:val="20"/>
                <w:color w:val="auto"/>
              </w:rPr>
            </w:pPr>
            <w:r>
              <w:rPr>
                <w:rFonts w:ascii="Arial" w:cs="Arial" w:eastAsia="Arial" w:hAnsi="Arial"/>
                <w:sz w:val="17"/>
                <w:szCs w:val="17"/>
                <w:color w:val="auto"/>
              </w:rPr>
              <w:t>Sources</w:t>
            </w:r>
          </w:p>
        </w:tc>
        <w:tc>
          <w:tcPr>
            <w:tcW w:w="4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2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5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shd w:val="clear" w:color="auto" w:fill="E7E7E2"/>
          </w:tcPr>
          <w:p>
            <w:pPr>
              <w:spacing w:after="0"/>
              <w:rPr>
                <w:sz w:val="19"/>
                <w:szCs w:val="19"/>
                <w:color w:val="auto"/>
              </w:rPr>
            </w:pPr>
          </w:p>
        </w:tc>
        <w:tc>
          <w:tcPr>
            <w:tcW w:w="200" w:type="dxa"/>
            <w:vAlign w:val="bottom"/>
            <w:tcBorders>
              <w:right w:val="single" w:sz="8" w:color="E7E7E2"/>
            </w:tcBorders>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5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2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shd w:val="clear" w:color="auto" w:fill="E7E7E2"/>
          </w:tcPr>
          <w:p>
            <w:pPr>
              <w:spacing w:after="0"/>
              <w:rPr>
                <w:sz w:val="19"/>
                <w:szCs w:val="19"/>
                <w:color w:val="auto"/>
              </w:rPr>
            </w:pPr>
          </w:p>
        </w:tc>
        <w:tc>
          <w:tcPr>
            <w:tcW w:w="52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2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shd w:val="clear" w:color="auto" w:fill="E7E7E2"/>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8"/>
        </w:trPr>
        <w:tc>
          <w:tcPr>
            <w:tcW w:w="4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gridSpan w:val="11"/>
          </w:tcPr>
          <w:p>
            <w:pPr>
              <w:spacing w:after="0"/>
              <w:rPr>
                <w:sz w:val="20"/>
                <w:szCs w:val="20"/>
                <w:color w:val="auto"/>
              </w:rPr>
            </w:pPr>
            <w:r>
              <w:rPr>
                <w:rFonts w:ascii="Arial" w:cs="Arial" w:eastAsia="Arial" w:hAnsi="Arial"/>
                <w:sz w:val="17"/>
                <w:szCs w:val="17"/>
                <w:b w:val="1"/>
                <w:bCs w:val="1"/>
                <w:color w:val="auto"/>
              </w:rPr>
              <w:t>Table 3: Combined Prospectuses</w:t>
            </w:r>
          </w:p>
        </w:tc>
        <w:tc>
          <w:tcPr>
            <w:tcW w:w="5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6"/>
          </w:tcPr>
          <w:p>
            <w:pPr>
              <w:ind w:left="120"/>
              <w:spacing w:after="0" w:line="196" w:lineRule="exact"/>
              <w:rPr>
                <w:sz w:val="20"/>
                <w:szCs w:val="20"/>
                <w:color w:val="auto"/>
              </w:rPr>
            </w:pPr>
            <w:r>
              <w:rPr>
                <w:rFonts w:ascii="MS PGothic" w:cs="MS PGothic" w:eastAsia="MS PGothic" w:hAnsi="MS PGothic"/>
                <w:sz w:val="17"/>
                <w:szCs w:val="17"/>
                <w:color w:val="auto"/>
                <w:highlight w:val="black"/>
                <w:w w:val="95"/>
              </w:rPr>
              <w:t>☑</w:t>
            </w:r>
            <w:r>
              <w:rPr>
                <w:rFonts w:ascii="Arial" w:cs="Arial" w:eastAsia="Arial" w:hAnsi="Arial"/>
                <w:sz w:val="17"/>
                <w:szCs w:val="17"/>
                <w:b w:val="1"/>
                <w:bCs w:val="1"/>
                <w:color w:val="auto"/>
                <w:w w:val="95"/>
              </w:rPr>
              <w:t>Not Applicable</w:t>
            </w:r>
          </w:p>
        </w:tc>
        <w:tc>
          <w:tcPr>
            <w:tcW w:w="0" w:type="dxa"/>
            <w:vAlign w:val="bottom"/>
          </w:tcPr>
          <w:p>
            <w:pPr>
              <w:spacing w:after="0"/>
              <w:rPr>
                <w:sz w:val="1"/>
                <w:szCs w:val="1"/>
                <w:color w:val="auto"/>
              </w:rPr>
            </w:pPr>
          </w:p>
        </w:tc>
      </w:tr>
      <w:tr>
        <w:trPr>
          <w:trHeight w:val="194"/>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40" w:type="dxa"/>
            <w:vAlign w:val="bottom"/>
            <w:shd w:val="clear" w:color="auto" w:fill="9ADAF6"/>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2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8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5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40" w:type="dxa"/>
            <w:vAlign w:val="bottom"/>
            <w:shd w:val="clear" w:color="auto" w:fill="9ADAF6"/>
          </w:tcPr>
          <w:p>
            <w:pPr>
              <w:spacing w:after="0"/>
              <w:rPr>
                <w:sz w:val="16"/>
                <w:szCs w:val="16"/>
                <w:color w:val="auto"/>
              </w:rPr>
            </w:pPr>
          </w:p>
        </w:tc>
        <w:tc>
          <w:tcPr>
            <w:tcW w:w="200" w:type="dxa"/>
            <w:vAlign w:val="bottom"/>
            <w:tcBorders>
              <w:right w:val="single" w:sz="8" w:color="9ADAF6"/>
            </w:tcBorders>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40" w:type="dxa"/>
            <w:vAlign w:val="bottom"/>
            <w:gridSpan w:val="5"/>
            <w:shd w:val="clear" w:color="auto" w:fill="9ADAF6"/>
          </w:tcPr>
          <w:p>
            <w:pPr>
              <w:ind w:left="360"/>
              <w:spacing w:after="0" w:line="194" w:lineRule="exact"/>
              <w:rPr>
                <w:sz w:val="20"/>
                <w:szCs w:val="20"/>
                <w:color w:val="auto"/>
              </w:rPr>
            </w:pPr>
            <w:r>
              <w:rPr>
                <w:rFonts w:ascii="Arial" w:cs="Arial" w:eastAsia="Arial" w:hAnsi="Arial"/>
                <w:sz w:val="17"/>
                <w:szCs w:val="17"/>
                <w:b w:val="1"/>
                <w:bCs w:val="1"/>
                <w:color w:val="auto"/>
              </w:rPr>
              <w:t>Amount of</w:t>
            </w:r>
          </w:p>
        </w:tc>
        <w:tc>
          <w:tcPr>
            <w:tcW w:w="3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020" w:type="dxa"/>
            <w:vAlign w:val="bottom"/>
            <w:gridSpan w:val="5"/>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w w:val="98"/>
              </w:rPr>
              <w:t>Maximum Aggregate</w:t>
            </w:r>
          </w:p>
        </w:tc>
        <w:tc>
          <w:tcPr>
            <w:tcW w:w="20" w:type="dxa"/>
            <w:vAlign w:val="bottom"/>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24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700" w:type="dxa"/>
            <w:vAlign w:val="bottom"/>
            <w:tcBorders>
              <w:right w:val="single" w:sz="8" w:color="auto"/>
            </w:tcBorders>
            <w:gridSpan w:val="2"/>
            <w:vMerge w:val="restart"/>
            <w:shd w:val="clear" w:color="auto" w:fill="9ADAF6"/>
          </w:tcPr>
          <w:p>
            <w:pPr>
              <w:jc w:val="center"/>
              <w:ind w:right="260"/>
              <w:spacing w:after="0"/>
              <w:rPr>
                <w:sz w:val="20"/>
                <w:szCs w:val="20"/>
                <w:color w:val="auto"/>
              </w:rPr>
            </w:pPr>
            <w:r>
              <w:rPr>
                <w:rFonts w:ascii="Arial" w:cs="Arial" w:eastAsia="Arial" w:hAnsi="Arial"/>
                <w:sz w:val="17"/>
                <w:szCs w:val="17"/>
                <w:b w:val="1"/>
                <w:bCs w:val="1"/>
                <w:color w:val="auto"/>
                <w:w w:val="98"/>
              </w:rPr>
              <w:t>Initial</w:t>
            </w:r>
          </w:p>
        </w:tc>
        <w:tc>
          <w:tcPr>
            <w:tcW w:w="0" w:type="dxa"/>
            <w:vAlign w:val="bottom"/>
          </w:tcPr>
          <w:p>
            <w:pPr>
              <w:spacing w:after="0"/>
              <w:rPr>
                <w:sz w:val="1"/>
                <w:szCs w:val="1"/>
                <w:color w:val="auto"/>
              </w:rPr>
            </w:pPr>
          </w:p>
        </w:tc>
      </w:tr>
      <w:tr>
        <w:trPr>
          <w:trHeight w:val="94"/>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shd w:val="clear" w:color="auto" w:fill="9ADAF6"/>
          </w:tcPr>
          <w:p>
            <w:pPr>
              <w:spacing w:after="0"/>
              <w:rPr>
                <w:sz w:val="8"/>
                <w:szCs w:val="8"/>
                <w:color w:val="auto"/>
              </w:rPr>
            </w:pPr>
          </w:p>
        </w:tc>
        <w:tc>
          <w:tcPr>
            <w:tcW w:w="40" w:type="dxa"/>
            <w:vAlign w:val="bottom"/>
            <w:shd w:val="clear" w:color="auto" w:fill="9ADAF6"/>
          </w:tcPr>
          <w:p>
            <w:pPr>
              <w:spacing w:after="0"/>
              <w:rPr>
                <w:sz w:val="8"/>
                <w:szCs w:val="8"/>
                <w:color w:val="auto"/>
              </w:rPr>
            </w:pPr>
          </w:p>
        </w:tc>
        <w:tc>
          <w:tcPr>
            <w:tcW w:w="7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28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8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80" w:type="dxa"/>
            <w:vAlign w:val="bottom"/>
            <w:shd w:val="clear" w:color="auto" w:fill="9ADAF6"/>
          </w:tcPr>
          <w:p>
            <w:pPr>
              <w:spacing w:after="0"/>
              <w:rPr>
                <w:sz w:val="8"/>
                <w:szCs w:val="8"/>
                <w:color w:val="auto"/>
              </w:rPr>
            </w:pPr>
          </w:p>
        </w:tc>
        <w:tc>
          <w:tcPr>
            <w:tcW w:w="5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40" w:type="dxa"/>
            <w:vAlign w:val="bottom"/>
            <w:shd w:val="clear" w:color="auto" w:fill="9ADAF6"/>
          </w:tcPr>
          <w:p>
            <w:pPr>
              <w:spacing w:after="0"/>
              <w:rPr>
                <w:sz w:val="8"/>
                <w:szCs w:val="8"/>
                <w:color w:val="auto"/>
              </w:rPr>
            </w:pPr>
          </w:p>
        </w:tc>
        <w:tc>
          <w:tcPr>
            <w:tcW w:w="200" w:type="dxa"/>
            <w:vAlign w:val="bottom"/>
            <w:tcBorders>
              <w:right w:val="single" w:sz="8" w:color="9ADAF6"/>
            </w:tcBorders>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40" w:type="dxa"/>
            <w:vAlign w:val="bottom"/>
            <w:gridSpan w:val="5"/>
            <w:vMerge w:val="restart"/>
            <w:shd w:val="clear" w:color="auto" w:fill="9ADAF6"/>
          </w:tcPr>
          <w:p>
            <w:pPr>
              <w:ind w:left="380"/>
              <w:spacing w:after="0" w:line="189" w:lineRule="exact"/>
              <w:rPr>
                <w:sz w:val="20"/>
                <w:szCs w:val="20"/>
                <w:color w:val="auto"/>
              </w:rPr>
            </w:pPr>
            <w:r>
              <w:rPr>
                <w:rFonts w:ascii="Arial" w:cs="Arial" w:eastAsia="Arial" w:hAnsi="Arial"/>
                <w:sz w:val="17"/>
                <w:szCs w:val="17"/>
                <w:b w:val="1"/>
                <w:bCs w:val="1"/>
                <w:color w:val="auto"/>
              </w:rPr>
              <w:t>Securities</w:t>
            </w:r>
          </w:p>
        </w:tc>
        <w:tc>
          <w:tcPr>
            <w:tcW w:w="3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760" w:type="dxa"/>
            <w:vAlign w:val="bottom"/>
            <w:gridSpan w:val="3"/>
            <w:vMerge w:val="restart"/>
            <w:shd w:val="clear" w:color="auto" w:fill="9ADAF6"/>
          </w:tcPr>
          <w:p>
            <w:pPr>
              <w:jc w:val="center"/>
              <w:ind w:right="200"/>
              <w:spacing w:after="0" w:line="189" w:lineRule="exact"/>
              <w:rPr>
                <w:sz w:val="20"/>
                <w:szCs w:val="20"/>
                <w:color w:val="auto"/>
              </w:rPr>
            </w:pPr>
            <w:r>
              <w:rPr>
                <w:rFonts w:ascii="Arial" w:cs="Arial" w:eastAsia="Arial" w:hAnsi="Arial"/>
                <w:sz w:val="17"/>
                <w:szCs w:val="17"/>
                <w:b w:val="1"/>
                <w:bCs w:val="1"/>
                <w:color w:val="auto"/>
                <w:w w:val="99"/>
              </w:rPr>
              <w:t>Offering Price of</w:t>
            </w:r>
          </w:p>
        </w:tc>
        <w:tc>
          <w:tcPr>
            <w:tcW w:w="20" w:type="dxa"/>
            <w:vAlign w:val="bottom"/>
          </w:tcPr>
          <w:p>
            <w:pPr>
              <w:spacing w:after="0"/>
              <w:rPr>
                <w:sz w:val="8"/>
                <w:szCs w:val="8"/>
                <w:color w:val="auto"/>
              </w:rPr>
            </w:pPr>
          </w:p>
        </w:tc>
        <w:tc>
          <w:tcPr>
            <w:tcW w:w="8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60" w:type="dxa"/>
            <w:vAlign w:val="bottom"/>
            <w:vMerge w:val="restart"/>
            <w:shd w:val="clear" w:color="auto" w:fill="9ADAF6"/>
          </w:tcPr>
          <w:p>
            <w:pPr>
              <w:ind w:left="20"/>
              <w:spacing w:after="0" w:line="189" w:lineRule="exact"/>
              <w:rPr>
                <w:sz w:val="20"/>
                <w:szCs w:val="20"/>
                <w:color w:val="auto"/>
              </w:rPr>
            </w:pPr>
            <w:r>
              <w:rPr>
                <w:rFonts w:ascii="Arial" w:cs="Arial" w:eastAsia="Arial" w:hAnsi="Arial"/>
                <w:sz w:val="17"/>
                <w:szCs w:val="17"/>
                <w:b w:val="1"/>
                <w:bCs w:val="1"/>
                <w:color w:val="auto"/>
              </w:rPr>
              <w:t>Form</w:t>
            </w:r>
          </w:p>
        </w:tc>
        <w:tc>
          <w:tcPr>
            <w:tcW w:w="20" w:type="dxa"/>
            <w:vAlign w:val="bottom"/>
          </w:tcPr>
          <w:p>
            <w:pPr>
              <w:spacing w:after="0"/>
              <w:rPr>
                <w:sz w:val="8"/>
                <w:szCs w:val="8"/>
                <w:color w:val="auto"/>
              </w:rPr>
            </w:pPr>
          </w:p>
        </w:tc>
        <w:tc>
          <w:tcPr>
            <w:tcW w:w="3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240" w:type="dxa"/>
            <w:vAlign w:val="bottom"/>
            <w:shd w:val="clear" w:color="auto" w:fill="9ADAF6"/>
          </w:tcPr>
          <w:p>
            <w:pPr>
              <w:spacing w:after="0"/>
              <w:rPr>
                <w:sz w:val="8"/>
                <w:szCs w:val="8"/>
                <w:color w:val="auto"/>
              </w:rPr>
            </w:pPr>
          </w:p>
        </w:tc>
        <w:tc>
          <w:tcPr>
            <w:tcW w:w="5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00" w:type="dxa"/>
            <w:vAlign w:val="bottom"/>
            <w:tcBorders>
              <w:right w:val="single" w:sz="8" w:color="auto"/>
            </w:tcBorders>
            <w:gridSpan w:val="2"/>
            <w:vMerge w:val="continue"/>
            <w:shd w:val="clear" w:color="auto" w:fill="9ADAF6"/>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gridSpan w:val="5"/>
            <w:vMerge w:val="restart"/>
            <w:shd w:val="clear" w:color="auto" w:fill="9ADAF6"/>
          </w:tcPr>
          <w:p>
            <w:pPr>
              <w:ind w:left="240"/>
              <w:spacing w:after="0" w:line="189" w:lineRule="exact"/>
              <w:rPr>
                <w:sz w:val="20"/>
                <w:szCs w:val="20"/>
                <w:color w:val="auto"/>
              </w:rPr>
            </w:pPr>
            <w:r>
              <w:rPr>
                <w:rFonts w:ascii="Arial" w:cs="Arial" w:eastAsia="Arial" w:hAnsi="Arial"/>
                <w:sz w:val="17"/>
                <w:szCs w:val="17"/>
                <w:b w:val="1"/>
                <w:bCs w:val="1"/>
                <w:color w:val="auto"/>
              </w:rPr>
              <w:t>Security Type</w:t>
            </w:r>
          </w:p>
        </w:tc>
        <w:tc>
          <w:tcPr>
            <w:tcW w:w="20" w:type="dxa"/>
            <w:vAlign w:val="bottom"/>
          </w:tcPr>
          <w:p>
            <w:pPr>
              <w:spacing w:after="0"/>
              <w:rPr>
                <w:sz w:val="8"/>
                <w:szCs w:val="8"/>
                <w:color w:val="auto"/>
              </w:rPr>
            </w:pPr>
          </w:p>
        </w:tc>
        <w:tc>
          <w:tcPr>
            <w:tcW w:w="2480" w:type="dxa"/>
            <w:vAlign w:val="bottom"/>
            <w:gridSpan w:val="6"/>
            <w:vMerge w:val="restart"/>
            <w:shd w:val="clear" w:color="auto" w:fill="9ADAF6"/>
          </w:tcPr>
          <w:p>
            <w:pPr>
              <w:ind w:left="640"/>
              <w:spacing w:after="0" w:line="189" w:lineRule="exact"/>
              <w:rPr>
                <w:sz w:val="20"/>
                <w:szCs w:val="20"/>
                <w:color w:val="auto"/>
              </w:rPr>
            </w:pPr>
            <w:r>
              <w:rPr>
                <w:rFonts w:ascii="Arial" w:cs="Arial" w:eastAsia="Arial" w:hAnsi="Arial"/>
                <w:sz w:val="17"/>
                <w:szCs w:val="17"/>
                <w:b w:val="1"/>
                <w:bCs w:val="1"/>
                <w:color w:val="auto"/>
              </w:rPr>
              <w:t>Security Class Title</w:t>
            </w:r>
          </w:p>
        </w:tc>
        <w:tc>
          <w:tcPr>
            <w:tcW w:w="200" w:type="dxa"/>
            <w:vAlign w:val="bottom"/>
            <w:tcBorders>
              <w:right w:val="single" w:sz="8" w:color="9ADAF6"/>
            </w:tcBorders>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40" w:type="dxa"/>
            <w:vAlign w:val="bottom"/>
            <w:gridSpan w:val="5"/>
            <w:vMerge w:val="continue"/>
            <w:shd w:val="clear" w:color="auto" w:fill="9ADAF6"/>
          </w:tcPr>
          <w:p>
            <w:pPr>
              <w:spacing w:after="0"/>
              <w:rPr>
                <w:sz w:val="8"/>
                <w:szCs w:val="8"/>
                <w:color w:val="auto"/>
              </w:rPr>
            </w:pPr>
          </w:p>
        </w:tc>
        <w:tc>
          <w:tcPr>
            <w:tcW w:w="3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760" w:type="dxa"/>
            <w:vAlign w:val="bottom"/>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6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120" w:type="dxa"/>
            <w:vAlign w:val="bottom"/>
            <w:gridSpan w:val="4"/>
            <w:vMerge w:val="restart"/>
            <w:shd w:val="clear" w:color="auto" w:fill="9ADAF6"/>
          </w:tcPr>
          <w:p>
            <w:pPr>
              <w:ind w:left="80"/>
              <w:spacing w:after="0" w:line="189" w:lineRule="exact"/>
              <w:rPr>
                <w:sz w:val="20"/>
                <w:szCs w:val="20"/>
                <w:color w:val="auto"/>
              </w:rPr>
            </w:pPr>
            <w:r>
              <w:rPr>
                <w:rFonts w:ascii="Arial" w:cs="Arial" w:eastAsia="Arial" w:hAnsi="Arial"/>
                <w:sz w:val="17"/>
                <w:szCs w:val="17"/>
                <w:b w:val="1"/>
                <w:bCs w:val="1"/>
                <w:color w:val="auto"/>
              </w:rPr>
              <w:t>File Number</w:t>
            </w:r>
          </w:p>
        </w:tc>
        <w:tc>
          <w:tcPr>
            <w:tcW w:w="20" w:type="dxa"/>
            <w:vAlign w:val="bottom"/>
          </w:tcPr>
          <w:p>
            <w:pPr>
              <w:spacing w:after="0"/>
              <w:rPr>
                <w:sz w:val="8"/>
                <w:szCs w:val="8"/>
                <w:color w:val="auto"/>
              </w:rPr>
            </w:pPr>
          </w:p>
        </w:tc>
        <w:tc>
          <w:tcPr>
            <w:tcW w:w="920" w:type="dxa"/>
            <w:vAlign w:val="bottom"/>
            <w:tcBorders>
              <w:right w:val="single" w:sz="8" w:color="auto"/>
            </w:tcBorders>
            <w:gridSpan w:val="4"/>
            <w:vMerge w:val="restart"/>
            <w:shd w:val="clear" w:color="auto" w:fill="9ADAF6"/>
          </w:tcPr>
          <w:p>
            <w:pPr>
              <w:jc w:val="center"/>
              <w:ind w:right="20"/>
              <w:spacing w:after="0" w:line="189" w:lineRule="exact"/>
              <w:rPr>
                <w:sz w:val="20"/>
                <w:szCs w:val="20"/>
                <w:color w:val="auto"/>
              </w:rPr>
            </w:pPr>
            <w:r>
              <w:rPr>
                <w:rFonts w:ascii="Arial" w:cs="Arial" w:eastAsia="Arial" w:hAnsi="Arial"/>
                <w:sz w:val="17"/>
                <w:szCs w:val="17"/>
                <w:b w:val="1"/>
                <w:bCs w:val="1"/>
                <w:color w:val="auto"/>
                <w:w w:val="98"/>
              </w:rPr>
              <w:t>Effective</w:t>
            </w:r>
          </w:p>
        </w:tc>
        <w:tc>
          <w:tcPr>
            <w:tcW w:w="0" w:type="dxa"/>
            <w:vAlign w:val="bottom"/>
          </w:tcPr>
          <w:p>
            <w:pPr>
              <w:spacing w:after="0"/>
              <w:rPr>
                <w:sz w:val="1"/>
                <w:szCs w:val="1"/>
                <w:color w:val="auto"/>
              </w:rPr>
            </w:pPr>
          </w:p>
        </w:tc>
      </w:tr>
      <w:tr>
        <w:trPr>
          <w:trHeight w:val="94"/>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gridSpan w:val="5"/>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480" w:type="dxa"/>
            <w:vAlign w:val="bottom"/>
            <w:gridSpan w:val="6"/>
            <w:vMerge w:val="continue"/>
            <w:shd w:val="clear" w:color="auto" w:fill="9ADAF6"/>
          </w:tcPr>
          <w:p>
            <w:pPr>
              <w:spacing w:after="0"/>
              <w:rPr>
                <w:sz w:val="8"/>
                <w:szCs w:val="8"/>
                <w:color w:val="auto"/>
              </w:rPr>
            </w:pPr>
          </w:p>
        </w:tc>
        <w:tc>
          <w:tcPr>
            <w:tcW w:w="200" w:type="dxa"/>
            <w:vAlign w:val="bottom"/>
            <w:tcBorders>
              <w:right w:val="single" w:sz="8" w:color="9ADAF6"/>
            </w:tcBorders>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40" w:type="dxa"/>
            <w:vAlign w:val="bottom"/>
            <w:gridSpan w:val="5"/>
            <w:vMerge w:val="restart"/>
            <w:shd w:val="clear" w:color="auto" w:fill="9ADAF6"/>
          </w:tcPr>
          <w:p>
            <w:pPr>
              <w:ind w:left="360"/>
              <w:spacing w:after="0" w:line="189" w:lineRule="exact"/>
              <w:rPr>
                <w:sz w:val="20"/>
                <w:szCs w:val="20"/>
                <w:color w:val="auto"/>
              </w:rPr>
            </w:pPr>
            <w:r>
              <w:rPr>
                <w:rFonts w:ascii="Arial" w:cs="Arial" w:eastAsia="Arial" w:hAnsi="Arial"/>
                <w:sz w:val="17"/>
                <w:szCs w:val="17"/>
                <w:b w:val="1"/>
                <w:bCs w:val="1"/>
                <w:color w:val="auto"/>
                <w:w w:val="99"/>
              </w:rPr>
              <w:t>Previously</w:t>
            </w:r>
          </w:p>
        </w:tc>
        <w:tc>
          <w:tcPr>
            <w:tcW w:w="3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020" w:type="dxa"/>
            <w:vAlign w:val="bottom"/>
            <w:gridSpan w:val="5"/>
            <w:vMerge w:val="restart"/>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Securities Previously</w:t>
            </w:r>
          </w:p>
        </w:tc>
        <w:tc>
          <w:tcPr>
            <w:tcW w:w="20" w:type="dxa"/>
            <w:vAlign w:val="bottom"/>
          </w:tcPr>
          <w:p>
            <w:pPr>
              <w:spacing w:after="0"/>
              <w:rPr>
                <w:sz w:val="8"/>
                <w:szCs w:val="8"/>
                <w:color w:val="auto"/>
              </w:rPr>
            </w:pPr>
          </w:p>
        </w:tc>
        <w:tc>
          <w:tcPr>
            <w:tcW w:w="8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60" w:type="dxa"/>
            <w:vAlign w:val="bottom"/>
            <w:vMerge w:val="restart"/>
            <w:shd w:val="clear" w:color="auto" w:fill="9ADAF6"/>
          </w:tcPr>
          <w:p>
            <w:pPr>
              <w:ind w:left="40"/>
              <w:spacing w:after="0" w:line="189" w:lineRule="exact"/>
              <w:rPr>
                <w:sz w:val="20"/>
                <w:szCs w:val="20"/>
                <w:color w:val="auto"/>
              </w:rPr>
            </w:pPr>
            <w:r>
              <w:rPr>
                <w:rFonts w:ascii="Arial" w:cs="Arial" w:eastAsia="Arial" w:hAnsi="Arial"/>
                <w:sz w:val="17"/>
                <w:szCs w:val="17"/>
                <w:b w:val="1"/>
                <w:bCs w:val="1"/>
                <w:color w:val="auto"/>
              </w:rPr>
              <w:t>Type</w:t>
            </w:r>
          </w:p>
        </w:tc>
        <w:tc>
          <w:tcPr>
            <w:tcW w:w="20" w:type="dxa"/>
            <w:vAlign w:val="bottom"/>
          </w:tcPr>
          <w:p>
            <w:pPr>
              <w:spacing w:after="0"/>
              <w:rPr>
                <w:sz w:val="8"/>
                <w:szCs w:val="8"/>
                <w:color w:val="auto"/>
              </w:rPr>
            </w:pPr>
          </w:p>
        </w:tc>
        <w:tc>
          <w:tcPr>
            <w:tcW w:w="1120" w:type="dxa"/>
            <w:vAlign w:val="bottom"/>
            <w:gridSpan w:val="4"/>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tcBorders>
              <w:right w:val="single" w:sz="8" w:color="auto"/>
            </w:tcBorders>
            <w:gridSpan w:val="4"/>
            <w:vMerge w:val="continue"/>
            <w:shd w:val="clear" w:color="auto" w:fill="9ADAF6"/>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shd w:val="clear" w:color="auto" w:fill="9ADAF6"/>
          </w:tcPr>
          <w:p>
            <w:pPr>
              <w:spacing w:after="0"/>
              <w:rPr>
                <w:sz w:val="8"/>
                <w:szCs w:val="8"/>
                <w:color w:val="auto"/>
              </w:rPr>
            </w:pPr>
          </w:p>
        </w:tc>
        <w:tc>
          <w:tcPr>
            <w:tcW w:w="40" w:type="dxa"/>
            <w:vAlign w:val="bottom"/>
            <w:shd w:val="clear" w:color="auto" w:fill="9ADAF6"/>
          </w:tcPr>
          <w:p>
            <w:pPr>
              <w:spacing w:after="0"/>
              <w:rPr>
                <w:sz w:val="8"/>
                <w:szCs w:val="8"/>
                <w:color w:val="auto"/>
              </w:rPr>
            </w:pPr>
          </w:p>
        </w:tc>
        <w:tc>
          <w:tcPr>
            <w:tcW w:w="7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28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8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80" w:type="dxa"/>
            <w:vAlign w:val="bottom"/>
            <w:shd w:val="clear" w:color="auto" w:fill="9ADAF6"/>
          </w:tcPr>
          <w:p>
            <w:pPr>
              <w:spacing w:after="0"/>
              <w:rPr>
                <w:sz w:val="8"/>
                <w:szCs w:val="8"/>
                <w:color w:val="auto"/>
              </w:rPr>
            </w:pPr>
          </w:p>
        </w:tc>
        <w:tc>
          <w:tcPr>
            <w:tcW w:w="5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40" w:type="dxa"/>
            <w:vAlign w:val="bottom"/>
            <w:shd w:val="clear" w:color="auto" w:fill="9ADAF6"/>
          </w:tcPr>
          <w:p>
            <w:pPr>
              <w:spacing w:after="0"/>
              <w:rPr>
                <w:sz w:val="8"/>
                <w:szCs w:val="8"/>
                <w:color w:val="auto"/>
              </w:rPr>
            </w:pPr>
          </w:p>
        </w:tc>
        <w:tc>
          <w:tcPr>
            <w:tcW w:w="200" w:type="dxa"/>
            <w:vAlign w:val="bottom"/>
            <w:tcBorders>
              <w:right w:val="single" w:sz="8" w:color="9ADAF6"/>
            </w:tcBorders>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40" w:type="dxa"/>
            <w:vAlign w:val="bottom"/>
            <w:gridSpan w:val="5"/>
            <w:vMerge w:val="continue"/>
            <w:shd w:val="clear" w:color="auto" w:fill="9ADAF6"/>
          </w:tcPr>
          <w:p>
            <w:pPr>
              <w:spacing w:after="0"/>
              <w:rPr>
                <w:sz w:val="8"/>
                <w:szCs w:val="8"/>
                <w:color w:val="auto"/>
              </w:rPr>
            </w:pPr>
          </w:p>
        </w:tc>
        <w:tc>
          <w:tcPr>
            <w:tcW w:w="3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020" w:type="dxa"/>
            <w:vAlign w:val="bottom"/>
            <w:gridSpan w:val="5"/>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6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240" w:type="dxa"/>
            <w:vAlign w:val="bottom"/>
            <w:shd w:val="clear" w:color="auto" w:fill="9ADAF6"/>
          </w:tcPr>
          <w:p>
            <w:pPr>
              <w:spacing w:after="0"/>
              <w:rPr>
                <w:sz w:val="8"/>
                <w:szCs w:val="8"/>
                <w:color w:val="auto"/>
              </w:rPr>
            </w:pPr>
          </w:p>
        </w:tc>
        <w:tc>
          <w:tcPr>
            <w:tcW w:w="5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00" w:type="dxa"/>
            <w:vAlign w:val="bottom"/>
            <w:tcBorders>
              <w:right w:val="single" w:sz="8" w:color="auto"/>
            </w:tcBorders>
            <w:gridSpan w:val="2"/>
            <w:vMerge w:val="restart"/>
            <w:shd w:val="clear" w:color="auto" w:fill="9ADAF6"/>
          </w:tcPr>
          <w:p>
            <w:pPr>
              <w:jc w:val="center"/>
              <w:ind w:right="260"/>
              <w:spacing w:after="0"/>
              <w:rPr>
                <w:sz w:val="20"/>
                <w:szCs w:val="20"/>
                <w:color w:val="auto"/>
              </w:rPr>
            </w:pPr>
            <w:r>
              <w:rPr>
                <w:rFonts w:ascii="Arial" w:cs="Arial" w:eastAsia="Arial" w:hAnsi="Arial"/>
                <w:sz w:val="17"/>
                <w:szCs w:val="17"/>
                <w:b w:val="1"/>
                <w:bCs w:val="1"/>
                <w:color w:val="auto"/>
                <w:w w:val="97"/>
              </w:rPr>
              <w:t>Date</w:t>
            </w:r>
          </w:p>
        </w:tc>
        <w:tc>
          <w:tcPr>
            <w:tcW w:w="0" w:type="dxa"/>
            <w:vAlign w:val="bottom"/>
          </w:tcPr>
          <w:p>
            <w:pPr>
              <w:spacing w:after="0"/>
              <w:rPr>
                <w:sz w:val="1"/>
                <w:szCs w:val="1"/>
                <w:color w:val="auto"/>
              </w:rPr>
            </w:pPr>
          </w:p>
        </w:tc>
      </w:tr>
      <w:tr>
        <w:trPr>
          <w:trHeight w:val="135"/>
        </w:trPr>
        <w:tc>
          <w:tcPr>
            <w:tcW w:w="40" w:type="dxa"/>
            <w:vAlign w:val="bottom"/>
            <w:tcBorders>
              <w:left w:val="single" w:sz="8" w:color="auto"/>
            </w:tcBorders>
          </w:tcPr>
          <w:p>
            <w:pPr>
              <w:spacing w:after="0"/>
              <w:rPr>
                <w:sz w:val="11"/>
                <w:szCs w:val="11"/>
                <w:color w:val="auto"/>
              </w:rPr>
            </w:pPr>
          </w:p>
        </w:tc>
        <w:tc>
          <w:tcPr>
            <w:tcW w:w="4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shd w:val="clear" w:color="auto" w:fill="9ADAF6"/>
          </w:tcPr>
          <w:p>
            <w:pPr>
              <w:spacing w:after="0"/>
              <w:rPr>
                <w:sz w:val="11"/>
                <w:szCs w:val="11"/>
                <w:color w:val="auto"/>
              </w:rPr>
            </w:pPr>
          </w:p>
        </w:tc>
        <w:tc>
          <w:tcPr>
            <w:tcW w:w="40" w:type="dxa"/>
            <w:vAlign w:val="bottom"/>
            <w:shd w:val="clear" w:color="auto" w:fill="9ADAF6"/>
          </w:tcPr>
          <w:p>
            <w:pPr>
              <w:spacing w:after="0"/>
              <w:rPr>
                <w:sz w:val="11"/>
                <w:szCs w:val="11"/>
                <w:color w:val="auto"/>
              </w:rPr>
            </w:pPr>
          </w:p>
        </w:tc>
        <w:tc>
          <w:tcPr>
            <w:tcW w:w="70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28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28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80" w:type="dxa"/>
            <w:vAlign w:val="bottom"/>
            <w:shd w:val="clear" w:color="auto" w:fill="9ADAF6"/>
          </w:tcPr>
          <w:p>
            <w:pPr>
              <w:spacing w:after="0"/>
              <w:rPr>
                <w:sz w:val="11"/>
                <w:szCs w:val="11"/>
                <w:color w:val="auto"/>
              </w:rPr>
            </w:pPr>
          </w:p>
        </w:tc>
        <w:tc>
          <w:tcPr>
            <w:tcW w:w="54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540" w:type="dxa"/>
            <w:vAlign w:val="bottom"/>
            <w:shd w:val="clear" w:color="auto" w:fill="9ADAF6"/>
          </w:tcPr>
          <w:p>
            <w:pPr>
              <w:spacing w:after="0"/>
              <w:rPr>
                <w:sz w:val="11"/>
                <w:szCs w:val="11"/>
                <w:color w:val="auto"/>
              </w:rPr>
            </w:pPr>
          </w:p>
        </w:tc>
        <w:tc>
          <w:tcPr>
            <w:tcW w:w="200" w:type="dxa"/>
            <w:vAlign w:val="bottom"/>
            <w:tcBorders>
              <w:right w:val="single" w:sz="8" w:color="9ADAF6"/>
            </w:tcBorders>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10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240" w:type="dxa"/>
            <w:vAlign w:val="bottom"/>
            <w:gridSpan w:val="5"/>
            <w:vMerge w:val="restart"/>
            <w:shd w:val="clear" w:color="auto" w:fill="9ADAF6"/>
          </w:tcPr>
          <w:p>
            <w:pPr>
              <w:ind w:left="360"/>
              <w:spacing w:after="0"/>
              <w:rPr>
                <w:sz w:val="20"/>
                <w:szCs w:val="20"/>
                <w:color w:val="auto"/>
              </w:rPr>
            </w:pPr>
            <w:r>
              <w:rPr>
                <w:rFonts w:ascii="Arial" w:cs="Arial" w:eastAsia="Arial" w:hAnsi="Arial"/>
                <w:sz w:val="17"/>
                <w:szCs w:val="17"/>
                <w:b w:val="1"/>
                <w:bCs w:val="1"/>
                <w:color w:val="auto"/>
                <w:w w:val="97"/>
              </w:rPr>
              <w:t>Registered</w:t>
            </w:r>
          </w:p>
        </w:tc>
        <w:tc>
          <w:tcPr>
            <w:tcW w:w="3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1760" w:type="dxa"/>
            <w:vAlign w:val="bottom"/>
            <w:gridSpan w:val="3"/>
            <w:vMerge w:val="restart"/>
            <w:shd w:val="clear" w:color="auto" w:fill="9ADAF6"/>
          </w:tcPr>
          <w:p>
            <w:pPr>
              <w:jc w:val="center"/>
              <w:ind w:right="200"/>
              <w:spacing w:after="0"/>
              <w:rPr>
                <w:sz w:val="20"/>
                <w:szCs w:val="20"/>
                <w:color w:val="auto"/>
              </w:rPr>
            </w:pPr>
            <w:r>
              <w:rPr>
                <w:rFonts w:ascii="Arial" w:cs="Arial" w:eastAsia="Arial" w:hAnsi="Arial"/>
                <w:sz w:val="17"/>
                <w:szCs w:val="17"/>
                <w:b w:val="1"/>
                <w:bCs w:val="1"/>
                <w:color w:val="auto"/>
              </w:rPr>
              <w:t>Registered</w:t>
            </w:r>
          </w:p>
        </w:tc>
        <w:tc>
          <w:tcPr>
            <w:tcW w:w="20" w:type="dxa"/>
            <w:vAlign w:val="bottom"/>
          </w:tcPr>
          <w:p>
            <w:pPr>
              <w:spacing w:after="0"/>
              <w:rPr>
                <w:sz w:val="11"/>
                <w:szCs w:val="11"/>
                <w:color w:val="auto"/>
              </w:rPr>
            </w:pPr>
          </w:p>
        </w:tc>
        <w:tc>
          <w:tcPr>
            <w:tcW w:w="8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56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240" w:type="dxa"/>
            <w:vAlign w:val="bottom"/>
            <w:shd w:val="clear" w:color="auto" w:fill="9ADAF6"/>
          </w:tcPr>
          <w:p>
            <w:pPr>
              <w:spacing w:after="0"/>
              <w:rPr>
                <w:sz w:val="11"/>
                <w:szCs w:val="11"/>
                <w:color w:val="auto"/>
              </w:rPr>
            </w:pPr>
          </w:p>
        </w:tc>
        <w:tc>
          <w:tcPr>
            <w:tcW w:w="52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00" w:type="dxa"/>
            <w:vAlign w:val="bottom"/>
            <w:tcBorders>
              <w:right w:val="single" w:sz="8" w:color="auto"/>
            </w:tcBorders>
            <w:gridSpan w:val="2"/>
            <w:vMerge w:val="continue"/>
            <w:shd w:val="clear" w:color="auto" w:fill="9ADAF6"/>
          </w:tcPr>
          <w:p>
            <w:pPr>
              <w:spacing w:after="0"/>
              <w:rPr>
                <w:sz w:val="11"/>
                <w:szCs w:val="11"/>
                <w:color w:val="auto"/>
              </w:rPr>
            </w:pPr>
          </w:p>
        </w:tc>
        <w:tc>
          <w:tcPr>
            <w:tcW w:w="0" w:type="dxa"/>
            <w:vAlign w:val="bottom"/>
          </w:tcPr>
          <w:p>
            <w:pPr>
              <w:spacing w:after="0"/>
              <w:rPr>
                <w:sz w:val="1"/>
                <w:szCs w:val="1"/>
                <w:color w:val="auto"/>
              </w:rPr>
            </w:pPr>
          </w:p>
        </w:tc>
      </w:tr>
      <w:tr>
        <w:trPr>
          <w:trHeight w:val="85"/>
        </w:trPr>
        <w:tc>
          <w:tcPr>
            <w:tcW w:w="40" w:type="dxa"/>
            <w:vAlign w:val="bottom"/>
            <w:tcBorders>
              <w:left w:val="single" w:sz="8" w:color="auto"/>
            </w:tcBorders>
          </w:tcPr>
          <w:p>
            <w:pPr>
              <w:spacing w:after="0"/>
              <w:rPr>
                <w:sz w:val="7"/>
                <w:szCs w:val="7"/>
                <w:color w:val="auto"/>
              </w:rPr>
            </w:pPr>
          </w:p>
        </w:tc>
        <w:tc>
          <w:tcPr>
            <w:tcW w:w="4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520" w:type="dxa"/>
            <w:vAlign w:val="bottom"/>
            <w:shd w:val="clear" w:color="auto" w:fill="9ADAF6"/>
          </w:tcPr>
          <w:p>
            <w:pPr>
              <w:spacing w:after="0"/>
              <w:rPr>
                <w:sz w:val="7"/>
                <w:szCs w:val="7"/>
                <w:color w:val="auto"/>
              </w:rPr>
            </w:pPr>
          </w:p>
        </w:tc>
        <w:tc>
          <w:tcPr>
            <w:tcW w:w="40" w:type="dxa"/>
            <w:vAlign w:val="bottom"/>
            <w:shd w:val="clear" w:color="auto" w:fill="9ADAF6"/>
          </w:tcPr>
          <w:p>
            <w:pPr>
              <w:spacing w:after="0"/>
              <w:rPr>
                <w:sz w:val="7"/>
                <w:szCs w:val="7"/>
                <w:color w:val="auto"/>
              </w:rPr>
            </w:pPr>
          </w:p>
        </w:tc>
        <w:tc>
          <w:tcPr>
            <w:tcW w:w="70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28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28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80" w:type="dxa"/>
            <w:vAlign w:val="bottom"/>
            <w:shd w:val="clear" w:color="auto" w:fill="9ADAF6"/>
          </w:tcPr>
          <w:p>
            <w:pPr>
              <w:spacing w:after="0"/>
              <w:rPr>
                <w:sz w:val="7"/>
                <w:szCs w:val="7"/>
                <w:color w:val="auto"/>
              </w:rPr>
            </w:pPr>
          </w:p>
        </w:tc>
        <w:tc>
          <w:tcPr>
            <w:tcW w:w="5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540" w:type="dxa"/>
            <w:vAlign w:val="bottom"/>
            <w:shd w:val="clear" w:color="auto" w:fill="9ADAF6"/>
          </w:tcPr>
          <w:p>
            <w:pPr>
              <w:spacing w:after="0"/>
              <w:rPr>
                <w:sz w:val="7"/>
                <w:szCs w:val="7"/>
                <w:color w:val="auto"/>
              </w:rPr>
            </w:pPr>
          </w:p>
        </w:tc>
        <w:tc>
          <w:tcPr>
            <w:tcW w:w="200" w:type="dxa"/>
            <w:vAlign w:val="bottom"/>
            <w:tcBorders>
              <w:right w:val="single" w:sz="8" w:color="9ADAF6"/>
            </w:tcBorders>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10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240" w:type="dxa"/>
            <w:vAlign w:val="bottom"/>
            <w:gridSpan w:val="5"/>
            <w:vMerge w:val="continue"/>
            <w:shd w:val="clear" w:color="auto" w:fill="9ADAF6"/>
          </w:tcPr>
          <w:p>
            <w:pPr>
              <w:spacing w:after="0"/>
              <w:rPr>
                <w:sz w:val="7"/>
                <w:szCs w:val="7"/>
                <w:color w:val="auto"/>
              </w:rPr>
            </w:pPr>
          </w:p>
        </w:tc>
        <w:tc>
          <w:tcPr>
            <w:tcW w:w="3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1760" w:type="dxa"/>
            <w:vAlign w:val="bottom"/>
            <w:gridSpan w:val="3"/>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56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3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240" w:type="dxa"/>
            <w:vAlign w:val="bottom"/>
            <w:shd w:val="clear" w:color="auto" w:fill="9ADAF6"/>
          </w:tcPr>
          <w:p>
            <w:pPr>
              <w:spacing w:after="0"/>
              <w:rPr>
                <w:sz w:val="7"/>
                <w:szCs w:val="7"/>
                <w:color w:val="auto"/>
              </w:rPr>
            </w:pPr>
          </w:p>
        </w:tc>
        <w:tc>
          <w:tcPr>
            <w:tcW w:w="52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60" w:type="dxa"/>
            <w:vAlign w:val="bottom"/>
            <w:shd w:val="clear" w:color="auto" w:fill="9ADAF6"/>
          </w:tcPr>
          <w:p>
            <w:pPr>
              <w:spacing w:after="0"/>
              <w:rPr>
                <w:sz w:val="7"/>
                <w:szCs w:val="7"/>
                <w:color w:val="auto"/>
              </w:rPr>
            </w:pPr>
          </w:p>
        </w:tc>
        <w:tc>
          <w:tcPr>
            <w:tcW w:w="40" w:type="dxa"/>
            <w:vAlign w:val="bottom"/>
            <w:tcBorders>
              <w:right w:val="single" w:sz="8" w:color="auto"/>
            </w:tcBorders>
            <w:shd w:val="clear" w:color="auto" w:fill="9ADAF6"/>
          </w:tcPr>
          <w:p>
            <w:pPr>
              <w:spacing w:after="0"/>
              <w:rPr>
                <w:sz w:val="7"/>
                <w:szCs w:val="7"/>
                <w:color w:val="auto"/>
              </w:rPr>
            </w:pPr>
          </w:p>
        </w:tc>
        <w:tc>
          <w:tcPr>
            <w:tcW w:w="0" w:type="dxa"/>
            <w:vAlign w:val="bottom"/>
          </w:tcPr>
          <w:p>
            <w:pPr>
              <w:spacing w:after="0"/>
              <w:rPr>
                <w:sz w:val="1"/>
                <w:szCs w:val="1"/>
                <w:color w:val="auto"/>
              </w:rPr>
            </w:pPr>
          </w:p>
        </w:tc>
      </w:tr>
      <w:tr>
        <w:trPr>
          <w:trHeight w:val="22"/>
        </w:trPr>
        <w:tc>
          <w:tcPr>
            <w:tcW w:w="40" w:type="dxa"/>
            <w:vAlign w:val="bottom"/>
            <w:tcBorders>
              <w:left w:val="single" w:sz="8" w:color="auto"/>
            </w:tcBorders>
          </w:tcPr>
          <w:p>
            <w:pPr>
              <w:spacing w:after="0" w:line="20" w:lineRule="exact"/>
              <w:rPr>
                <w:sz w:val="1"/>
                <w:szCs w:val="1"/>
                <w:color w:val="auto"/>
              </w:rPr>
            </w:pPr>
          </w:p>
        </w:tc>
        <w:tc>
          <w:tcPr>
            <w:tcW w:w="44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bottom w:val="single" w:sz="8" w:color="E7E7E2"/>
            </w:tcBorders>
          </w:tcPr>
          <w:p>
            <w:pPr>
              <w:spacing w:after="0" w:line="20" w:lineRule="exact"/>
              <w:rPr>
                <w:sz w:val="1"/>
                <w:szCs w:val="1"/>
                <w:color w:val="auto"/>
              </w:rPr>
            </w:pPr>
          </w:p>
        </w:tc>
        <w:tc>
          <w:tcPr>
            <w:tcW w:w="40" w:type="dxa"/>
            <w:vAlign w:val="bottom"/>
            <w:tcBorders>
              <w:bottom w:val="single" w:sz="8" w:color="E7E7E2"/>
            </w:tcBorders>
          </w:tcPr>
          <w:p>
            <w:pPr>
              <w:spacing w:after="0" w:line="20" w:lineRule="exact"/>
              <w:rPr>
                <w:sz w:val="1"/>
                <w:szCs w:val="1"/>
                <w:color w:val="auto"/>
              </w:rPr>
            </w:pPr>
          </w:p>
        </w:tc>
        <w:tc>
          <w:tcPr>
            <w:tcW w:w="70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28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80" w:type="dxa"/>
            <w:vAlign w:val="bottom"/>
            <w:tcBorders>
              <w:bottom w:val="single" w:sz="8" w:color="E7E7E2"/>
            </w:tcBorders>
          </w:tcPr>
          <w:p>
            <w:pPr>
              <w:spacing w:after="0" w:line="20" w:lineRule="exact"/>
              <w:rPr>
                <w:sz w:val="1"/>
                <w:szCs w:val="1"/>
                <w:color w:val="auto"/>
              </w:rPr>
            </w:pPr>
          </w:p>
        </w:tc>
        <w:tc>
          <w:tcPr>
            <w:tcW w:w="54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540" w:type="dxa"/>
            <w:vAlign w:val="bottom"/>
            <w:tcBorders>
              <w:bottom w:val="single" w:sz="8" w:color="E7E7E2"/>
            </w:tcBorders>
          </w:tcPr>
          <w:p>
            <w:pPr>
              <w:spacing w:after="0" w:line="20" w:lineRule="exact"/>
              <w:rPr>
                <w:sz w:val="1"/>
                <w:szCs w:val="1"/>
                <w:color w:val="auto"/>
              </w:rPr>
            </w:pPr>
          </w:p>
        </w:tc>
        <w:tc>
          <w:tcPr>
            <w:tcW w:w="20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10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62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80" w:type="dxa"/>
            <w:vAlign w:val="bottom"/>
            <w:tcBorders>
              <w:bottom w:val="single" w:sz="8" w:color="E7E7E2"/>
            </w:tcBorders>
          </w:tcPr>
          <w:p>
            <w:pPr>
              <w:spacing w:after="0" w:line="20" w:lineRule="exact"/>
              <w:rPr>
                <w:sz w:val="1"/>
                <w:szCs w:val="1"/>
                <w:color w:val="auto"/>
              </w:rPr>
            </w:pPr>
          </w:p>
        </w:tc>
        <w:tc>
          <w:tcPr>
            <w:tcW w:w="34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92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82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56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240" w:type="dxa"/>
            <w:vAlign w:val="bottom"/>
            <w:tcBorders>
              <w:bottom w:val="single" w:sz="8" w:color="E7E7E2"/>
            </w:tcBorders>
          </w:tcPr>
          <w:p>
            <w:pPr>
              <w:spacing w:after="0" w:line="20" w:lineRule="exact"/>
              <w:rPr>
                <w:sz w:val="1"/>
                <w:szCs w:val="1"/>
                <w:color w:val="auto"/>
              </w:rPr>
            </w:pPr>
          </w:p>
        </w:tc>
        <w:tc>
          <w:tcPr>
            <w:tcW w:w="52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660" w:type="dxa"/>
            <w:vAlign w:val="bottom"/>
            <w:tcBorders>
              <w:bottom w:val="single" w:sz="8" w:color="E7E7E2"/>
            </w:tcBorders>
          </w:tcPr>
          <w:p>
            <w:pPr>
              <w:spacing w:after="0" w:line="20" w:lineRule="exact"/>
              <w:rPr>
                <w:sz w:val="1"/>
                <w:szCs w:val="1"/>
                <w:color w:val="auto"/>
              </w:rPr>
            </w:pPr>
          </w:p>
        </w:tc>
        <w:tc>
          <w:tcPr>
            <w:tcW w:w="40" w:type="dxa"/>
            <w:vAlign w:val="bottom"/>
            <w:tcBorders>
              <w:bottom w:val="single" w:sz="8" w:color="E7E7E2"/>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-3623310</wp:posOffset>
            </wp:positionV>
            <wp:extent cx="31750" cy="3873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88">
                      <a:extLst>
                        <a:ext uri="{28A0092B-C50C-407E-A947-70E740481C1C}"/>
                      </a:extLst>
                    </a:blip>
                    <a:srcRect/>
                    <a:stretch>
                      <a:fillRect/>
                    </a:stretch>
                  </pic:blipFill>
                  <pic:spPr bwMode="auto">
                    <a:xfrm>
                      <a:off x="0" y="0"/>
                      <a:ext cx="31750" cy="3873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-3623310</wp:posOffset>
            </wp:positionV>
            <wp:extent cx="31750" cy="3873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89">
                      <a:extLst>
                        <a:ext uri="{28A0092B-C50C-407E-A947-70E740481C1C}"/>
                      </a:extLst>
                    </a:blip>
                    <a:srcRect/>
                    <a:stretch>
                      <a:fillRect/>
                    </a:stretch>
                  </pic:blipFill>
                  <pic:spPr bwMode="auto">
                    <a:xfrm>
                      <a:off x="0" y="0"/>
                      <a:ext cx="31750" cy="38735"/>
                    </a:xfrm>
                    <a:prstGeom prst="rect">
                      <a:avLst/>
                    </a:prstGeom>
                    <a:noFill/>
                  </pic:spPr>
                </pic:pic>
              </a:graphicData>
            </a:graphic>
          </wp:anchor>
        </w:drawing>
      </w:r>
    </w:p>
    <w:sectPr>
      <w:pgSz w:w="11900" w:h="16838" w:orient="portrait"/>
      <w:cols w:equalWidth="0" w:num="1">
        <w:col w:w="11360"/>
      </w:cols>
      <w:pgMar w:left="300" w:top="14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577F8E1"/>
    <w:multiLevelType w:val="hybridMultilevel"/>
    <w:lvl w:ilvl="0">
      <w:lvlJc w:val="left"/>
      <w:lvlText w:val="•"/>
      <w:numFmt w:val="bullet"/>
      <w:start w:val="1"/>
    </w:lvl>
  </w:abstractNum>
  <w:abstractNum w:abstractNumId="1">
    <w:nsid w:val="440BADFC"/>
    <w:multiLevelType w:val="hybridMultilevel"/>
    <w:lvl w:ilvl="0">
      <w:lvlJc w:val="left"/>
      <w:lvlText w:val="•"/>
      <w:numFmt w:val="bullet"/>
      <w:start w:val="1"/>
    </w:lvl>
  </w:abstractNum>
  <w:abstractNum w:abstractNumId="2">
    <w:nsid w:val="5072367"/>
    <w:multiLevelType w:val="hybridMultilevel"/>
    <w:lvl w:ilvl="0">
      <w:lvlJc w:val="left"/>
      <w:lvlText w:val="•"/>
      <w:numFmt w:val="bullet"/>
      <w:start w:val="1"/>
    </w:lvl>
  </w:abstractNum>
  <w:abstractNum w:abstractNumId="3">
    <w:nsid w:val="3804823E"/>
    <w:multiLevelType w:val="hybridMultilevel"/>
    <w:lvl w:ilvl="0">
      <w:lvlJc w:val="left"/>
      <w:lvlText w:val="•"/>
      <w:numFmt w:val="bullet"/>
      <w:start w:val="1"/>
    </w:lvl>
  </w:abstractNum>
  <w:abstractNum w:abstractNumId="4">
    <w:nsid w:val="77465F01"/>
    <w:multiLevelType w:val="hybridMultilevel"/>
    <w:lvl w:ilvl="0">
      <w:lvlJc w:val="left"/>
      <w:lvlText w:val="•"/>
      <w:numFmt w:val="bullet"/>
      <w:start w:val="1"/>
    </w:lvl>
  </w:abstractNum>
  <w:abstractNum w:abstractNumId="5">
    <w:nsid w:val="7724C67E"/>
    <w:multiLevelType w:val="hybridMultilevel"/>
    <w:lvl w:ilvl="0">
      <w:lvlJc w:val="left"/>
      <w:lvlText w:val="•"/>
      <w:numFmt w:val="bullet"/>
      <w:start w:val="1"/>
    </w:lvl>
  </w:abstractNum>
  <w:abstractNum w:abstractNumId="6">
    <w:nsid w:val="5C482A97"/>
    <w:multiLevelType w:val="hybridMultilevel"/>
    <w:lvl w:ilvl="0">
      <w:lvlJc w:val="left"/>
      <w:lvlText w:val="•"/>
      <w:numFmt w:val="bullet"/>
      <w:start w:val="1"/>
    </w:lvl>
  </w:abstractNum>
  <w:abstractNum w:abstractNumId="7">
    <w:nsid w:val="2463B9EA"/>
    <w:multiLevelType w:val="hybridMultilevel"/>
    <w:lvl w:ilvl="0">
      <w:lvlJc w:val="left"/>
      <w:lvlText w:val="•"/>
      <w:numFmt w:val="bullet"/>
      <w:start w:val="1"/>
    </w:lvl>
  </w:abstractNum>
  <w:abstractNum w:abstractNumId="8">
    <w:nsid w:val="5E884ADC"/>
    <w:multiLevelType w:val="hybridMultilevel"/>
    <w:lvl w:ilvl="0">
      <w:lvlJc w:val="left"/>
      <w:lvlText w:val="•"/>
      <w:numFmt w:val="bullet"/>
      <w:start w:val="1"/>
    </w:lvl>
  </w:abstractNum>
  <w:abstractNum w:abstractNumId="9">
    <w:nsid w:val="51EAD36B"/>
    <w:multiLevelType w:val="hybridMultilevel"/>
    <w:lvl w:ilvl="0">
      <w:lvlJc w:val="left"/>
      <w:lvlText w:val="•"/>
      <w:numFmt w:val="bullet"/>
      <w:start w:val="1"/>
    </w:lvl>
  </w:abstractNum>
  <w:abstractNum w:abstractNumId="10">
    <w:nsid w:val="2D517796"/>
    <w:multiLevelType w:val="hybridMultilevel"/>
    <w:lvl w:ilvl="0">
      <w:lvlJc w:val="left"/>
      <w:lvlText w:val="•"/>
      <w:numFmt w:val="bullet"/>
      <w:start w:val="1"/>
    </w:lvl>
  </w:abstractNum>
  <w:abstractNum w:abstractNumId="11">
    <w:nsid w:val="580BD78F"/>
    <w:multiLevelType w:val="hybridMultilevel"/>
    <w:lvl w:ilvl="0">
      <w:lvlJc w:val="left"/>
      <w:lvlText w:val="•"/>
      <w:numFmt w:val="bullet"/>
      <w:start w:val="1"/>
    </w:lvl>
  </w:abstractNum>
  <w:abstractNum w:abstractNumId="12">
    <w:nsid w:val="153EA438"/>
    <w:multiLevelType w:val="hybridMultilevel"/>
    <w:lvl w:ilvl="0">
      <w:lvlJc w:val="left"/>
      <w:lvlText w:val="•"/>
      <w:numFmt w:val="bullet"/>
      <w:start w:val="1"/>
    </w:lvl>
  </w:abstractNum>
  <w:abstractNum w:abstractNumId="13">
    <w:nsid w:val="3855585C"/>
    <w:multiLevelType w:val="hybridMultilevel"/>
    <w:lvl w:ilvl="0">
      <w:lvlJc w:val="left"/>
      <w:lvlText w:val="•"/>
      <w:numFmt w:val="bullet"/>
      <w:start w:val="1"/>
    </w:lvl>
  </w:abstractNum>
  <w:abstractNum w:abstractNumId="14">
    <w:nsid w:val="70A64E2A"/>
    <w:multiLevelType w:val="hybridMultilevel"/>
    <w:lvl w:ilvl="0">
      <w:lvlJc w:val="left"/>
      <w:lvlText w:val="•"/>
      <w:numFmt w:val="bullet"/>
      <w:start w:val="1"/>
    </w:lvl>
  </w:abstractNum>
  <w:abstractNum w:abstractNumId="15">
    <w:nsid w:val="6A2342EC"/>
    <w:multiLevelType w:val="hybridMultilevel"/>
    <w:lvl w:ilvl="0">
      <w:lvlJc w:val="left"/>
      <w:lvlText w:val="(%1)"/>
      <w:numFmt w:val="lowerLetter"/>
      <w:start w:val="25"/>
    </w:lvl>
  </w:abstractNum>
  <w:abstractNum w:abstractNumId="16">
    <w:nsid w:val="2A487CB0"/>
    <w:multiLevelType w:val="hybridMultilevel"/>
    <w:lvl w:ilvl="0">
      <w:lvlJc w:val="left"/>
      <w:lvlText w:val="(%1)"/>
      <w:numFmt w:val="decimal"/>
      <w:start w:val="1"/>
    </w:lvl>
  </w:abstractNum>
  <w:abstractNum w:abstractNumId="17">
    <w:nsid w:val="1D4ED43B"/>
    <w:multiLevelType w:val="hybridMultilevel"/>
    <w:lvl w:ilvl="0">
      <w:lvlJc w:val="left"/>
      <w:lvlText w:val="•"/>
      <w:numFmt w:val="bullet"/>
      <w:start w:val="1"/>
    </w:lvl>
  </w:abstractNum>
  <w:abstractNum w:abstractNumId="18">
    <w:nsid w:val="725A06FB"/>
    <w:multiLevelType w:val="hybridMultilevel"/>
    <w:lvl w:ilvl="0">
      <w:lvlJc w:val="left"/>
      <w:lvlText w:val="•"/>
      <w:numFmt w:val="bullet"/>
      <w:start w:val="1"/>
    </w:lvl>
  </w:abstractNum>
  <w:abstractNum w:abstractNumId="19">
    <w:nsid w:val="2CD89A32"/>
    <w:multiLevelType w:val="hybridMultilevel"/>
    <w:lvl w:ilvl="0">
      <w:lvlJc w:val="left"/>
      <w:lvlText w:val="•"/>
      <w:numFmt w:val="bullet"/>
      <w:start w:val="1"/>
    </w:lvl>
    <w:lvl w:ilvl="1">
      <w:lvlJc w:val="left"/>
      <w:lvlText w:val="(%2)"/>
      <w:numFmt w:val="lowerRoman"/>
      <w:start w:val="2"/>
    </w:lvl>
  </w:abstractNum>
  <w:abstractNum w:abstractNumId="20">
    <w:nsid w:val="57E4CCAF"/>
    <w:multiLevelType w:val="hybridMultilevel"/>
    <w:lvl w:ilvl="0">
      <w:lvlJc w:val="left"/>
      <w:lvlText w:val="•"/>
      <w:numFmt w:val="bullet"/>
      <w:start w:val="1"/>
    </w:lvl>
    <w:lvl w:ilvl="1">
      <w:lvlJc w:val="left"/>
      <w:lvlText w:val="(%2)"/>
      <w:numFmt w:val="lowerRoman"/>
      <w:start w:val="12"/>
    </w:lvl>
  </w:abstractNum>
  <w:abstractNum w:abstractNumId="21">
    <w:nsid w:val="7A6D8D3C"/>
    <w:multiLevelType w:val="hybridMultilevel"/>
    <w:lvl w:ilvl="0">
      <w:lvlJc w:val="left"/>
      <w:lvlText w:val="•"/>
      <w:numFmt w:val="bullet"/>
      <w:start w:val="1"/>
    </w:lvl>
  </w:abstractNum>
  <w:abstractNum w:abstractNumId="22">
    <w:nsid w:val="4B588F54"/>
    <w:multiLevelType w:val="hybridMultilevel"/>
    <w:lvl w:ilvl="0">
      <w:lvlJc w:val="left"/>
      <w:lvlText w:val="•"/>
      <w:numFmt w:val="bullet"/>
      <w:start w:val="1"/>
    </w:lvl>
  </w:abstractNum>
  <w:abstractNum w:abstractNumId="23">
    <w:nsid w:val="542289EC"/>
    <w:multiLevelType w:val="hybridMultilevel"/>
    <w:lvl w:ilvl="0">
      <w:lvlJc w:val="left"/>
      <w:lvlText w:val="•"/>
      <w:numFmt w:val="bullet"/>
      <w:start w:val="1"/>
    </w:lvl>
  </w:abstractNum>
  <w:abstractNum w:abstractNumId="24">
    <w:nsid w:val="6DE91B18"/>
    <w:multiLevelType w:val="hybridMultilevel"/>
    <w:lvl w:ilvl="0">
      <w:lvlJc w:val="left"/>
      <w:lvlText w:val="•"/>
      <w:numFmt w:val="bullet"/>
      <w:start w:val="1"/>
    </w:lvl>
    <w:lvl w:ilvl="1">
      <w:lvlJc w:val="left"/>
      <w:lvlText w:val="•"/>
      <w:numFmt w:val="bullet"/>
      <w:start w:val="1"/>
    </w:lvl>
  </w:abstractNum>
  <w:abstractNum w:abstractNumId="25">
    <w:nsid w:val="38437FDB"/>
    <w:multiLevelType w:val="hybridMultilevel"/>
    <w:lvl w:ilvl="0">
      <w:lvlJc w:val="left"/>
      <w:lvlText w:val="•"/>
      <w:numFmt w:val="bullet"/>
      <w:start w:val="1"/>
    </w:lvl>
  </w:abstractNum>
  <w:abstractNum w:abstractNumId="26">
    <w:nsid w:val="7644A45C"/>
    <w:multiLevelType w:val="hybridMultilevel"/>
    <w:lvl w:ilvl="0">
      <w:lvlJc w:val="left"/>
      <w:lvlText w:val="•"/>
      <w:numFmt w:val="bullet"/>
      <w:start w:val="1"/>
    </w:lvl>
  </w:abstractNum>
  <w:abstractNum w:abstractNumId="27">
    <w:nsid w:val="32FFF902"/>
    <w:multiLevelType w:val="hybridMultilevel"/>
    <w:lvl w:ilvl="0">
      <w:lvlJc w:val="left"/>
      <w:lvlText w:val="•"/>
      <w:numFmt w:val="bullet"/>
      <w:start w:val="1"/>
    </w:lvl>
  </w:abstractNum>
  <w:abstractNum w:abstractNumId="28">
    <w:nsid w:val="684A481A"/>
    <w:multiLevelType w:val="hybridMultilevel"/>
    <w:lvl w:ilvl="0">
      <w:lvlJc w:val="left"/>
      <w:lvlText w:val="•"/>
      <w:numFmt w:val="bullet"/>
      <w:start w:val="1"/>
    </w:lvl>
  </w:abstractNum>
  <w:abstractNum w:abstractNumId="29">
    <w:nsid w:val="579478FE"/>
    <w:multiLevelType w:val="hybridMultilevel"/>
    <w:lvl w:ilvl="0">
      <w:lvlJc w:val="left"/>
      <w:lvlText w:val="•"/>
      <w:numFmt w:val="bullet"/>
      <w:start w:val="1"/>
    </w:lvl>
  </w:abstractNum>
  <w:abstractNum w:abstractNumId="30">
    <w:nsid w:val="749ABB43"/>
    <w:multiLevelType w:val="hybridMultilevel"/>
    <w:lvl w:ilvl="0">
      <w:lvlJc w:val="left"/>
      <w:lvlText w:val="•"/>
      <w:numFmt w:val="bullet"/>
      <w:start w:val="1"/>
    </w:lvl>
  </w:abstractNum>
  <w:abstractNum w:abstractNumId="31">
    <w:nsid w:val="3DC240FB"/>
    <w:multiLevelType w:val="hybridMultilevel"/>
    <w:lvl w:ilvl="0">
      <w:lvlJc w:val="left"/>
      <w:lvlText w:val="•"/>
      <w:numFmt w:val="bullet"/>
      <w:start w:val="1"/>
    </w:lvl>
  </w:abstractNum>
  <w:abstractNum w:abstractNumId="32">
    <w:nsid w:val="1BA026FA"/>
    <w:multiLevelType w:val="hybridMultilevel"/>
    <w:lvl w:ilvl="0">
      <w:lvlJc w:val="left"/>
      <w:lvlText w:val="•"/>
      <w:numFmt w:val="bullet"/>
      <w:start w:val="1"/>
    </w:lvl>
  </w:abstractNum>
  <w:abstractNum w:abstractNumId="33">
    <w:nsid w:val="79A1DEAA"/>
    <w:multiLevelType w:val="hybridMultilevel"/>
    <w:lvl w:ilvl="0">
      <w:lvlJc w:val="left"/>
      <w:lvlText w:val="•"/>
      <w:numFmt w:val="bullet"/>
      <w:start w:val="1"/>
    </w:lvl>
  </w:abstractNum>
  <w:abstractNum w:abstractNumId="34">
    <w:nsid w:val="75C6C33A"/>
    <w:multiLevelType w:val="hybridMultilevel"/>
    <w:lvl w:ilvl="0">
      <w:lvlJc w:val="left"/>
      <w:lvlText w:val="(%1)"/>
      <w:numFmt w:val="decimal"/>
      <w:start w:val="1"/>
    </w:lvl>
  </w:abstractNum>
  <w:abstractNum w:abstractNumId="35">
    <w:nsid w:val="12E685FB"/>
    <w:multiLevelType w:val="hybridMultilevel"/>
    <w:lvl w:ilvl="0">
      <w:lvlJc w:val="left"/>
      <w:lvlText w:val="*"/>
      <w:numFmt w:val="bullet"/>
      <w:start w:val="1"/>
    </w:lvl>
  </w:abstractNum>
  <w:abstractNum w:abstractNumId="36">
    <w:nsid w:val="70C6A529"/>
    <w:multiLevelType w:val="hybridMultilevel"/>
    <w:lvl w:ilvl="0">
      <w:lvlJc w:val="left"/>
      <w:lvlText w:val="(%1)"/>
      <w:numFmt w:val="decimal"/>
      <w:start w:val="1"/>
    </w:lvl>
  </w:abstractNum>
  <w:abstractNum w:abstractNumId="37">
    <w:nsid w:val="520EEDD1"/>
    <w:multiLevelType w:val="hybridMultilevel"/>
    <w:lvl w:ilvl="0">
      <w:lvlJc w:val="left"/>
      <w:lvlText w:val="(%1)"/>
      <w:numFmt w:val="lowerLetter"/>
      <w:start w:val="1"/>
    </w:lvl>
  </w:abstractNum>
  <w:abstractNum w:abstractNumId="38">
    <w:nsid w:val="374A3FE6"/>
    <w:multiLevelType w:val="hybridMultilevel"/>
    <w:lvl w:ilvl="0">
      <w:lvlJc w:val="left"/>
      <w:lvlText w:val="(%1)"/>
      <w:numFmt w:val="lowerLetter"/>
      <w:start w:val="10"/>
    </w:lvl>
  </w:abstractNum>
  <w:abstractNum w:abstractNumId="39">
    <w:nsid w:val="4F4EF005"/>
    <w:multiLevelType w:val="hybridMultilevel"/>
    <w:lvl w:ilvl="0">
      <w:lvlJc w:val="left"/>
      <w:lvlText w:val="(%1)"/>
      <w:numFmt w:val="lowerLetter"/>
      <w:start w:val="27"/>
    </w:lvl>
  </w:abstractNum>
  <w:abstractNum w:abstractNumId="40">
    <w:nsid w:val="23F9C13C"/>
    <w:multiLevelType w:val="hybridMultilevel"/>
    <w:lvl w:ilvl="0">
      <w:lvlJc w:val="left"/>
      <w:lvlText w:val="(%1)"/>
      <w:numFmt w:val="lowerLetter"/>
      <w:start w:val="28"/>
    </w:lvl>
  </w:abstractNum>
  <w:abstractNum w:abstractNumId="41">
    <w:nsid w:val="649BB77C"/>
    <w:multiLevelType w:val="hybridMultilevel"/>
    <w:lvl w:ilvl="0">
      <w:lvlJc w:val="left"/>
      <w:lvlText w:val="*"/>
      <w:numFmt w:val="bullet"/>
      <w:start w:val="1"/>
    </w:lvl>
  </w:abstractNum>
  <w:abstractNum w:abstractNumId="42">
    <w:nsid w:val="275AC794"/>
    <w:multiLevelType w:val="hybridMultilevel"/>
    <w:lvl w:ilvl="0">
      <w:lvlJc w:val="left"/>
      <w:lvlText w:val="(%1)"/>
      <w:numFmt w:val="decimal"/>
      <w:start w:val="1"/>
    </w:lvl>
  </w:abstractNum>
  <w:abstractNum w:abstractNumId="43">
    <w:nsid w:val="39386575"/>
    <w:multiLevelType w:val="hybridMultilevel"/>
    <w:lvl w:ilvl="0">
      <w:lvlJc w:val="left"/>
      <w:lvlText w:val="(%1)"/>
      <w:numFmt w:val="decimal"/>
      <w:start w:val="1"/>
    </w:lvl>
  </w:abstractNum>
  <w:abstractNum w:abstractNumId="44">
    <w:nsid w:val="1CF10FD8"/>
    <w:multiLevelType w:val="hybridMultilevel"/>
    <w:lvl w:ilvl="0">
      <w:lvlJc w:val="left"/>
      <w:lvlText w:val="•"/>
      <w:numFmt w:val="bullet"/>
      <w:start w:val="1"/>
    </w:lvl>
  </w:abstractNum>
  <w:abstractNum w:abstractNumId="45">
    <w:nsid w:val="180115BE"/>
    <w:multiLevelType w:val="hybridMultilevel"/>
    <w:lvl w:ilvl="0">
      <w:lvlJc w:val="left"/>
      <w:lvlText w:val="(%1)"/>
      <w:numFmt w:val="decimal"/>
      <w:start w:val="1"/>
    </w:lvl>
  </w:abstractNum>
  <w:abstractNum w:abstractNumId="46">
    <w:nsid w:val="235BA861"/>
    <w:multiLevelType w:val="hybridMultilevel"/>
    <w:lvl w:ilvl="0">
      <w:lvlJc w:val="left"/>
      <w:lvlText w:val="(%1)"/>
      <w:numFmt w:val="decimal"/>
      <w:start w:val="1"/>
    </w:lvl>
  </w:abstractNum>
  <w:abstractNum w:abstractNumId="47">
    <w:nsid w:val="47398C89"/>
    <w:multiLevelType w:val="hybridMultilevel"/>
    <w:lvl w:ilvl="0">
      <w:lvlJc w:val="left"/>
      <w:lvlText w:val="(%1)"/>
      <w:numFmt w:val="decimal"/>
      <w:start w:val="1"/>
    </w:lvl>
  </w:abstractNum>
  <w:abstractNum w:abstractNumId="48">
    <w:nsid w:val="354FE9F9"/>
    <w:multiLevelType w:val="hybridMultilevel"/>
    <w:lvl w:ilvl="0">
      <w:lvlJc w:val="left"/>
      <w:lvlText w:val="•"/>
      <w:numFmt w:val="bullet"/>
      <w:start w:val="1"/>
    </w:lvl>
  </w:abstractNum>
  <w:abstractNum w:abstractNumId="49">
    <w:nsid w:val="15B5AF5C"/>
    <w:multiLevelType w:val="hybridMultilevel"/>
    <w:lvl w:ilvl="0">
      <w:lvlJc w:val="left"/>
      <w:lvlText w:val="•"/>
      <w:numFmt w:val="bullet"/>
      <w:start w:val="1"/>
    </w:lvl>
  </w:abstractNum>
  <w:abstractNum w:abstractNumId="50">
    <w:nsid w:val="741226BB"/>
    <w:multiLevelType w:val="hybridMultilevel"/>
    <w:lvl w:ilvl="0">
      <w:lvlJc w:val="left"/>
      <w:lvlText w:val="•"/>
      <w:numFmt w:val="bullet"/>
      <w:start w:val="1"/>
    </w:lvl>
  </w:abstractNum>
  <w:abstractNum w:abstractNumId="51">
    <w:nsid w:val="D34B6A8"/>
    <w:multiLevelType w:val="hybridMultilevel"/>
    <w:lvl w:ilvl="0">
      <w:lvlJc w:val="left"/>
      <w:lvlText w:val="•"/>
      <w:numFmt w:val="bullet"/>
      <w:start w:val="1"/>
    </w:lvl>
  </w:abstractNum>
  <w:abstractNum w:abstractNumId="52">
    <w:nsid w:val="10233C99"/>
    <w:multiLevelType w:val="hybridMultilevel"/>
    <w:lvl w:ilvl="0">
      <w:lvlJc w:val="left"/>
      <w:lvlText w:val="(%1)"/>
      <w:numFmt w:val="decimal"/>
      <w:start w:val="1"/>
    </w:lvl>
  </w:abstractNum>
  <w:abstractNum w:abstractNumId="53">
    <w:nsid w:val="3F6AB60F"/>
    <w:multiLevelType w:val="hybridMultilevel"/>
    <w:lvl w:ilvl="0">
      <w:lvlJc w:val="left"/>
      <w:lvlText w:val="(%1)"/>
      <w:numFmt w:val="decimal"/>
      <w:start w:val="9"/>
    </w:lvl>
  </w:abstractNum>
  <w:abstractNum w:abstractNumId="54">
    <w:nsid w:val="61574095"/>
    <w:multiLevelType w:val="hybridMultilevel"/>
    <w:lvl w:ilvl="0">
      <w:lvlJc w:val="left"/>
      <w:lvlText w:val="(%1)"/>
      <w:numFmt w:val="decimal"/>
      <w:start w:val="11"/>
    </w:lvl>
  </w:abstractNum>
  <w:abstractNum w:abstractNumId="55">
    <w:nsid w:val="7E0C57B1"/>
    <w:multiLevelType w:val="hybridMultilevel"/>
    <w:lvl w:ilvl="0">
      <w:lvlJc w:val="left"/>
      <w:lvlText w:val="(%1)"/>
      <w:numFmt w:val="decimal"/>
      <w:start w:val="14"/>
    </w:lvl>
  </w:abstractNum>
  <w:abstractNum w:abstractNumId="56">
    <w:nsid w:val="77AE35EB"/>
    <w:multiLevelType w:val="hybridMultilevel"/>
    <w:lvl w:ilvl="0">
      <w:lvlJc w:val="left"/>
      <w:lvlText w:val="(%1)"/>
      <w:numFmt w:val="decimal"/>
      <w:start w:val="16"/>
    </w:lvl>
  </w:abstractNum>
  <w:abstractNum w:abstractNumId="57">
    <w:nsid w:val="579BE4F1"/>
    <w:multiLevelType w:val="hybridMultilevel"/>
    <w:lvl w:ilvl="0">
      <w:lvlJc w:val="left"/>
      <w:lvlText w:val="(%1)"/>
      <w:numFmt w:val="decimal"/>
      <w:start w:val="18"/>
    </w:lvl>
  </w:abstractNum>
  <w:abstractNum w:abstractNumId="58">
    <w:nsid w:val="310C50B3"/>
    <w:multiLevelType w:val="hybridMultilevel"/>
    <w:lvl w:ilvl="0">
      <w:lvlJc w:val="left"/>
      <w:lvlText w:val="*"/>
      <w:numFmt w:val="bullet"/>
      <w:start w:val="1"/>
    </w:lvl>
  </w:abstractNum>
  <w:abstractNum w:abstractNumId="59">
    <w:nsid w:val="5FF87E05"/>
    <w:multiLevelType w:val="hybridMultilevel"/>
    <w:lvl w:ilvl="0">
      <w:lvlJc w:val="left"/>
      <w:lvlText w:val="**"/>
      <w:numFmt w:val="bullet"/>
      <w:start w:val="1"/>
    </w:lvl>
  </w:abstractNum>
  <w:abstractNum w:abstractNumId="60">
    <w:nsid w:val="2F305DEF"/>
    <w:multiLevelType w:val="hybridMultilevel"/>
    <w:lvl w:ilvl="0">
      <w:lvlJc w:val="left"/>
      <w:lvlText w:val="(%1)"/>
      <w:numFmt w:val="decimal"/>
      <w:start w:val="1"/>
    </w:lvl>
  </w:abstractNum>
  <w:abstractNum w:abstractNumId="61">
    <w:nsid w:val="25A70BF7"/>
    <w:multiLevelType w:val="hybridMultilevel"/>
    <w:lvl w:ilvl="0">
      <w:lvlJc w:val="left"/>
      <w:lvlText w:val="☐"/>
      <w:numFmt w:val="bullet"/>
      <w:start w:val="1"/>
    </w:lvl>
  </w:abstractNum>
  <w:abstractNum w:abstractNumId="62">
    <w:nsid w:val="1DBABF00"/>
    <w:multiLevelType w:val="hybridMultilevel"/>
    <w:lvl w:ilvl="0">
      <w:lvlJc w:val="left"/>
      <w:lvlText w:val="%1."/>
      <w:numFmt w:val="decimal"/>
      <w:start w:val="1"/>
    </w:lvl>
  </w:abstractNum>
  <w:abstractNum w:abstractNumId="63">
    <w:nsid w:val="4AD084E9"/>
    <w:multiLevelType w:val="hybridMultilevel"/>
    <w:lvl w:ilvl="0">
      <w:lvlJc w:val="left"/>
      <w:lvlText w:val="(%1)"/>
      <w:numFmt w:val="lowerRoman"/>
      <w:start w:val="3"/>
    </w:lvl>
  </w:abstractNum>
  <w:abstractNum w:abstractNumId="64">
    <w:nsid w:val="1F48EAA1"/>
    <w:multiLevelType w:val="hybridMultilevel"/>
    <w:lvl w:ilvl="0">
      <w:lvlJc w:val="left"/>
      <w:lvlText w:val="(%1)"/>
      <w:numFmt w:val="decimal"/>
      <w:start w:val="1"/>
    </w:lvl>
  </w:abstractNum>
  <w:abstractNum w:abstractNumId="65">
    <w:nsid w:val="1381823A"/>
    <w:multiLevelType w:val="hybridMultilevel"/>
    <w:lvl w:ilvl="0">
      <w:lvlJc w:val="left"/>
      <w:lvlText w:val="(%1)"/>
      <w:numFmt w:val="decimal"/>
      <w:start w:val="8"/>
    </w:lvl>
  </w:abstractNum>
  <w:abstractNum w:abstractNumId="66">
    <w:nsid w:val="5DB70AE5"/>
    <w:multiLevelType w:val="hybridMultilevel"/>
    <w:lvl w:ilvl="0">
      <w:lvlJc w:val="left"/>
      <w:lvlText w:val="%1."/>
      <w:numFmt w:val="decimal"/>
      <w:start w:val="1"/>
    </w:lvl>
  </w:abstractNum>
  <w:abstractNum w:abstractNumId="67">
    <w:nsid w:val="100F8FCA"/>
    <w:multiLevelType w:val="hybridMultilevel"/>
    <w:lvl w:ilvl="0">
      <w:lvlJc w:val="left"/>
      <w:lvlText w:val="(%1)"/>
      <w:numFmt w:val="decimal"/>
      <w:start w:val="1"/>
    </w:lvl>
  </w:abstractNum>
  <w:abstractNum w:abstractNumId="68">
    <w:nsid w:val="6590700B"/>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50" Type="http://schemas.openxmlformats.org/officeDocument/2006/relationships/image" Target="media/image41.png"/><Relationship Id="rId51" Type="http://schemas.openxmlformats.org/officeDocument/2006/relationships/image" Target="media/image42.png"/><Relationship Id="rId52" Type="http://schemas.openxmlformats.org/officeDocument/2006/relationships/image" Target="media/image43.png"/><Relationship Id="rId53" Type="http://schemas.openxmlformats.org/officeDocument/2006/relationships/image" Target="media/image44.png"/><Relationship Id="rId54" Type="http://schemas.openxmlformats.org/officeDocument/2006/relationships/image" Target="media/image45.png"/><Relationship Id="rId55" Type="http://schemas.openxmlformats.org/officeDocument/2006/relationships/image" Target="media/image46.png"/><Relationship Id="rId56" Type="http://schemas.openxmlformats.org/officeDocument/2006/relationships/image" Target="media/image47.png"/><Relationship Id="rId57" Type="http://schemas.openxmlformats.org/officeDocument/2006/relationships/image" Target="media/image48.png"/><Relationship Id="rId58" Type="http://schemas.openxmlformats.org/officeDocument/2006/relationships/image" Target="media/image49.png"/><Relationship Id="rId59" Type="http://schemas.openxmlformats.org/officeDocument/2006/relationships/image" Target="media/image50.png"/><Relationship Id="rId60" Type="http://schemas.openxmlformats.org/officeDocument/2006/relationships/image" Target="media/image51.png"/><Relationship Id="rId61" Type="http://schemas.openxmlformats.org/officeDocument/2006/relationships/image" Target="media/image52.png"/><Relationship Id="rId62" Type="http://schemas.openxmlformats.org/officeDocument/2006/relationships/image" Target="media/image53.png"/><Relationship Id="rId64" Type="http://schemas.openxmlformats.org/officeDocument/2006/relationships/image" Target="media/image54.png"/><Relationship Id="rId65" Type="http://schemas.openxmlformats.org/officeDocument/2006/relationships/image" Target="media/image55.png"/><Relationship Id="rId66" Type="http://schemas.openxmlformats.org/officeDocument/2006/relationships/image" Target="media/image56.png"/><Relationship Id="rId67" Type="http://schemas.openxmlformats.org/officeDocument/2006/relationships/image" Target="media/image57.png"/><Relationship Id="rId68" Type="http://schemas.openxmlformats.org/officeDocument/2006/relationships/image" Target="media/image58.png"/><Relationship Id="rId69" Type="http://schemas.openxmlformats.org/officeDocument/2006/relationships/image" Target="media/image59.png"/><Relationship Id="rId70" Type="http://schemas.openxmlformats.org/officeDocument/2006/relationships/image" Target="media/image60.png"/><Relationship Id="rId71" Type="http://schemas.openxmlformats.org/officeDocument/2006/relationships/image" Target="media/image61.png"/><Relationship Id="rId72" Type="http://schemas.openxmlformats.org/officeDocument/2006/relationships/image" Target="media/image62.png"/><Relationship Id="rId73" Type="http://schemas.openxmlformats.org/officeDocument/2006/relationships/image" Target="media/image63.png"/><Relationship Id="rId76" Type="http://schemas.openxmlformats.org/officeDocument/2006/relationships/image" Target="media/image64.png"/><Relationship Id="rId78" Type="http://schemas.openxmlformats.org/officeDocument/2006/relationships/image" Target="media/image65.png"/><Relationship Id="rId81" Type="http://schemas.openxmlformats.org/officeDocument/2006/relationships/image" Target="media/image66.png"/><Relationship Id="rId84" Type="http://schemas.openxmlformats.org/officeDocument/2006/relationships/image" Target="media/image67.png"/><Relationship Id="rId85" Type="http://schemas.openxmlformats.org/officeDocument/2006/relationships/image" Target="media/image68.png"/><Relationship Id="rId88" Type="http://schemas.openxmlformats.org/officeDocument/2006/relationships/image" Target="media/image69.png"/><Relationship Id="rId89" Type="http://schemas.openxmlformats.org/officeDocument/2006/relationships/image" Target="media/image70.png"/><Relationship Id="rId90" Type="http://schemas.openxmlformats.org/officeDocument/2006/relationships/image" Target="media/image71.png"/><Relationship Id="rId91" Type="http://schemas.openxmlformats.org/officeDocument/2006/relationships/image" Target="media/image72.png"/><Relationship Id="rId92" Type="http://schemas.openxmlformats.org/officeDocument/2006/relationships/image" Target="media/image73.png"/><Relationship Id="rId93" Type="http://schemas.openxmlformats.org/officeDocument/2006/relationships/image" Target="media/image74.png"/><Relationship Id="rId94" Type="http://schemas.openxmlformats.org/officeDocument/2006/relationships/image" Target="media/image75.png"/><Relationship Id="rId95" Type="http://schemas.openxmlformats.org/officeDocument/2006/relationships/image" Target="media/image76.png"/><Relationship Id="rId96" Type="http://schemas.openxmlformats.org/officeDocument/2006/relationships/image" Target="media/image77.png"/><Relationship Id="rId97" Type="http://schemas.openxmlformats.org/officeDocument/2006/relationships/image" Target="media/image78.png"/><Relationship Id="rId98" Type="http://schemas.openxmlformats.org/officeDocument/2006/relationships/image" Target="media/image79.png"/><Relationship Id="rId99" Type="http://schemas.openxmlformats.org/officeDocument/2006/relationships/image" Target="media/image80.png"/><Relationship Id="rId100" Type="http://schemas.openxmlformats.org/officeDocument/2006/relationships/image" Target="media/image81.png"/><Relationship Id="rId101" Type="http://schemas.openxmlformats.org/officeDocument/2006/relationships/image" Target="media/image82.png"/><Relationship Id="rId102" Type="http://schemas.openxmlformats.org/officeDocument/2006/relationships/image" Target="media/image83.png"/><Relationship Id="rId103" Type="http://schemas.openxmlformats.org/officeDocument/2006/relationships/image" Target="media/image84.png"/><Relationship Id="rId104" Type="http://schemas.openxmlformats.org/officeDocument/2006/relationships/image" Target="media/image85.png"/><Relationship Id="rId105" Type="http://schemas.openxmlformats.org/officeDocument/2006/relationships/image" Target="media/image86.png"/><Relationship Id="rId106" Type="http://schemas.openxmlformats.org/officeDocument/2006/relationships/image" Target="media/image87.png"/><Relationship Id="rId107" Type="http://schemas.openxmlformats.org/officeDocument/2006/relationships/image" Target="media/image88.png"/><Relationship Id="rId108" Type="http://schemas.openxmlformats.org/officeDocument/2006/relationships/image" Target="media/image89.png"/><Relationship Id="rId109" Type="http://schemas.openxmlformats.org/officeDocument/2006/relationships/image" Target="media/image90.png"/><Relationship Id="rId110" Type="http://schemas.openxmlformats.org/officeDocument/2006/relationships/image" Target="media/image91.png"/><Relationship Id="rId111" Type="http://schemas.openxmlformats.org/officeDocument/2006/relationships/image" Target="media/image92.png"/><Relationship Id="rId112" Type="http://schemas.openxmlformats.org/officeDocument/2006/relationships/image" Target="media/image93.png"/><Relationship Id="rId113" Type="http://schemas.openxmlformats.org/officeDocument/2006/relationships/image" Target="media/image94.png"/><Relationship Id="rId114" Type="http://schemas.openxmlformats.org/officeDocument/2006/relationships/image" Target="media/image95.png"/><Relationship Id="rId115" Type="http://schemas.openxmlformats.org/officeDocument/2006/relationships/image" Target="media/image96.png"/><Relationship Id="rId116" Type="http://schemas.openxmlformats.org/officeDocument/2006/relationships/image" Target="media/image97.png"/><Relationship Id="rId117" Type="http://schemas.openxmlformats.org/officeDocument/2006/relationships/image" Target="media/image98.png"/><Relationship Id="rId118" Type="http://schemas.openxmlformats.org/officeDocument/2006/relationships/image" Target="media/image99.png"/><Relationship Id="rId119" Type="http://schemas.openxmlformats.org/officeDocument/2006/relationships/image" Target="media/image100.png"/><Relationship Id="rId120" Type="http://schemas.openxmlformats.org/officeDocument/2006/relationships/image" Target="media/image101.png"/><Relationship Id="rId121" Type="http://schemas.openxmlformats.org/officeDocument/2006/relationships/image" Target="media/image102.png"/><Relationship Id="rId122" Type="http://schemas.openxmlformats.org/officeDocument/2006/relationships/image" Target="media/image103.png"/><Relationship Id="rId123" Type="http://schemas.openxmlformats.org/officeDocument/2006/relationships/image" Target="media/image104.png"/><Relationship Id="rId124" Type="http://schemas.openxmlformats.org/officeDocument/2006/relationships/image" Target="media/image105.png"/><Relationship Id="rId125" Type="http://schemas.openxmlformats.org/officeDocument/2006/relationships/image" Target="media/image106.png"/><Relationship Id="rId126" Type="http://schemas.openxmlformats.org/officeDocument/2006/relationships/image" Target="media/image107.png"/><Relationship Id="rId127" Type="http://schemas.openxmlformats.org/officeDocument/2006/relationships/image" Target="media/image108.png"/><Relationship Id="rId128" Type="http://schemas.openxmlformats.org/officeDocument/2006/relationships/image" Target="media/image109.png"/><Relationship Id="rId129" Type="http://schemas.openxmlformats.org/officeDocument/2006/relationships/image" Target="media/image110.png"/><Relationship Id="rId130" Type="http://schemas.openxmlformats.org/officeDocument/2006/relationships/image" Target="media/image111.png"/><Relationship Id="rId131" Type="http://schemas.openxmlformats.org/officeDocument/2006/relationships/image" Target="media/image112.png"/><Relationship Id="rId132" Type="http://schemas.openxmlformats.org/officeDocument/2006/relationships/image" Target="media/image113.png"/><Relationship Id="rId133" Type="http://schemas.openxmlformats.org/officeDocument/2006/relationships/image" Target="media/image114.png"/><Relationship Id="rId134" Type="http://schemas.openxmlformats.org/officeDocument/2006/relationships/image" Target="media/image115.png"/><Relationship Id="rId135" Type="http://schemas.openxmlformats.org/officeDocument/2006/relationships/image" Target="media/image116.png"/><Relationship Id="rId136" Type="http://schemas.openxmlformats.org/officeDocument/2006/relationships/image" Target="media/image117.png"/><Relationship Id="rId137" Type="http://schemas.openxmlformats.org/officeDocument/2006/relationships/image" Target="media/image118.png"/><Relationship Id="rId138" Type="http://schemas.openxmlformats.org/officeDocument/2006/relationships/image" Target="media/image119.png"/><Relationship Id="rId139" Type="http://schemas.openxmlformats.org/officeDocument/2006/relationships/image" Target="media/image120.png"/><Relationship Id="rId140" Type="http://schemas.openxmlformats.org/officeDocument/2006/relationships/image" Target="media/image121.png"/><Relationship Id="rId141" Type="http://schemas.openxmlformats.org/officeDocument/2006/relationships/image" Target="media/image122.png"/><Relationship Id="rId142" Type="http://schemas.openxmlformats.org/officeDocument/2006/relationships/image" Target="media/image123.png"/><Relationship Id="rId143" Type="http://schemas.openxmlformats.org/officeDocument/2006/relationships/image" Target="media/image124.png"/><Relationship Id="rId144" Type="http://schemas.openxmlformats.org/officeDocument/2006/relationships/image" Target="media/image125.png"/><Relationship Id="rId145" Type="http://schemas.openxmlformats.org/officeDocument/2006/relationships/image" Target="media/image126.png"/><Relationship Id="rId146" Type="http://schemas.openxmlformats.org/officeDocument/2006/relationships/image" Target="media/image127.png"/><Relationship Id="rId147" Type="http://schemas.openxmlformats.org/officeDocument/2006/relationships/image" Target="media/image128.png"/><Relationship Id="rId148" Type="http://schemas.openxmlformats.org/officeDocument/2006/relationships/image" Target="media/image129.png"/><Relationship Id="rId149" Type="http://schemas.openxmlformats.org/officeDocument/2006/relationships/image" Target="media/image130.png"/><Relationship Id="rId150" Type="http://schemas.openxmlformats.org/officeDocument/2006/relationships/image" Target="media/image131.png"/><Relationship Id="rId151" Type="http://schemas.openxmlformats.org/officeDocument/2006/relationships/image" Target="media/image132.png"/><Relationship Id="rId152" Type="http://schemas.openxmlformats.org/officeDocument/2006/relationships/image" Target="media/image133.png"/><Relationship Id="rId153" Type="http://schemas.openxmlformats.org/officeDocument/2006/relationships/image" Target="media/image134.png"/><Relationship Id="rId154" Type="http://schemas.openxmlformats.org/officeDocument/2006/relationships/image" Target="media/image135.png"/><Relationship Id="rId155" Type="http://schemas.openxmlformats.org/officeDocument/2006/relationships/image" Target="media/image136.png"/><Relationship Id="rId156" Type="http://schemas.openxmlformats.org/officeDocument/2006/relationships/image" Target="media/image137.png"/><Relationship Id="rId157" Type="http://schemas.openxmlformats.org/officeDocument/2006/relationships/image" Target="media/image138.png"/><Relationship Id="rId158" Type="http://schemas.openxmlformats.org/officeDocument/2006/relationships/image" Target="media/image139.png"/><Relationship Id="rId159" Type="http://schemas.openxmlformats.org/officeDocument/2006/relationships/image" Target="media/image140.png"/><Relationship Id="rId160" Type="http://schemas.openxmlformats.org/officeDocument/2006/relationships/image" Target="media/image141.png"/><Relationship Id="rId161" Type="http://schemas.openxmlformats.org/officeDocument/2006/relationships/image" Target="media/image142.png"/><Relationship Id="rId162" Type="http://schemas.openxmlformats.org/officeDocument/2006/relationships/image" Target="media/image143.png"/><Relationship Id="rId163" Type="http://schemas.openxmlformats.org/officeDocument/2006/relationships/image" Target="media/image144.png"/><Relationship Id="rId164" Type="http://schemas.openxmlformats.org/officeDocument/2006/relationships/image" Target="media/image145.png"/><Relationship Id="rId165" Type="http://schemas.openxmlformats.org/officeDocument/2006/relationships/image" Target="media/image146.png"/><Relationship Id="rId166" Type="http://schemas.openxmlformats.org/officeDocument/2006/relationships/image" Target="media/image147.png"/><Relationship Id="rId167" Type="http://schemas.openxmlformats.org/officeDocument/2006/relationships/image" Target="media/image148.png"/><Relationship Id="rId168" Type="http://schemas.openxmlformats.org/officeDocument/2006/relationships/image" Target="media/image149.png"/><Relationship Id="rId169" Type="http://schemas.openxmlformats.org/officeDocument/2006/relationships/image" Target="media/image150.png"/><Relationship Id="rId170" Type="http://schemas.openxmlformats.org/officeDocument/2006/relationships/image" Target="media/image151.png"/><Relationship Id="rId171" Type="http://schemas.openxmlformats.org/officeDocument/2006/relationships/image" Target="media/image152.png"/><Relationship Id="rId172" Type="http://schemas.openxmlformats.org/officeDocument/2006/relationships/image" Target="media/image153.png"/><Relationship Id="rId173" Type="http://schemas.openxmlformats.org/officeDocument/2006/relationships/image" Target="media/image154.png"/><Relationship Id="rId174" Type="http://schemas.openxmlformats.org/officeDocument/2006/relationships/image" Target="media/image155.png"/><Relationship Id="rId175" Type="http://schemas.openxmlformats.org/officeDocument/2006/relationships/image" Target="media/image156.png"/><Relationship Id="rId176" Type="http://schemas.openxmlformats.org/officeDocument/2006/relationships/image" Target="media/image157.png"/><Relationship Id="rId177" Type="http://schemas.openxmlformats.org/officeDocument/2006/relationships/image" Target="media/image158.png"/><Relationship Id="rId178" Type="http://schemas.openxmlformats.org/officeDocument/2006/relationships/image" Target="media/image159.png"/><Relationship Id="rId179" Type="http://schemas.openxmlformats.org/officeDocument/2006/relationships/image" Target="media/image160.png"/><Relationship Id="rId180" Type="http://schemas.openxmlformats.org/officeDocument/2006/relationships/image" Target="media/image161.png"/><Relationship Id="rId181" Type="http://schemas.openxmlformats.org/officeDocument/2006/relationships/image" Target="media/image162.png"/><Relationship Id="rId182" Type="http://schemas.openxmlformats.org/officeDocument/2006/relationships/image" Target="media/image163.png"/><Relationship Id="rId183" Type="http://schemas.openxmlformats.org/officeDocument/2006/relationships/image" Target="media/image164.png"/><Relationship Id="rId184" Type="http://schemas.openxmlformats.org/officeDocument/2006/relationships/image" Target="media/image165.png"/><Relationship Id="rId185" Type="http://schemas.openxmlformats.org/officeDocument/2006/relationships/image" Target="media/image166.png"/><Relationship Id="rId186" Type="http://schemas.openxmlformats.org/officeDocument/2006/relationships/image" Target="media/image167.png"/><Relationship Id="rId187" Type="http://schemas.openxmlformats.org/officeDocument/2006/relationships/image" Target="media/image168.png"/><Relationship Id="rId188" Type="http://schemas.openxmlformats.org/officeDocument/2006/relationships/image" Target="media/image169.png"/><Relationship Id="rId189" Type="http://schemas.openxmlformats.org/officeDocument/2006/relationships/image" Target="media/image170.png"/><Relationship Id="rId190" Type="http://schemas.openxmlformats.org/officeDocument/2006/relationships/image" Target="media/image171.png"/><Relationship Id="rId191" Type="http://schemas.openxmlformats.org/officeDocument/2006/relationships/image" Target="media/image172.png"/><Relationship Id="rId192" Type="http://schemas.openxmlformats.org/officeDocument/2006/relationships/image" Target="media/image173.png"/><Relationship Id="rId193" Type="http://schemas.openxmlformats.org/officeDocument/2006/relationships/image" Target="media/image174.png"/><Relationship Id="rId194" Type="http://schemas.openxmlformats.org/officeDocument/2006/relationships/image" Target="media/image175.png"/><Relationship Id="rId195" Type="http://schemas.openxmlformats.org/officeDocument/2006/relationships/image" Target="media/image176.png"/><Relationship Id="rId196" Type="http://schemas.openxmlformats.org/officeDocument/2006/relationships/image" Target="media/image177.png"/><Relationship Id="rId197" Type="http://schemas.openxmlformats.org/officeDocument/2006/relationships/image" Target="media/image178.png"/><Relationship Id="rId198" Type="http://schemas.openxmlformats.org/officeDocument/2006/relationships/image" Target="media/image179.png"/><Relationship Id="rId199" Type="http://schemas.openxmlformats.org/officeDocument/2006/relationships/image" Target="media/image180.png"/><Relationship Id="rId200" Type="http://schemas.openxmlformats.org/officeDocument/2006/relationships/image" Target="media/image181.png"/><Relationship Id="rId201" Type="http://schemas.openxmlformats.org/officeDocument/2006/relationships/image" Target="media/image182.png"/><Relationship Id="rId202" Type="http://schemas.openxmlformats.org/officeDocument/2006/relationships/image" Target="media/image183.png"/><Relationship Id="rId203" Type="http://schemas.openxmlformats.org/officeDocument/2006/relationships/image" Target="media/image184.png"/><Relationship Id="rId204" Type="http://schemas.openxmlformats.org/officeDocument/2006/relationships/image" Target="media/image185.png"/><Relationship Id="rId205" Type="http://schemas.openxmlformats.org/officeDocument/2006/relationships/image" Target="media/image186.png"/><Relationship Id="rId206" Type="http://schemas.openxmlformats.org/officeDocument/2006/relationships/image" Target="media/image187.png"/><Relationship Id="rId207" Type="http://schemas.openxmlformats.org/officeDocument/2006/relationships/image" Target="media/image188.png"/><Relationship Id="rId208" Type="http://schemas.openxmlformats.org/officeDocument/2006/relationships/image" Target="media/image189.png"/><Relationship Id="rId209" Type="http://schemas.openxmlformats.org/officeDocument/2006/relationships/image" Target="media/image190.png"/><Relationship Id="rId210" Type="http://schemas.openxmlformats.org/officeDocument/2006/relationships/image" Target="media/image191.png"/><Relationship Id="rId211" Type="http://schemas.openxmlformats.org/officeDocument/2006/relationships/image" Target="media/image192.png"/><Relationship Id="rId212" Type="http://schemas.openxmlformats.org/officeDocument/2006/relationships/image" Target="media/image193.png"/><Relationship Id="rId213" Type="http://schemas.openxmlformats.org/officeDocument/2006/relationships/image" Target="media/image194.png"/><Relationship Id="rId214" Type="http://schemas.openxmlformats.org/officeDocument/2006/relationships/image" Target="media/image195.png"/><Relationship Id="rId215" Type="http://schemas.openxmlformats.org/officeDocument/2006/relationships/image" Target="media/image196.png"/><Relationship Id="rId216" Type="http://schemas.openxmlformats.org/officeDocument/2006/relationships/image" Target="media/image197.png"/><Relationship Id="rId217" Type="http://schemas.openxmlformats.org/officeDocument/2006/relationships/image" Target="media/image198.png"/><Relationship Id="rId218" Type="http://schemas.openxmlformats.org/officeDocument/2006/relationships/image" Target="media/image199.png"/><Relationship Id="rId219" Type="http://schemas.openxmlformats.org/officeDocument/2006/relationships/image" Target="media/image200.png"/><Relationship Id="rId220" Type="http://schemas.openxmlformats.org/officeDocument/2006/relationships/image" Target="media/image201.png"/><Relationship Id="rId221" Type="http://schemas.openxmlformats.org/officeDocument/2006/relationships/image" Target="media/image202.png"/><Relationship Id="rId222" Type="http://schemas.openxmlformats.org/officeDocument/2006/relationships/image" Target="media/image203.png"/><Relationship Id="rId223" Type="http://schemas.openxmlformats.org/officeDocument/2006/relationships/image" Target="media/image204.png"/><Relationship Id="rId224" Type="http://schemas.openxmlformats.org/officeDocument/2006/relationships/image" Target="media/image205.png"/><Relationship Id="rId225" Type="http://schemas.openxmlformats.org/officeDocument/2006/relationships/image" Target="media/image206.png"/><Relationship Id="rId226" Type="http://schemas.openxmlformats.org/officeDocument/2006/relationships/image" Target="media/image207.png"/><Relationship Id="rId227" Type="http://schemas.openxmlformats.org/officeDocument/2006/relationships/image" Target="media/image208.png"/><Relationship Id="rId228" Type="http://schemas.openxmlformats.org/officeDocument/2006/relationships/image" Target="media/image209.png"/><Relationship Id="rId229" Type="http://schemas.openxmlformats.org/officeDocument/2006/relationships/image" Target="media/image210.png"/><Relationship Id="rId230" Type="http://schemas.openxmlformats.org/officeDocument/2006/relationships/image" Target="media/image211.png"/><Relationship Id="rId231" Type="http://schemas.openxmlformats.org/officeDocument/2006/relationships/image" Target="media/image212.png"/><Relationship Id="rId232" Type="http://schemas.openxmlformats.org/officeDocument/2006/relationships/image" Target="media/image213.png"/><Relationship Id="rId233" Type="http://schemas.openxmlformats.org/officeDocument/2006/relationships/image" Target="media/image214.png"/><Relationship Id="rId234" Type="http://schemas.openxmlformats.org/officeDocument/2006/relationships/image" Target="media/image215.png"/><Relationship Id="rId235" Type="http://schemas.openxmlformats.org/officeDocument/2006/relationships/image" Target="media/image216.png"/><Relationship Id="rId236" Type="http://schemas.openxmlformats.org/officeDocument/2006/relationships/image" Target="media/image217.png"/><Relationship Id="rId237" Type="http://schemas.openxmlformats.org/officeDocument/2006/relationships/image" Target="media/image218.png"/><Relationship Id="rId238" Type="http://schemas.openxmlformats.org/officeDocument/2006/relationships/image" Target="media/image219.png"/><Relationship Id="rId239" Type="http://schemas.openxmlformats.org/officeDocument/2006/relationships/image" Target="media/image220.png"/><Relationship Id="rId240" Type="http://schemas.openxmlformats.org/officeDocument/2006/relationships/image" Target="media/image221.png"/><Relationship Id="rId241" Type="http://schemas.openxmlformats.org/officeDocument/2006/relationships/image" Target="media/image222.png"/><Relationship Id="rId242" Type="http://schemas.openxmlformats.org/officeDocument/2006/relationships/image" Target="media/image223.png"/><Relationship Id="rId243" Type="http://schemas.openxmlformats.org/officeDocument/2006/relationships/image" Target="media/image224.png"/><Relationship Id="rId244" Type="http://schemas.openxmlformats.org/officeDocument/2006/relationships/image" Target="media/image225.png"/><Relationship Id="rId245" Type="http://schemas.openxmlformats.org/officeDocument/2006/relationships/image" Target="media/image226.png"/><Relationship Id="rId246" Type="http://schemas.openxmlformats.org/officeDocument/2006/relationships/image" Target="media/image227.png"/><Relationship Id="rId247" Type="http://schemas.openxmlformats.org/officeDocument/2006/relationships/image" Target="media/image228.png"/><Relationship Id="rId248" Type="http://schemas.openxmlformats.org/officeDocument/2006/relationships/image" Target="media/image229.png"/><Relationship Id="rId249" Type="http://schemas.openxmlformats.org/officeDocument/2006/relationships/image" Target="media/image230.png"/><Relationship Id="rId250" Type="http://schemas.openxmlformats.org/officeDocument/2006/relationships/image" Target="media/image231.png"/><Relationship Id="rId251" Type="http://schemas.openxmlformats.org/officeDocument/2006/relationships/image" Target="media/image232.png"/><Relationship Id="rId252" Type="http://schemas.openxmlformats.org/officeDocument/2006/relationships/image" Target="media/image233.png"/><Relationship Id="rId253" Type="http://schemas.openxmlformats.org/officeDocument/2006/relationships/image" Target="media/image234.png"/><Relationship Id="rId254" Type="http://schemas.openxmlformats.org/officeDocument/2006/relationships/image" Target="media/image235.png"/><Relationship Id="rId255" Type="http://schemas.openxmlformats.org/officeDocument/2006/relationships/image" Target="media/image236.png"/><Relationship Id="rId256" Type="http://schemas.openxmlformats.org/officeDocument/2006/relationships/image" Target="media/image237.png"/><Relationship Id="rId257" Type="http://schemas.openxmlformats.org/officeDocument/2006/relationships/image" Target="media/image238.png"/><Relationship Id="rId258" Type="http://schemas.openxmlformats.org/officeDocument/2006/relationships/image" Target="media/image239.png"/><Relationship Id="rId259" Type="http://schemas.openxmlformats.org/officeDocument/2006/relationships/image" Target="media/image240.png"/><Relationship Id="rId260" Type="http://schemas.openxmlformats.org/officeDocument/2006/relationships/image" Target="media/image241.png"/><Relationship Id="rId261" Type="http://schemas.openxmlformats.org/officeDocument/2006/relationships/image" Target="media/image242.png"/><Relationship Id="rId262" Type="http://schemas.openxmlformats.org/officeDocument/2006/relationships/image" Target="media/image243.png"/><Relationship Id="rId263" Type="http://schemas.openxmlformats.org/officeDocument/2006/relationships/image" Target="media/image244.png"/><Relationship Id="rId264" Type="http://schemas.openxmlformats.org/officeDocument/2006/relationships/image" Target="media/image245.png"/><Relationship Id="rId265" Type="http://schemas.openxmlformats.org/officeDocument/2006/relationships/image" Target="media/image246.png"/><Relationship Id="rId266" Type="http://schemas.openxmlformats.org/officeDocument/2006/relationships/image" Target="media/image247.png"/><Relationship Id="rId267" Type="http://schemas.openxmlformats.org/officeDocument/2006/relationships/image" Target="media/image248.png"/><Relationship Id="rId268" Type="http://schemas.openxmlformats.org/officeDocument/2006/relationships/image" Target="media/image249.png"/><Relationship Id="rId269" Type="http://schemas.openxmlformats.org/officeDocument/2006/relationships/image" Target="media/image250.png"/><Relationship Id="rId270" Type="http://schemas.openxmlformats.org/officeDocument/2006/relationships/image" Target="media/image251.png"/><Relationship Id="rId271" Type="http://schemas.openxmlformats.org/officeDocument/2006/relationships/image" Target="media/image252.png"/><Relationship Id="rId272" Type="http://schemas.openxmlformats.org/officeDocument/2006/relationships/image" Target="media/image253.png"/><Relationship Id="rId273" Type="http://schemas.openxmlformats.org/officeDocument/2006/relationships/image" Target="media/image254.png"/><Relationship Id="rId274" Type="http://schemas.openxmlformats.org/officeDocument/2006/relationships/image" Target="media/image255.png"/><Relationship Id="rId275" Type="http://schemas.openxmlformats.org/officeDocument/2006/relationships/image" Target="media/image256.png"/><Relationship Id="rId276" Type="http://schemas.openxmlformats.org/officeDocument/2006/relationships/image" Target="media/image257.png"/><Relationship Id="rId277" Type="http://schemas.openxmlformats.org/officeDocument/2006/relationships/image" Target="media/image258.png"/><Relationship Id="rId278" Type="http://schemas.openxmlformats.org/officeDocument/2006/relationships/image" Target="media/image259.png"/><Relationship Id="rId279" Type="http://schemas.openxmlformats.org/officeDocument/2006/relationships/image" Target="media/image260.png"/><Relationship Id="rId281" Type="http://schemas.openxmlformats.org/officeDocument/2006/relationships/image" Target="media/image261.png"/><Relationship Id="rId282" Type="http://schemas.openxmlformats.org/officeDocument/2006/relationships/image" Target="media/image262.png"/><Relationship Id="rId283" Type="http://schemas.openxmlformats.org/officeDocument/2006/relationships/image" Target="media/image263.png"/><Relationship Id="rId284" Type="http://schemas.openxmlformats.org/officeDocument/2006/relationships/image" Target="media/image264.png"/><Relationship Id="rId285" Type="http://schemas.openxmlformats.org/officeDocument/2006/relationships/image" Target="media/image265.png"/><Relationship Id="rId286" Type="http://schemas.openxmlformats.org/officeDocument/2006/relationships/image" Target="media/image266.png"/><Relationship Id="rId287" Type="http://schemas.openxmlformats.org/officeDocument/2006/relationships/image" Target="media/image267.png"/><Relationship Id="rId288" Type="http://schemas.openxmlformats.org/officeDocument/2006/relationships/image" Target="media/image268.png"/><Relationship Id="rId289" Type="http://schemas.openxmlformats.org/officeDocument/2006/relationships/image" Target="media/image269.png"/><Relationship Id="rId290" Type="http://schemas.openxmlformats.org/officeDocument/2006/relationships/image" Target="media/image270.png"/><Relationship Id="rId291" Type="http://schemas.openxmlformats.org/officeDocument/2006/relationships/image" Target="media/image271.png"/><Relationship Id="rId293" Type="http://schemas.openxmlformats.org/officeDocument/2006/relationships/image" Target="media/image272.png"/><Relationship Id="rId294" Type="http://schemas.openxmlformats.org/officeDocument/2006/relationships/image" Target="media/image273.png"/><Relationship Id="rId295" Type="http://schemas.openxmlformats.org/officeDocument/2006/relationships/image" Target="media/image274.png"/><Relationship Id="rId296" Type="http://schemas.openxmlformats.org/officeDocument/2006/relationships/image" Target="media/image275.png"/><Relationship Id="rId297" Type="http://schemas.openxmlformats.org/officeDocument/2006/relationships/image" Target="media/image276.png"/><Relationship Id="rId298" Type="http://schemas.openxmlformats.org/officeDocument/2006/relationships/image" Target="media/image277.png"/><Relationship Id="rId299" Type="http://schemas.openxmlformats.org/officeDocument/2006/relationships/image" Target="media/image278.png"/><Relationship Id="rId300" Type="http://schemas.openxmlformats.org/officeDocument/2006/relationships/image" Target="media/image279.png"/><Relationship Id="rId301" Type="http://schemas.openxmlformats.org/officeDocument/2006/relationships/image" Target="media/image280.png"/><Relationship Id="rId302" Type="http://schemas.openxmlformats.org/officeDocument/2006/relationships/image" Target="media/image281.png"/><Relationship Id="rId303" Type="http://schemas.openxmlformats.org/officeDocument/2006/relationships/image" Target="media/image282.png"/><Relationship Id="rId304" Type="http://schemas.openxmlformats.org/officeDocument/2006/relationships/image" Target="media/image283.png"/><Relationship Id="rId305" Type="http://schemas.openxmlformats.org/officeDocument/2006/relationships/image" Target="media/image284.png"/><Relationship Id="rId306" Type="http://schemas.openxmlformats.org/officeDocument/2006/relationships/image" Target="media/image285.png"/><Relationship Id="rId307" Type="http://schemas.openxmlformats.org/officeDocument/2006/relationships/image" Target="media/image286.png"/><Relationship Id="rId308" Type="http://schemas.openxmlformats.org/officeDocument/2006/relationships/image" Target="media/image287.png"/><Relationship Id="rId315" Type="http://schemas.openxmlformats.org/officeDocument/2006/relationships/image" Target="media/image288.png"/><Relationship Id="rId316" Type="http://schemas.openxmlformats.org/officeDocument/2006/relationships/image" Target="media/image289.png"/><Relationship Id="rId317" Type="http://schemas.openxmlformats.org/officeDocument/2006/relationships/image" Target="media/image290.png"/><Relationship Id="rId318" Type="http://schemas.openxmlformats.org/officeDocument/2006/relationships/image" Target="media/image291.png"/><Relationship Id="rId319" Type="http://schemas.openxmlformats.org/officeDocument/2006/relationships/image" Target="media/image292.png"/><Relationship Id="rId320" Type="http://schemas.openxmlformats.org/officeDocument/2006/relationships/image" Target="media/image293.png"/><Relationship Id="rId321" Type="http://schemas.openxmlformats.org/officeDocument/2006/relationships/image" Target="media/image294.png"/><Relationship Id="rId322" Type="http://schemas.openxmlformats.org/officeDocument/2006/relationships/image" Target="media/image295.png"/><Relationship Id="rId323" Type="http://schemas.openxmlformats.org/officeDocument/2006/relationships/image" Target="media/image296.png"/><Relationship Id="rId324" Type="http://schemas.openxmlformats.org/officeDocument/2006/relationships/image" Target="media/image297.png"/><Relationship Id="rId330" Type="http://schemas.openxmlformats.org/officeDocument/2006/relationships/image" Target="media/image298.png"/><Relationship Id="rId340" Type="http://schemas.openxmlformats.org/officeDocument/2006/relationships/image" Target="media/image299.png"/><Relationship Id="rId348" Type="http://schemas.openxmlformats.org/officeDocument/2006/relationships/image" Target="media/image300.png"/><Relationship Id="rId349" Type="http://schemas.openxmlformats.org/officeDocument/2006/relationships/image" Target="media/image301.png"/><Relationship Id="rId350" Type="http://schemas.openxmlformats.org/officeDocument/2006/relationships/image" Target="media/image302.png"/><Relationship Id="rId351" Type="http://schemas.openxmlformats.org/officeDocument/2006/relationships/image" Target="media/image303.png"/><Relationship Id="rId352" Type="http://schemas.openxmlformats.org/officeDocument/2006/relationships/image" Target="media/image304.png"/><Relationship Id="rId353" Type="http://schemas.openxmlformats.org/officeDocument/2006/relationships/image" Target="media/image305.png"/><Relationship Id="rId354" Type="http://schemas.openxmlformats.org/officeDocument/2006/relationships/image" Target="media/image306.png"/><Relationship Id="rId355" Type="http://schemas.openxmlformats.org/officeDocument/2006/relationships/image" Target="media/image307.png"/><Relationship Id="rId356" Type="http://schemas.openxmlformats.org/officeDocument/2006/relationships/image" Target="media/image308.png"/><Relationship Id="rId357" Type="http://schemas.openxmlformats.org/officeDocument/2006/relationships/image" Target="media/image309.png"/><Relationship Id="rId358" Type="http://schemas.openxmlformats.org/officeDocument/2006/relationships/image" Target="media/image310.png"/><Relationship Id="rId359" Type="http://schemas.openxmlformats.org/officeDocument/2006/relationships/image" Target="media/image311.png"/><Relationship Id="rId360" Type="http://schemas.openxmlformats.org/officeDocument/2006/relationships/image" Target="media/image312.png"/><Relationship Id="rId361" Type="http://schemas.openxmlformats.org/officeDocument/2006/relationships/image" Target="media/image313.png"/><Relationship Id="rId362" Type="http://schemas.openxmlformats.org/officeDocument/2006/relationships/image" Target="media/image314.png"/><Relationship Id="rId363" Type="http://schemas.openxmlformats.org/officeDocument/2006/relationships/image" Target="media/image315.png"/><Relationship Id="rId364" Type="http://schemas.openxmlformats.org/officeDocument/2006/relationships/image" Target="media/image316.png"/><Relationship Id="rId365" Type="http://schemas.openxmlformats.org/officeDocument/2006/relationships/image" Target="media/image317.png"/><Relationship Id="rId366" Type="http://schemas.openxmlformats.org/officeDocument/2006/relationships/image" Target="media/image318.png"/><Relationship Id="rId367" Type="http://schemas.openxmlformats.org/officeDocument/2006/relationships/image" Target="media/image319.png"/><Relationship Id="rId368" Type="http://schemas.openxmlformats.org/officeDocument/2006/relationships/image" Target="media/image320.png"/><Relationship Id="rId369" Type="http://schemas.openxmlformats.org/officeDocument/2006/relationships/image" Target="media/image321.png"/><Relationship Id="rId370" Type="http://schemas.openxmlformats.org/officeDocument/2006/relationships/image" Target="media/image322.png"/><Relationship Id="rId371" Type="http://schemas.openxmlformats.org/officeDocument/2006/relationships/image" Target="media/image323.png"/><Relationship Id="rId372" Type="http://schemas.openxmlformats.org/officeDocument/2006/relationships/image" Target="media/image324.jpeg"/><Relationship Id="rId373" Type="http://schemas.openxmlformats.org/officeDocument/2006/relationships/image" Target="media/image325.jpeg"/><Relationship Id="rId374" Type="http://schemas.openxmlformats.org/officeDocument/2006/relationships/image" Target="media/image326.png"/><Relationship Id="rId375" Type="http://schemas.openxmlformats.org/officeDocument/2006/relationships/image" Target="media/image327.png"/><Relationship Id="rId376" Type="http://schemas.openxmlformats.org/officeDocument/2006/relationships/image" Target="media/image328.png"/><Relationship Id="rId377" Type="http://schemas.openxmlformats.org/officeDocument/2006/relationships/image" Target="media/image329.png"/><Relationship Id="rId378" Type="http://schemas.openxmlformats.org/officeDocument/2006/relationships/image" Target="media/image330.png"/><Relationship Id="rId379" Type="http://schemas.openxmlformats.org/officeDocument/2006/relationships/image" Target="media/image331.png"/><Relationship Id="rId380" Type="http://schemas.openxmlformats.org/officeDocument/2006/relationships/image" Target="media/image332.png"/><Relationship Id="rId381" Type="http://schemas.openxmlformats.org/officeDocument/2006/relationships/image" Target="media/image333.png"/><Relationship Id="rId382" Type="http://schemas.openxmlformats.org/officeDocument/2006/relationships/image" Target="media/image334.png"/><Relationship Id="rId383" Type="http://schemas.openxmlformats.org/officeDocument/2006/relationships/image" Target="media/image335.png"/><Relationship Id="rId384" Type="http://schemas.openxmlformats.org/officeDocument/2006/relationships/image" Target="media/image336.png"/><Relationship Id="rId385" Type="http://schemas.openxmlformats.org/officeDocument/2006/relationships/image" Target="media/image337.png"/><Relationship Id="rId386" Type="http://schemas.openxmlformats.org/officeDocument/2006/relationships/image" Target="media/image338.png"/><Relationship Id="rId387" Type="http://schemas.openxmlformats.org/officeDocument/2006/relationships/image" Target="media/image339.png"/><Relationship Id="rId388" Type="http://schemas.openxmlformats.org/officeDocument/2006/relationships/image" Target="media/image340.png"/><Relationship Id="rId389" Type="http://schemas.openxmlformats.org/officeDocument/2006/relationships/image" Target="media/image341.png"/><Relationship Id="rId42" Type="http://schemas.openxmlformats.org/officeDocument/2006/relationships/hyperlink" Target="http://www.sec.gov/ix?doc=/Archives/edgar/data/0001513363/000119312526076572/fdus-20251231.htm" TargetMode="External"/><Relationship Id="rId49" Type="http://schemas.openxmlformats.org/officeDocument/2006/relationships/hyperlink" Target="http://www.sec.gov/ix?doc=/Archives/edgar/data/0001513363/000119312526076572/fdus-20251231.htm#item_1a" TargetMode="External"/><Relationship Id="rId63" Type="http://schemas.openxmlformats.org/officeDocument/2006/relationships/hyperlink" Target="http://www.sec.gov/ix?doc=/Archives/edgar/data/0001513363/000119312526211915/fdus-20260331.htm#item2_mda" TargetMode="External"/><Relationship Id="rId74" Type="http://schemas.openxmlformats.org/officeDocument/2006/relationships/hyperlink" Target="http://www.sec.gov/ix?doc=/Archives/edgar/data/0001513363/000119312526076572/fdus-20251231.htm#footnotes" TargetMode="External"/><Relationship Id="rId75" Type="http://schemas.openxmlformats.org/officeDocument/2006/relationships/hyperlink" Target="http://www.sec.gov/ix?doc=/Archives/edgar/data/0001513363/000119312526211915/fdus-20260331.htm#notes_consolidated_financial_statements" TargetMode="External"/><Relationship Id="rId77" Type="http://schemas.openxmlformats.org/officeDocument/2006/relationships/hyperlink" Target="http://www.sec.gov/ix?doc=/Archives/edgar/data/0001513363/000119312526076572/fdus-20251231.htm#item_7" TargetMode="External"/><Relationship Id="rId79" Type="http://schemas.openxmlformats.org/officeDocument/2006/relationships/hyperlink" Target="http://www.sec.gov/ix?doc=/Archives/edgar/data/0001513363/000119312526076572/fdus-20251231.htm#item_7a" TargetMode="External"/><Relationship Id="rId80" Type="http://schemas.openxmlformats.org/officeDocument/2006/relationships/hyperlink" Target="http://www.sec.gov/ix?doc=/Archives/edgar/data/0001513363/000119312526211915/fdus-20260331.htm#item3_marketrisk" TargetMode="External"/><Relationship Id="rId82" Type="http://schemas.openxmlformats.org/officeDocument/2006/relationships/hyperlink" Target="http://www.sec.gov/ix?doc=/Archives/edgar/data/0001513363/000119312526076572/fdus-20251231.htm#item_5" TargetMode="External"/><Relationship Id="rId83" Type="http://schemas.openxmlformats.org/officeDocument/2006/relationships/hyperlink" Target="http://www.sec.gov/ix?doc=/Archives/edgar/data/0001513363/000119312526211915/fdus-20260331.htm#item1_legal_proceedings" TargetMode="External"/><Relationship Id="rId86" Type="http://schemas.openxmlformats.org/officeDocument/2006/relationships/hyperlink" Target="http://www.sec.gov/ix?doc=/Archives/edgar/data/0001513363/000119312526076572/fdus-20251231.htm#item_8" TargetMode="External"/><Relationship Id="rId87" Type="http://schemas.openxmlformats.org/officeDocument/2006/relationships/hyperlink" Target="http://www.sec.gov/ix?doc=/Archives/edgar/data/0001513363/000119312526211915/fdus-20260331.htm#item_1" TargetMode="External"/><Relationship Id="rId280" Type="http://schemas.openxmlformats.org/officeDocument/2006/relationships/hyperlink" Target="http://www.sec.gov/ix?doc=/Archives/edgar/data/0001513363/000119312526116813/fdus-20260319.htm#certain_relationship_related_transaction" TargetMode="External"/><Relationship Id="rId292" Type="http://schemas.openxmlformats.org/officeDocument/2006/relationships/hyperlink" Target="http://www.sec.gov/ix?doc=/Archives/edgar/data/0001513363/000119312526076572/fdus-20251231.htm#item_1" TargetMode="External"/><Relationship Id="rId309" Type="http://schemas.openxmlformats.org/officeDocument/2006/relationships/hyperlink" Target="http://www.sec.gov/ix?doc=/Archives/edgar/data/0001513363/000119312526116813/fdus-20260319.htm" TargetMode="External"/><Relationship Id="rId310" Type="http://schemas.openxmlformats.org/officeDocument/2006/relationships/hyperlink" Target="http://www.sec.gov/ix?doc=/Archives/edgar/data/0001513363/000119312526211915/fdus-20260331.htm" TargetMode="External"/><Relationship Id="rId311" Type="http://schemas.openxmlformats.org/officeDocument/2006/relationships/hyperlink" Target="http://www.sec.gov/ix?doc=/Archives/edgar/data/0001513363/000119312526085360/d101050d8k.htm" TargetMode="External"/><Relationship Id="rId312" Type="http://schemas.openxmlformats.org/officeDocument/2006/relationships/hyperlink" Target="http://www.sec.gov/ix?doc=/Archives/edgar/data/0001513363/000119312526248266/d119283d8k.htm" TargetMode="External"/><Relationship Id="rId313" Type="http://schemas.openxmlformats.org/officeDocument/2006/relationships/hyperlink" Target="http://www.sec.gov/ix?doc=/Archives/edgar/data/0001513363/000119312526267516/d131110d8k.htm" TargetMode="External"/><Relationship Id="rId314" Type="http://schemas.openxmlformats.org/officeDocument/2006/relationships/hyperlink" Target="http://www.sec.gov/ix?doc=/Archives/edgar/data/0001513363/000119312526281224/d111631d8k.htm" TargetMode="External"/><Relationship Id="rId325" Type="http://schemas.openxmlformats.org/officeDocument/2006/relationships/hyperlink" Target="http://www.sec.gov/Archives/edgar/data/1513363/000095012311041885/w81466a2exv99wxayx1y.htm" TargetMode="External"/><Relationship Id="rId326" Type="http://schemas.openxmlformats.org/officeDocument/2006/relationships/hyperlink" Target="http://www.sec.gov/Archives/edgar/data/1513363/000095012311041885/w81466a2exv99wxbyx1y.htm" TargetMode="External"/><Relationship Id="rId327" Type="http://schemas.openxmlformats.org/officeDocument/2006/relationships/hyperlink" Target="http://www.sec.gov/Archives/edgar/data/1513363/000095012311041885/w81466a2exv99wxdy.htm" TargetMode="External"/><Relationship Id="rId328" Type="http://schemas.openxmlformats.org/officeDocument/2006/relationships/hyperlink" Target="http://www.sec.gov/Archives/edgar/data/1513363/000095012311054001/w81466a3exv99wxfyx2y.htm" TargetMode="External"/><Relationship Id="rId329" Type="http://schemas.openxmlformats.org/officeDocument/2006/relationships/hyperlink" Target="http://www.sec.gov/Archives/edgar/data/1513363/000119312512368556/d382647dex99d5.htm" TargetMode="External"/><Relationship Id="rId331" Type="http://schemas.openxmlformats.org/officeDocument/2006/relationships/hyperlink" Target="http://www.sec.gov/Archives/edgar/data/1513363/000119312525057824/d822632dex42.htm" TargetMode="External"/><Relationship Id="rId332" Type="http://schemas.openxmlformats.org/officeDocument/2006/relationships/hyperlink" Target="http://www.sec.gov/Archives/edgar/data/1513363/000095017022002806/fdus-ex4_8.htm" TargetMode="External"/><Relationship Id="rId333" Type="http://schemas.openxmlformats.org/officeDocument/2006/relationships/hyperlink" Target="http://www.sec.gov/Archives/edgar/data/0001513363/000119312526248266/d119283dex41.htm" TargetMode="External"/><Relationship Id="rId334" Type="http://schemas.openxmlformats.org/officeDocument/2006/relationships/hyperlink" Target="http://www.sec.gov/Archives/edgar/data/1513363/000095012311041885/w81466a2exv99wxgy.htm" TargetMode="External"/><Relationship Id="rId335" Type="http://schemas.openxmlformats.org/officeDocument/2006/relationships/hyperlink" Target="http://www.sec.gov/Archives/edgar/data/1513363/000119312514086785/d685842dex107.htm" TargetMode="External"/><Relationship Id="rId336" Type="http://schemas.openxmlformats.org/officeDocument/2006/relationships/hyperlink" Target="http://www.sec.gov/Archives/edgar/data/1513363/000095012311054001/w81466a3exv99wxjy.htm" TargetMode="External"/><Relationship Id="rId337" Type="http://schemas.openxmlformats.org/officeDocument/2006/relationships/hyperlink" Target="http://www.sec.gov/Archives/edgar/data/1513363/000095012311041885/w81466a2exv99wxkyx1y.htm" TargetMode="External"/><Relationship Id="rId338" Type="http://schemas.openxmlformats.org/officeDocument/2006/relationships/hyperlink" Target="http://www.sec.gov/Archives/edgar/data/1513363/000095012311054001/w81466a3exv99wxkyx2y.htm" TargetMode="External"/><Relationship Id="rId339" Type="http://schemas.openxmlformats.org/officeDocument/2006/relationships/hyperlink" Target="http://www.sec.gov/Archives/edgar/data/1513363/000095012311058363/w81466a4exv99wxkyx3y.htm" TargetMode="External"/><Relationship Id="rId341" Type="http://schemas.openxmlformats.org/officeDocument/2006/relationships/hyperlink" Target="http://www.sec.gov/Archives/edgar/data/1513363/000119312512368556/d382647dex99e.htm" TargetMode="External"/><Relationship Id="rId342" Type="http://schemas.openxmlformats.org/officeDocument/2006/relationships/hyperlink" Target="http://www.sec.gov/Archives/edgar/data/1513363/000119312521237700/d197304dex101.htm" TargetMode="External"/><Relationship Id="rId343" Type="http://schemas.openxmlformats.org/officeDocument/2006/relationships/hyperlink" Target="http://www.sec.gov/Archives/edgar/data/1513363/000119312525246762/d15780dex101.htm" TargetMode="External"/><Relationship Id="rId344" Type="http://schemas.openxmlformats.org/officeDocument/2006/relationships/hyperlink" Target="http://www.sec.gov/Archives/edgar/data/1513363/000119312522282603/d386893dex101.htm" TargetMode="External"/><Relationship Id="rId345" Type="http://schemas.openxmlformats.org/officeDocument/2006/relationships/hyperlink" Target="http://www.sec.gov/Archives/edgar/data/0001513363/000119312523210716/d518571dex101.htm" TargetMode="External"/><Relationship Id="rId346" Type="http://schemas.openxmlformats.org/officeDocument/2006/relationships/hyperlink" Target="http://www.sec.gov/Archives/edgar/data/1513363/000119312524053672/d803783dex101.htm" TargetMode="External"/><Relationship Id="rId347" Type="http://schemas.openxmlformats.org/officeDocument/2006/relationships/hyperlink" Target="http://www.sec.gov/Archives/edgar/data/1513363/000119312526085360/d101050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2026-06-30T15:10:57Z</dcterms:created>
  <dcterms:modified xsi:type="dcterms:W3CDTF">2026-06-30T15:10:57Z</dcterms:modified>
</cp:coreProperties>
</file>