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814-00861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Fidus Investment Corporation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6020" w:type="dxa"/>
            <w:vAlign w:val="bottom"/>
          </w:tcPr>
          <w:p>
            <w:pPr>
              <w:jc w:val="center"/>
              <w:ind w:right="3259"/>
              <w:spacing w:after="0"/>
              <w:rPr>
                <w:sz w:val="20"/>
                <w:szCs w:val="20"/>
                <w:color w:val="auto"/>
              </w:rPr>
            </w:pPr>
            <w:r>
              <w:rPr>
                <w:rFonts w:ascii="Arial" w:cs="Arial" w:eastAsia="Arial" w:hAnsi="Arial"/>
                <w:sz w:val="18"/>
                <w:szCs w:val="18"/>
                <w:b w:val="1"/>
                <w:bCs w:val="1"/>
                <w:color w:val="auto"/>
                <w:w w:val="96"/>
              </w:rPr>
              <w:t>Maryland</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27-5017321</w:t>
            </w:r>
          </w:p>
        </w:tc>
      </w:tr>
      <w:tr>
        <w:trPr>
          <w:trHeight w:val="149"/>
        </w:trPr>
        <w:tc>
          <w:tcPr>
            <w:tcW w:w="6020" w:type="dxa"/>
            <w:vAlign w:val="bottom"/>
          </w:tcPr>
          <w:p>
            <w:pPr>
              <w:jc w:val="center"/>
              <w:ind w:right="32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20" w:type="dxa"/>
            <w:vAlign w:val="bottom"/>
          </w:tcPr>
          <w:p>
            <w:pPr>
              <w:jc w:val="center"/>
              <w:ind w:right="3259"/>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020" w:type="dxa"/>
            <w:vAlign w:val="bottom"/>
          </w:tcPr>
          <w:p>
            <w:pPr>
              <w:jc w:val="center"/>
              <w:ind w:right="3259"/>
              <w:spacing w:after="0"/>
              <w:rPr>
                <w:sz w:val="20"/>
                <w:szCs w:val="20"/>
                <w:color w:val="auto"/>
              </w:rPr>
            </w:pPr>
            <w:r>
              <w:rPr>
                <w:rFonts w:ascii="Arial" w:cs="Arial" w:eastAsia="Arial" w:hAnsi="Arial"/>
                <w:sz w:val="18"/>
                <w:szCs w:val="18"/>
                <w:b w:val="1"/>
                <w:bCs w:val="1"/>
                <w:color w:val="auto"/>
                <w:w w:val="90"/>
              </w:rPr>
              <w:t>1603 Orrington Avenue, Suite 1005</w:t>
            </w:r>
          </w:p>
        </w:tc>
        <w:tc>
          <w:tcPr>
            <w:tcW w:w="1440" w:type="dxa"/>
            <w:vAlign w:val="bottom"/>
          </w:tcPr>
          <w:p>
            <w:pPr>
              <w:spacing w:after="0"/>
              <w:rPr>
                <w:sz w:val="24"/>
                <w:szCs w:val="24"/>
                <w:color w:val="auto"/>
              </w:rPr>
            </w:pPr>
          </w:p>
        </w:tc>
      </w:tr>
      <w:tr>
        <w:trPr>
          <w:trHeight w:val="225"/>
        </w:trPr>
        <w:tc>
          <w:tcPr>
            <w:tcW w:w="6020" w:type="dxa"/>
            <w:vAlign w:val="bottom"/>
          </w:tcPr>
          <w:p>
            <w:pPr>
              <w:jc w:val="center"/>
              <w:ind w:right="3279"/>
              <w:spacing w:after="0"/>
              <w:rPr>
                <w:sz w:val="20"/>
                <w:szCs w:val="20"/>
                <w:color w:val="auto"/>
              </w:rPr>
            </w:pPr>
            <w:r>
              <w:rPr>
                <w:rFonts w:ascii="Arial" w:cs="Arial" w:eastAsia="Arial" w:hAnsi="Arial"/>
                <w:sz w:val="18"/>
                <w:szCs w:val="18"/>
                <w:b w:val="1"/>
                <w:bCs w:val="1"/>
                <w:color w:val="auto"/>
                <w:w w:val="90"/>
              </w:rPr>
              <w:t>Evanston, Illinois</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60201</w:t>
            </w:r>
          </w:p>
        </w:tc>
      </w:tr>
      <w:tr>
        <w:trPr>
          <w:trHeight w:val="186"/>
        </w:trPr>
        <w:tc>
          <w:tcPr>
            <w:tcW w:w="6020" w:type="dxa"/>
            <w:vAlign w:val="bottom"/>
          </w:tcPr>
          <w:p>
            <w:pPr>
              <w:jc w:val="center"/>
              <w:ind w:right="32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6020" w:type="dxa"/>
            <w:vAlign w:val="bottom"/>
          </w:tcPr>
          <w:p>
            <w:pPr>
              <w:jc w:val="right"/>
              <w:ind w:right="1319"/>
              <w:spacing w:after="0"/>
              <w:rPr>
                <w:sz w:val="20"/>
                <w:szCs w:val="20"/>
                <w:color w:val="auto"/>
              </w:rPr>
            </w:pPr>
            <w:r>
              <w:rPr>
                <w:rFonts w:ascii="Arial" w:cs="Arial" w:eastAsia="Arial" w:hAnsi="Arial"/>
                <w:sz w:val="18"/>
                <w:szCs w:val="18"/>
                <w:b w:val="1"/>
                <w:bCs w:val="1"/>
                <w:color w:val="auto"/>
              </w:rPr>
              <w:t>(847) 859-3940</w:t>
            </w:r>
          </w:p>
        </w:tc>
        <w:tc>
          <w:tcPr>
            <w:tcW w:w="1440" w:type="dxa"/>
            <w:vAlign w:val="bottom"/>
          </w:tcPr>
          <w:p>
            <w:pPr>
              <w:spacing w:after="0"/>
              <w:rPr>
                <w:sz w:val="24"/>
                <w:szCs w:val="24"/>
                <w:color w:val="auto"/>
              </w:rPr>
            </w:pPr>
          </w:p>
        </w:tc>
      </w:tr>
      <w:tr>
        <w:trPr>
          <w:trHeight w:val="186"/>
        </w:trPr>
        <w:tc>
          <w:tcPr>
            <w:tcW w:w="6020" w:type="dxa"/>
            <w:vAlign w:val="bottom"/>
          </w:tcPr>
          <w:p>
            <w:pPr>
              <w:jc w:val="center"/>
              <w:ind w:left="20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Trading Symbol</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vMerge w:val="continue"/>
          </w:tcPr>
          <w:p>
            <w:pPr>
              <w:spacing w:after="0"/>
              <w:rPr>
                <w:sz w:val="16"/>
                <w:szCs w:val="16"/>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FDUS</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The NASDAQ Global Select Market</w:t>
            </w: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5.875% Notes due 2023</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FDUSL</w:t>
            </w: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The NASDAQ Global Select Market</w:t>
            </w: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6.000%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FDUSZ</w:t>
            </w: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The NASDAQ Global Select Market</w:t>
            </w:r>
          </w:p>
        </w:tc>
        <w:tc>
          <w:tcPr>
            <w:tcW w:w="0" w:type="dxa"/>
            <w:vAlign w:val="bottom"/>
          </w:tcPr>
          <w:p>
            <w:pPr>
              <w:spacing w:after="0"/>
              <w:rPr>
                <w:sz w:val="1"/>
                <w:szCs w:val="1"/>
                <w:color w:val="auto"/>
              </w:rPr>
            </w:pPr>
          </w:p>
        </w:tc>
      </w:tr>
      <w:tr>
        <w:trPr>
          <w:trHeight w:val="230"/>
        </w:trPr>
        <w:tc>
          <w:tcPr>
            <w:tcW w:w="39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5.375%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FDUSG</w:t>
            </w: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The NASDAQ 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10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38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140"/>
          </w:cols>
          <w:pgMar w:left="320" w:top="230" w:right="439" w:bottom="24" w:gutter="0" w:footer="0" w:header="0"/>
        </w:sectPr>
      </w:pPr>
    </w:p>
    <w:bookmarkStart w:id="1" w:name="page2"/>
    <w:bookmarkEnd w:id="1"/>
    <w:p>
      <w:pPr>
        <w:ind w:right="200"/>
        <w:spacing w:after="0" w:line="233"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Arial" w:cs="Arial" w:eastAsia="Arial" w:hAnsi="Arial"/>
          <w:sz w:val="17"/>
          <w:szCs w:val="17"/>
          <w:color w:val="auto"/>
        </w:rPr>
        <w:t>Accelerated filer</w:t>
      </w:r>
    </w:p>
    <w:p>
      <w:pPr>
        <w:spacing w:after="0" w:line="30" w:lineRule="exact"/>
        <w:rPr>
          <w:sz w:val="20"/>
          <w:szCs w:val="20"/>
          <w:color w:val="auto"/>
        </w:rPr>
      </w:pPr>
    </w:p>
    <w:p>
      <w:pPr>
        <w:jc w:val="center"/>
        <w:ind w:right="18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Arial" w:cs="Arial" w:eastAsia="Arial" w:hAnsi="Arial"/>
          <w:sz w:val="16"/>
          <w:szCs w:val="16"/>
          <w:color w:val="auto"/>
        </w:rPr>
        <w:t>Non-accelerated filer</w:t>
      </w:r>
    </w:p>
    <w:p>
      <w:pPr>
        <w:spacing w:after="0" w:line="41" w:lineRule="exact"/>
        <w:rPr>
          <w:sz w:val="20"/>
          <w:szCs w:val="20"/>
          <w:color w:val="auto"/>
        </w:rPr>
      </w:pPr>
    </w:p>
    <w:p>
      <w:pPr>
        <w:jc w:val="center"/>
        <w:ind w:right="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Arial" w:cs="Arial" w:eastAsia="Arial" w:hAnsi="Arial"/>
          <w:sz w:val="16"/>
          <w:szCs w:val="16"/>
          <w:color w:val="auto"/>
        </w:rPr>
        <w:t>Smaller reporting</w:t>
      </w:r>
    </w:p>
    <w:p>
      <w:pPr>
        <w:spacing w:after="0" w:line="46" w:lineRule="exact"/>
        <w:rPr>
          <w:sz w:val="20"/>
          <w:szCs w:val="20"/>
          <w:color w:val="auto"/>
        </w:rPr>
      </w:pPr>
    </w:p>
    <w:p>
      <w:pPr>
        <w:jc w:val="center"/>
        <w:ind w:right="28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16"/>
          <w:szCs w:val="16"/>
          <w:color w:val="auto"/>
        </w:rPr>
        <w:t>Emerging growth</w:t>
      </w:r>
    </w:p>
    <w:p>
      <w:pPr>
        <w:spacing w:after="0" w:line="46" w:lineRule="exact"/>
        <w:rPr>
          <w:sz w:val="20"/>
          <w:szCs w:val="20"/>
          <w:color w:val="auto"/>
        </w:rPr>
      </w:pPr>
    </w:p>
    <w:p>
      <w:pPr>
        <w:jc w:val="center"/>
        <w:ind w:right="12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9" w:lineRule="exact"/>
        <w:rPr>
          <w:sz w:val="20"/>
          <w:szCs w:val="20"/>
          <w:color w:val="auto"/>
        </w:rPr>
      </w:pPr>
    </w:p>
    <w:p>
      <w:pPr>
        <w:sectPr>
          <w:pgSz w:w="11900" w:h="16838" w:orient="portrait"/>
          <w:cols w:equalWidth="0" w:num="5">
            <w:col w:w="1820" w:space="720"/>
            <w:col w:w="1380" w:space="720"/>
            <w:col w:w="1720" w:space="720"/>
            <w:col w:w="1540" w:space="720"/>
            <w:col w:w="1380"/>
          </w:cols>
          <w:pgMar w:left="440" w:top="125" w:right="739" w:bottom="1440" w:gutter="0" w:footer="0" w:header="0"/>
        </w:sectPr>
      </w:pPr>
    </w:p>
    <w:p>
      <w:pPr>
        <w:jc w:val="center"/>
        <w:ind w:right="-299"/>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0720"/>
          </w:cols>
          <w:pgMar w:left="440" w:top="125" w:right="739" w:bottom="1440" w:gutter="0" w:footer="0" w:header="0"/>
          <w:type w:val="continuous"/>
        </w:sectPr>
      </w:pPr>
    </w:p>
    <w:p>
      <w:pPr>
        <w:spacing w:after="0" w:line="241"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April 27, 2020, the Registrant had outstanding 24,437,400 shares of 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5" w:right="7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52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20" w:type="dxa"/>
            <w:vAlign w:val="bottom"/>
          </w:tcPr>
          <w:p>
            <w:pPr>
              <w:spacing w:after="0"/>
              <w:rPr>
                <w:sz w:val="20"/>
                <w:szCs w:val="20"/>
                <w:color w:val="auto"/>
              </w:rPr>
            </w:pPr>
          </w:p>
        </w:tc>
      </w:tr>
      <w:tr>
        <w:trPr>
          <w:trHeight w:val="495"/>
        </w:trPr>
        <w:tc>
          <w:tcPr>
            <w:tcW w:w="940" w:type="dxa"/>
            <w:vAlign w:val="bottom"/>
          </w:tcPr>
          <w:p>
            <w:pPr>
              <w:spacing w:after="0"/>
              <w:rPr>
                <w:sz w:val="24"/>
                <w:szCs w:val="24"/>
                <w:color w:val="auto"/>
              </w:rPr>
            </w:pPr>
          </w:p>
        </w:tc>
        <w:tc>
          <w:tcPr>
            <w:tcW w:w="9580" w:type="dxa"/>
            <w:vAlign w:val="bottom"/>
          </w:tcPr>
          <w:p>
            <w:pPr>
              <w:jc w:val="center"/>
              <w:ind w:right="130"/>
              <w:spacing w:after="0"/>
              <w:rPr>
                <w:sz w:val="20"/>
                <w:szCs w:val="20"/>
                <w:color w:val="auto"/>
              </w:rPr>
            </w:pPr>
            <w:r>
              <w:rPr>
                <w:rFonts w:ascii="Arial" w:cs="Arial" w:eastAsia="Arial" w:hAnsi="Arial"/>
                <w:sz w:val="18"/>
                <w:szCs w:val="18"/>
                <w:b w:val="1"/>
                <w:bCs w:val="1"/>
                <w:color w:val="auto"/>
              </w:rPr>
              <w:t>FIDUS INVESTMENT CORPORATION</w:t>
            </w:r>
          </w:p>
        </w:tc>
        <w:tc>
          <w:tcPr>
            <w:tcW w:w="62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9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9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QUARTERLY REPORT ON FORM 10-Q</w:t>
            </w:r>
          </w:p>
        </w:tc>
        <w:tc>
          <w:tcPr>
            <w:tcW w:w="620" w:type="dxa"/>
            <w:vAlign w:val="bottom"/>
          </w:tcPr>
          <w:p>
            <w:pPr>
              <w:spacing w:after="0"/>
              <w:rPr>
                <w:sz w:val="20"/>
                <w:szCs w:val="20"/>
                <w:color w:val="auto"/>
              </w:rPr>
            </w:pPr>
          </w:p>
        </w:tc>
      </w:tr>
      <w:tr>
        <w:trPr>
          <w:trHeight w:val="445"/>
        </w:trPr>
        <w:tc>
          <w:tcPr>
            <w:tcW w:w="940" w:type="dxa"/>
            <w:vAlign w:val="bottom"/>
          </w:tcPr>
          <w:p>
            <w:pPr>
              <w:spacing w:after="0"/>
              <w:rPr>
                <w:sz w:val="24"/>
                <w:szCs w:val="24"/>
                <w:color w:val="auto"/>
              </w:rPr>
            </w:pPr>
          </w:p>
        </w:tc>
        <w:tc>
          <w:tcPr>
            <w:tcW w:w="9580" w:type="dxa"/>
            <w:vAlign w:val="bottom"/>
          </w:tcPr>
          <w:p>
            <w:pPr>
              <w:jc w:val="center"/>
              <w:ind w:right="130"/>
              <w:spacing w:after="0"/>
              <w:rPr>
                <w:sz w:val="20"/>
                <w:szCs w:val="20"/>
                <w:color w:val="auto"/>
              </w:rPr>
            </w:pPr>
            <w:r>
              <w:rPr>
                <w:rFonts w:ascii="Arial" w:cs="Arial" w:eastAsia="Arial" w:hAnsi="Arial"/>
                <w:sz w:val="18"/>
                <w:szCs w:val="18"/>
                <w:b w:val="1"/>
                <w:bCs w:val="1"/>
                <w:color w:val="auto"/>
              </w:rPr>
              <w:t>PART I — FINANCIAL INFORMATION</w:t>
            </w:r>
          </w:p>
        </w:tc>
        <w:tc>
          <w:tcPr>
            <w:tcW w:w="620" w:type="dxa"/>
            <w:vAlign w:val="bottom"/>
          </w:tcPr>
          <w:p>
            <w:pPr>
              <w:spacing w:after="0"/>
              <w:rPr>
                <w:sz w:val="24"/>
                <w:szCs w:val="24"/>
                <w:color w:val="auto"/>
              </w:rPr>
            </w:pPr>
          </w:p>
        </w:tc>
      </w:tr>
      <w:tr>
        <w:trPr>
          <w:trHeight w:val="216"/>
        </w:trPr>
        <w:tc>
          <w:tcPr>
            <w:tcW w:w="940" w:type="dxa"/>
            <w:vAlign w:val="bottom"/>
          </w:tcPr>
          <w:p>
            <w:pPr>
              <w:ind w:left="120"/>
              <w:spacing w:after="0"/>
              <w:rPr>
                <w:sz w:val="20"/>
                <w:szCs w:val="20"/>
                <w:color w:val="auto"/>
              </w:rPr>
            </w:pPr>
            <w:r>
              <w:rPr>
                <w:rFonts w:ascii="Arial" w:cs="Arial" w:eastAsia="Arial" w:hAnsi="Arial"/>
                <w:sz w:val="18"/>
                <w:szCs w:val="18"/>
                <w:color w:val="auto"/>
              </w:rPr>
              <w:t>Item 1.</w:t>
            </w:r>
          </w:p>
        </w:tc>
        <w:tc>
          <w:tcPr>
            <w:tcW w:w="958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0" w:type="dxa"/>
            <w:vAlign w:val="bottom"/>
          </w:tcPr>
          <w:p>
            <w:pPr>
              <w:spacing w:after="0"/>
              <w:rPr>
                <w:sz w:val="18"/>
                <w:szCs w:val="18"/>
                <w:color w:val="auto"/>
              </w:rPr>
            </w:pPr>
          </w:p>
        </w:tc>
        <w:tc>
          <w:tcPr>
            <w:tcW w:w="958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 March 31, 2020 (unaudited) and December 31,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0" w:type="dxa"/>
            <w:vAlign w:val="bottom"/>
          </w:tcPr>
          <w:p>
            <w:pPr>
              <w:spacing w:after="0"/>
              <w:rPr>
                <w:sz w:val="18"/>
                <w:szCs w:val="18"/>
                <w:color w:val="auto"/>
              </w:rPr>
            </w:pPr>
          </w:p>
        </w:tc>
        <w:tc>
          <w:tcPr>
            <w:tcW w:w="958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 Three Months Ended March 31, 2020 (unaudited) and 2019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40" w:type="dxa"/>
            <w:vAlign w:val="bottom"/>
          </w:tcPr>
          <w:p>
            <w:pPr>
              <w:spacing w:after="0"/>
              <w:rPr>
                <w:sz w:val="18"/>
                <w:szCs w:val="18"/>
                <w:color w:val="auto"/>
              </w:rPr>
            </w:pPr>
          </w:p>
        </w:tc>
        <w:tc>
          <w:tcPr>
            <w:tcW w:w="9580" w:type="dxa"/>
            <w:vAlign w:val="bottom"/>
          </w:tcPr>
          <w:p>
            <w:pPr>
              <w:ind w:left="60"/>
              <w:spacing w:after="0"/>
              <w:rPr>
                <w:rFonts w:ascii="Arial" w:cs="Arial" w:eastAsia="Arial" w:hAnsi="Arial"/>
                <w:sz w:val="18"/>
                <w:szCs w:val="18"/>
                <w:u w:val="single" w:color="auto"/>
                <w:color w:val="0000EE"/>
                <w:w w:val="94"/>
              </w:rPr>
            </w:pPr>
            <w:hyperlink w:anchor="page6">
              <w:r>
                <w:rPr>
                  <w:rFonts w:ascii="Arial" w:cs="Arial" w:eastAsia="Arial" w:hAnsi="Arial"/>
                  <w:sz w:val="18"/>
                  <w:szCs w:val="18"/>
                  <w:u w:val="single" w:color="auto"/>
                  <w:color w:val="0000EE"/>
                  <w:w w:val="94"/>
                </w:rPr>
                <w:t>Consolidated Statements of Changes in Net Assets — Three Months Ended March 31, 2020 (unaudited) and 2019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40" w:type="dxa"/>
            <w:vAlign w:val="bottom"/>
          </w:tcPr>
          <w:p>
            <w:pPr>
              <w:spacing w:after="0"/>
              <w:rPr>
                <w:sz w:val="18"/>
                <w:szCs w:val="18"/>
                <w:color w:val="auto"/>
              </w:rPr>
            </w:pPr>
          </w:p>
        </w:tc>
        <w:tc>
          <w:tcPr>
            <w:tcW w:w="9580" w:type="dxa"/>
            <w:vAlign w:val="bottom"/>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 Three months Ended March 31, 2020 (unaudited) and 2019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0" w:type="dxa"/>
            <w:vAlign w:val="bottom"/>
          </w:tcPr>
          <w:p>
            <w:pPr>
              <w:spacing w:after="0"/>
              <w:rPr>
                <w:sz w:val="18"/>
                <w:szCs w:val="18"/>
                <w:color w:val="auto"/>
              </w:rPr>
            </w:pPr>
          </w:p>
        </w:tc>
        <w:tc>
          <w:tcPr>
            <w:tcW w:w="9580" w:type="dxa"/>
            <w:vAlign w:val="bottom"/>
          </w:tcPr>
          <w:p>
            <w:pPr>
              <w:ind w:left="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 March 31, 2020 (unaudited) and December 31,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40" w:type="dxa"/>
            <w:vAlign w:val="bottom"/>
          </w:tcPr>
          <w:p>
            <w:pPr>
              <w:spacing w:after="0"/>
              <w:rPr>
                <w:sz w:val="18"/>
                <w:szCs w:val="18"/>
                <w:color w:val="auto"/>
              </w:rPr>
            </w:pPr>
          </w:p>
        </w:tc>
        <w:tc>
          <w:tcPr>
            <w:tcW w:w="9580" w:type="dxa"/>
            <w:vAlign w:val="bottom"/>
          </w:tcPr>
          <w:p>
            <w:pPr>
              <w:ind w:left="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Notes to Consolidated Financial Statements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40" w:type="dxa"/>
            <w:vAlign w:val="bottom"/>
          </w:tcPr>
          <w:p>
            <w:pPr>
              <w:ind w:left="120"/>
              <w:spacing w:after="0"/>
              <w:rPr>
                <w:sz w:val="20"/>
                <w:szCs w:val="20"/>
                <w:color w:val="auto"/>
              </w:rPr>
            </w:pPr>
            <w:r>
              <w:rPr>
                <w:rFonts w:ascii="Arial" w:cs="Arial" w:eastAsia="Arial" w:hAnsi="Arial"/>
                <w:sz w:val="18"/>
                <w:szCs w:val="18"/>
                <w:color w:val="auto"/>
              </w:rPr>
              <w:t>Item 2.</w:t>
            </w:r>
          </w:p>
        </w:tc>
        <w:tc>
          <w:tcPr>
            <w:tcW w:w="9580" w:type="dxa"/>
            <w:vAlign w:val="bottom"/>
          </w:tcPr>
          <w:p>
            <w:pPr>
              <w:ind w:left="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40" w:type="dxa"/>
            <w:vAlign w:val="bottom"/>
          </w:tcPr>
          <w:p>
            <w:pPr>
              <w:ind w:left="120"/>
              <w:spacing w:after="0"/>
              <w:rPr>
                <w:sz w:val="20"/>
                <w:szCs w:val="20"/>
                <w:color w:val="auto"/>
              </w:rPr>
            </w:pPr>
            <w:r>
              <w:rPr>
                <w:rFonts w:ascii="Arial" w:cs="Arial" w:eastAsia="Arial" w:hAnsi="Arial"/>
                <w:sz w:val="18"/>
                <w:szCs w:val="18"/>
                <w:color w:val="auto"/>
              </w:rPr>
              <w:t>Item 3.</w:t>
            </w:r>
          </w:p>
        </w:tc>
        <w:tc>
          <w:tcPr>
            <w:tcW w:w="9580" w:type="dxa"/>
            <w:vAlign w:val="bottom"/>
          </w:tcPr>
          <w:p>
            <w:pPr>
              <w:ind w:left="6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940" w:type="dxa"/>
            <w:vAlign w:val="bottom"/>
          </w:tcPr>
          <w:p>
            <w:pPr>
              <w:ind w:left="120"/>
              <w:spacing w:after="0"/>
              <w:rPr>
                <w:sz w:val="20"/>
                <w:szCs w:val="20"/>
                <w:color w:val="auto"/>
              </w:rPr>
            </w:pPr>
            <w:r>
              <w:rPr>
                <w:rFonts w:ascii="Arial" w:cs="Arial" w:eastAsia="Arial" w:hAnsi="Arial"/>
                <w:sz w:val="18"/>
                <w:szCs w:val="18"/>
                <w:color w:val="auto"/>
              </w:rPr>
              <w:t>Item 4.</w:t>
            </w:r>
          </w:p>
        </w:tc>
        <w:tc>
          <w:tcPr>
            <w:tcW w:w="9580" w:type="dxa"/>
            <w:vAlign w:val="bottom"/>
          </w:tcPr>
          <w:p>
            <w:pPr>
              <w:ind w:left="60"/>
              <w:spacing w:after="0"/>
              <w:rPr>
                <w:rFonts w:ascii="Arial" w:cs="Arial" w:eastAsia="Arial" w:hAnsi="Arial"/>
                <w:sz w:val="18"/>
                <w:szCs w:val="18"/>
                <w:color w:val="0000EE"/>
              </w:rPr>
            </w:pPr>
            <w:hyperlink w:anchor="page57">
              <w:r>
                <w:rPr>
                  <w:rFonts w:ascii="Arial" w:cs="Arial" w:eastAsia="Arial" w:hAnsi="Arial"/>
                  <w:sz w:val="18"/>
                  <w:szCs w:val="18"/>
                  <w:u w:val="single" w:color="auto"/>
                  <w:color w:val="0000EE"/>
                </w:rPr>
                <w:t>Controls and Procedures</w:t>
              </w:r>
              <w:r>
                <w:rPr>
                  <w:rFonts w:ascii="Arial" w:cs="Arial" w:eastAsia="Arial" w:hAnsi="Arial"/>
                  <w:sz w:val="18"/>
                  <w:szCs w:val="18"/>
                  <w:color w:val="0000EE"/>
                </w:rPr>
                <w:t>.</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940" w:type="dxa"/>
            <w:vAlign w:val="bottom"/>
          </w:tcPr>
          <w:p>
            <w:pPr>
              <w:spacing w:after="0"/>
              <w:rPr>
                <w:sz w:val="24"/>
                <w:szCs w:val="24"/>
                <w:color w:val="auto"/>
              </w:rPr>
            </w:pPr>
          </w:p>
        </w:tc>
        <w:tc>
          <w:tcPr>
            <w:tcW w:w="9580" w:type="dxa"/>
            <w:vAlign w:val="bottom"/>
          </w:tcPr>
          <w:p>
            <w:pPr>
              <w:jc w:val="center"/>
              <w:ind w:right="110"/>
              <w:spacing w:after="0"/>
              <w:rPr>
                <w:sz w:val="20"/>
                <w:szCs w:val="20"/>
                <w:color w:val="auto"/>
              </w:rPr>
            </w:pPr>
            <w:r>
              <w:rPr>
                <w:rFonts w:ascii="Arial" w:cs="Arial" w:eastAsia="Arial" w:hAnsi="Arial"/>
                <w:sz w:val="18"/>
                <w:szCs w:val="18"/>
                <w:b w:val="1"/>
                <w:bCs w:val="1"/>
                <w:color w:val="auto"/>
              </w:rPr>
              <w:t>PART II — OTHER INFORMATION</w:t>
            </w:r>
          </w:p>
        </w:tc>
        <w:tc>
          <w:tcPr>
            <w:tcW w:w="620" w:type="dxa"/>
            <w:vAlign w:val="bottom"/>
          </w:tcPr>
          <w:p>
            <w:pPr>
              <w:spacing w:after="0"/>
              <w:rPr>
                <w:sz w:val="24"/>
                <w:szCs w:val="24"/>
                <w:color w:val="auto"/>
              </w:rPr>
            </w:pPr>
          </w:p>
        </w:tc>
      </w:tr>
      <w:tr>
        <w:trPr>
          <w:trHeight w:val="216"/>
        </w:trPr>
        <w:tc>
          <w:tcPr>
            <w:tcW w:w="940" w:type="dxa"/>
            <w:vAlign w:val="bottom"/>
          </w:tcPr>
          <w:p>
            <w:pPr>
              <w:ind w:left="120"/>
              <w:spacing w:after="0"/>
              <w:rPr>
                <w:sz w:val="20"/>
                <w:szCs w:val="20"/>
                <w:color w:val="auto"/>
              </w:rPr>
            </w:pPr>
            <w:r>
              <w:rPr>
                <w:rFonts w:ascii="Arial" w:cs="Arial" w:eastAsia="Arial" w:hAnsi="Arial"/>
                <w:sz w:val="18"/>
                <w:szCs w:val="18"/>
                <w:color w:val="auto"/>
              </w:rPr>
              <w:t>Item 1.</w:t>
            </w:r>
          </w:p>
        </w:tc>
        <w:tc>
          <w:tcPr>
            <w:tcW w:w="9580" w:type="dxa"/>
            <w:vAlign w:val="bottom"/>
          </w:tcPr>
          <w:p>
            <w:pPr>
              <w:ind w:left="6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40" w:type="dxa"/>
            <w:vAlign w:val="bottom"/>
          </w:tcPr>
          <w:p>
            <w:pPr>
              <w:ind w:left="120"/>
              <w:spacing w:after="0"/>
              <w:rPr>
                <w:sz w:val="20"/>
                <w:szCs w:val="20"/>
                <w:color w:val="auto"/>
              </w:rPr>
            </w:pPr>
            <w:r>
              <w:rPr>
                <w:rFonts w:ascii="Arial" w:cs="Arial" w:eastAsia="Arial" w:hAnsi="Arial"/>
                <w:sz w:val="18"/>
                <w:szCs w:val="18"/>
                <w:color w:val="auto"/>
              </w:rPr>
              <w:t>Item 1A.</w:t>
            </w:r>
          </w:p>
        </w:tc>
        <w:tc>
          <w:tcPr>
            <w:tcW w:w="9580" w:type="dxa"/>
            <w:vAlign w:val="bottom"/>
          </w:tcPr>
          <w:p>
            <w:pPr>
              <w:ind w:left="60"/>
              <w:spacing w:after="0"/>
              <w:rPr>
                <w:rFonts w:ascii="Arial" w:cs="Arial" w:eastAsia="Arial" w:hAnsi="Arial"/>
                <w:sz w:val="18"/>
                <w:szCs w:val="18"/>
                <w:color w:val="0000EE"/>
              </w:rPr>
            </w:pPr>
            <w:hyperlink w:anchor="page58">
              <w:r>
                <w:rPr>
                  <w:rFonts w:ascii="Arial" w:cs="Arial" w:eastAsia="Arial" w:hAnsi="Arial"/>
                  <w:sz w:val="18"/>
                  <w:szCs w:val="18"/>
                  <w:u w:val="single" w:color="auto"/>
                  <w:color w:val="0000EE"/>
                </w:rPr>
                <w:t>Risk Factors</w:t>
              </w:r>
              <w:r>
                <w:rPr>
                  <w:rFonts w:ascii="Arial" w:cs="Arial" w:eastAsia="Arial" w:hAnsi="Arial"/>
                  <w:sz w:val="18"/>
                  <w:szCs w:val="18"/>
                  <w:color w:val="0000EE"/>
                </w:rPr>
                <w:t>.</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40" w:type="dxa"/>
            <w:vAlign w:val="bottom"/>
          </w:tcPr>
          <w:p>
            <w:pPr>
              <w:ind w:left="120"/>
              <w:spacing w:after="0"/>
              <w:rPr>
                <w:sz w:val="20"/>
                <w:szCs w:val="20"/>
                <w:color w:val="auto"/>
              </w:rPr>
            </w:pPr>
            <w:r>
              <w:rPr>
                <w:rFonts w:ascii="Arial" w:cs="Arial" w:eastAsia="Arial" w:hAnsi="Arial"/>
                <w:sz w:val="18"/>
                <w:szCs w:val="18"/>
                <w:color w:val="auto"/>
              </w:rPr>
              <w:t>Item 2.</w:t>
            </w:r>
          </w:p>
        </w:tc>
        <w:tc>
          <w:tcPr>
            <w:tcW w:w="9580" w:type="dxa"/>
            <w:vAlign w:val="bottom"/>
          </w:tcPr>
          <w:p>
            <w:pPr>
              <w:ind w:left="60"/>
              <w:spacing w:after="0"/>
              <w:rPr>
                <w:rFonts w:ascii="Arial" w:cs="Arial" w:eastAsia="Arial" w:hAnsi="Arial"/>
                <w:sz w:val="18"/>
                <w:szCs w:val="18"/>
                <w:color w:val="0000EE"/>
              </w:rPr>
            </w:pPr>
            <w:hyperlink w:anchor="page61">
              <w:r>
                <w:rPr>
                  <w:rFonts w:ascii="Arial" w:cs="Arial" w:eastAsia="Arial" w:hAnsi="Arial"/>
                  <w:sz w:val="18"/>
                  <w:szCs w:val="18"/>
                  <w:u w:val="single" w:color="auto"/>
                  <w:color w:val="0000EE"/>
                </w:rPr>
                <w:t>Unregistered Sales of Equity Securities and Use of Proceeds</w:t>
              </w:r>
              <w:r>
                <w:rPr>
                  <w:rFonts w:ascii="Arial" w:cs="Arial" w:eastAsia="Arial" w:hAnsi="Arial"/>
                  <w:sz w:val="18"/>
                  <w:szCs w:val="18"/>
                  <w:color w:val="0000EE"/>
                </w:rPr>
                <w:t>.</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40" w:type="dxa"/>
            <w:vAlign w:val="bottom"/>
          </w:tcPr>
          <w:p>
            <w:pPr>
              <w:ind w:left="120"/>
              <w:spacing w:after="0"/>
              <w:rPr>
                <w:sz w:val="20"/>
                <w:szCs w:val="20"/>
                <w:color w:val="auto"/>
              </w:rPr>
            </w:pPr>
            <w:r>
              <w:rPr>
                <w:rFonts w:ascii="Arial" w:cs="Arial" w:eastAsia="Arial" w:hAnsi="Arial"/>
                <w:sz w:val="18"/>
                <w:szCs w:val="18"/>
                <w:color w:val="auto"/>
              </w:rPr>
              <w:t>Item 3.</w:t>
            </w:r>
          </w:p>
        </w:tc>
        <w:tc>
          <w:tcPr>
            <w:tcW w:w="9580" w:type="dxa"/>
            <w:vAlign w:val="bottom"/>
          </w:tcPr>
          <w:p>
            <w:pPr>
              <w:ind w:left="60"/>
              <w:spacing w:after="0"/>
              <w:rPr>
                <w:rFonts w:ascii="Arial" w:cs="Arial" w:eastAsia="Arial" w:hAnsi="Arial"/>
                <w:sz w:val="18"/>
                <w:szCs w:val="18"/>
                <w:color w:val="0000EE"/>
              </w:rPr>
            </w:pPr>
            <w:hyperlink w:anchor="page62">
              <w:r>
                <w:rPr>
                  <w:rFonts w:ascii="Arial" w:cs="Arial" w:eastAsia="Arial" w:hAnsi="Arial"/>
                  <w:sz w:val="18"/>
                  <w:szCs w:val="18"/>
                  <w:u w:val="single" w:color="auto"/>
                  <w:color w:val="0000EE"/>
                </w:rPr>
                <w:t>Defaults Upon Senior Securities</w:t>
              </w:r>
              <w:r>
                <w:rPr>
                  <w:rFonts w:ascii="Arial" w:cs="Arial" w:eastAsia="Arial" w:hAnsi="Arial"/>
                  <w:sz w:val="18"/>
                  <w:szCs w:val="18"/>
                  <w:color w:val="0000EE"/>
                </w:rPr>
                <w:t>.</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40" w:type="dxa"/>
            <w:vAlign w:val="bottom"/>
          </w:tcPr>
          <w:p>
            <w:pPr>
              <w:ind w:left="120"/>
              <w:spacing w:after="0"/>
              <w:rPr>
                <w:sz w:val="20"/>
                <w:szCs w:val="20"/>
                <w:color w:val="auto"/>
              </w:rPr>
            </w:pPr>
            <w:r>
              <w:rPr>
                <w:rFonts w:ascii="Arial" w:cs="Arial" w:eastAsia="Arial" w:hAnsi="Arial"/>
                <w:sz w:val="18"/>
                <w:szCs w:val="18"/>
                <w:color w:val="auto"/>
              </w:rPr>
              <w:t>Item 4.</w:t>
            </w:r>
          </w:p>
        </w:tc>
        <w:tc>
          <w:tcPr>
            <w:tcW w:w="9580" w:type="dxa"/>
            <w:vAlign w:val="bottom"/>
          </w:tcPr>
          <w:p>
            <w:pPr>
              <w:ind w:left="60"/>
              <w:spacing w:after="0"/>
              <w:rPr>
                <w:rFonts w:ascii="Arial" w:cs="Arial" w:eastAsia="Arial" w:hAnsi="Arial"/>
                <w:sz w:val="18"/>
                <w:szCs w:val="18"/>
                <w:color w:val="0000EE"/>
              </w:rPr>
            </w:pPr>
            <w:hyperlink w:anchor="page62">
              <w:r>
                <w:rPr>
                  <w:rFonts w:ascii="Arial" w:cs="Arial" w:eastAsia="Arial" w:hAnsi="Arial"/>
                  <w:sz w:val="18"/>
                  <w:szCs w:val="18"/>
                  <w:u w:val="single" w:color="auto"/>
                  <w:color w:val="0000EE"/>
                </w:rPr>
                <w:t>Mine Safety Disclosures</w:t>
              </w:r>
              <w:r>
                <w:rPr>
                  <w:rFonts w:ascii="Arial" w:cs="Arial" w:eastAsia="Arial" w:hAnsi="Arial"/>
                  <w:sz w:val="18"/>
                  <w:szCs w:val="18"/>
                  <w:color w:val="0000EE"/>
                </w:rPr>
                <w:t>.</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40" w:type="dxa"/>
            <w:vAlign w:val="bottom"/>
          </w:tcPr>
          <w:p>
            <w:pPr>
              <w:ind w:left="120"/>
              <w:spacing w:after="0"/>
              <w:rPr>
                <w:sz w:val="20"/>
                <w:szCs w:val="20"/>
                <w:color w:val="auto"/>
              </w:rPr>
            </w:pPr>
            <w:r>
              <w:rPr>
                <w:rFonts w:ascii="Arial" w:cs="Arial" w:eastAsia="Arial" w:hAnsi="Arial"/>
                <w:sz w:val="18"/>
                <w:szCs w:val="18"/>
                <w:color w:val="auto"/>
              </w:rPr>
              <w:t>Item 5.</w:t>
            </w:r>
          </w:p>
        </w:tc>
        <w:tc>
          <w:tcPr>
            <w:tcW w:w="9580" w:type="dxa"/>
            <w:vAlign w:val="bottom"/>
          </w:tcPr>
          <w:p>
            <w:pPr>
              <w:ind w:left="6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40" w:type="dxa"/>
            <w:vAlign w:val="bottom"/>
          </w:tcPr>
          <w:p>
            <w:pPr>
              <w:ind w:left="120"/>
              <w:spacing w:after="0"/>
              <w:rPr>
                <w:sz w:val="20"/>
                <w:szCs w:val="20"/>
                <w:color w:val="auto"/>
              </w:rPr>
            </w:pPr>
            <w:r>
              <w:rPr>
                <w:rFonts w:ascii="Arial" w:cs="Arial" w:eastAsia="Arial" w:hAnsi="Arial"/>
                <w:sz w:val="18"/>
                <w:szCs w:val="18"/>
                <w:color w:val="auto"/>
              </w:rPr>
              <w:t>Item 6.</w:t>
            </w:r>
          </w:p>
        </w:tc>
        <w:tc>
          <w:tcPr>
            <w:tcW w:w="9580" w:type="dxa"/>
            <w:vAlign w:val="bottom"/>
          </w:tcPr>
          <w:p>
            <w:pPr>
              <w:ind w:left="6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40" w:type="dxa"/>
            <w:vAlign w:val="bottom"/>
          </w:tcPr>
          <w:p>
            <w:pPr>
              <w:ind w:left="120"/>
              <w:spacing w:after="0"/>
              <w:rPr>
                <w:rFonts w:ascii="Arial" w:cs="Arial" w:eastAsia="Arial" w:hAnsi="Arial"/>
                <w:sz w:val="18"/>
                <w:szCs w:val="18"/>
                <w:u w:val="single" w:color="auto"/>
                <w:color w:val="0000EE"/>
                <w:w w:val="92"/>
              </w:rPr>
            </w:pPr>
            <w:hyperlink w:anchor="page64">
              <w:r>
                <w:rPr>
                  <w:rFonts w:ascii="Arial" w:cs="Arial" w:eastAsia="Arial" w:hAnsi="Arial"/>
                  <w:sz w:val="18"/>
                  <w:szCs w:val="18"/>
                  <w:u w:val="single" w:color="auto"/>
                  <w:color w:val="0000EE"/>
                  <w:w w:val="92"/>
                </w:rPr>
                <w:t>Signatures</w:t>
              </w:r>
            </w:hyperlink>
          </w:p>
        </w:tc>
        <w:tc>
          <w:tcPr>
            <w:tcW w:w="95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0520" w:type="dxa"/>
            <w:vAlign w:val="bottom"/>
            <w:gridSpan w:val="2"/>
          </w:tcPr>
          <w:p>
            <w:pPr>
              <w:ind w:left="120"/>
              <w:spacing w:after="0"/>
              <w:rPr>
                <w:sz w:val="20"/>
                <w:szCs w:val="20"/>
                <w:color w:val="auto"/>
              </w:rPr>
            </w:pPr>
            <w:r>
              <w:rPr>
                <w:rFonts w:ascii="Arial" w:cs="Arial" w:eastAsia="Arial" w:hAnsi="Arial"/>
                <w:sz w:val="18"/>
                <w:szCs w:val="18"/>
                <w:color w:val="auto"/>
              </w:rPr>
              <w:t>Exhibit Index</w:t>
            </w:r>
          </w:p>
        </w:tc>
        <w:tc>
          <w:tcPr>
            <w:tcW w:w="620" w:type="dxa"/>
            <w:vAlign w:val="bottom"/>
          </w:tcPr>
          <w:p>
            <w:pPr>
              <w:spacing w:after="0"/>
              <w:rPr>
                <w:sz w:val="20"/>
                <w:szCs w:val="20"/>
                <w:color w:val="auto"/>
              </w:rPr>
            </w:pPr>
          </w:p>
        </w:tc>
      </w:tr>
      <w:tr>
        <w:trPr>
          <w:trHeight w:val="364"/>
        </w:trPr>
        <w:tc>
          <w:tcPr>
            <w:tcW w:w="940" w:type="dxa"/>
            <w:vAlign w:val="bottom"/>
          </w:tcPr>
          <w:p>
            <w:pPr>
              <w:spacing w:after="0"/>
              <w:rPr>
                <w:sz w:val="24"/>
                <w:szCs w:val="24"/>
                <w:color w:val="auto"/>
              </w:rPr>
            </w:pPr>
          </w:p>
        </w:tc>
        <w:tc>
          <w:tcPr>
            <w:tcW w:w="9580" w:type="dxa"/>
            <w:vAlign w:val="bottom"/>
          </w:tcPr>
          <w:p>
            <w:pPr>
              <w:jc w:val="center"/>
              <w:ind w:right="130"/>
              <w:spacing w:after="0"/>
              <w:rPr>
                <w:sz w:val="20"/>
                <w:szCs w:val="20"/>
                <w:color w:val="auto"/>
              </w:rPr>
            </w:pPr>
            <w:r>
              <w:rPr>
                <w:rFonts w:ascii="Arial" w:cs="Arial" w:eastAsia="Arial" w:hAnsi="Arial"/>
                <w:sz w:val="18"/>
                <w:szCs w:val="18"/>
                <w:color w:val="auto"/>
                <w:w w:val="79"/>
              </w:rPr>
              <w:t>2</w:t>
            </w:r>
          </w:p>
        </w:tc>
        <w:tc>
          <w:tcPr>
            <w:tcW w:w="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40"/>
          </w:cols>
          <w:pgMar w:left="320" w:top="459"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03"/>
        </w:trPr>
        <w:tc>
          <w:tcPr>
            <w:tcW w:w="9420" w:type="dxa"/>
            <w:vAlign w:val="bottom"/>
          </w:tcPr>
          <w:p>
            <w:pPr>
              <w:spacing w:after="0"/>
              <w:rPr>
                <w:sz w:val="8"/>
                <w:szCs w:val="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w w:val="96"/>
              </w:rPr>
              <w:t>March 31, 2020</w:t>
            </w:r>
          </w:p>
        </w:tc>
        <w:tc>
          <w:tcPr>
            <w:tcW w:w="140" w:type="dxa"/>
            <w:vAlign w:val="bottom"/>
          </w:tcPr>
          <w:p>
            <w:pPr>
              <w:spacing w:after="0"/>
              <w:rPr>
                <w:sz w:val="8"/>
                <w:szCs w:val="8"/>
                <w:color w:val="auto"/>
              </w:rPr>
            </w:pPr>
          </w:p>
        </w:tc>
        <w:tc>
          <w:tcPr>
            <w:tcW w:w="760" w:type="dxa"/>
            <w:vAlign w:val="bottom"/>
            <w:gridSpan w:val="3"/>
          </w:tcPr>
          <w:p>
            <w:pPr>
              <w:ind w:left="100"/>
              <w:spacing w:after="0"/>
              <w:rPr>
                <w:sz w:val="20"/>
                <w:szCs w:val="20"/>
                <w:color w:val="auto"/>
              </w:rPr>
            </w:pPr>
            <w:r>
              <w:rPr>
                <w:rFonts w:ascii="Arial" w:cs="Arial" w:eastAsia="Arial" w:hAnsi="Arial"/>
                <w:sz w:val="9"/>
                <w:szCs w:val="9"/>
                <w:b w:val="1"/>
                <w:bCs w:val="1"/>
                <w:color w:val="auto"/>
              </w:rPr>
              <w:t>December 31,</w:t>
            </w:r>
          </w:p>
        </w:tc>
        <w:tc>
          <w:tcPr>
            <w:tcW w:w="0" w:type="dxa"/>
            <w:vAlign w:val="bottom"/>
          </w:tcPr>
          <w:p>
            <w:pPr>
              <w:spacing w:after="0"/>
              <w:rPr>
                <w:sz w:val="1"/>
                <w:szCs w:val="1"/>
                <w:color w:val="auto"/>
              </w:rPr>
            </w:pPr>
          </w:p>
        </w:tc>
      </w:tr>
      <w:tr>
        <w:trPr>
          <w:trHeight w:val="104"/>
        </w:trPr>
        <w:tc>
          <w:tcPr>
            <w:tcW w:w="9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w w:val="89"/>
              </w:rPr>
              <w:t>(unaudited)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ind w:right="172"/>
              <w:spacing w:after="0"/>
              <w:rPr>
                <w:sz w:val="20"/>
                <w:szCs w:val="20"/>
                <w:color w:val="auto"/>
              </w:rPr>
            </w:pPr>
            <w:r>
              <w:rPr>
                <w:rFonts w:ascii="Arial" w:cs="Arial" w:eastAsia="Arial" w:hAnsi="Arial"/>
                <w:sz w:val="9"/>
                <w:szCs w:val="9"/>
                <w:b w:val="1"/>
                <w:bCs w:val="1"/>
                <w:color w:val="auto"/>
              </w:rPr>
              <w:t>2019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9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Control investments (cost: $28,145 and $27,718,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21,820</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Affiliate investments (cost: $41,527 and $56,328, respectively)</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67,504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121,555</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Non-control/non-affiliate investments (cost: $661,438 and $620,453, respectively)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630,885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623,544</w:t>
            </w: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Total investments, at fair value (cost: $731,110 and $704,499, respectively)</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718,940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766,919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15,012</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5,442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752,542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789,439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420" w:type="dxa"/>
            <w:vAlign w:val="bottom"/>
          </w:tcPr>
          <w:p>
            <w:pPr>
              <w:spacing w:after="0"/>
              <w:rPr>
                <w:sz w:val="20"/>
                <w:szCs w:val="20"/>
                <w:color w:val="auto"/>
              </w:rPr>
            </w:pPr>
            <w:r>
              <w:rPr>
                <w:rFonts w:ascii="Arial" w:cs="Arial" w:eastAsia="Arial" w:hAnsi="Arial"/>
                <w:sz w:val="18"/>
                <w:szCs w:val="18"/>
                <w:color w:val="auto"/>
              </w:rPr>
              <w:t>SBA debentures, net of deferred financing costs (Note 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152,922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153,802</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Public Notes, net of deferred financing costs (Note 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177,227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176,901</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Borrowings under Credit Facility, net of deferred financing costs (Note 6)</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33,982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23,899</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fees payable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Base management fee payable – due to affiliate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Income incentive fee payable – due to affiliate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Capital gains incentive fee payable – due to affiliate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12,715</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Administration fee payable and other – due to affiliate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94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377,008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377,129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4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$0.001 par value (100,000,000 shares authorized, 24,437,400 and 24,463,119 shares issued and outstanding at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2020 and December 31, 2019, respectively)</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365,793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366,061</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distributable earnings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46,225</w:t>
            </w:r>
          </w:p>
        </w:tc>
        <w:tc>
          <w:tcPr>
            <w:tcW w:w="0" w:type="dxa"/>
            <w:vAlign w:val="bottom"/>
          </w:tcPr>
          <w:p>
            <w:pPr>
              <w:spacing w:after="0"/>
              <w:rPr>
                <w:sz w:val="1"/>
                <w:szCs w:val="1"/>
                <w:color w:val="auto"/>
              </w:rPr>
            </w:pPr>
          </w:p>
        </w:tc>
      </w:tr>
      <w:tr>
        <w:trPr>
          <w:trHeight w:val="230"/>
        </w:trPr>
        <w:tc>
          <w:tcPr>
            <w:tcW w:w="9420" w:type="dxa"/>
            <w:vAlign w:val="bottom"/>
          </w:tcPr>
          <w:p>
            <w:pPr>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375,534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412,310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752,542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789,439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common share</w:t>
            </w: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29"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Three Months Ended</w:t>
      </w:r>
    </w:p>
    <w:p>
      <w:pPr>
        <w:jc w:val="center"/>
        <w:ind w:left="84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762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Control investments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7620" w:type="dxa"/>
            <w:vAlign w:val="bottom"/>
          </w:tcPr>
          <w:p>
            <w:pPr>
              <w:ind w:left="720"/>
              <w:spacing w:after="0"/>
              <w:rPr>
                <w:sz w:val="20"/>
                <w:szCs w:val="20"/>
                <w:color w:val="auto"/>
              </w:rPr>
            </w:pPr>
            <w:r>
              <w:rPr>
                <w:rFonts w:ascii="Arial" w:cs="Arial" w:eastAsia="Arial" w:hAnsi="Arial"/>
                <w:sz w:val="18"/>
                <w:szCs w:val="18"/>
                <w:color w:val="auto"/>
              </w:rPr>
              <w:t>Affiliate investments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Arial" w:cs="Arial" w:eastAsia="Arial" w:hAnsi="Arial"/>
                <w:sz w:val="18"/>
                <w:szCs w:val="18"/>
                <w:color w:val="auto"/>
              </w:rPr>
              <w:t>983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Non-control/non-affiliate investments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16,052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223"/>
        </w:trPr>
        <w:tc>
          <w:tcPr>
            <w:tcW w:w="7620" w:type="dxa"/>
            <w:vAlign w:val="bottom"/>
          </w:tcPr>
          <w:p>
            <w:pPr>
              <w:ind w:left="1080"/>
              <w:spacing w:after="0"/>
              <w:rPr>
                <w:sz w:val="20"/>
                <w:szCs w:val="20"/>
                <w:color w:val="auto"/>
              </w:rPr>
            </w:pPr>
            <w:r>
              <w:rPr>
                <w:rFonts w:ascii="Arial" w:cs="Arial" w:eastAsia="Arial" w:hAnsi="Arial"/>
                <w:sz w:val="18"/>
                <w:szCs w:val="18"/>
                <w:color w:val="auto"/>
              </w:rPr>
              <w:t>Total interest income</w:t>
            </w:r>
          </w:p>
        </w:tc>
        <w:tc>
          <w:tcPr>
            <w:tcW w:w="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Payment-in-kind interest income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62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payment-in-kind interest income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Dividend income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Control investments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tcPr>
          <w:p>
            <w:pPr>
              <w:ind w:left="720"/>
              <w:spacing w:after="0"/>
              <w:rPr>
                <w:sz w:val="20"/>
                <w:szCs w:val="20"/>
                <w:color w:val="auto"/>
              </w:rPr>
            </w:pPr>
            <w:r>
              <w:rPr>
                <w:rFonts w:ascii="Arial" w:cs="Arial" w:eastAsia="Arial" w:hAnsi="Arial"/>
                <w:sz w:val="18"/>
                <w:szCs w:val="18"/>
                <w:color w:val="auto"/>
              </w:rPr>
              <w:t>Affiliate investments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Non-control/non-affiliate investments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7620" w:type="dxa"/>
            <w:vAlign w:val="bottom"/>
          </w:tcPr>
          <w:p>
            <w:pPr>
              <w:ind w:left="1080"/>
              <w:spacing w:after="0"/>
              <w:rPr>
                <w:sz w:val="20"/>
                <w:szCs w:val="20"/>
                <w:color w:val="auto"/>
              </w:rPr>
            </w:pPr>
            <w:r>
              <w:rPr>
                <w:rFonts w:ascii="Arial" w:cs="Arial" w:eastAsia="Arial" w:hAnsi="Arial"/>
                <w:sz w:val="18"/>
                <w:szCs w:val="18"/>
                <w:color w:val="auto"/>
              </w:rPr>
              <w:t>Total dividend income</w:t>
            </w:r>
          </w:p>
        </w:tc>
        <w:tc>
          <w:tcPr>
            <w:tcW w:w="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 income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62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fee income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Interest on idle funds and other income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19,983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20,330</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financing expenses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4,960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Base management fee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Arial" w:cs="Arial" w:eastAsia="Arial" w:hAnsi="Arial"/>
                <w:sz w:val="18"/>
                <w:szCs w:val="18"/>
                <w:color w:val="auto"/>
              </w:rPr>
              <w:t>3,272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Incentive fee - income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1,855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Incentive fee - capital gains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(8,878)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service expenses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Professional fees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Arial" w:cs="Arial" w:eastAsia="Arial" w:hAnsi="Arial"/>
                <w:sz w:val="18"/>
                <w:szCs w:val="18"/>
                <w:color w:val="auto"/>
              </w:rPr>
              <w:t>553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general and administrative expenses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Total expenses</w:t>
            </w:r>
          </w:p>
        </w:tc>
        <w:tc>
          <w:tcPr>
            <w:tcW w:w="9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income taxes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17,420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17,417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b w:val="1"/>
                <w:bCs w:val="1"/>
                <w:color w:val="auto"/>
              </w:rPr>
              <w:t>Net realized and unrealized gains (losses) on investments:</w:t>
            </w:r>
          </w:p>
        </w:tc>
        <w:tc>
          <w:tcPr>
            <w:tcW w:w="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gains (losses):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24,332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62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realized gain (loss) on investments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31,378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3"/>
        </w:trPr>
        <w:tc>
          <w:tcPr>
            <w:tcW w:w="7620" w:type="dxa"/>
            <w:vAlign w:val="bottom"/>
          </w:tcPr>
          <w:p>
            <w:pPr>
              <w:ind w:left="360"/>
              <w:spacing w:after="0"/>
              <w:rPr>
                <w:sz w:val="20"/>
                <w:szCs w:val="20"/>
                <w:color w:val="auto"/>
              </w:rPr>
            </w:pPr>
            <w:r>
              <w:rPr>
                <w:rFonts w:ascii="Arial" w:cs="Arial" w:eastAsia="Arial" w:hAnsi="Arial"/>
                <w:sz w:val="18"/>
                <w:szCs w:val="18"/>
                <w:color w:val="auto"/>
              </w:rPr>
              <w:t>Income tax (provision) benefit from realized gains on investments</w:t>
            </w:r>
          </w:p>
        </w:tc>
        <w:tc>
          <w:tcPr>
            <w:tcW w:w="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unrealized appreciation (depreciation):</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(1,696)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(39,253)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762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(33,641)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change in unrealized appreciation (depreciation) on investments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(74,590)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b w:val="1"/>
                <w:bCs w:val="1"/>
                <w:color w:val="auto"/>
              </w:rPr>
              <w:t>Net gain (loss) on investments</w:t>
            </w:r>
          </w:p>
        </w:tc>
        <w:tc>
          <w:tcPr>
            <w:tcW w:w="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losses on extinguishment of debt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9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(26,971</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common share data:</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investment income per share-basic and diluted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1"/>
              <w:spacing w:after="0"/>
              <w:rPr>
                <w:sz w:val="20"/>
                <w:szCs w:val="20"/>
                <w:color w:val="auto"/>
              </w:rPr>
            </w:pPr>
            <w:r>
              <w:rPr>
                <w:rFonts w:ascii="Arial" w:cs="Arial" w:eastAsia="Arial" w:hAnsi="Arial"/>
                <w:sz w:val="18"/>
                <w:szCs w:val="18"/>
                <w:color w:val="auto"/>
              </w:rPr>
              <w:t>0.71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 per share — basic and diluted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Dividends declared per share</w:t>
            </w: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88"/>
              </w:rPr>
              <w:t>24,457,634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24,463,119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ectPr>
          <w:pgSz w:w="11900" w:h="16838" w:orient="portrait"/>
          <w:cols w:equalWidth="0" w:num="1">
            <w:col w:w="11140"/>
          </w:cols>
          <w:pgMar w:left="320" w:top="459" w:right="439" w:bottom="663"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40"/>
          </w:cols>
          <w:pgMar w:left="320" w:top="459" w:right="439" w:bottom="663"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520" w:type="dxa"/>
            <w:vAlign w:val="bottom"/>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670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3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distributable</w:t>
            </w:r>
          </w:p>
        </w:tc>
        <w:tc>
          <w:tcPr>
            <w:tcW w:w="80" w:type="dxa"/>
            <w:vAlign w:val="bottom"/>
          </w:tcPr>
          <w:p>
            <w:pPr>
              <w:spacing w:after="0"/>
              <w:rPr>
                <w:sz w:val="10"/>
                <w:szCs w:val="10"/>
                <w:color w:val="auto"/>
              </w:rPr>
            </w:pPr>
          </w:p>
        </w:tc>
        <w:tc>
          <w:tcPr>
            <w:tcW w:w="8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Total net</w:t>
            </w:r>
          </w:p>
        </w:tc>
      </w:tr>
      <w:tr>
        <w:trPr>
          <w:trHeight w:val="171"/>
        </w:trPr>
        <w:tc>
          <w:tcPr>
            <w:tcW w:w="67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4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value</w:t>
            </w: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assets</w:t>
            </w: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24,463,119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$366,688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$402,985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9,599</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9,599</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3,545</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3,545</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(9,541)</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(9,541)</w:t>
            </w:r>
          </w:p>
        </w:tc>
      </w:tr>
      <w:tr>
        <w:trPr>
          <w:trHeight w:val="27"/>
        </w:trPr>
        <w:tc>
          <w:tcPr>
            <w:tcW w:w="6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24,463,119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366,688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38,104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404,816</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Balances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24,463,119</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366,061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412,310</w:t>
            </w:r>
          </w:p>
        </w:tc>
        <w:tc>
          <w:tcPr>
            <w:tcW w:w="12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 under Stock Repurchase Program (Note 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(25,719)</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17,417</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17,417</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30,327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30,327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(74,590)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(74,590)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(9,537)</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(9,537)</w:t>
            </w:r>
          </w:p>
        </w:tc>
      </w:tr>
      <w:tr>
        <w:trPr>
          <w:trHeight w:val="27"/>
        </w:trPr>
        <w:tc>
          <w:tcPr>
            <w:tcW w:w="6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24,437,400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365,793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375,534</w:t>
            </w:r>
          </w:p>
        </w:tc>
      </w:tr>
      <w:tr>
        <w:trPr>
          <w:trHeight w:val="20"/>
        </w:trPr>
        <w:tc>
          <w:tcPr>
            <w:tcW w:w="6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80" w:type="dxa"/>
            <w:vAlign w:val="bottom"/>
          </w:tcPr>
          <w:p>
            <w:pPr>
              <w:spacing w:after="0"/>
              <w:rPr>
                <w:sz w:val="14"/>
                <w:szCs w:val="14"/>
                <w:color w:val="auto"/>
              </w:rPr>
            </w:pPr>
          </w:p>
        </w:tc>
        <w:tc>
          <w:tcPr>
            <w:tcW w:w="21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88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Net increase (decrease) in net assets resulting from operations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(26,971)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11,372</w:t>
            </w:r>
          </w:p>
        </w:tc>
        <w:tc>
          <w:tcPr>
            <w:tcW w:w="0" w:type="dxa"/>
            <w:vAlign w:val="bottom"/>
          </w:tcPr>
          <w:p>
            <w:pPr>
              <w:spacing w:after="0"/>
              <w:rPr>
                <w:sz w:val="1"/>
                <w:szCs w:val="1"/>
                <w:color w:val="auto"/>
              </w:rPr>
            </w:pPr>
          </w:p>
        </w:tc>
      </w:tr>
      <w:tr>
        <w:trPr>
          <w:trHeight w:val="202"/>
        </w:trPr>
        <w:tc>
          <w:tcPr>
            <w:tcW w:w="8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Adjustments to reconcile net increase in net assets resulting from operations to net cash provided by (used for)</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74,590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realized (gain) loss on investments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Interest and dividend income paid-in-kind</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Accretion of original issue discount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Accretion of loan origination fees</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 of investments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(80,473)</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Proceeds from sales and repayments of investments</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73,772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57,352</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loan origination fees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Realized losses on extinguishment of debt</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8880" w:type="dxa"/>
            <w:vAlign w:val="bottom"/>
          </w:tcPr>
          <w:p>
            <w:pPr>
              <w:ind w:left="10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interest and fees payable</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8880" w:type="dxa"/>
            <w:vAlign w:val="bottom"/>
          </w:tcPr>
          <w:p>
            <w:pPr>
              <w:ind w:left="1080"/>
              <w:spacing w:after="0"/>
              <w:rPr>
                <w:sz w:val="20"/>
                <w:szCs w:val="20"/>
                <w:color w:val="auto"/>
              </w:rPr>
            </w:pPr>
            <w:r>
              <w:rPr>
                <w:rFonts w:ascii="Arial" w:cs="Arial" w:eastAsia="Arial" w:hAnsi="Arial"/>
                <w:sz w:val="18"/>
                <w:szCs w:val="18"/>
                <w:color w:val="auto"/>
              </w:rPr>
              <w:t>Base management fee payable – due to affiliate</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Income incentive fee payable – due to affiliate</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8880" w:type="dxa"/>
            <w:vAlign w:val="bottom"/>
          </w:tcPr>
          <w:p>
            <w:pPr>
              <w:ind w:left="1080"/>
              <w:spacing w:after="0"/>
              <w:rPr>
                <w:sz w:val="20"/>
                <w:szCs w:val="20"/>
                <w:color w:val="auto"/>
              </w:rPr>
            </w:pPr>
            <w:r>
              <w:rPr>
                <w:rFonts w:ascii="Arial" w:cs="Arial" w:eastAsia="Arial" w:hAnsi="Arial"/>
                <w:sz w:val="18"/>
                <w:szCs w:val="18"/>
                <w:color w:val="auto"/>
              </w:rPr>
              <w:t>Capital gains incentive fee payable – due to affiliate</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(8,878)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Administration fee payable and other – due to affiliate</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8880" w:type="dxa"/>
            <w:vAlign w:val="bottom"/>
          </w:tcPr>
          <w:p>
            <w:pPr>
              <w:ind w:left="1080"/>
              <w:spacing w:after="0"/>
              <w:rPr>
                <w:sz w:val="20"/>
                <w:szCs w:val="20"/>
                <w:color w:val="auto"/>
              </w:rPr>
            </w:pPr>
            <w:r>
              <w:rPr>
                <w:rFonts w:ascii="Arial" w:cs="Arial" w:eastAsia="Arial" w:hAnsi="Arial"/>
                <w:sz w:val="18"/>
                <w:szCs w:val="18"/>
                <w:color w:val="auto"/>
              </w:rPr>
              <w:t>Taxes payable</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and other liabilities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8880" w:type="dxa"/>
            <w:vAlign w:val="bottom"/>
          </w:tcPr>
          <w:p>
            <w:pPr>
              <w:ind w:left="1440"/>
              <w:spacing w:after="0"/>
              <w:rPr>
                <w:sz w:val="20"/>
                <w:szCs w:val="20"/>
                <w:color w:val="auto"/>
              </w:rPr>
            </w:pPr>
            <w:r>
              <w:rPr>
                <w:rFonts w:ascii="Arial" w:cs="Arial" w:eastAsia="Arial" w:hAnsi="Arial"/>
                <w:sz w:val="18"/>
                <w:szCs w:val="18"/>
                <w:b w:val="1"/>
                <w:bCs w:val="1"/>
                <w:color w:val="auto"/>
              </w:rPr>
              <w:t>Net cash provided by (used for) operating activities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Proceeds received from SBA debentures</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Repayments of SBA debentures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(19,750)</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Proceeds received from issuance of Public Notes</w:t>
            </w: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69,000</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received from (repayments of) borrowings under Credit Facility, net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(36,500)</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Payment of deferred financing costs</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Dividends paid to stockholders, including expenses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Repurchases of common stock under Stock Repurchase Program</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(used for) financing activities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3"/>
        </w:trPr>
        <w:tc>
          <w:tcPr>
            <w:tcW w:w="8880" w:type="dxa"/>
            <w:vAlign w:val="bottom"/>
          </w:tcPr>
          <w:p>
            <w:pPr>
              <w:ind w:left="14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42,015</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26,209</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r>
              <w:rPr>
                <w:rFonts w:ascii="Arial" w:cs="Arial" w:eastAsia="Arial" w:hAnsi="Arial"/>
                <w:sz w:val="18"/>
                <w:szCs w:val="18"/>
                <w:color w:val="auto"/>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payments for interest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30"/>
        </w:trPr>
        <w:tc>
          <w:tcPr>
            <w:tcW w:w="8880" w:type="dxa"/>
            <w:vAlign w:val="bottom"/>
          </w:tcPr>
          <w:p>
            <w:pPr>
              <w:ind w:left="720"/>
              <w:spacing w:after="0"/>
              <w:rPr>
                <w:sz w:val="20"/>
                <w:szCs w:val="20"/>
                <w:color w:val="auto"/>
              </w:rPr>
            </w:pPr>
            <w:r>
              <w:rPr>
                <w:rFonts w:ascii="Arial" w:cs="Arial" w:eastAsia="Arial" w:hAnsi="Arial"/>
                <w:sz w:val="18"/>
                <w:szCs w:val="18"/>
                <w:color w:val="auto"/>
              </w:rPr>
              <w:t>Cash payments for taxes, net of tax refunds received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1,478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08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Variable Index</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Rate (e)</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Investment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w w:val="94"/>
              </w:rPr>
              <w:t>Principal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r>
      <w:tr>
        <w:trPr>
          <w:trHeight w:val="173"/>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Investment Type (c)</w:t>
            </w:r>
          </w:p>
        </w:tc>
        <w:tc>
          <w:tcPr>
            <w:tcW w:w="1760" w:type="dxa"/>
            <w:vAlign w:val="bottom"/>
          </w:tcPr>
          <w:p>
            <w:pPr>
              <w:spacing w:after="0"/>
              <w:rPr>
                <w:sz w:val="15"/>
                <w:szCs w:val="15"/>
                <w:color w:val="auto"/>
              </w:rPr>
            </w:pPr>
          </w:p>
        </w:tc>
        <w:tc>
          <w:tcPr>
            <w:tcW w:w="1960" w:type="dxa"/>
            <w:vAlign w:val="bottom"/>
            <w:gridSpan w:val="2"/>
          </w:tcPr>
          <w:p>
            <w:pPr>
              <w:ind w:left="700"/>
              <w:spacing w:after="0"/>
              <w:rPr>
                <w:sz w:val="20"/>
                <w:szCs w:val="20"/>
                <w:color w:val="auto"/>
              </w:rPr>
            </w:pPr>
            <w:r>
              <w:rPr>
                <w:rFonts w:ascii="Arial" w:cs="Arial" w:eastAsia="Arial" w:hAnsi="Arial"/>
                <w:sz w:val="13"/>
                <w:szCs w:val="13"/>
                <w:b w:val="1"/>
                <w:bCs w:val="1"/>
                <w:color w:val="auto"/>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Spread / Floor (d)</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Cash/PIK</w:t>
            </w: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Date (f)</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Maturity</w:t>
            </w:r>
          </w:p>
        </w:tc>
        <w:tc>
          <w:tcPr>
            <w:tcW w:w="5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2"/>
              </w:rPr>
              <w:t>Cost</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w w:val="98"/>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r>
      <w:tr>
        <w:trPr>
          <w:trHeight w:val="95"/>
        </w:trPr>
        <w:tc>
          <w:tcPr>
            <w:tcW w:w="1260" w:type="dxa"/>
            <w:vAlign w:val="bottom"/>
            <w:tcBorders>
              <w:top w:val="single" w:sz="8" w:color="CCEEFF"/>
              <w:bottom w:val="single" w:sz="8" w:color="auto"/>
            </w:tcBorders>
            <w:shd w:val="clear" w:color="auto" w:fill="CCEEFF"/>
          </w:tcPr>
          <w:p>
            <w:pPr>
              <w:spacing w:after="0" w:line="95" w:lineRule="exact"/>
              <w:rPr>
                <w:sz w:val="20"/>
                <w:szCs w:val="20"/>
                <w:color w:val="auto"/>
              </w:rPr>
            </w:pPr>
            <w:r>
              <w:rPr>
                <w:rFonts w:ascii="Arial" w:cs="Arial" w:eastAsia="Arial" w:hAnsi="Arial"/>
                <w:sz w:val="10"/>
                <w:szCs w:val="10"/>
                <w:b w:val="1"/>
                <w:bCs w:val="1"/>
                <w:color w:val="auto"/>
              </w:rPr>
              <w:t>Control Investments (t)</w:t>
            </w:r>
          </w:p>
        </w:tc>
        <w:tc>
          <w:tcPr>
            <w:tcW w:w="1820" w:type="dxa"/>
            <w:vAlign w:val="bottom"/>
            <w:tcBorders>
              <w:top w:val="single" w:sz="8" w:color="CCEEFF"/>
              <w:bottom w:val="single" w:sz="8" w:color="CCEEFF"/>
            </w:tcBorders>
            <w:gridSpan w:val="2"/>
            <w:shd w:val="clear" w:color="auto" w:fill="CCEEFF"/>
          </w:tcPr>
          <w:p>
            <w:pPr>
              <w:spacing w:after="0"/>
              <w:rPr>
                <w:sz w:val="8"/>
                <w:szCs w:val="8"/>
                <w:color w:val="auto"/>
              </w:rPr>
            </w:pPr>
          </w:p>
        </w:tc>
        <w:tc>
          <w:tcPr>
            <w:tcW w:w="18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12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CCEEFF"/>
            </w:tcBorders>
            <w:shd w:val="clear" w:color="auto" w:fill="CCEEFF"/>
          </w:tcPr>
          <w:p>
            <w:pPr>
              <w:spacing w:after="0"/>
              <w:rPr>
                <w:sz w:val="8"/>
                <w:szCs w:val="8"/>
                <w:color w:val="auto"/>
              </w:rPr>
            </w:pPr>
          </w:p>
        </w:tc>
        <w:tc>
          <w:tcPr>
            <w:tcW w:w="400" w:type="dxa"/>
            <w:vAlign w:val="bottom"/>
            <w:tcBorders>
              <w:top w:val="single" w:sz="8" w:color="auto"/>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CCEEFF"/>
            </w:tcBorders>
            <w:shd w:val="clear" w:color="auto" w:fill="CCEEFF"/>
          </w:tcPr>
          <w:p>
            <w:pPr>
              <w:spacing w:after="0"/>
              <w:rPr>
                <w:sz w:val="8"/>
                <w:szCs w:val="8"/>
                <w:color w:val="auto"/>
              </w:rPr>
            </w:pPr>
          </w:p>
        </w:tc>
        <w:tc>
          <w:tcPr>
            <w:tcW w:w="34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CCEEFF"/>
            </w:tcBorders>
            <w:shd w:val="clear" w:color="auto" w:fill="CCEEFF"/>
          </w:tcPr>
          <w:p>
            <w:pPr>
              <w:spacing w:after="0"/>
              <w:rPr>
                <w:sz w:val="8"/>
                <w:szCs w:val="8"/>
                <w:color w:val="auto"/>
              </w:rPr>
            </w:pPr>
          </w:p>
        </w:tc>
        <w:tc>
          <w:tcPr>
            <w:tcW w:w="3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r>
      <w:tr>
        <w:trPr>
          <w:trHeight w:val="128"/>
        </w:trPr>
        <w:tc>
          <w:tcPr>
            <w:tcW w:w="3080" w:type="dxa"/>
            <w:vAlign w:val="bottom"/>
            <w:gridSpan w:val="3"/>
          </w:tcPr>
          <w:p>
            <w:pPr>
              <w:spacing w:after="0" w:line="129" w:lineRule="exact"/>
              <w:rPr>
                <w:sz w:val="20"/>
                <w:szCs w:val="20"/>
                <w:color w:val="auto"/>
              </w:rPr>
            </w:pPr>
            <w:r>
              <w:rPr>
                <w:rFonts w:ascii="Arial" w:cs="Arial" w:eastAsia="Arial" w:hAnsi="Arial"/>
                <w:sz w:val="13"/>
                <w:szCs w:val="13"/>
                <w:i w:val="1"/>
                <w:iCs w:val="1"/>
                <w:color w:val="auto"/>
              </w:rPr>
              <w:t>FDS Avionics Corp. (dba Flight Display Systems)</w:t>
            </w:r>
          </w:p>
        </w:tc>
        <w:tc>
          <w:tcPr>
            <w:tcW w:w="1960" w:type="dxa"/>
            <w:vAlign w:val="bottom"/>
            <w:gridSpan w:val="2"/>
          </w:tcPr>
          <w:p>
            <w:pPr>
              <w:spacing w:after="0" w:line="129" w:lineRule="exact"/>
              <w:rPr>
                <w:sz w:val="20"/>
                <w:szCs w:val="20"/>
                <w:color w:val="auto"/>
              </w:rPr>
            </w:pPr>
            <w:r>
              <w:rPr>
                <w:rFonts w:ascii="Arial" w:cs="Arial" w:eastAsia="Arial" w:hAnsi="Arial"/>
                <w:sz w:val="13"/>
                <w:szCs w:val="13"/>
                <w:color w:val="auto"/>
                <w:w w:val="91"/>
              </w:rPr>
              <w:t>Aerospace &amp; Defense Manufacturing</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6.00%/9.00%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11/5/2014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12/31/2021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4,519</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4,519</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3,971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Revolving Loan ($30 commitment)</w:t>
            </w: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0"/>
              </w:rPr>
              <w:t>6.00%/9.00%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4/12/2018</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12/31/2021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267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267</w:t>
            </w:r>
          </w:p>
        </w:tc>
        <w:tc>
          <w:tcPr>
            <w:tcW w:w="10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267</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(7,478 shares) (j)</w:t>
            </w: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11/10/2017</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748</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(2,550 shares)</w:t>
            </w: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12/26/2019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2,550</w:t>
            </w:r>
          </w:p>
        </w:tc>
        <w:tc>
          <w:tcPr>
            <w:tcW w:w="10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8,084</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4,238</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135"/>
        </w:trPr>
        <w:tc>
          <w:tcPr>
            <w:tcW w:w="308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US GreenFiber, LLC</w:t>
            </w: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Building Products Manufacturing</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7.00%/6.00%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7/3/2014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8/30/2024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14,727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0"/>
              </w:rPr>
              <w:t>14,721</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0"/>
              </w:rPr>
              <w:t>11,558</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0"/>
              </w:rPr>
              <w:t>7.50%/7.50%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11/9/2018</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8/30/2024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4,754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4,754</w:t>
            </w:r>
          </w:p>
        </w:tc>
        <w:tc>
          <w:tcPr>
            <w:tcW w:w="10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4,755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(2,522 units) (h)(j)</w:t>
            </w: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7/3/2014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585</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(425,508 units) (j)</w:t>
            </w: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8/30/2019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0"/>
              </w:rPr>
              <w:t>20,061</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0"/>
              </w:rPr>
              <w:t>16,313</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r>
      <w:tr>
        <w:trPr>
          <w:trHeight w:val="142"/>
        </w:trPr>
        <w:tc>
          <w:tcPr>
            <w:tcW w:w="308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Total Control Investments</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28,145</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20,551</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02"/>
        </w:trPr>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21"/>
        </w:trPr>
        <w:tc>
          <w:tcPr>
            <w:tcW w:w="308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Affiliate Investments (l)</w:t>
            </w:r>
          </w:p>
        </w:tc>
        <w:tc>
          <w:tcPr>
            <w:tcW w:w="1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9"/>
        </w:trPr>
        <w:tc>
          <w:tcPr>
            <w:tcW w:w="12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i w:val="1"/>
                <w:iCs w:val="1"/>
                <w:color w:val="auto"/>
                <w:w w:val="95"/>
              </w:rPr>
              <w:t>FAR Research Inc. (n)</w:t>
            </w:r>
          </w:p>
        </w:tc>
        <w:tc>
          <w:tcPr>
            <w:tcW w:w="1820" w:type="dxa"/>
            <w:vAlign w:val="bottom"/>
            <w:tcBorders>
              <w:top w:val="single" w:sz="8" w:color="CCEEFF"/>
            </w:tcBorders>
            <w:gridSpan w:val="2"/>
          </w:tcPr>
          <w:p>
            <w:pPr>
              <w:spacing w:after="0"/>
              <w:rPr>
                <w:sz w:val="11"/>
                <w:szCs w:val="11"/>
                <w:color w:val="auto"/>
              </w:rPr>
            </w:pPr>
          </w:p>
        </w:tc>
        <w:tc>
          <w:tcPr>
            <w:tcW w:w="1960" w:type="dxa"/>
            <w:vAlign w:val="bottom"/>
            <w:tcBorders>
              <w:top w:val="single" w:sz="8" w:color="CCEEFF"/>
            </w:tcBorders>
            <w:gridSpan w:val="2"/>
          </w:tcPr>
          <w:p>
            <w:pPr>
              <w:spacing w:after="0" w:line="129" w:lineRule="exact"/>
              <w:rPr>
                <w:sz w:val="20"/>
                <w:szCs w:val="20"/>
                <w:color w:val="auto"/>
              </w:rPr>
            </w:pPr>
            <w:r>
              <w:rPr>
                <w:rFonts w:ascii="Arial" w:cs="Arial" w:eastAsia="Arial" w:hAnsi="Arial"/>
                <w:sz w:val="13"/>
                <w:szCs w:val="13"/>
                <w:color w:val="auto"/>
              </w:rPr>
              <w:t>Specialty Chemicals</w:t>
            </w:r>
          </w:p>
        </w:tc>
        <w:tc>
          <w:tcPr>
            <w:tcW w:w="1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(1,396 units)</w:t>
            </w: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3/31/2014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28</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243"/>
        </w:trPr>
        <w:tc>
          <w:tcPr>
            <w:tcW w:w="3080" w:type="dxa"/>
            <w:vAlign w:val="bottom"/>
            <w:gridSpan w:val="3"/>
          </w:tcPr>
          <w:p>
            <w:pPr>
              <w:spacing w:after="0"/>
              <w:rPr>
                <w:sz w:val="20"/>
                <w:szCs w:val="20"/>
                <w:color w:val="auto"/>
              </w:rPr>
            </w:pPr>
            <w:r>
              <w:rPr>
                <w:rFonts w:ascii="Arial" w:cs="Arial" w:eastAsia="Arial" w:hAnsi="Arial"/>
                <w:sz w:val="13"/>
                <w:szCs w:val="13"/>
                <w:i w:val="1"/>
                <w:iCs w:val="1"/>
                <w:color w:val="auto"/>
              </w:rPr>
              <w:t>Fiber Materials, Inc. (n)</w:t>
            </w:r>
          </w:p>
        </w:tc>
        <w:tc>
          <w:tcPr>
            <w:tcW w:w="1960" w:type="dxa"/>
            <w:vAlign w:val="bottom"/>
            <w:gridSpan w:val="2"/>
          </w:tcPr>
          <w:p>
            <w:pPr>
              <w:spacing w:after="0"/>
              <w:rPr>
                <w:sz w:val="20"/>
                <w:szCs w:val="20"/>
                <w:color w:val="auto"/>
              </w:rPr>
            </w:pPr>
            <w:r>
              <w:rPr>
                <w:rFonts w:ascii="Arial" w:cs="Arial" w:eastAsia="Arial" w:hAnsi="Arial"/>
                <w:sz w:val="13"/>
                <w:szCs w:val="13"/>
                <w:color w:val="auto"/>
                <w:w w:val="91"/>
              </w:rPr>
              <w:t>Aerospace &amp; Defense Manufacturing</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 units)</w:t>
            </w: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11/30/2016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243"/>
        </w:trPr>
        <w:tc>
          <w:tcPr>
            <w:tcW w:w="3080" w:type="dxa"/>
            <w:vAlign w:val="bottom"/>
            <w:gridSpan w:val="3"/>
          </w:tcPr>
          <w:p>
            <w:pPr>
              <w:spacing w:after="0"/>
              <w:rPr>
                <w:sz w:val="20"/>
                <w:szCs w:val="20"/>
                <w:color w:val="auto"/>
              </w:rPr>
            </w:pPr>
            <w:r>
              <w:rPr>
                <w:rFonts w:ascii="Arial" w:cs="Arial" w:eastAsia="Arial" w:hAnsi="Arial"/>
                <w:sz w:val="13"/>
                <w:szCs w:val="13"/>
                <w:i w:val="1"/>
                <w:iCs w:val="1"/>
                <w:color w:val="auto"/>
              </w:rPr>
              <w:t>Medsurant Holdings, LLC</w:t>
            </w:r>
          </w:p>
        </w:tc>
        <w:tc>
          <w:tcPr>
            <w:tcW w:w="1960" w:type="dxa"/>
            <w:vAlign w:val="bottom"/>
            <w:gridSpan w:val="2"/>
          </w:tcPr>
          <w:p>
            <w:pPr>
              <w:spacing w:after="0"/>
              <w:rPr>
                <w:sz w:val="20"/>
                <w:szCs w:val="20"/>
                <w:color w:val="auto"/>
              </w:rPr>
            </w:pPr>
            <w:r>
              <w:rPr>
                <w:rFonts w:ascii="Arial" w:cs="Arial" w:eastAsia="Arial" w:hAnsi="Arial"/>
                <w:sz w:val="13"/>
                <w:szCs w:val="13"/>
                <w:color w:val="auto"/>
              </w:rPr>
              <w:t>Healthcare Services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14.75%/0.00%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12/18/2015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6/30/2020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8,823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8,818</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8,823</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(63,331 units) (h)</w:t>
            </w: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4/12/2011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673</w:t>
            </w:r>
          </w:p>
        </w:tc>
        <w:tc>
          <w:tcPr>
            <w:tcW w:w="10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711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(252,588 units) (h)(m)</w:t>
            </w: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4/12/2011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2,258</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2,502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11,749</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12,036</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Mirage Trailers LLC</w:t>
            </w: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Utility Equipment Manufacturing</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(k)(ad)</w:t>
            </w: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8"/>
              </w:rPr>
              <w:t>(L + 8.50%) /(1.00%)</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10.02%/4.50%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11/25/2015</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11/25/2020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6,250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6,277</w:t>
            </w:r>
          </w:p>
        </w:tc>
        <w:tc>
          <w:tcPr>
            <w:tcW w:w="10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5,297</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(2,500,000 shares) (o)</w:t>
            </w: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11/25/2015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2,185</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8,462</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5,297</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1%</w:t>
            </w:r>
          </w:p>
        </w:tc>
      </w:tr>
      <w:tr>
        <w:trPr>
          <w:trHeight w:val="135"/>
        </w:trPr>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Pfanstiehl, Inc.</w:t>
            </w: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Healthcare Products</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10.50%/0.00%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3/29/2013</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9/29/2022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6,208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6,202</w:t>
            </w:r>
          </w:p>
        </w:tc>
        <w:tc>
          <w:tcPr>
            <w:tcW w:w="10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6,208</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(4,250 units) (j)</w:t>
            </w: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3/29/2013</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0"/>
              </w:rPr>
              <w:t>14,364</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6,627</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20,572</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6%</w:t>
            </w:r>
          </w:p>
        </w:tc>
      </w:tr>
      <w:tr>
        <w:trPr>
          <w:trHeight w:val="135"/>
        </w:trPr>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Pinnergy, Ltd.</w:t>
            </w: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Oil &amp; Gas Services</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 Class A-2 (42,500 units) (k)</w:t>
            </w: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10/13/2016</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3,000</w:t>
            </w:r>
          </w:p>
        </w:tc>
        <w:tc>
          <w:tcPr>
            <w:tcW w:w="10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0"/>
              </w:rPr>
              <w:t>16,602</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 Class B (1,000 units) (k)</w:t>
            </w: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10/13/2016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3,000</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3,185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6,000</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19,787</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r>
      <w:tr>
        <w:trPr>
          <w:trHeight w:val="135"/>
        </w:trPr>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3"/>
              </w:rPr>
              <w:t>Steward Holding LLC (dba Steward Advanced Materials)</w:t>
            </w: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1"/>
              </w:rPr>
              <w:t>Aerospace &amp; Defense Manufacturing</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12.00%/1.50%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11/12/2015</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5/12/2021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7,696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7,689</w:t>
            </w:r>
          </w:p>
        </w:tc>
        <w:tc>
          <w:tcPr>
            <w:tcW w:w="100" w:type="dxa"/>
            <w:vAlign w:val="bottom"/>
          </w:tcPr>
          <w:p>
            <w:pPr>
              <w:spacing w:after="0"/>
              <w:rPr>
                <w:sz w:val="11"/>
                <w:szCs w:val="11"/>
                <w:color w:val="auto"/>
              </w:rPr>
            </w:pPr>
          </w:p>
        </w:tc>
        <w:tc>
          <w:tcPr>
            <w:tcW w:w="4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7,696</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11/12/2015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1,000</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2,088</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8,689</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9,784</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30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Affiliate Investments</w:t>
            </w: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0"/>
              </w:rPr>
              <w:t>41,527</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0"/>
              </w:rPr>
              <w:t>67,504</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w:t>
            </w:r>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Consolidated Schedule of Investments (unaudited)</w:t>
      </w:r>
    </w:p>
    <w:p>
      <w:pPr>
        <w:spacing w:after="0" w:line="3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080"/>
          </w:cols>
          <w:pgMar w:left="320" w:top="459" w:right="499" w:bottom="1440" w:gutter="0" w:footer="0" w:header="0"/>
        </w:sectPr>
      </w:pP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88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(a)(b)</w:t>
            </w:r>
          </w:p>
        </w:tc>
        <w:tc>
          <w:tcPr>
            <w:tcW w:w="1900" w:type="dxa"/>
            <w:vAlign w:val="bottom"/>
          </w:tcPr>
          <w:p>
            <w:pPr>
              <w:spacing w:after="0"/>
              <w:rPr>
                <w:sz w:val="13"/>
                <w:szCs w:val="13"/>
                <w:color w:val="auto"/>
              </w:rPr>
            </w:pPr>
          </w:p>
        </w:tc>
      </w:tr>
      <w:tr>
        <w:trPr>
          <w:trHeight w:val="173"/>
        </w:trPr>
        <w:tc>
          <w:tcPr>
            <w:tcW w:w="2880" w:type="dxa"/>
            <w:vAlign w:val="bottom"/>
            <w:gridSpan w:val="2"/>
          </w:tcPr>
          <w:p>
            <w:pPr>
              <w:spacing w:after="0"/>
              <w:rPr>
                <w:sz w:val="20"/>
                <w:szCs w:val="20"/>
                <w:color w:val="auto"/>
              </w:rPr>
            </w:pPr>
            <w:r>
              <w:rPr>
                <w:rFonts w:ascii="Arial" w:cs="Arial" w:eastAsia="Arial" w:hAnsi="Arial"/>
                <w:sz w:val="13"/>
                <w:szCs w:val="13"/>
                <w:b w:val="1"/>
                <w:bCs w:val="1"/>
                <w:color w:val="auto"/>
              </w:rPr>
              <w:t>Investment Type (c)</w:t>
            </w:r>
          </w:p>
        </w:tc>
        <w:tc>
          <w:tcPr>
            <w:tcW w:w="1900" w:type="dxa"/>
            <w:vAlign w:val="bottom"/>
          </w:tcPr>
          <w:p>
            <w:pPr>
              <w:ind w:left="720"/>
              <w:spacing w:after="0"/>
              <w:rPr>
                <w:sz w:val="20"/>
                <w:szCs w:val="20"/>
                <w:color w:val="auto"/>
              </w:rPr>
            </w:pPr>
            <w:r>
              <w:rPr>
                <w:rFonts w:ascii="Arial" w:cs="Arial" w:eastAsia="Arial" w:hAnsi="Arial"/>
                <w:sz w:val="13"/>
                <w:szCs w:val="13"/>
                <w:b w:val="1"/>
                <w:bCs w:val="1"/>
                <w:color w:val="auto"/>
              </w:rPr>
              <w:t>Industry</w:t>
            </w:r>
          </w:p>
        </w:tc>
      </w:tr>
      <w:tr>
        <w:trPr>
          <w:trHeight w:val="94"/>
        </w:trPr>
        <w:tc>
          <w:tcPr>
            <w:tcW w:w="1320" w:type="dxa"/>
            <w:vAlign w:val="bottom"/>
            <w:tcBorders>
              <w:top w:val="single" w:sz="8" w:color="auto"/>
            </w:tcBorders>
          </w:tcPr>
          <w:p>
            <w:pPr>
              <w:spacing w:after="0" w:line="94" w:lineRule="exact"/>
              <w:rPr>
                <w:sz w:val="20"/>
                <w:szCs w:val="20"/>
                <w:color w:val="auto"/>
              </w:rPr>
            </w:pPr>
            <w:r>
              <w:rPr>
                <w:rFonts w:ascii="Arial" w:cs="Arial" w:eastAsia="Arial" w:hAnsi="Arial"/>
                <w:sz w:val="10"/>
                <w:szCs w:val="10"/>
                <w:b w:val="1"/>
                <w:bCs w:val="1"/>
                <w:color w:val="auto"/>
              </w:rPr>
              <w:t>Non-control/Non-affiliate</w:t>
            </w:r>
          </w:p>
        </w:tc>
        <w:tc>
          <w:tcPr>
            <w:tcW w:w="1560" w:type="dxa"/>
            <w:vAlign w:val="bottom"/>
          </w:tcPr>
          <w:p>
            <w:pPr>
              <w:ind w:left="60"/>
              <w:spacing w:after="0" w:line="94" w:lineRule="exact"/>
              <w:rPr>
                <w:sz w:val="20"/>
                <w:szCs w:val="20"/>
                <w:color w:val="auto"/>
              </w:rPr>
            </w:pPr>
            <w:r>
              <w:rPr>
                <w:rFonts w:ascii="Arial" w:cs="Arial" w:eastAsia="Arial" w:hAnsi="Arial"/>
                <w:sz w:val="10"/>
                <w:szCs w:val="10"/>
                <w:b w:val="1"/>
                <w:bCs w:val="1"/>
                <w:color w:val="auto"/>
              </w:rPr>
              <w:t>Investments</w:t>
            </w:r>
          </w:p>
        </w:tc>
        <w:tc>
          <w:tcPr>
            <w:tcW w:w="1900" w:type="dxa"/>
            <w:vAlign w:val="bottom"/>
            <w:tcBorders>
              <w:top w:val="single" w:sz="8" w:color="auto"/>
            </w:tcBorders>
          </w:tcPr>
          <w:p>
            <w:pPr>
              <w:spacing w:after="0"/>
              <w:rPr>
                <w:sz w:val="8"/>
                <w:szCs w:val="8"/>
                <w:color w:val="auto"/>
              </w:rPr>
            </w:pPr>
          </w:p>
        </w:tc>
      </w:tr>
      <w:tr>
        <w:trPr>
          <w:trHeight w:val="135"/>
        </w:trPr>
        <w:tc>
          <w:tcPr>
            <w:tcW w:w="288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Accent Food Services, LLC</w:t>
            </w:r>
          </w:p>
        </w:tc>
        <w:tc>
          <w:tcPr>
            <w:tcW w:w="1900" w:type="dxa"/>
            <w:vAlign w:val="bottom"/>
          </w:tcPr>
          <w:p>
            <w:pPr>
              <w:spacing w:after="0" w:line="135" w:lineRule="exact"/>
              <w:rPr>
                <w:sz w:val="20"/>
                <w:szCs w:val="20"/>
                <w:color w:val="auto"/>
              </w:rPr>
            </w:pPr>
            <w:r>
              <w:rPr>
                <w:rFonts w:ascii="Arial" w:cs="Arial" w:eastAsia="Arial" w:hAnsi="Arial"/>
                <w:sz w:val="13"/>
                <w:szCs w:val="13"/>
                <w:color w:val="auto"/>
                <w:w w:val="94"/>
              </w:rPr>
              <w:t>Vending Equipment Manufacturing</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(k)(p)</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Common Equity (7,885 units) (h)(j)</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Allied 100 Group, Inc.</w:t>
            </w:r>
          </w:p>
        </w:tc>
        <w:tc>
          <w:tcPr>
            <w:tcW w:w="1900" w:type="dxa"/>
            <w:vAlign w:val="bottom"/>
          </w:tcPr>
          <w:p>
            <w:pPr>
              <w:spacing w:after="0"/>
              <w:rPr>
                <w:sz w:val="20"/>
                <w:szCs w:val="20"/>
                <w:color w:val="auto"/>
              </w:rPr>
            </w:pPr>
            <w:r>
              <w:rPr>
                <w:rFonts w:ascii="Arial" w:cs="Arial" w:eastAsia="Arial" w:hAnsi="Arial"/>
                <w:sz w:val="13"/>
                <w:szCs w:val="13"/>
                <w:color w:val="auto"/>
              </w:rPr>
              <w:t>Healthcare Products</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Common Equity (625,000 units) (j)</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w w:val="99"/>
              </w:rPr>
              <w:t>Alzheimer’s Research and Treatment Center, LLC</w:t>
            </w:r>
          </w:p>
        </w:tc>
        <w:tc>
          <w:tcPr>
            <w:tcW w:w="1900" w:type="dxa"/>
            <w:vAlign w:val="bottom"/>
          </w:tcPr>
          <w:p>
            <w:pPr>
              <w:spacing w:after="0"/>
              <w:rPr>
                <w:sz w:val="20"/>
                <w:szCs w:val="20"/>
                <w:color w:val="auto"/>
              </w:rPr>
            </w:pPr>
            <w:r>
              <w:rPr>
                <w:rFonts w:ascii="Arial" w:cs="Arial" w:eastAsia="Arial" w:hAnsi="Arial"/>
                <w:sz w:val="13"/>
                <w:szCs w:val="13"/>
                <w:color w:val="auto"/>
              </w:rPr>
              <w:t>Healthcare Services</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(j)(w)</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Common Equity (500 units) (h)(j)</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w w:val="94"/>
              </w:rPr>
              <w:t>American AllWaste LLC (dba WasteWater Transport</w:t>
            </w:r>
          </w:p>
        </w:tc>
        <w:tc>
          <w:tcPr>
            <w:tcW w:w="1900" w:type="dxa"/>
            <w:vAlign w:val="bottom"/>
          </w:tcPr>
          <w:p>
            <w:pPr>
              <w:spacing w:after="0"/>
              <w:rPr>
                <w:sz w:val="23"/>
                <w:szCs w:val="23"/>
                <w:color w:val="auto"/>
              </w:rPr>
            </w:pPr>
          </w:p>
        </w:tc>
      </w:tr>
      <w:tr>
        <w:trPr>
          <w:trHeight w:val="135"/>
        </w:trPr>
        <w:tc>
          <w:tcPr>
            <w:tcW w:w="2880" w:type="dxa"/>
            <w:vAlign w:val="bottom"/>
            <w:gridSpan w:val="2"/>
          </w:tcPr>
          <w:p>
            <w:pPr>
              <w:ind w:left="120"/>
              <w:spacing w:after="0" w:line="135" w:lineRule="exact"/>
              <w:rPr>
                <w:sz w:val="20"/>
                <w:szCs w:val="20"/>
                <w:color w:val="auto"/>
              </w:rPr>
            </w:pPr>
            <w:r>
              <w:rPr>
                <w:rFonts w:ascii="Arial" w:cs="Arial" w:eastAsia="Arial" w:hAnsi="Arial"/>
                <w:sz w:val="13"/>
                <w:szCs w:val="13"/>
                <w:i w:val="1"/>
                <w:iCs w:val="1"/>
                <w:color w:val="auto"/>
              </w:rPr>
              <w:t>Services)</w:t>
            </w:r>
          </w:p>
        </w:tc>
        <w:tc>
          <w:tcPr>
            <w:tcW w:w="1900" w:type="dxa"/>
            <w:vAlign w:val="bottom"/>
          </w:tcPr>
          <w:p>
            <w:pPr>
              <w:spacing w:after="0" w:line="135" w:lineRule="exact"/>
              <w:rPr>
                <w:sz w:val="20"/>
                <w:szCs w:val="20"/>
                <w:color w:val="auto"/>
              </w:rPr>
            </w:pPr>
            <w:r>
              <w:rPr>
                <w:rFonts w:ascii="Arial" w:cs="Arial" w:eastAsia="Arial" w:hAnsi="Arial"/>
                <w:sz w:val="13"/>
                <w:szCs w:val="13"/>
                <w:color w:val="auto"/>
              </w:rPr>
              <w:t>Environmental Industries</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900" w:type="dxa"/>
            <w:vAlign w:val="bottom"/>
          </w:tcPr>
          <w:p>
            <w:pPr>
              <w:spacing w:after="0"/>
              <w:rPr>
                <w:sz w:val="11"/>
                <w:szCs w:val="11"/>
                <w:color w:val="auto"/>
              </w:rPr>
            </w:pP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(500 units) (h)(j)</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Preferred Equity (207 units) (h)(j)</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Argo Turboserve Corporation</w:t>
            </w:r>
          </w:p>
        </w:tc>
        <w:tc>
          <w:tcPr>
            <w:tcW w:w="190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Second Lien Debt (j)</w:t>
            </w:r>
          </w:p>
        </w:tc>
        <w:tc>
          <w:tcPr>
            <w:tcW w:w="1900" w:type="dxa"/>
            <w:vAlign w:val="bottom"/>
          </w:tcPr>
          <w:p>
            <w:pPr>
              <w:spacing w:after="0"/>
              <w:rPr>
                <w:sz w:val="13"/>
                <w:szCs w:val="13"/>
                <w:color w:val="auto"/>
              </w:rPr>
            </w:pPr>
          </w:p>
        </w:tc>
      </w:tr>
      <w:tr>
        <w:trPr>
          <w:trHeight w:val="218"/>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AVC Investors, LLC (dba Auveco)</w:t>
            </w:r>
          </w:p>
        </w:tc>
        <w:tc>
          <w:tcPr>
            <w:tcW w:w="1900" w:type="dxa"/>
            <w:vAlign w:val="bottom"/>
          </w:tcPr>
          <w:p>
            <w:pPr>
              <w:spacing w:after="0"/>
              <w:rPr>
                <w:sz w:val="20"/>
                <w:szCs w:val="20"/>
                <w:color w:val="auto"/>
              </w:rPr>
            </w:pPr>
            <w:r>
              <w:rPr>
                <w:rFonts w:ascii="Arial" w:cs="Arial" w:eastAsia="Arial" w:hAnsi="Arial"/>
                <w:sz w:val="13"/>
                <w:szCs w:val="13"/>
                <w:color w:val="auto"/>
              </w:rPr>
              <w:t>Specialty Distribution</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Common Equity (5,000 units) (j)</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B&amp;B Roadway and Security Solutions, LLC</w:t>
            </w:r>
          </w:p>
        </w:tc>
        <w:tc>
          <w:tcPr>
            <w:tcW w:w="1900" w:type="dxa"/>
            <w:vAlign w:val="bottom"/>
          </w:tcPr>
          <w:p>
            <w:pPr>
              <w:spacing w:after="0"/>
              <w:rPr>
                <w:sz w:val="20"/>
                <w:szCs w:val="20"/>
                <w:color w:val="auto"/>
              </w:rPr>
            </w:pPr>
            <w:r>
              <w:rPr>
                <w:rFonts w:ascii="Arial" w:cs="Arial" w:eastAsia="Arial" w:hAnsi="Arial"/>
                <w:sz w:val="13"/>
                <w:szCs w:val="13"/>
                <w:color w:val="auto"/>
              </w:rPr>
              <w:t>Component Manufacturing</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Common Equity (50,000 units) (h)(j)</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Bandon Fitness (Texas), Inc.</w:t>
            </w:r>
          </w:p>
        </w:tc>
        <w:tc>
          <w:tcPr>
            <w:tcW w:w="1900" w:type="dxa"/>
            <w:vAlign w:val="bottom"/>
          </w:tcPr>
          <w:p>
            <w:pPr>
              <w:spacing w:after="0"/>
              <w:rPr>
                <w:sz w:val="20"/>
                <w:szCs w:val="20"/>
                <w:color w:val="auto"/>
              </w:rPr>
            </w:pPr>
            <w:r>
              <w:rPr>
                <w:rFonts w:ascii="Arial" w:cs="Arial" w:eastAsia="Arial" w:hAnsi="Arial"/>
                <w:sz w:val="13"/>
                <w:szCs w:val="13"/>
                <w:color w:val="auto"/>
              </w:rPr>
              <w:t>Retail</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(j)(z)</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Common Equity (497,549 units) (j)</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BCC Group Holdings, Inc.</w:t>
            </w:r>
          </w:p>
        </w:tc>
        <w:tc>
          <w:tcPr>
            <w:tcW w:w="1900" w:type="dxa"/>
            <w:vAlign w:val="bottom"/>
          </w:tcPr>
          <w:p>
            <w:pPr>
              <w:spacing w:after="0"/>
              <w:rPr>
                <w:sz w:val="20"/>
                <w:szCs w:val="20"/>
                <w:color w:val="auto"/>
              </w:rPr>
            </w:pPr>
            <w:r>
              <w:rPr>
                <w:rFonts w:ascii="Arial" w:cs="Arial" w:eastAsia="Arial" w:hAnsi="Arial"/>
                <w:sz w:val="13"/>
                <w:szCs w:val="13"/>
                <w:color w:val="auto"/>
                <w:w w:val="99"/>
              </w:rPr>
              <w:t>Information Technology Services</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900" w:type="dxa"/>
            <w:vAlign w:val="bottom"/>
          </w:tcPr>
          <w:p>
            <w:pPr>
              <w:spacing w:after="0"/>
              <w:rPr>
                <w:sz w:val="11"/>
                <w:szCs w:val="11"/>
                <w:color w:val="auto"/>
              </w:rPr>
            </w:pP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(451 shares)</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Preferred Equity (14 shares)</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BCM One Group Holdings, Inc.</w:t>
            </w:r>
          </w:p>
        </w:tc>
        <w:tc>
          <w:tcPr>
            <w:tcW w:w="1900" w:type="dxa"/>
            <w:vAlign w:val="bottom"/>
          </w:tcPr>
          <w:p>
            <w:pPr>
              <w:spacing w:after="0"/>
              <w:rPr>
                <w:sz w:val="20"/>
                <w:szCs w:val="20"/>
                <w:color w:val="auto"/>
              </w:rPr>
            </w:pPr>
            <w:r>
              <w:rPr>
                <w:rFonts w:ascii="Arial" w:cs="Arial" w:eastAsia="Arial" w:hAnsi="Arial"/>
                <w:sz w:val="13"/>
                <w:szCs w:val="13"/>
                <w:color w:val="auto"/>
                <w:w w:val="99"/>
              </w:rPr>
              <w:t>Information Technology Services</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900" w:type="dxa"/>
            <w:vAlign w:val="bottom"/>
          </w:tcPr>
          <w:p>
            <w:pPr>
              <w:spacing w:after="0"/>
              <w:rPr>
                <w:sz w:val="11"/>
                <w:szCs w:val="11"/>
                <w:color w:val="auto"/>
              </w:rPr>
            </w:pP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(1,143 shares)</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Preferred Equity (66 shares)</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Bedford Precision Parts LLC</w:t>
            </w:r>
          </w:p>
        </w:tc>
        <w:tc>
          <w:tcPr>
            <w:tcW w:w="1900" w:type="dxa"/>
            <w:vAlign w:val="bottom"/>
          </w:tcPr>
          <w:p>
            <w:pPr>
              <w:spacing w:after="0"/>
              <w:rPr>
                <w:sz w:val="20"/>
                <w:szCs w:val="20"/>
                <w:color w:val="auto"/>
              </w:rPr>
            </w:pPr>
            <w:r>
              <w:rPr>
                <w:rFonts w:ascii="Arial" w:cs="Arial" w:eastAsia="Arial" w:hAnsi="Arial"/>
                <w:sz w:val="13"/>
                <w:szCs w:val="13"/>
                <w:color w:val="auto"/>
              </w:rPr>
              <w:t>Specialty Distribution</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(j)(s)</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Common Equity (500,000 units) (h)(j)</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w w:val="92"/>
              </w:rPr>
              <w:t>Cardboard Box LLC (dba Anthony’s Coal Fired Pizza)</w:t>
            </w:r>
          </w:p>
        </w:tc>
        <w:tc>
          <w:tcPr>
            <w:tcW w:w="1900" w:type="dxa"/>
            <w:vAlign w:val="bottom"/>
          </w:tcPr>
          <w:p>
            <w:pPr>
              <w:spacing w:after="0"/>
              <w:rPr>
                <w:sz w:val="20"/>
                <w:szCs w:val="20"/>
                <w:color w:val="auto"/>
              </w:rPr>
            </w:pPr>
            <w:r>
              <w:rPr>
                <w:rFonts w:ascii="Arial" w:cs="Arial" w:eastAsia="Arial" w:hAnsi="Arial"/>
                <w:sz w:val="13"/>
                <w:szCs w:val="13"/>
                <w:color w:val="auto"/>
              </w:rPr>
              <w:t>Restaurants</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(521,021 units) (j)</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Preferred Equity (99,889 units) (j)</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Combined Systems, Inc.</w:t>
            </w:r>
          </w:p>
        </w:tc>
        <w:tc>
          <w:tcPr>
            <w:tcW w:w="1900" w:type="dxa"/>
            <w:vAlign w:val="bottom"/>
          </w:tcPr>
          <w:p>
            <w:pPr>
              <w:spacing w:after="0"/>
              <w:rPr>
                <w:sz w:val="20"/>
                <w:szCs w:val="20"/>
                <w:color w:val="auto"/>
              </w:rPr>
            </w:pPr>
            <w:r>
              <w:rPr>
                <w:rFonts w:ascii="Arial" w:cs="Arial" w:eastAsia="Arial" w:hAnsi="Arial"/>
                <w:sz w:val="13"/>
                <w:szCs w:val="13"/>
                <w:color w:val="auto"/>
                <w:w w:val="88"/>
              </w:rPr>
              <w:t>Aerospace &amp; Defense Manufacturing</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Revolving Loan ($0 commitment) (j)(ac)</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ControlScan, Inc.</w:t>
            </w:r>
          </w:p>
        </w:tc>
        <w:tc>
          <w:tcPr>
            <w:tcW w:w="1900" w:type="dxa"/>
            <w:vAlign w:val="bottom"/>
          </w:tcPr>
          <w:p>
            <w:pPr>
              <w:spacing w:after="0"/>
              <w:rPr>
                <w:sz w:val="20"/>
                <w:szCs w:val="20"/>
                <w:color w:val="auto"/>
              </w:rPr>
            </w:pPr>
            <w:r>
              <w:rPr>
                <w:rFonts w:ascii="Arial" w:cs="Arial" w:eastAsia="Arial" w:hAnsi="Arial"/>
                <w:sz w:val="13"/>
                <w:szCs w:val="13"/>
                <w:color w:val="auto"/>
                <w:w w:val="99"/>
              </w:rPr>
              <w:t>Information Technology Services</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900" w:type="dxa"/>
            <w:vAlign w:val="bottom"/>
          </w:tcPr>
          <w:p>
            <w:pPr>
              <w:spacing w:after="0"/>
              <w:rPr>
                <w:sz w:val="11"/>
                <w:szCs w:val="11"/>
                <w:color w:val="auto"/>
              </w:rPr>
            </w:pP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(1,852 shares) (j)</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Preferred Equity (50 shares) (j)</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CRS Solutions Holdings, LLC (dba CRS Texas)</w:t>
            </w:r>
          </w:p>
        </w:tc>
        <w:tc>
          <w:tcPr>
            <w:tcW w:w="190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Common Equity (375,000 units) (h)(j)</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Diversified Search LLC</w:t>
            </w:r>
          </w:p>
        </w:tc>
        <w:tc>
          <w:tcPr>
            <w:tcW w:w="190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(k)(r)</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Common Equity (573 units) (h)(j)</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EBL, LLC (EbLens)</w:t>
            </w:r>
          </w:p>
        </w:tc>
        <w:tc>
          <w:tcPr>
            <w:tcW w:w="1900" w:type="dxa"/>
            <w:vAlign w:val="bottom"/>
          </w:tcPr>
          <w:p>
            <w:pPr>
              <w:spacing w:after="0"/>
              <w:rPr>
                <w:sz w:val="20"/>
                <w:szCs w:val="20"/>
                <w:color w:val="auto"/>
              </w:rPr>
            </w:pPr>
            <w:r>
              <w:rPr>
                <w:rFonts w:ascii="Arial" w:cs="Arial" w:eastAsia="Arial" w:hAnsi="Arial"/>
                <w:sz w:val="13"/>
                <w:szCs w:val="13"/>
                <w:color w:val="auto"/>
              </w:rPr>
              <w:t>Retail</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(j)(p)</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Common Equity (75,000 units) (j)</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French Transit, LLC</w:t>
            </w:r>
          </w:p>
        </w:tc>
        <w:tc>
          <w:tcPr>
            <w:tcW w:w="1900" w:type="dxa"/>
            <w:vAlign w:val="bottom"/>
          </w:tcPr>
          <w:p>
            <w:pPr>
              <w:spacing w:after="0"/>
              <w:rPr>
                <w:sz w:val="20"/>
                <w:szCs w:val="20"/>
                <w:color w:val="auto"/>
              </w:rPr>
            </w:pPr>
            <w:r>
              <w:rPr>
                <w:rFonts w:ascii="Arial" w:cs="Arial" w:eastAsia="Arial" w:hAnsi="Arial"/>
                <w:sz w:val="13"/>
                <w:szCs w:val="13"/>
                <w:color w:val="auto"/>
              </w:rPr>
              <w:t>Consumer Products</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Revolving Loan ($1,000 commitment) (j)(u)</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Global Plasma Solutions, Inc.</w:t>
            </w:r>
          </w:p>
        </w:tc>
        <w:tc>
          <w:tcPr>
            <w:tcW w:w="1900" w:type="dxa"/>
            <w:vAlign w:val="bottom"/>
          </w:tcPr>
          <w:p>
            <w:pPr>
              <w:spacing w:after="0"/>
              <w:rPr>
                <w:sz w:val="20"/>
                <w:szCs w:val="20"/>
                <w:color w:val="auto"/>
              </w:rPr>
            </w:pPr>
            <w:r>
              <w:rPr>
                <w:rFonts w:ascii="Arial" w:cs="Arial" w:eastAsia="Arial" w:hAnsi="Arial"/>
                <w:sz w:val="13"/>
                <w:szCs w:val="13"/>
                <w:color w:val="auto"/>
              </w:rPr>
              <w:t>Component Manufacturing</w:t>
            </w: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(j)(v)</w:t>
            </w:r>
          </w:p>
        </w:tc>
        <w:tc>
          <w:tcPr>
            <w:tcW w:w="1900" w:type="dxa"/>
            <w:vAlign w:val="bottom"/>
          </w:tcPr>
          <w:p>
            <w:pPr>
              <w:spacing w:after="0"/>
              <w:rPr>
                <w:sz w:val="11"/>
                <w:szCs w:val="11"/>
                <w:color w:val="auto"/>
              </w:rPr>
            </w:pPr>
          </w:p>
        </w:tc>
      </w:tr>
      <w:tr>
        <w:trPr>
          <w:trHeight w:val="135"/>
        </w:trPr>
        <w:tc>
          <w:tcPr>
            <w:tcW w:w="28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(947 shares) (j)</w:t>
            </w:r>
          </w:p>
        </w:tc>
        <w:tc>
          <w:tcPr>
            <w:tcW w:w="1900" w:type="dxa"/>
            <w:vAlign w:val="bottom"/>
          </w:tcPr>
          <w:p>
            <w:pPr>
              <w:spacing w:after="0"/>
              <w:rPr>
                <w:sz w:val="11"/>
                <w:szCs w:val="11"/>
                <w:color w:val="auto"/>
              </w:rPr>
            </w:pP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Common Equity (947 shares) (j)</w:t>
            </w:r>
          </w:p>
        </w:tc>
        <w:tc>
          <w:tcPr>
            <w:tcW w:w="1900" w:type="dxa"/>
            <w:vAlign w:val="bottom"/>
          </w:tcPr>
          <w:p>
            <w:pPr>
              <w:spacing w:after="0"/>
              <w:rPr>
                <w:sz w:val="13"/>
                <w:szCs w:val="13"/>
                <w:color w:val="auto"/>
              </w:rPr>
            </w:pPr>
          </w:p>
        </w:tc>
      </w:tr>
      <w:tr>
        <w:trPr>
          <w:trHeight w:val="272"/>
        </w:trPr>
        <w:tc>
          <w:tcPr>
            <w:tcW w:w="2880" w:type="dxa"/>
            <w:vAlign w:val="bottom"/>
            <w:gridSpan w:val="2"/>
          </w:tcPr>
          <w:p>
            <w:pPr>
              <w:spacing w:after="0"/>
              <w:rPr>
                <w:sz w:val="20"/>
                <w:szCs w:val="20"/>
                <w:color w:val="auto"/>
              </w:rPr>
            </w:pPr>
            <w:r>
              <w:rPr>
                <w:rFonts w:ascii="Arial" w:cs="Arial" w:eastAsia="Arial" w:hAnsi="Arial"/>
                <w:sz w:val="13"/>
                <w:szCs w:val="13"/>
                <w:i w:val="1"/>
                <w:iCs w:val="1"/>
                <w:color w:val="auto"/>
              </w:rPr>
              <w:t>Gurobi Optimization, LLC</w:t>
            </w:r>
          </w:p>
        </w:tc>
        <w:tc>
          <w:tcPr>
            <w:tcW w:w="1900" w:type="dxa"/>
            <w:vAlign w:val="bottom"/>
          </w:tcPr>
          <w:p>
            <w:pPr>
              <w:spacing w:after="0"/>
              <w:rPr>
                <w:sz w:val="20"/>
                <w:szCs w:val="20"/>
                <w:color w:val="auto"/>
              </w:rPr>
            </w:pPr>
            <w:r>
              <w:rPr>
                <w:rFonts w:ascii="Arial" w:cs="Arial" w:eastAsia="Arial" w:hAnsi="Arial"/>
                <w:sz w:val="13"/>
                <w:szCs w:val="13"/>
                <w:color w:val="auto"/>
                <w:w w:val="99"/>
              </w:rPr>
              <w:t>Information Technology Services</w:t>
            </w:r>
          </w:p>
        </w:tc>
      </w:tr>
      <w:tr>
        <w:trPr>
          <w:trHeight w:val="160"/>
        </w:trPr>
        <w:tc>
          <w:tcPr>
            <w:tcW w:w="2880" w:type="dxa"/>
            <w:vAlign w:val="bottom"/>
            <w:gridSpan w:val="2"/>
          </w:tcPr>
          <w:p>
            <w:pPr>
              <w:ind w:left="240"/>
              <w:spacing w:after="0"/>
              <w:rPr>
                <w:sz w:val="20"/>
                <w:szCs w:val="20"/>
                <w:color w:val="auto"/>
              </w:rPr>
            </w:pPr>
            <w:r>
              <w:rPr>
                <w:rFonts w:ascii="Arial" w:cs="Arial" w:eastAsia="Arial" w:hAnsi="Arial"/>
                <w:sz w:val="13"/>
                <w:szCs w:val="13"/>
                <w:color w:val="auto"/>
              </w:rPr>
              <w:t>Common Equity (3 shares)</w:t>
            </w:r>
          </w:p>
        </w:tc>
        <w:tc>
          <w:tcPr>
            <w:tcW w:w="19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Variable Index</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Rate (e)</w:t>
            </w: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Investment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7"/>
              </w:rPr>
              <w:t>Principal</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4"/>
              </w:rPr>
              <w:t>Percent of</w:t>
            </w:r>
          </w:p>
        </w:tc>
      </w:tr>
      <w:tr>
        <w:trPr>
          <w:trHeight w:val="153"/>
        </w:trPr>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Cash/PIK</w:t>
            </w:r>
          </w:p>
        </w:tc>
        <w:tc>
          <w:tcPr>
            <w:tcW w:w="10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b w:val="1"/>
                <w:bCs w:val="1"/>
                <w:color w:val="auto"/>
              </w:rPr>
              <w:t>Date (f)</w:t>
            </w:r>
          </w:p>
        </w:tc>
        <w:tc>
          <w:tcPr>
            <w:tcW w:w="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420" w:type="dxa"/>
            <w:vAlign w:val="bottom"/>
          </w:tcPr>
          <w:p>
            <w:pPr>
              <w:jc w:val="right"/>
              <w:ind w:right="1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83"/>
              </w:rPr>
              <w:t>Value (g)</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0"/>
              </w:rPr>
              <w:t>Net Assets</w:t>
            </w:r>
          </w:p>
        </w:tc>
      </w:tr>
      <w:tr>
        <w:trPr>
          <w:trHeight w:val="20"/>
        </w:trPr>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0.00%/17.00%</w:t>
            </w:r>
          </w:p>
        </w:tc>
        <w:tc>
          <w:tcPr>
            <w:tcW w:w="10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11/30/2016</w:t>
            </w:r>
          </w:p>
        </w:tc>
        <w:tc>
          <w:tcPr>
            <w:tcW w:w="1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5/30/2022</w:t>
            </w: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w w:val="88"/>
              </w:rPr>
              <w:t>$  35,410</w:t>
            </w:r>
          </w:p>
        </w:tc>
        <w:tc>
          <w:tcPr>
            <w:tcW w:w="420" w:type="dxa"/>
            <w:vAlign w:val="bottom"/>
          </w:tcPr>
          <w:p>
            <w:pPr>
              <w:jc w:val="right"/>
              <w:spacing w:after="0"/>
              <w:rPr>
                <w:sz w:val="20"/>
                <w:szCs w:val="20"/>
                <w:color w:val="auto"/>
              </w:rPr>
            </w:pPr>
            <w:r>
              <w:rPr>
                <w:rFonts w:ascii="Arial" w:cs="Arial" w:eastAsia="Arial" w:hAnsi="Arial"/>
                <w:sz w:val="13"/>
                <w:szCs w:val="13"/>
                <w:color w:val="auto"/>
                <w:w w:val="85"/>
              </w:rPr>
              <w:t>$35,328</w:t>
            </w:r>
          </w:p>
        </w:tc>
        <w:tc>
          <w:tcPr>
            <w:tcW w:w="16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$ 25,717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11/30/2016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800</w:t>
            </w:r>
          </w:p>
        </w:tc>
        <w:tc>
          <w:tcPr>
            <w:tcW w:w="16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36,128</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25,717</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7%</w:t>
            </w:r>
          </w:p>
        </w:tc>
      </w:tr>
      <w:tr>
        <w:trPr>
          <w:trHeight w:val="244"/>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11.25%/0.00%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7/31/2019</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5/26/2023</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21,500</w:t>
            </w:r>
          </w:p>
        </w:tc>
        <w:tc>
          <w:tcPr>
            <w:tcW w:w="420" w:type="dxa"/>
            <w:vAlign w:val="bottom"/>
          </w:tcPr>
          <w:p>
            <w:pPr>
              <w:jc w:val="right"/>
              <w:spacing w:after="0"/>
              <w:rPr>
                <w:sz w:val="20"/>
                <w:szCs w:val="20"/>
                <w:color w:val="auto"/>
              </w:rPr>
            </w:pPr>
            <w:r>
              <w:rPr>
                <w:rFonts w:ascii="Arial" w:cs="Arial" w:eastAsia="Arial" w:hAnsi="Arial"/>
                <w:sz w:val="13"/>
                <w:szCs w:val="13"/>
                <w:color w:val="auto"/>
              </w:rPr>
              <w:t>21,411</w:t>
            </w: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21,500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11/26/2014</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625</w:t>
            </w: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1,061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22,036</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22,561</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244"/>
        </w:trPr>
        <w:tc>
          <w:tcPr>
            <w:tcW w:w="1340" w:type="dxa"/>
            <w:vAlign w:val="bottom"/>
            <w:gridSpan w:val="2"/>
          </w:tcPr>
          <w:p>
            <w:pPr>
              <w:jc w:val="center"/>
              <w:ind w:right="60"/>
              <w:spacing w:after="0"/>
              <w:rPr>
                <w:sz w:val="20"/>
                <w:szCs w:val="20"/>
                <w:color w:val="auto"/>
              </w:rPr>
            </w:pPr>
            <w:r>
              <w:rPr>
                <w:rFonts w:ascii="Arial" w:cs="Arial" w:eastAsia="Arial" w:hAnsi="Arial"/>
                <w:sz w:val="13"/>
                <w:szCs w:val="13"/>
                <w:color w:val="auto"/>
                <w:w w:val="90"/>
              </w:rPr>
              <w:t>(L + 5.75%) / (2.00%)</w:t>
            </w: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7.75%/0.00%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10/23/2018</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10/23/2023</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6,500</w:t>
            </w:r>
          </w:p>
        </w:tc>
        <w:tc>
          <w:tcPr>
            <w:tcW w:w="420" w:type="dxa"/>
            <w:vAlign w:val="bottom"/>
          </w:tcPr>
          <w:p>
            <w:pPr>
              <w:jc w:val="right"/>
              <w:spacing w:after="0"/>
              <w:rPr>
                <w:sz w:val="20"/>
                <w:szCs w:val="20"/>
                <w:color w:val="auto"/>
              </w:rPr>
            </w:pPr>
            <w:r>
              <w:rPr>
                <w:rFonts w:ascii="Arial" w:cs="Arial" w:eastAsia="Arial" w:hAnsi="Arial"/>
                <w:sz w:val="13"/>
                <w:szCs w:val="13"/>
                <w:color w:val="auto"/>
              </w:rPr>
              <w:t>6,464</w:t>
            </w: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6,500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10/23/2018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500</w:t>
            </w: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667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6,964</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7,167</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379"/>
        </w:trPr>
        <w:tc>
          <w:tcPr>
            <w:tcW w:w="134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(L + 11.00%) / (2.00%)</w:t>
            </w: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13.00%/0.00%</w:t>
            </w:r>
          </w:p>
        </w:tc>
        <w:tc>
          <w:tcPr>
            <w:tcW w:w="10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5/31/2018</w:t>
            </w:r>
          </w:p>
        </w:tc>
        <w:tc>
          <w:tcPr>
            <w:tcW w:w="1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11/30/2023</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17,503</w:t>
            </w:r>
          </w:p>
        </w:tc>
        <w:tc>
          <w:tcPr>
            <w:tcW w:w="420" w:type="dxa"/>
            <w:vAlign w:val="bottom"/>
          </w:tcPr>
          <w:p>
            <w:pPr>
              <w:jc w:val="right"/>
              <w:spacing w:after="0"/>
              <w:rPr>
                <w:sz w:val="20"/>
                <w:szCs w:val="20"/>
                <w:color w:val="auto"/>
              </w:rPr>
            </w:pPr>
            <w:r>
              <w:rPr>
                <w:rFonts w:ascii="Arial" w:cs="Arial" w:eastAsia="Arial" w:hAnsi="Arial"/>
                <w:sz w:val="13"/>
                <w:szCs w:val="13"/>
                <w:color w:val="auto"/>
              </w:rPr>
              <w:t>17,416</w:t>
            </w:r>
          </w:p>
        </w:tc>
        <w:tc>
          <w:tcPr>
            <w:tcW w:w="16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17,503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5/31/2018</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500</w:t>
            </w:r>
          </w:p>
        </w:tc>
        <w:tc>
          <w:tcPr>
            <w:tcW w:w="16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176</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8/6/2019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250</w:t>
            </w: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250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18,166</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17,929</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w:t>
            </w:r>
          </w:p>
        </w:tc>
      </w:tr>
      <w:tr>
        <w:trPr>
          <w:trHeight w:val="269"/>
        </w:trPr>
        <w:tc>
          <w:tcPr>
            <w:tcW w:w="1340" w:type="dxa"/>
            <w:vAlign w:val="bottom"/>
            <w:gridSpan w:val="2"/>
          </w:tcPr>
          <w:p>
            <w:pPr>
              <w:jc w:val="center"/>
              <w:ind w:right="60"/>
              <w:spacing w:after="0"/>
              <w:rPr>
                <w:sz w:val="20"/>
                <w:szCs w:val="20"/>
                <w:color w:val="auto"/>
              </w:rPr>
            </w:pPr>
            <w:r>
              <w:rPr>
                <w:rFonts w:ascii="Arial" w:cs="Arial" w:eastAsia="Arial" w:hAnsi="Arial"/>
                <w:sz w:val="13"/>
                <w:szCs w:val="13"/>
                <w:color w:val="auto"/>
                <w:w w:val="90"/>
              </w:rPr>
              <w:t>(L + 9.75%) / (2.00%)</w:t>
            </w: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11.75%/0.00%</w:t>
            </w:r>
          </w:p>
        </w:tc>
        <w:tc>
          <w:tcPr>
            <w:tcW w:w="100" w:type="dxa"/>
            <w:vAlign w:val="bottom"/>
          </w:tcPr>
          <w:p>
            <w:pPr>
              <w:spacing w:after="0"/>
              <w:rPr>
                <w:sz w:val="23"/>
                <w:szCs w:val="23"/>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12/26/2018</w:t>
            </w:r>
          </w:p>
        </w:tc>
        <w:tc>
          <w:tcPr>
            <w:tcW w:w="120" w:type="dxa"/>
            <w:vAlign w:val="bottom"/>
          </w:tcPr>
          <w:p>
            <w:pPr>
              <w:spacing w:after="0"/>
              <w:rPr>
                <w:sz w:val="23"/>
                <w:szCs w:val="23"/>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6/28/2023</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13,875</w:t>
            </w:r>
          </w:p>
        </w:tc>
        <w:tc>
          <w:tcPr>
            <w:tcW w:w="420" w:type="dxa"/>
            <w:vAlign w:val="bottom"/>
          </w:tcPr>
          <w:p>
            <w:pPr>
              <w:jc w:val="right"/>
              <w:spacing w:after="0"/>
              <w:rPr>
                <w:sz w:val="20"/>
                <w:szCs w:val="20"/>
                <w:color w:val="auto"/>
              </w:rPr>
            </w:pPr>
            <w:r>
              <w:rPr>
                <w:rFonts w:ascii="Arial" w:cs="Arial" w:eastAsia="Arial" w:hAnsi="Arial"/>
                <w:sz w:val="13"/>
                <w:szCs w:val="13"/>
                <w:color w:val="auto"/>
              </w:rPr>
              <w:t>13,821</w:t>
            </w:r>
          </w:p>
        </w:tc>
        <w:tc>
          <w:tcPr>
            <w:tcW w:w="160" w:type="dxa"/>
            <w:vAlign w:val="bottom"/>
          </w:tcPr>
          <w:p>
            <w:pPr>
              <w:spacing w:after="0"/>
              <w:rPr>
                <w:sz w:val="23"/>
                <w:szCs w:val="2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13,875</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w:t>
            </w:r>
          </w:p>
        </w:tc>
      </w:tr>
      <w:tr>
        <w:trPr>
          <w:trHeight w:val="353"/>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11.50%/0.00%</w:t>
            </w:r>
          </w:p>
        </w:tc>
        <w:tc>
          <w:tcPr>
            <w:tcW w:w="10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1/3/2018</w:t>
            </w:r>
          </w:p>
        </w:tc>
        <w:tc>
          <w:tcPr>
            <w:tcW w:w="1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7/3/2023</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22,500</w:t>
            </w:r>
          </w:p>
        </w:tc>
        <w:tc>
          <w:tcPr>
            <w:tcW w:w="420" w:type="dxa"/>
            <w:vAlign w:val="bottom"/>
          </w:tcPr>
          <w:p>
            <w:pPr>
              <w:jc w:val="right"/>
              <w:spacing w:after="0"/>
              <w:rPr>
                <w:sz w:val="20"/>
                <w:szCs w:val="20"/>
                <w:color w:val="auto"/>
              </w:rPr>
            </w:pPr>
            <w:r>
              <w:rPr>
                <w:rFonts w:ascii="Arial" w:cs="Arial" w:eastAsia="Arial" w:hAnsi="Arial"/>
                <w:sz w:val="13"/>
                <w:szCs w:val="13"/>
                <w:color w:val="auto"/>
              </w:rPr>
              <w:t>22,432</w:t>
            </w:r>
          </w:p>
        </w:tc>
        <w:tc>
          <w:tcPr>
            <w:tcW w:w="16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22,259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1/3/2018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490</w:t>
            </w: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492</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22,922</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22,751</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244"/>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10.50%/3.50%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2/27/2018</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8/27/2023</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10,586</w:t>
            </w:r>
          </w:p>
        </w:tc>
        <w:tc>
          <w:tcPr>
            <w:tcW w:w="420" w:type="dxa"/>
            <w:vAlign w:val="bottom"/>
          </w:tcPr>
          <w:p>
            <w:pPr>
              <w:jc w:val="right"/>
              <w:spacing w:after="0"/>
              <w:rPr>
                <w:sz w:val="20"/>
                <w:szCs w:val="20"/>
                <w:color w:val="auto"/>
              </w:rPr>
            </w:pPr>
            <w:r>
              <w:rPr>
                <w:rFonts w:ascii="Arial" w:cs="Arial" w:eastAsia="Arial" w:hAnsi="Arial"/>
                <w:sz w:val="13"/>
                <w:szCs w:val="13"/>
                <w:color w:val="auto"/>
              </w:rPr>
              <w:t>10,551</w:t>
            </w: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9,630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2/27/2018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500</w:t>
            </w:r>
          </w:p>
        </w:tc>
        <w:tc>
          <w:tcPr>
            <w:tcW w:w="16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11,051</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9,630</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44"/>
        </w:trPr>
        <w:tc>
          <w:tcPr>
            <w:tcW w:w="1340" w:type="dxa"/>
            <w:vAlign w:val="bottom"/>
            <w:gridSpan w:val="2"/>
          </w:tcPr>
          <w:p>
            <w:pPr>
              <w:jc w:val="center"/>
              <w:ind w:right="60"/>
              <w:spacing w:after="0"/>
              <w:rPr>
                <w:sz w:val="20"/>
                <w:szCs w:val="20"/>
                <w:color w:val="auto"/>
              </w:rPr>
            </w:pPr>
            <w:r>
              <w:rPr>
                <w:rFonts w:ascii="Arial" w:cs="Arial" w:eastAsia="Arial" w:hAnsi="Arial"/>
                <w:sz w:val="13"/>
                <w:szCs w:val="13"/>
                <w:color w:val="auto"/>
                <w:w w:val="90"/>
              </w:rPr>
              <w:t>(L + 6.00%) / (2.25%)</w:t>
            </w: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8.25%/0.00%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8/9/2019</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8/9/2024</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14,180</w:t>
            </w:r>
          </w:p>
        </w:tc>
        <w:tc>
          <w:tcPr>
            <w:tcW w:w="420" w:type="dxa"/>
            <w:vAlign w:val="bottom"/>
          </w:tcPr>
          <w:p>
            <w:pPr>
              <w:jc w:val="right"/>
              <w:spacing w:after="0"/>
              <w:rPr>
                <w:sz w:val="20"/>
                <w:szCs w:val="20"/>
                <w:color w:val="auto"/>
              </w:rPr>
            </w:pPr>
            <w:r>
              <w:rPr>
                <w:rFonts w:ascii="Arial" w:cs="Arial" w:eastAsia="Arial" w:hAnsi="Arial"/>
                <w:sz w:val="13"/>
                <w:szCs w:val="13"/>
                <w:color w:val="auto"/>
              </w:rPr>
              <w:t>13,710</w:t>
            </w: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12,505</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8/9/2019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849</w:t>
            </w:r>
          </w:p>
        </w:tc>
        <w:tc>
          <w:tcPr>
            <w:tcW w:w="16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14,559</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12,505</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4"/>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11.00%/1.00%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1/28/2019</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4/11/2023</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18,212</w:t>
            </w:r>
          </w:p>
        </w:tc>
        <w:tc>
          <w:tcPr>
            <w:tcW w:w="420" w:type="dxa"/>
            <w:vAlign w:val="bottom"/>
          </w:tcPr>
          <w:p>
            <w:pPr>
              <w:jc w:val="right"/>
              <w:spacing w:after="0"/>
              <w:rPr>
                <w:sz w:val="20"/>
                <w:szCs w:val="20"/>
                <w:color w:val="auto"/>
              </w:rPr>
            </w:pPr>
            <w:r>
              <w:rPr>
                <w:rFonts w:ascii="Arial" w:cs="Arial" w:eastAsia="Arial" w:hAnsi="Arial"/>
                <w:sz w:val="13"/>
                <w:szCs w:val="13"/>
                <w:color w:val="auto"/>
              </w:rPr>
              <w:t>18,083</w:t>
            </w: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18,212</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5"/>
        </w:trPr>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1/28/2019</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232</w:t>
            </w:r>
          </w:p>
        </w:tc>
        <w:tc>
          <w:tcPr>
            <w:tcW w:w="16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165</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1/28/2019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143</w:t>
            </w: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143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18,458</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18,520</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w:t>
            </w:r>
          </w:p>
        </w:tc>
      </w:tr>
      <w:tr>
        <w:trPr>
          <w:trHeight w:val="244"/>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11.00%/0.00%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1/3/2019</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7/3/2024</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29,000</w:t>
            </w:r>
          </w:p>
        </w:tc>
        <w:tc>
          <w:tcPr>
            <w:tcW w:w="420" w:type="dxa"/>
            <w:vAlign w:val="bottom"/>
          </w:tcPr>
          <w:p>
            <w:pPr>
              <w:jc w:val="right"/>
              <w:spacing w:after="0"/>
              <w:rPr>
                <w:sz w:val="20"/>
                <w:szCs w:val="20"/>
                <w:color w:val="auto"/>
              </w:rPr>
            </w:pPr>
            <w:r>
              <w:rPr>
                <w:rFonts w:ascii="Arial" w:cs="Arial" w:eastAsia="Arial" w:hAnsi="Arial"/>
                <w:sz w:val="13"/>
                <w:szCs w:val="13"/>
                <w:color w:val="auto"/>
              </w:rPr>
              <w:t>28,875</w:t>
            </w: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29,000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5"/>
        </w:trPr>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1/3/2019</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1/3/2019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665</w:t>
            </w: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619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29,541</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29,619</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8%</w:t>
            </w:r>
          </w:p>
        </w:tc>
      </w:tr>
      <w:tr>
        <w:trPr>
          <w:trHeight w:val="244"/>
        </w:trPr>
        <w:tc>
          <w:tcPr>
            <w:tcW w:w="1340" w:type="dxa"/>
            <w:vAlign w:val="bottom"/>
            <w:gridSpan w:val="2"/>
          </w:tcPr>
          <w:p>
            <w:pPr>
              <w:jc w:val="center"/>
              <w:ind w:right="60"/>
              <w:spacing w:after="0"/>
              <w:rPr>
                <w:sz w:val="20"/>
                <w:szCs w:val="20"/>
                <w:color w:val="auto"/>
              </w:rPr>
            </w:pPr>
            <w:r>
              <w:rPr>
                <w:rFonts w:ascii="Arial" w:cs="Arial" w:eastAsia="Arial" w:hAnsi="Arial"/>
                <w:sz w:val="13"/>
                <w:szCs w:val="13"/>
                <w:color w:val="auto"/>
                <w:w w:val="90"/>
              </w:rPr>
              <w:t>(L + 6.25%) / (2.00%)</w:t>
            </w: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8.25%/0.00%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3/12/2019</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3/12/2024</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5,000</w:t>
            </w:r>
          </w:p>
        </w:tc>
        <w:tc>
          <w:tcPr>
            <w:tcW w:w="420" w:type="dxa"/>
            <w:vAlign w:val="bottom"/>
          </w:tcPr>
          <w:p>
            <w:pPr>
              <w:jc w:val="right"/>
              <w:spacing w:after="0"/>
              <w:rPr>
                <w:sz w:val="20"/>
                <w:szCs w:val="20"/>
                <w:color w:val="auto"/>
              </w:rPr>
            </w:pPr>
            <w:r>
              <w:rPr>
                <w:rFonts w:ascii="Arial" w:cs="Arial" w:eastAsia="Arial" w:hAnsi="Arial"/>
                <w:sz w:val="13"/>
                <w:szCs w:val="13"/>
                <w:color w:val="auto"/>
              </w:rPr>
              <w:t>4,971</w:t>
            </w: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5,000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3/12/2019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500</w:t>
            </w: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403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5,471</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5,403</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44"/>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12/15/2015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521</w:t>
            </w:r>
          </w:p>
        </w:tc>
        <w:tc>
          <w:tcPr>
            <w:tcW w:w="16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12/6/2019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49</w:t>
            </w: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127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570</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244"/>
        </w:trPr>
        <w:tc>
          <w:tcPr>
            <w:tcW w:w="134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(L + 10.00%) / (2.00%)</w:t>
            </w: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12.00%/0.00%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1/31/2020</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1/31/2025</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7,900</w:t>
            </w:r>
          </w:p>
        </w:tc>
        <w:tc>
          <w:tcPr>
            <w:tcW w:w="420" w:type="dxa"/>
            <w:vAlign w:val="bottom"/>
          </w:tcPr>
          <w:p>
            <w:pPr>
              <w:jc w:val="right"/>
              <w:spacing w:after="0"/>
              <w:rPr>
                <w:sz w:val="20"/>
                <w:szCs w:val="20"/>
                <w:color w:val="auto"/>
              </w:rPr>
            </w:pPr>
            <w:r>
              <w:rPr>
                <w:rFonts w:ascii="Arial" w:cs="Arial" w:eastAsia="Arial" w:hAnsi="Arial"/>
                <w:sz w:val="13"/>
                <w:szCs w:val="13"/>
                <w:color w:val="auto"/>
              </w:rPr>
              <w:t>7,844</w:t>
            </w: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7,844</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340" w:type="dxa"/>
            <w:vAlign w:val="bottom"/>
            <w:gridSpan w:val="2"/>
          </w:tcPr>
          <w:p>
            <w:pPr>
              <w:jc w:val="center"/>
              <w:ind w:right="60"/>
              <w:spacing w:after="0"/>
              <w:rPr>
                <w:sz w:val="20"/>
                <w:szCs w:val="20"/>
                <w:color w:val="auto"/>
              </w:rPr>
            </w:pPr>
            <w:r>
              <w:rPr>
                <w:rFonts w:ascii="Arial" w:cs="Arial" w:eastAsia="Arial" w:hAnsi="Arial"/>
                <w:sz w:val="13"/>
                <w:szCs w:val="13"/>
                <w:color w:val="auto"/>
                <w:w w:val="90"/>
              </w:rPr>
              <w:t>(L + 9.00%) / (2.00%)</w:t>
            </w: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11.00%/0.00%</w:t>
            </w: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1/31/2020</w:t>
            </w:r>
          </w:p>
        </w:tc>
        <w:tc>
          <w:tcPr>
            <w:tcW w:w="12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1/31/2025</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4,000</w:t>
            </w:r>
          </w:p>
        </w:tc>
        <w:tc>
          <w:tcPr>
            <w:tcW w:w="420" w:type="dxa"/>
            <w:vAlign w:val="bottom"/>
          </w:tcPr>
          <w:p>
            <w:pPr>
              <w:jc w:val="right"/>
              <w:spacing w:after="0"/>
              <w:rPr>
                <w:sz w:val="20"/>
                <w:szCs w:val="20"/>
                <w:color w:val="auto"/>
              </w:rPr>
            </w:pPr>
            <w:r>
              <w:rPr>
                <w:rFonts w:ascii="Arial" w:cs="Arial" w:eastAsia="Arial" w:hAnsi="Arial"/>
                <w:sz w:val="13"/>
                <w:szCs w:val="13"/>
                <w:color w:val="auto"/>
              </w:rPr>
              <w:t>3,976</w:t>
            </w: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3,976</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11,820</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11,820</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4"/>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11.00%/0.00%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7/28/2017</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1/28/2023</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6,750</w:t>
            </w:r>
          </w:p>
        </w:tc>
        <w:tc>
          <w:tcPr>
            <w:tcW w:w="420" w:type="dxa"/>
            <w:vAlign w:val="bottom"/>
          </w:tcPr>
          <w:p>
            <w:pPr>
              <w:jc w:val="right"/>
              <w:spacing w:after="0"/>
              <w:rPr>
                <w:sz w:val="20"/>
                <w:szCs w:val="20"/>
                <w:color w:val="auto"/>
              </w:rPr>
            </w:pPr>
            <w:r>
              <w:rPr>
                <w:rFonts w:ascii="Arial" w:cs="Arial" w:eastAsia="Arial" w:hAnsi="Arial"/>
                <w:sz w:val="13"/>
                <w:szCs w:val="13"/>
                <w:color w:val="auto"/>
              </w:rPr>
              <w:t>6,733</w:t>
            </w: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6,750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5"/>
        </w:trPr>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7/28/2017</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7/28/2017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498</w:t>
            </w: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498</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7,233</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7,470</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44"/>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10.50%/1.00%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3/14/2018</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4/30/2024</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11,190</w:t>
            </w:r>
          </w:p>
        </w:tc>
        <w:tc>
          <w:tcPr>
            <w:tcW w:w="420" w:type="dxa"/>
            <w:vAlign w:val="bottom"/>
          </w:tcPr>
          <w:p>
            <w:pPr>
              <w:jc w:val="right"/>
              <w:spacing w:after="0"/>
              <w:rPr>
                <w:sz w:val="20"/>
                <w:szCs w:val="20"/>
                <w:color w:val="auto"/>
              </w:rPr>
            </w:pPr>
            <w:r>
              <w:rPr>
                <w:rFonts w:ascii="Arial" w:cs="Arial" w:eastAsia="Arial" w:hAnsi="Arial"/>
                <w:sz w:val="13"/>
                <w:szCs w:val="13"/>
                <w:color w:val="auto"/>
              </w:rPr>
              <w:t>11,147</w:t>
            </w: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10,779</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3/14/2018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375</w:t>
            </w: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222</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11,522</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11,001</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4"/>
        </w:trPr>
        <w:tc>
          <w:tcPr>
            <w:tcW w:w="1340" w:type="dxa"/>
            <w:vAlign w:val="bottom"/>
            <w:gridSpan w:val="2"/>
          </w:tcPr>
          <w:p>
            <w:pPr>
              <w:jc w:val="center"/>
              <w:ind w:right="60"/>
              <w:spacing w:after="0"/>
              <w:rPr>
                <w:sz w:val="20"/>
                <w:szCs w:val="20"/>
                <w:color w:val="auto"/>
              </w:rPr>
            </w:pPr>
            <w:r>
              <w:rPr>
                <w:rFonts w:ascii="Arial" w:cs="Arial" w:eastAsia="Arial" w:hAnsi="Arial"/>
                <w:sz w:val="13"/>
                <w:szCs w:val="13"/>
                <w:color w:val="auto"/>
                <w:w w:val="90"/>
              </w:rPr>
              <w:t>(L + 6.00%) / (1.75%)</w:t>
            </w: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7.94%/0.00%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2/7/2019</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2/7/2024</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17,355</w:t>
            </w:r>
          </w:p>
        </w:tc>
        <w:tc>
          <w:tcPr>
            <w:tcW w:w="420" w:type="dxa"/>
            <w:vAlign w:val="bottom"/>
          </w:tcPr>
          <w:p>
            <w:pPr>
              <w:jc w:val="right"/>
              <w:spacing w:after="0"/>
              <w:rPr>
                <w:sz w:val="20"/>
                <w:szCs w:val="20"/>
                <w:color w:val="auto"/>
              </w:rPr>
            </w:pPr>
            <w:r>
              <w:rPr>
                <w:rFonts w:ascii="Arial" w:cs="Arial" w:eastAsia="Arial" w:hAnsi="Arial"/>
                <w:sz w:val="13"/>
                <w:szCs w:val="13"/>
                <w:color w:val="auto"/>
              </w:rPr>
              <w:t>17,112</w:t>
            </w: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16,917</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2/7/2019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593</w:t>
            </w: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375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17,705</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17,292</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w:t>
            </w:r>
          </w:p>
        </w:tc>
      </w:tr>
      <w:tr>
        <w:trPr>
          <w:trHeight w:val="244"/>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9"/>
              </w:rPr>
              <w:t>12.00%/1.00%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7/13/2017</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1/13/2023</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9,197</w:t>
            </w:r>
          </w:p>
        </w:tc>
        <w:tc>
          <w:tcPr>
            <w:tcW w:w="420" w:type="dxa"/>
            <w:vAlign w:val="bottom"/>
          </w:tcPr>
          <w:p>
            <w:pPr>
              <w:jc w:val="right"/>
              <w:spacing w:after="0"/>
              <w:rPr>
                <w:sz w:val="20"/>
                <w:szCs w:val="20"/>
                <w:color w:val="auto"/>
              </w:rPr>
            </w:pPr>
            <w:r>
              <w:rPr>
                <w:rFonts w:ascii="Arial" w:cs="Arial" w:eastAsia="Arial" w:hAnsi="Arial"/>
                <w:sz w:val="13"/>
                <w:szCs w:val="13"/>
                <w:color w:val="auto"/>
              </w:rPr>
              <w:t>9,146</w:t>
            </w: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7,235</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7/13/2017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750</w:t>
            </w:r>
          </w:p>
        </w:tc>
        <w:tc>
          <w:tcPr>
            <w:tcW w:w="16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9,896</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7,235</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44"/>
        </w:trPr>
        <w:tc>
          <w:tcPr>
            <w:tcW w:w="1340" w:type="dxa"/>
            <w:vAlign w:val="bottom"/>
            <w:gridSpan w:val="2"/>
          </w:tcPr>
          <w:p>
            <w:pPr>
              <w:jc w:val="center"/>
              <w:ind w:right="60"/>
              <w:spacing w:after="0"/>
              <w:rPr>
                <w:sz w:val="20"/>
                <w:szCs w:val="20"/>
                <w:color w:val="auto"/>
              </w:rPr>
            </w:pPr>
            <w:r>
              <w:rPr>
                <w:rFonts w:ascii="Arial" w:cs="Arial" w:eastAsia="Arial" w:hAnsi="Arial"/>
                <w:sz w:val="13"/>
                <w:szCs w:val="13"/>
                <w:color w:val="auto"/>
                <w:w w:val="90"/>
              </w:rPr>
              <w:t>(L + 9.00%) / (2.25%)</w:t>
            </w: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11.25%/0.00%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6/21/2019</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6/21/2024</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4,100</w:t>
            </w:r>
          </w:p>
        </w:tc>
        <w:tc>
          <w:tcPr>
            <w:tcW w:w="420" w:type="dxa"/>
            <w:vAlign w:val="bottom"/>
          </w:tcPr>
          <w:p>
            <w:pPr>
              <w:jc w:val="right"/>
              <w:spacing w:after="0"/>
              <w:rPr>
                <w:sz w:val="20"/>
                <w:szCs w:val="20"/>
                <w:color w:val="auto"/>
              </w:rPr>
            </w:pPr>
            <w:r>
              <w:rPr>
                <w:rFonts w:ascii="Arial" w:cs="Arial" w:eastAsia="Arial" w:hAnsi="Arial"/>
                <w:sz w:val="13"/>
                <w:szCs w:val="13"/>
                <w:color w:val="auto"/>
              </w:rPr>
              <w:t>4,066</w:t>
            </w: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4,100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340" w:type="dxa"/>
            <w:vAlign w:val="bottom"/>
            <w:gridSpan w:val="2"/>
          </w:tcPr>
          <w:p>
            <w:pPr>
              <w:jc w:val="center"/>
              <w:ind w:right="60"/>
              <w:spacing w:after="0"/>
              <w:rPr>
                <w:sz w:val="20"/>
                <w:szCs w:val="20"/>
                <w:color w:val="auto"/>
              </w:rPr>
            </w:pPr>
            <w:r>
              <w:rPr>
                <w:rFonts w:ascii="Arial" w:cs="Arial" w:eastAsia="Arial" w:hAnsi="Arial"/>
                <w:sz w:val="13"/>
                <w:szCs w:val="13"/>
                <w:color w:val="auto"/>
                <w:w w:val="90"/>
              </w:rPr>
              <w:t>(L + 9.00%) / (2.25%)</w:t>
            </w: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11.25%/0.00%</w:t>
            </w: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6/21/2019</w:t>
            </w:r>
          </w:p>
        </w:tc>
        <w:tc>
          <w:tcPr>
            <w:tcW w:w="12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6/21/2024</w:t>
            </w:r>
          </w:p>
        </w:tc>
        <w:tc>
          <w:tcPr>
            <w:tcW w:w="10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4,062</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4,100</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44"/>
        </w:trPr>
        <w:tc>
          <w:tcPr>
            <w:tcW w:w="1340" w:type="dxa"/>
            <w:vAlign w:val="bottom"/>
            <w:gridSpan w:val="2"/>
          </w:tcPr>
          <w:p>
            <w:pPr>
              <w:jc w:val="center"/>
              <w:ind w:right="60"/>
              <w:spacing w:after="0"/>
              <w:rPr>
                <w:sz w:val="20"/>
                <w:szCs w:val="20"/>
                <w:color w:val="auto"/>
              </w:rPr>
            </w:pPr>
            <w:r>
              <w:rPr>
                <w:rFonts w:ascii="Arial" w:cs="Arial" w:eastAsia="Arial" w:hAnsi="Arial"/>
                <w:sz w:val="13"/>
                <w:szCs w:val="13"/>
                <w:color w:val="auto"/>
                <w:w w:val="90"/>
              </w:rPr>
              <w:t>(L + 5.00%) / (2.00%)</w:t>
            </w:r>
          </w:p>
        </w:tc>
        <w:tc>
          <w:tcPr>
            <w:tcW w:w="800" w:type="dxa"/>
            <w:vAlign w:val="bottom"/>
          </w:tcPr>
          <w:p>
            <w:pPr>
              <w:jc w:val="center"/>
              <w:spacing w:after="0"/>
              <w:rPr>
                <w:sz w:val="20"/>
                <w:szCs w:val="20"/>
                <w:color w:val="auto"/>
              </w:rPr>
            </w:pPr>
            <w:r>
              <w:rPr>
                <w:rFonts w:ascii="Arial" w:cs="Arial" w:eastAsia="Arial" w:hAnsi="Arial"/>
                <w:sz w:val="13"/>
                <w:szCs w:val="13"/>
                <w:color w:val="auto"/>
                <w:w w:val="87"/>
              </w:rPr>
              <w:t>7.00%/0.00%</w:t>
            </w:r>
          </w:p>
        </w:tc>
        <w:tc>
          <w:tcPr>
            <w:tcW w:w="1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9/21/2018</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9/21/2023</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6,838</w:t>
            </w:r>
          </w:p>
        </w:tc>
        <w:tc>
          <w:tcPr>
            <w:tcW w:w="420" w:type="dxa"/>
            <w:vAlign w:val="bottom"/>
          </w:tcPr>
          <w:p>
            <w:pPr>
              <w:jc w:val="right"/>
              <w:spacing w:after="0"/>
              <w:rPr>
                <w:sz w:val="20"/>
                <w:szCs w:val="20"/>
                <w:color w:val="auto"/>
              </w:rPr>
            </w:pPr>
            <w:r>
              <w:rPr>
                <w:rFonts w:ascii="Arial" w:cs="Arial" w:eastAsia="Arial" w:hAnsi="Arial"/>
                <w:sz w:val="13"/>
                <w:szCs w:val="13"/>
                <w:color w:val="auto"/>
              </w:rPr>
              <w:t>6,784</w:t>
            </w:r>
          </w:p>
        </w:tc>
        <w:tc>
          <w:tcPr>
            <w:tcW w:w="16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6,838</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5"/>
        </w:trPr>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9/21/2018</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360</w:t>
            </w:r>
          </w:p>
        </w:tc>
        <w:tc>
          <w:tcPr>
            <w:tcW w:w="16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407</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9/21/2018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224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7,159</w:t>
            </w:r>
          </w:p>
        </w:tc>
        <w:tc>
          <w:tcPr>
            <w:tcW w:w="16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7,469</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69"/>
        </w:trPr>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12/19/2017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750</w:t>
            </w:r>
          </w:p>
        </w:tc>
        <w:tc>
          <w:tcPr>
            <w:tcW w:w="160" w:type="dxa"/>
            <w:vAlign w:val="bottom"/>
          </w:tcPr>
          <w:p>
            <w:pPr>
              <w:spacing w:after="0"/>
              <w:rPr>
                <w:sz w:val="23"/>
                <w:szCs w:val="2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1,595</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-7498715</wp:posOffset>
            </wp:positionV>
            <wp:extent cx="6995160"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-7327265</wp:posOffset>
            </wp:positionV>
            <wp:extent cx="699516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-7138670</wp:posOffset>
            </wp:positionV>
            <wp:extent cx="6995160"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-6967220</wp:posOffset>
            </wp:positionV>
            <wp:extent cx="699516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-6778625</wp:posOffset>
            </wp:positionV>
            <wp:extent cx="6995160"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-6607175</wp:posOffset>
            </wp:positionV>
            <wp:extent cx="6995160"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-6418580</wp:posOffset>
            </wp:positionV>
            <wp:extent cx="6995160"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-6161405</wp:posOffset>
            </wp:positionV>
            <wp:extent cx="6995160"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-5989955</wp:posOffset>
            </wp:positionV>
            <wp:extent cx="6995160"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-5801360</wp:posOffset>
            </wp:positionV>
            <wp:extent cx="6995160"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-5561330</wp:posOffset>
            </wp:positionV>
            <wp:extent cx="6995160"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-5389880</wp:posOffset>
            </wp:positionV>
            <wp:extent cx="6995160"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-5201285</wp:posOffset>
            </wp:positionV>
            <wp:extent cx="6995160"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-5029835</wp:posOffset>
            </wp:positionV>
            <wp:extent cx="6995160"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-4841240</wp:posOffset>
            </wp:positionV>
            <wp:extent cx="6995160"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-4669790</wp:posOffset>
            </wp:positionV>
            <wp:extent cx="6995160" cy="85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-4481195</wp:posOffset>
            </wp:positionV>
            <wp:extent cx="6995160" cy="85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-4309745</wp:posOffset>
            </wp:positionV>
            <wp:extent cx="6995160" cy="85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-4121150</wp:posOffset>
            </wp:positionV>
            <wp:extent cx="6995160" cy="85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-3949700</wp:posOffset>
            </wp:positionV>
            <wp:extent cx="6995160" cy="85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-3778250</wp:posOffset>
            </wp:positionV>
            <wp:extent cx="6995160" cy="85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-3589655</wp:posOffset>
            </wp:positionV>
            <wp:extent cx="6995160" cy="85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-3418205</wp:posOffset>
            </wp:positionV>
            <wp:extent cx="6995160" cy="85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-3229610</wp:posOffset>
            </wp:positionV>
            <wp:extent cx="6995160" cy="85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-3058160</wp:posOffset>
            </wp:positionV>
            <wp:extent cx="6995160" cy="85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-2869565</wp:posOffset>
            </wp:positionV>
            <wp:extent cx="6995160" cy="85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-2698115</wp:posOffset>
            </wp:positionV>
            <wp:extent cx="6995160" cy="85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-2509520</wp:posOffset>
            </wp:positionV>
            <wp:extent cx="6995160" cy="857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-2338070</wp:posOffset>
            </wp:positionV>
            <wp:extent cx="6995160" cy="85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-2149475</wp:posOffset>
            </wp:positionV>
            <wp:extent cx="6995160" cy="85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-1978025</wp:posOffset>
            </wp:positionV>
            <wp:extent cx="6995160" cy="85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-1789430</wp:posOffset>
            </wp:positionV>
            <wp:extent cx="6995160"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-1617980</wp:posOffset>
            </wp:positionV>
            <wp:extent cx="6995160" cy="85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-1429385</wp:posOffset>
            </wp:positionV>
            <wp:extent cx="6995160" cy="85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-1257935</wp:posOffset>
            </wp:positionV>
            <wp:extent cx="6995160" cy="85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-1069340</wp:posOffset>
            </wp:positionV>
            <wp:extent cx="6995160" cy="85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-897890</wp:posOffset>
            </wp:positionV>
            <wp:extent cx="6995160" cy="85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-709295</wp:posOffset>
            </wp:positionV>
            <wp:extent cx="6995160"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-537845</wp:posOffset>
            </wp:positionV>
            <wp:extent cx="6995160" cy="85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-366395</wp:posOffset>
            </wp:positionV>
            <wp:extent cx="6995160" cy="85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-177800</wp:posOffset>
            </wp:positionV>
            <wp:extent cx="6995160" cy="85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4900" w:space="60"/>
            <w:col w:w="6120"/>
          </w:cols>
          <w:pgMar w:left="320" w:top="459" w:right="499" w:bottom="1440" w:gutter="0" w:footer="0" w:header="0"/>
          <w:type w:val="continuous"/>
        </w:sectPr>
      </w:pPr>
    </w:p>
    <w:p>
      <w:pPr>
        <w:jc w:val="center"/>
        <w:ind w:right="-15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80"/>
          </w:cols>
          <w:pgMar w:left="320" w:top="459" w:right="4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Consolidated Schedule of Investments (unaudited)</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40"/>
          </w:cols>
          <w:pgMar w:left="320" w:top="459" w:right="439" w:bottom="1440" w:gutter="0" w:footer="0" w:header="0"/>
        </w:sectPr>
      </w:pPr>
    </w:p>
    <w:p>
      <w:pPr>
        <w:spacing w:after="0" w:line="144"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Portfolio Company (a)(b)</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Investment Type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7200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i w:val="1"/>
          <w:iCs w:val="1"/>
          <w:color w:val="auto"/>
        </w:rPr>
        <w:t>Haematologic Technologies, Inc.</w:t>
      </w:r>
    </w:p>
    <w:p>
      <w:pPr>
        <w:ind w:left="360"/>
        <w:spacing w:after="0" w:line="221" w:lineRule="auto"/>
        <w:rPr>
          <w:sz w:val="20"/>
          <w:szCs w:val="20"/>
          <w:color w:val="auto"/>
        </w:rPr>
      </w:pPr>
      <w:r>
        <w:rPr>
          <w:rFonts w:ascii="Arial" w:cs="Arial" w:eastAsia="Arial" w:hAnsi="Arial"/>
          <w:sz w:val="13"/>
          <w:szCs w:val="13"/>
          <w:color w:val="auto"/>
        </w:rPr>
        <w:t>First Lien Debt (x)</w:t>
      </w:r>
    </w:p>
    <w:p>
      <w:pPr>
        <w:jc w:val="right"/>
        <w:ind w:right="960"/>
        <w:spacing w:after="0" w:line="224" w:lineRule="auto"/>
        <w:rPr>
          <w:sz w:val="20"/>
          <w:szCs w:val="20"/>
          <w:color w:val="auto"/>
        </w:rPr>
      </w:pPr>
      <w:r>
        <w:rPr>
          <w:rFonts w:ascii="Arial" w:cs="Arial" w:eastAsia="Arial" w:hAnsi="Arial"/>
          <w:sz w:val="13"/>
          <w:szCs w:val="13"/>
          <w:color w:val="auto"/>
        </w:rPr>
        <w:t>Common Equity (500 units) (h)(j)</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1"/>
              </w:rPr>
              <w:t>Variable Index</w:t>
            </w:r>
          </w:p>
        </w:tc>
        <w:tc>
          <w:tcPr>
            <w:tcW w:w="8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9"/>
              </w:rPr>
              <w:t>Rate (e)</w:t>
            </w:r>
          </w:p>
        </w:tc>
        <w:tc>
          <w:tcPr>
            <w:tcW w:w="6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9"/>
              </w:rPr>
              <w:t>Investment</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Principal</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00"/>
              <w:spacing w:after="0"/>
              <w:rPr>
                <w:sz w:val="20"/>
                <w:szCs w:val="20"/>
                <w:color w:val="auto"/>
              </w:rPr>
            </w:pPr>
            <w:r>
              <w:rPr>
                <w:rFonts w:ascii="Arial" w:cs="Arial" w:eastAsia="Arial" w:hAnsi="Arial"/>
                <w:sz w:val="11"/>
                <w:szCs w:val="11"/>
                <w:b w:val="1"/>
                <w:bCs w:val="1"/>
                <w:color w:val="auto"/>
              </w:rPr>
              <w:t>Fair</w:t>
            </w:r>
          </w:p>
        </w:tc>
        <w:tc>
          <w:tcPr>
            <w:tcW w:w="460" w:type="dxa"/>
            <w:vAlign w:val="bottom"/>
          </w:tcPr>
          <w:p>
            <w:pPr>
              <w:spacing w:after="0"/>
              <w:rPr>
                <w:sz w:val="20"/>
                <w:szCs w:val="20"/>
                <w:color w:val="auto"/>
              </w:rPr>
            </w:pPr>
            <w:r>
              <w:rPr>
                <w:rFonts w:ascii="Arial" w:cs="Arial" w:eastAsia="Arial" w:hAnsi="Arial"/>
                <w:sz w:val="11"/>
                <w:szCs w:val="11"/>
                <w:b w:val="1"/>
                <w:bCs w:val="1"/>
                <w:color w:val="auto"/>
                <w:w w:val="81"/>
              </w:rPr>
              <w:t>Percent of</w:t>
            </w:r>
          </w:p>
        </w:tc>
        <w:tc>
          <w:tcPr>
            <w:tcW w:w="0" w:type="dxa"/>
            <w:vAlign w:val="bottom"/>
          </w:tcPr>
          <w:p>
            <w:pPr>
              <w:spacing w:after="0"/>
              <w:rPr>
                <w:sz w:val="1"/>
                <w:szCs w:val="1"/>
                <w:color w:val="auto"/>
              </w:rPr>
            </w:pPr>
          </w:p>
        </w:tc>
      </w:tr>
      <w:tr>
        <w:trPr>
          <w:trHeight w:val="135"/>
        </w:trPr>
        <w:tc>
          <w:tcPr>
            <w:tcW w:w="172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rPr>
              <w:t>Industry</w:t>
            </w:r>
          </w:p>
        </w:tc>
        <w:tc>
          <w:tcPr>
            <w:tcW w:w="80" w:type="dxa"/>
            <w:vAlign w:val="bottom"/>
          </w:tcPr>
          <w:p>
            <w:pPr>
              <w:spacing w:after="0"/>
              <w:rPr>
                <w:sz w:val="11"/>
                <w:szCs w:val="1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Spread / Floor (d)</w:t>
            </w:r>
          </w:p>
        </w:tc>
        <w:tc>
          <w:tcPr>
            <w:tcW w:w="80" w:type="dxa"/>
            <w:vAlign w:val="bottom"/>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Cash/PIK</w:t>
            </w:r>
          </w:p>
        </w:tc>
        <w:tc>
          <w:tcPr>
            <w:tcW w:w="4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Date (f)</w:t>
            </w:r>
          </w:p>
        </w:tc>
        <w:tc>
          <w:tcPr>
            <w:tcW w:w="4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1"/>
                <w:szCs w:val="11"/>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6"/>
              </w:rPr>
              <w:t>Value (g)</w:t>
            </w:r>
          </w:p>
        </w:tc>
        <w:tc>
          <w:tcPr>
            <w:tcW w:w="100" w:type="dxa"/>
            <w:vAlign w:val="bottom"/>
          </w:tcPr>
          <w:p>
            <w:pPr>
              <w:spacing w:after="0"/>
              <w:rPr>
                <w:sz w:val="11"/>
                <w:szCs w:val="11"/>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77"/>
              </w:rPr>
              <w:t>Net Assets</w:t>
            </w:r>
          </w:p>
        </w:tc>
        <w:tc>
          <w:tcPr>
            <w:tcW w:w="0" w:type="dxa"/>
            <w:vAlign w:val="bottom"/>
          </w:tcPr>
          <w:p>
            <w:pPr>
              <w:spacing w:after="0"/>
              <w:rPr>
                <w:sz w:val="1"/>
                <w:szCs w:val="1"/>
                <w:color w:val="auto"/>
              </w:rPr>
            </w:pPr>
          </w:p>
        </w:tc>
      </w:tr>
      <w:tr>
        <w:trPr>
          <w:trHeight w:val="154"/>
        </w:trPr>
        <w:tc>
          <w:tcPr>
            <w:tcW w:w="1720" w:type="dxa"/>
            <w:vAlign w:val="bottom"/>
          </w:tcPr>
          <w:p>
            <w:pPr>
              <w:ind w:left="40"/>
              <w:spacing w:after="0"/>
              <w:rPr>
                <w:sz w:val="20"/>
                <w:szCs w:val="20"/>
                <w:color w:val="auto"/>
              </w:rPr>
            </w:pPr>
            <w:r>
              <w:rPr>
                <w:rFonts w:ascii="Arial" w:cs="Arial" w:eastAsia="Arial" w:hAnsi="Arial"/>
                <w:sz w:val="13"/>
                <w:szCs w:val="13"/>
                <w:color w:val="auto"/>
              </w:rPr>
              <w:t>Healthcare Services</w:t>
            </w:r>
          </w:p>
        </w:tc>
        <w:tc>
          <w:tcPr>
            <w:tcW w:w="8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w w:val="95"/>
              </w:rPr>
              <w:t>(L + 7.25%) / (2.00%)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7"/>
              </w:rPr>
              <w:t>9.25%/0.00%</w:t>
            </w:r>
          </w:p>
        </w:tc>
        <w:tc>
          <w:tcPr>
            <w:tcW w:w="4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9"/>
              </w:rPr>
              <w:t>10/11/2019</w:t>
            </w:r>
          </w:p>
        </w:tc>
        <w:tc>
          <w:tcPr>
            <w:tcW w:w="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2"/>
              </w:rPr>
              <w:t>10/11/2024</w:t>
            </w:r>
          </w:p>
        </w:tc>
        <w:tc>
          <w:tcPr>
            <w:tcW w:w="620" w:type="dxa"/>
            <w:vAlign w:val="bottom"/>
            <w:gridSpan w:val="3"/>
            <w:vMerge w:val="restart"/>
          </w:tcPr>
          <w:p>
            <w:pPr>
              <w:jc w:val="center"/>
              <w:spacing w:after="0"/>
              <w:rPr>
                <w:sz w:val="20"/>
                <w:szCs w:val="20"/>
                <w:color w:val="auto"/>
              </w:rPr>
            </w:pPr>
            <w:r>
              <w:rPr>
                <w:rFonts w:ascii="Arial" w:cs="Arial" w:eastAsia="Arial" w:hAnsi="Arial"/>
                <w:sz w:val="13"/>
                <w:szCs w:val="13"/>
                <w:color w:val="auto"/>
                <w:w w:val="93"/>
              </w:rPr>
              <w:t>$  5,500</w:t>
            </w: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2"/>
              </w:rPr>
              <w:t>$ 5,463</w:t>
            </w: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2"/>
              </w:rPr>
              <w:t>$ 5,463</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auto"/>
                <w:w w:val="89"/>
              </w:rPr>
              <w:t>10/11/2019</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201</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-264795</wp:posOffset>
            </wp:positionV>
            <wp:extent cx="6995160" cy="93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-85090</wp:posOffset>
            </wp:positionV>
            <wp:extent cx="6995160" cy="85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40" w:space="720"/>
            <w:col w:w="738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42"/>
        </w:trPr>
        <w:tc>
          <w:tcPr>
            <w:tcW w:w="36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5,963</w:t>
            </w:r>
          </w:p>
        </w:tc>
        <w:tc>
          <w:tcPr>
            <w:tcW w:w="10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5,664</w:t>
            </w:r>
          </w:p>
        </w:tc>
        <w:tc>
          <w:tcPr>
            <w:tcW w:w="24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1%</w:t>
            </w:r>
          </w:p>
        </w:tc>
      </w:tr>
      <w:tr>
        <w:trPr>
          <w:trHeight w:val="135"/>
        </w:trPr>
        <w:tc>
          <w:tcPr>
            <w:tcW w:w="364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Hilco Plastics Holdings, LLC (dba Hilco Technologies)</w:t>
            </w:r>
          </w:p>
        </w:tc>
        <w:tc>
          <w:tcPr>
            <w:tcW w:w="30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r>
      <w:tr>
        <w:trPr>
          <w:trHeight w:val="135"/>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3020" w:type="dxa"/>
            <w:vAlign w:val="bottom"/>
          </w:tcPr>
          <w:p>
            <w:pPr>
              <w:spacing w:after="0"/>
              <w:rPr>
                <w:sz w:val="11"/>
                <w:szCs w:val="11"/>
                <w:color w:val="auto"/>
              </w:rPr>
            </w:pPr>
          </w:p>
        </w:tc>
        <w:tc>
          <w:tcPr>
            <w:tcW w:w="146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11.50%/1.50% 9/23/2016</w:t>
            </w:r>
          </w:p>
        </w:tc>
        <w:tc>
          <w:tcPr>
            <w:tcW w:w="720" w:type="dxa"/>
            <w:vAlign w:val="bottom"/>
          </w:tcPr>
          <w:p>
            <w:pPr>
              <w:ind w:left="40"/>
              <w:spacing w:after="0" w:line="135" w:lineRule="exact"/>
              <w:rPr>
                <w:sz w:val="20"/>
                <w:szCs w:val="20"/>
                <w:color w:val="auto"/>
              </w:rPr>
            </w:pPr>
            <w:r>
              <w:rPr>
                <w:rFonts w:ascii="Arial" w:cs="Arial" w:eastAsia="Arial" w:hAnsi="Arial"/>
                <w:sz w:val="13"/>
                <w:szCs w:val="13"/>
                <w:color w:val="auto"/>
              </w:rPr>
              <w:t>12/31/2019</w:t>
            </w:r>
          </w:p>
        </w:tc>
        <w:tc>
          <w:tcPr>
            <w:tcW w:w="5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10,162</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10,162</w:t>
            </w:r>
          </w:p>
        </w:tc>
        <w:tc>
          <w:tcPr>
            <w:tcW w:w="7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8,660</w:t>
            </w: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Revolving Loan (j)</w:t>
            </w:r>
          </w:p>
        </w:tc>
        <w:tc>
          <w:tcPr>
            <w:tcW w:w="3020" w:type="dxa"/>
            <w:vAlign w:val="bottom"/>
            <w:shd w:val="clear" w:color="auto" w:fill="CCEEFF"/>
          </w:tcPr>
          <w:p>
            <w:pPr>
              <w:ind w:left="1860"/>
              <w:spacing w:after="0" w:line="135" w:lineRule="exact"/>
              <w:rPr>
                <w:sz w:val="20"/>
                <w:szCs w:val="20"/>
                <w:color w:val="auto"/>
              </w:rPr>
            </w:pPr>
            <w:r>
              <w:rPr>
                <w:rFonts w:ascii="Arial" w:cs="Arial" w:eastAsia="Arial" w:hAnsi="Arial"/>
                <w:sz w:val="13"/>
                <w:szCs w:val="13"/>
                <w:color w:val="auto"/>
                <w:w w:val="91"/>
              </w:rPr>
              <w:t>(L + 6.50%) / (0.00%)</w:t>
            </w:r>
          </w:p>
        </w:tc>
        <w:tc>
          <w:tcPr>
            <w:tcW w:w="8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0"/>
              </w:rPr>
              <w:t>8.08%/0.00%</w:t>
            </w:r>
          </w:p>
        </w:tc>
        <w:tc>
          <w:tcPr>
            <w:tcW w:w="6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2"/>
              </w:rPr>
              <w:t>12/20/2019</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12/15/2019</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5,962</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5,962</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5,962</w:t>
            </w:r>
          </w:p>
        </w:tc>
        <w:tc>
          <w:tcPr>
            <w:tcW w:w="480" w:type="dxa"/>
            <w:vAlign w:val="bottom"/>
            <w:shd w:val="clear" w:color="auto" w:fill="CCEEFF"/>
          </w:tcPr>
          <w:p>
            <w:pPr>
              <w:spacing w:after="0"/>
              <w:rPr>
                <w:sz w:val="11"/>
                <w:szCs w:val="11"/>
                <w:color w:val="auto"/>
              </w:rPr>
            </w:pPr>
          </w:p>
        </w:tc>
      </w:tr>
      <w:tr>
        <w:trPr>
          <w:trHeight w:val="135"/>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3020" w:type="dxa"/>
            <w:vAlign w:val="bottom"/>
          </w:tcPr>
          <w:p>
            <w:pPr>
              <w:ind w:left="1860"/>
              <w:spacing w:after="0" w:line="135" w:lineRule="exact"/>
              <w:rPr>
                <w:sz w:val="20"/>
                <w:szCs w:val="20"/>
                <w:color w:val="auto"/>
              </w:rPr>
            </w:pPr>
            <w:r>
              <w:rPr>
                <w:rFonts w:ascii="Arial" w:cs="Arial" w:eastAsia="Arial" w:hAnsi="Arial"/>
                <w:sz w:val="13"/>
                <w:szCs w:val="13"/>
                <w:color w:val="auto"/>
                <w:w w:val="91"/>
              </w:rPr>
              <w:t>(L + 6.95%) / (0.00%)</w:t>
            </w:r>
          </w:p>
        </w:tc>
        <w:tc>
          <w:tcPr>
            <w:tcW w:w="800" w:type="dxa"/>
            <w:vAlign w:val="bottom"/>
          </w:tcPr>
          <w:p>
            <w:pPr>
              <w:ind w:left="80"/>
              <w:spacing w:after="0" w:line="135" w:lineRule="exact"/>
              <w:rPr>
                <w:sz w:val="20"/>
                <w:szCs w:val="20"/>
                <w:color w:val="auto"/>
              </w:rPr>
            </w:pPr>
            <w:r>
              <w:rPr>
                <w:rFonts w:ascii="Arial" w:cs="Arial" w:eastAsia="Arial" w:hAnsi="Arial"/>
                <w:sz w:val="13"/>
                <w:szCs w:val="13"/>
                <w:color w:val="auto"/>
                <w:w w:val="90"/>
              </w:rPr>
              <w:t>8.53%/0.00%</w:t>
            </w: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w w:val="92"/>
              </w:rPr>
              <w:t>12/20/2019</w:t>
            </w:r>
          </w:p>
        </w:tc>
        <w:tc>
          <w:tcPr>
            <w:tcW w:w="720" w:type="dxa"/>
            <w:vAlign w:val="bottom"/>
          </w:tcPr>
          <w:p>
            <w:pPr>
              <w:ind w:left="40"/>
              <w:spacing w:after="0" w:line="135" w:lineRule="exact"/>
              <w:rPr>
                <w:sz w:val="20"/>
                <w:szCs w:val="20"/>
                <w:color w:val="auto"/>
              </w:rPr>
            </w:pPr>
            <w:r>
              <w:rPr>
                <w:rFonts w:ascii="Arial" w:cs="Arial" w:eastAsia="Arial" w:hAnsi="Arial"/>
                <w:sz w:val="13"/>
                <w:szCs w:val="13"/>
                <w:color w:val="auto"/>
              </w:rPr>
              <w:t>12/15/2019</w:t>
            </w:r>
          </w:p>
        </w:tc>
        <w:tc>
          <w:tcPr>
            <w:tcW w:w="5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6,243</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6,243</w:t>
            </w:r>
          </w:p>
        </w:tc>
        <w:tc>
          <w:tcPr>
            <w:tcW w:w="7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6,243</w:t>
            </w: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(1,000,000 units) (h)(j)</w:t>
            </w: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4/18/2018</w:t>
            </w: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Common Equity (72,507 units) (h)(j)</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rPr>
              <w:t>9/23/2016</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473</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23,840</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20,865</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Hoonuit, LLC</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Information Technology Services</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3020" w:type="dxa"/>
            <w:vAlign w:val="bottom"/>
            <w:shd w:val="clear" w:color="auto" w:fill="CCEEFF"/>
          </w:tcPr>
          <w:p>
            <w:pPr>
              <w:ind w:left="1860"/>
              <w:spacing w:after="0" w:line="135" w:lineRule="exact"/>
              <w:rPr>
                <w:sz w:val="20"/>
                <w:szCs w:val="20"/>
                <w:color w:val="auto"/>
              </w:rPr>
            </w:pPr>
            <w:r>
              <w:rPr>
                <w:rFonts w:ascii="Arial" w:cs="Arial" w:eastAsia="Arial" w:hAnsi="Arial"/>
                <w:sz w:val="13"/>
                <w:szCs w:val="13"/>
                <w:color w:val="auto"/>
                <w:w w:val="91"/>
              </w:rPr>
              <w:t>(L + 9.25%) / (2.25%)</w:t>
            </w:r>
          </w:p>
        </w:tc>
        <w:tc>
          <w:tcPr>
            <w:tcW w:w="14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9"/>
              </w:rPr>
              <w:t>11.50%/0.00% 6/7/2019</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6/7/2024</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7,165</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7,124</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7,166</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Preferred Equity (610 units) (h)(j)</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rPr>
              <w:t>6/20/2019</w:t>
            </w:r>
          </w:p>
        </w:tc>
        <w:tc>
          <w:tcPr>
            <w:tcW w:w="720" w:type="dxa"/>
            <w:vAlign w:val="bottom"/>
          </w:tcPr>
          <w:p>
            <w:pPr>
              <w:ind w:left="40"/>
              <w:spacing w:after="0" w:line="135" w:lineRule="exact"/>
              <w:rPr>
                <w:sz w:val="20"/>
                <w:szCs w:val="20"/>
                <w:color w:val="auto"/>
              </w:rPr>
            </w:pPr>
            <w:r>
              <w:rPr>
                <w:rFonts w:ascii="Arial" w:cs="Arial" w:eastAsia="Arial" w:hAnsi="Arial"/>
                <w:sz w:val="13"/>
                <w:szCs w:val="13"/>
                <w:color w:val="auto"/>
              </w:rPr>
              <w:t>1/1/2022</w:t>
            </w: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250</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260</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7,374</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7,426</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Hub Acquisition Sub, LLC (dba Hub Pen)</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Promotional products</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302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5"/>
              </w:rPr>
              <w:t>12.25%/0.00% 3/23/2016</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9/23/2021</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25,000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24,955</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22,329</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Common Equity (3,750 units)</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rPr>
              <w:t>3/23/2016</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131</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556</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25,086</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22,885</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IBH Holdings, LLC (fka Inflexxion, Inc.)</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(150,000 units)</w:t>
            </w: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6/20/2018</w:t>
            </w: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43"/>
        </w:trPr>
        <w:tc>
          <w:tcPr>
            <w:tcW w:w="3640" w:type="dxa"/>
            <w:vAlign w:val="bottom"/>
          </w:tcPr>
          <w:p>
            <w:pPr>
              <w:spacing w:after="0"/>
              <w:rPr>
                <w:sz w:val="20"/>
                <w:szCs w:val="20"/>
                <w:color w:val="auto"/>
              </w:rPr>
            </w:pPr>
            <w:r>
              <w:rPr>
                <w:rFonts w:ascii="Arial" w:cs="Arial" w:eastAsia="Arial" w:hAnsi="Arial"/>
                <w:sz w:val="13"/>
                <w:szCs w:val="13"/>
                <w:i w:val="1"/>
                <w:iCs w:val="1"/>
                <w:color w:val="auto"/>
                <w:w w:val="89"/>
              </w:rPr>
              <w:t>K2 Merger Agreement Agent, LLC (fka K2 Industrial Services, Inc.) (n)</w:t>
            </w:r>
          </w:p>
        </w:tc>
        <w:tc>
          <w:tcPr>
            <w:tcW w:w="3020" w:type="dxa"/>
            <w:vAlign w:val="bottom"/>
          </w:tcPr>
          <w:p>
            <w:pPr>
              <w:ind w:left="40"/>
              <w:spacing w:after="0"/>
              <w:rPr>
                <w:sz w:val="20"/>
                <w:szCs w:val="20"/>
                <w:color w:val="auto"/>
              </w:rPr>
            </w:pPr>
            <w:r>
              <w:rPr>
                <w:rFonts w:ascii="Arial" w:cs="Arial" w:eastAsia="Arial" w:hAnsi="Arial"/>
                <w:sz w:val="13"/>
                <w:szCs w:val="13"/>
                <w:color w:val="auto"/>
              </w:rPr>
              <w:t>Industrial Cleaning &amp; Coatings</w:t>
            </w: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302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5"/>
              </w:rPr>
              <w:t>0.00%/10.00% 1/28/2019</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1/28/2021</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1,984</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1,984</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1,984</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43"/>
        </w:trPr>
        <w:tc>
          <w:tcPr>
            <w:tcW w:w="3640" w:type="dxa"/>
            <w:vAlign w:val="bottom"/>
          </w:tcPr>
          <w:p>
            <w:pPr>
              <w:spacing w:after="0"/>
              <w:rPr>
                <w:sz w:val="20"/>
                <w:szCs w:val="20"/>
                <w:color w:val="auto"/>
              </w:rPr>
            </w:pPr>
            <w:r>
              <w:rPr>
                <w:rFonts w:ascii="Arial" w:cs="Arial" w:eastAsia="Arial" w:hAnsi="Arial"/>
                <w:sz w:val="13"/>
                <w:szCs w:val="13"/>
                <w:i w:val="1"/>
                <w:iCs w:val="1"/>
                <w:color w:val="auto"/>
              </w:rPr>
              <w:t>The Kyjen Company, LLC (dba Outward Hound)</w:t>
            </w:r>
          </w:p>
        </w:tc>
        <w:tc>
          <w:tcPr>
            <w:tcW w:w="3020" w:type="dxa"/>
            <w:vAlign w:val="bottom"/>
          </w:tcPr>
          <w:p>
            <w:pPr>
              <w:ind w:left="40"/>
              <w:spacing w:after="0"/>
              <w:rPr>
                <w:sz w:val="20"/>
                <w:szCs w:val="20"/>
                <w:color w:val="auto"/>
              </w:rPr>
            </w:pPr>
            <w:r>
              <w:rPr>
                <w:rFonts w:ascii="Arial" w:cs="Arial" w:eastAsia="Arial" w:hAnsi="Arial"/>
                <w:sz w:val="13"/>
                <w:szCs w:val="13"/>
                <w:color w:val="auto"/>
              </w:rPr>
              <w:t>Consumer Products</w:t>
            </w: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302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5"/>
              </w:rPr>
              <w:t>12.00%/0.00% 12/8/2017</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6/8/2024</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15,000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14,952</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13,740</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Common Equity (765 shares) (j)</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rPr>
              <w:t>12/8/2017</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765</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552</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15,717</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14,292</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LNG Indy, LLC (dba Kinetrex Energy)</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Oil &amp; Gas Distribution</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302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0"/>
              </w:rPr>
              <w:t>11.50%/1.50% 12/28/2016</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11/12/2021</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10,012</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9,977</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9,977</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Common Equity (500 units)</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w w:val="92"/>
              </w:rPr>
              <w:t>12/28/2016</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527</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10,477</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10,504</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Marco Group International OpCo, LLC</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Industrial Cleaning &amp; Coatings</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302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10.50%/0.75% 3/2/2020</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9/2/2026</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10,006</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9,908</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9,908</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Common Equity (570,636 units) (h)(j)</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rPr>
              <w:t>7/21/2017</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637</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578</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10,545</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10,486</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Mesa Line Services, LLC</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Utilities: Services</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302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1"/>
              </w:rPr>
              <w:t>10.50%/1.75% 11/30/2017</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8/1/2024</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17,297</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17,214</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17,297</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Common Equity (981 shares) (j)</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w w:val="92"/>
              </w:rPr>
              <w:t>11/30/2017</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1,148</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758</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18,362</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18,055</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Microbiology Research Associates, Inc.</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Healthcare Services</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302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4"/>
              </w:rPr>
              <w:t>11.00%/1.50% 5/13/2015</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3/13/2022</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8,964</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8,955</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8,964</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Common Equity (812,866 units) (j)</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rPr>
              <w:t>5/13/2015</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969</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920</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9,924</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9,884</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Midwest Transit Equipment, Inc.</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Transportation services</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(7,192 shares) (j)(m)</w:t>
            </w: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6/23/2017</w:t>
            </w: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180</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392</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Warrant (9.59% of Junior Subordinated Notes) (j)(q)</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rPr>
              <w:t>6/23/2017</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191</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237</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371</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629</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NGT Acquisition Holdings, LLC (dba Techniks Industries)</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(378 units) (j)</w:t>
            </w: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5/24/2017</w:t>
            </w: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123</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43"/>
        </w:trPr>
        <w:tc>
          <w:tcPr>
            <w:tcW w:w="3640" w:type="dxa"/>
            <w:vAlign w:val="bottom"/>
          </w:tcPr>
          <w:p>
            <w:pPr>
              <w:spacing w:after="0"/>
              <w:rPr>
                <w:sz w:val="20"/>
                <w:szCs w:val="20"/>
                <w:color w:val="auto"/>
              </w:rPr>
            </w:pPr>
            <w:r>
              <w:rPr>
                <w:rFonts w:ascii="Arial" w:cs="Arial" w:eastAsia="Arial" w:hAnsi="Arial"/>
                <w:sz w:val="13"/>
                <w:szCs w:val="13"/>
                <w:i w:val="1"/>
                <w:iCs w:val="1"/>
                <w:color w:val="auto"/>
              </w:rPr>
              <w:t>OMC Investors, LLC (dba Ohio Medical Corporation)</w:t>
            </w:r>
          </w:p>
        </w:tc>
        <w:tc>
          <w:tcPr>
            <w:tcW w:w="3020" w:type="dxa"/>
            <w:vAlign w:val="bottom"/>
          </w:tcPr>
          <w:p>
            <w:pPr>
              <w:ind w:left="40"/>
              <w:spacing w:after="0"/>
              <w:rPr>
                <w:sz w:val="20"/>
                <w:szCs w:val="20"/>
                <w:color w:val="auto"/>
              </w:rPr>
            </w:pPr>
            <w:r>
              <w:rPr>
                <w:rFonts w:ascii="Arial" w:cs="Arial" w:eastAsia="Arial" w:hAnsi="Arial"/>
                <w:sz w:val="13"/>
                <w:szCs w:val="13"/>
                <w:color w:val="auto"/>
              </w:rPr>
              <w:t>Healthcare Products</w:t>
            </w: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302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5"/>
              </w:rPr>
              <w:t>12.00%/0.00% 1/15/2016</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7/15/2021</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9,976</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10,000</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Common Equity (5,000 units)</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rPr>
              <w:t>1/15/2016</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406</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10,476</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10,406</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Palisade Company, LLC</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Information Technology Services</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302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0"/>
              </w:rPr>
              <w:t>11.75%/0.00% 11/15/2018</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5/15/2024</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6,500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6,476</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6,500</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Common Equity (50 shares) (j)</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w w:val="92"/>
              </w:rPr>
              <w:t>11/15/2018</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451</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6,976</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6,951</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Palmetto Moon, LLC</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Retail</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302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4"/>
              </w:rPr>
              <w:t>11.50%/2.50% 11/3/2016</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10/31/2021</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4,994</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4,982</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3,985</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Common Equity (499 units) (j)</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rPr>
              <w:t>11/3/2016</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494</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5,476</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3,985</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Power Grid Components, Inc.</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302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94"/>
              </w:rPr>
              <w:t>11.00%/1.00% 4/12/2018</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12/2/2025</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22,262</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22,175</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22,262</w:t>
            </w:r>
          </w:p>
        </w:tc>
        <w:tc>
          <w:tcPr>
            <w:tcW w:w="480" w:type="dxa"/>
            <w:vAlign w:val="bottom"/>
            <w:shd w:val="clear" w:color="auto" w:fill="CCEEFF"/>
          </w:tcPr>
          <w:p>
            <w:pPr>
              <w:spacing w:after="0"/>
              <w:rPr>
                <w:sz w:val="11"/>
                <w:szCs w:val="11"/>
                <w:color w:val="auto"/>
              </w:rPr>
            </w:pPr>
          </w:p>
        </w:tc>
      </w:tr>
      <w:tr>
        <w:trPr>
          <w:trHeight w:val="135"/>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Preferred Equity (392 shares) (j)</w:t>
            </w:r>
          </w:p>
        </w:tc>
        <w:tc>
          <w:tcPr>
            <w:tcW w:w="3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rPr>
              <w:t>4/12/2018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392</w:t>
            </w:r>
          </w:p>
        </w:tc>
        <w:tc>
          <w:tcPr>
            <w:tcW w:w="7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471</w:t>
            </w: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(48 shares) (j)</w:t>
            </w: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12/2/2019</w:t>
            </w: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58</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Common Equity (10,622 shares) (j)</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rPr>
              <w:t>4/12/2018</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462</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691</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23,077</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23,482</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Prime AE Group, Inc.</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3020" w:type="dxa"/>
            <w:vAlign w:val="bottom"/>
            <w:shd w:val="clear" w:color="auto" w:fill="CCEEFF"/>
          </w:tcPr>
          <w:p>
            <w:pPr>
              <w:ind w:left="1860"/>
              <w:spacing w:after="0" w:line="135" w:lineRule="exact"/>
              <w:rPr>
                <w:sz w:val="20"/>
                <w:szCs w:val="20"/>
                <w:color w:val="auto"/>
              </w:rPr>
            </w:pPr>
            <w:r>
              <w:rPr>
                <w:rFonts w:ascii="Arial" w:cs="Arial" w:eastAsia="Arial" w:hAnsi="Arial"/>
                <w:sz w:val="13"/>
                <w:szCs w:val="13"/>
                <w:color w:val="auto"/>
                <w:w w:val="91"/>
              </w:rPr>
              <w:t>(L + 6.25%) / (2.00%)</w:t>
            </w:r>
          </w:p>
        </w:tc>
        <w:tc>
          <w:tcPr>
            <w:tcW w:w="8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0"/>
              </w:rPr>
              <w:t>8.25%/0.00%</w:t>
            </w:r>
          </w:p>
        </w:tc>
        <w:tc>
          <w:tcPr>
            <w:tcW w:w="6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2"/>
              </w:rPr>
              <w:t>11/25/2019</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11/25/2024</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7,333</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7,154</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7,154</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Preferred Equity (500,000 shares) (j)</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w w:val="92"/>
              </w:rPr>
              <w:t>11/25/2019</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7,654</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7,654</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Pugh Lubricants, LLC</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302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1"/>
              </w:rPr>
              <w:t>12.25%/0.00% 11/10/2016</w:t>
            </w:r>
          </w:p>
        </w:tc>
        <w:tc>
          <w:tcPr>
            <w:tcW w:w="7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5/10/2022</w:t>
            </w:r>
          </w:p>
        </w:tc>
        <w:tc>
          <w:tcPr>
            <w:tcW w:w="5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26,581</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26,514</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26,581</w:t>
            </w:r>
          </w:p>
        </w:tc>
        <w:tc>
          <w:tcPr>
            <w:tcW w:w="480" w:type="dxa"/>
            <w:vAlign w:val="bottom"/>
            <w:shd w:val="clear" w:color="auto" w:fill="CCEEFF"/>
          </w:tcPr>
          <w:p>
            <w:pPr>
              <w:spacing w:after="0"/>
              <w:rPr>
                <w:sz w:val="11"/>
                <w:szCs w:val="11"/>
                <w:color w:val="auto"/>
              </w:rPr>
            </w:pPr>
          </w:p>
        </w:tc>
      </w:tr>
      <w:tr>
        <w:trPr>
          <w:trHeight w:val="142"/>
        </w:trPr>
        <w:tc>
          <w:tcPr>
            <w:tcW w:w="3640" w:type="dxa"/>
            <w:vAlign w:val="bottom"/>
          </w:tcPr>
          <w:p>
            <w:pPr>
              <w:ind w:left="240"/>
              <w:spacing w:after="0" w:line="135" w:lineRule="exact"/>
              <w:rPr>
                <w:sz w:val="20"/>
                <w:szCs w:val="20"/>
                <w:color w:val="auto"/>
              </w:rPr>
            </w:pPr>
            <w:r>
              <w:rPr>
                <w:rFonts w:ascii="Arial" w:cs="Arial" w:eastAsia="Arial" w:hAnsi="Arial"/>
                <w:sz w:val="13"/>
                <w:szCs w:val="13"/>
                <w:color w:val="auto"/>
              </w:rPr>
              <w:t>Common Equity (3,062 units) (h)(j)</w:t>
            </w:r>
          </w:p>
        </w:tc>
        <w:tc>
          <w:tcPr>
            <w:tcW w:w="3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ind w:left="40"/>
              <w:spacing w:after="0" w:line="135" w:lineRule="exact"/>
              <w:rPr>
                <w:sz w:val="20"/>
                <w:szCs w:val="20"/>
                <w:color w:val="auto"/>
              </w:rPr>
            </w:pPr>
            <w:r>
              <w:rPr>
                <w:rFonts w:ascii="Arial" w:cs="Arial" w:eastAsia="Arial" w:hAnsi="Arial"/>
                <w:sz w:val="13"/>
                <w:szCs w:val="13"/>
                <w:color w:val="auto"/>
                <w:w w:val="92"/>
              </w:rPr>
              <w:t>11/10/2016</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288</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534</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35"/>
        </w:trPr>
        <w:tc>
          <w:tcPr>
            <w:tcW w:w="364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26,802</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27,115</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i w:val="1"/>
                <w:iCs w:val="1"/>
                <w:color w:val="auto"/>
              </w:rPr>
              <w:t>Revenue Management Solutions, LLC</w:t>
            </w:r>
          </w:p>
        </w:tc>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Information Technology Services</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35"/>
        </w:trPr>
        <w:tc>
          <w:tcPr>
            <w:tcW w:w="36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(1,125,000 shares)</w:t>
            </w:r>
          </w:p>
        </w:tc>
        <w:tc>
          <w:tcPr>
            <w:tcW w:w="30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1/4/2017</w:t>
            </w: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1,125</w:t>
            </w:r>
          </w:p>
        </w:tc>
        <w:tc>
          <w:tcPr>
            <w:tcW w:w="76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2,672</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bl>
    <w:p>
      <w:pPr>
        <w:spacing w:after="0" w:line="134"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40"/>
          </w:cols>
          <w:pgMar w:left="320" w:top="459" w:right="439" w:bottom="1440" w:gutter="0" w:footer="0" w:header="0"/>
          <w:type w:val="continuous"/>
        </w:sectPr>
      </w:pPr>
    </w:p>
    <w:bookmarkStart w:id="10" w:name="page11"/>
    <w:bookmarkEnd w:id="10"/>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92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(a)(b)</w:t>
            </w: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Arial" w:cs="Arial" w:eastAsia="Arial" w:hAnsi="Arial"/>
                <w:sz w:val="13"/>
                <w:szCs w:val="13"/>
                <w:b w:val="1"/>
                <w:bCs w:val="1"/>
                <w:color w:val="auto"/>
              </w:rPr>
              <w:t>Variable Index</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Rate (e)</w:t>
            </w: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Investment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rPr>
              <w:t>Principal</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c>
          <w:tcPr>
            <w:tcW w:w="0" w:type="dxa"/>
            <w:vAlign w:val="bottom"/>
          </w:tcPr>
          <w:p>
            <w:pPr>
              <w:spacing w:after="0"/>
              <w:rPr>
                <w:sz w:val="1"/>
                <w:szCs w:val="1"/>
                <w:color w:val="auto"/>
              </w:rPr>
            </w:pPr>
          </w:p>
        </w:tc>
      </w:tr>
      <w:tr>
        <w:trPr>
          <w:trHeight w:val="173"/>
        </w:trPr>
        <w:tc>
          <w:tcPr>
            <w:tcW w:w="1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Investment Type (c)</w:t>
            </w:r>
          </w:p>
        </w:tc>
        <w:tc>
          <w:tcPr>
            <w:tcW w:w="1600" w:type="dxa"/>
            <w:vAlign w:val="bottom"/>
          </w:tcPr>
          <w:p>
            <w:pPr>
              <w:spacing w:after="0"/>
              <w:rPr>
                <w:sz w:val="15"/>
                <w:szCs w:val="15"/>
                <w:color w:val="auto"/>
              </w:rPr>
            </w:pPr>
          </w:p>
        </w:tc>
        <w:tc>
          <w:tcPr>
            <w:tcW w:w="1860" w:type="dxa"/>
            <w:vAlign w:val="bottom"/>
            <w:gridSpan w:val="2"/>
          </w:tcPr>
          <w:p>
            <w:pPr>
              <w:ind w:left="620"/>
              <w:spacing w:after="0"/>
              <w:rPr>
                <w:sz w:val="20"/>
                <w:szCs w:val="20"/>
                <w:color w:val="auto"/>
              </w:rPr>
            </w:pPr>
            <w:r>
              <w:rPr>
                <w:rFonts w:ascii="Arial" w:cs="Arial" w:eastAsia="Arial" w:hAnsi="Arial"/>
                <w:sz w:val="13"/>
                <w:szCs w:val="13"/>
                <w:b w:val="1"/>
                <w:bCs w:val="1"/>
                <w:color w:val="auto"/>
              </w:rPr>
              <w:t>Industry</w:t>
            </w:r>
          </w:p>
        </w:tc>
        <w:tc>
          <w:tcPr>
            <w:tcW w:w="1300" w:type="dxa"/>
            <w:vAlign w:val="bottom"/>
            <w:gridSpan w:val="2"/>
          </w:tcPr>
          <w:p>
            <w:pPr>
              <w:ind w:left="100"/>
              <w:spacing w:after="0"/>
              <w:rPr>
                <w:sz w:val="20"/>
                <w:szCs w:val="20"/>
                <w:color w:val="auto"/>
              </w:rPr>
            </w:pPr>
            <w:r>
              <w:rPr>
                <w:rFonts w:ascii="Arial" w:cs="Arial" w:eastAsia="Arial" w:hAnsi="Arial"/>
                <w:sz w:val="13"/>
                <w:szCs w:val="13"/>
                <w:b w:val="1"/>
                <w:bCs w:val="1"/>
                <w:color w:val="auto"/>
              </w:rPr>
              <w:t>Spread / Floor (d)</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Cash/PIK</w:t>
            </w: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Date (f)</w:t>
            </w: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62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480" w:type="dxa"/>
            <w:vAlign w:val="bottom"/>
            <w:gridSpan w:val="3"/>
          </w:tcPr>
          <w:p>
            <w:pPr>
              <w:ind w:left="60"/>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3"/>
                <w:szCs w:val="13"/>
                <w:b w:val="1"/>
                <w:bCs w:val="1"/>
                <w:color w:val="auto"/>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122"/>
        </w:trPr>
        <w:tc>
          <w:tcPr>
            <w:tcW w:w="29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Rhino Assembly Company, LLC</w:t>
            </w:r>
          </w:p>
        </w:tc>
        <w:tc>
          <w:tcPr>
            <w:tcW w:w="1740" w:type="dxa"/>
            <w:vAlign w:val="bottom"/>
            <w:tcBorders>
              <w:top w:val="single" w:sz="8" w:color="auto"/>
            </w:tcBorders>
            <w:shd w:val="clear" w:color="auto" w:fill="CCEEFF"/>
          </w:tcPr>
          <w:p>
            <w:pPr>
              <w:ind w:left="40"/>
              <w:spacing w:after="0" w:line="122" w:lineRule="exact"/>
              <w:rPr>
                <w:sz w:val="20"/>
                <w:szCs w:val="20"/>
                <w:color w:val="auto"/>
              </w:rPr>
            </w:pPr>
            <w:r>
              <w:rPr>
                <w:rFonts w:ascii="Arial" w:cs="Arial" w:eastAsia="Arial" w:hAnsi="Arial"/>
                <w:sz w:val="13"/>
                <w:szCs w:val="13"/>
                <w:color w:val="auto"/>
              </w:rPr>
              <w:t>Specialty Distribution</w:t>
            </w:r>
          </w:p>
        </w:tc>
        <w:tc>
          <w:tcPr>
            <w:tcW w:w="1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12.00%/1.00%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8/11/2017</w:t>
            </w:r>
          </w:p>
        </w:tc>
        <w:tc>
          <w:tcPr>
            <w:tcW w:w="14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2/11/2023</w:t>
            </w:r>
          </w:p>
        </w:tc>
        <w:tc>
          <w:tcPr>
            <w:tcW w:w="12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11,469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11,434</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10,295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20" w:type="dxa"/>
            <w:vAlign w:val="bottom"/>
            <w:gridSpan w:val="2"/>
            <w:shd w:val="clear" w:color="auto" w:fill="CCEEFF"/>
          </w:tcPr>
          <w:p>
            <w:pPr>
              <w:ind w:left="240"/>
              <w:spacing w:after="0" w:line="121" w:lineRule="exact"/>
              <w:rPr>
                <w:sz w:val="20"/>
                <w:szCs w:val="20"/>
                <w:color w:val="auto"/>
              </w:rPr>
            </w:pPr>
            <w:r>
              <w:rPr>
                <w:rFonts w:ascii="Arial" w:cs="Arial" w:eastAsia="Arial" w:hAnsi="Arial"/>
                <w:sz w:val="13"/>
                <w:szCs w:val="13"/>
                <w:color w:val="auto"/>
                <w:w w:val="96"/>
              </w:rPr>
              <w:t>Delayed Draw Commitment ($875 commitment)</w:t>
            </w:r>
          </w:p>
        </w:tc>
        <w:tc>
          <w:tcPr>
            <w:tcW w:w="1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(i)(j)</w:t>
            </w: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12.00%/1.00%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8/11/2017</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5/17/2022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(8,864 units) (h)(j)</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8/11/2017</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944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252</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12,378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10,547</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Road Safety Services, Inc.</w:t>
            </w:r>
          </w:p>
        </w:tc>
        <w:tc>
          <w:tcPr>
            <w:tcW w:w="18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11.25%/1.50%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9/18/2018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3/18/2024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10,261</w:t>
            </w: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10,226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10,261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(655 units)</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9/18/2018</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688</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10,847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10,949</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Rohrer Corporation</w:t>
            </w:r>
          </w:p>
        </w:tc>
        <w:tc>
          <w:tcPr>
            <w:tcW w:w="18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Packaging</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10.50%/1.00%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10/1/2018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4/1/2024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13,910</w:t>
            </w: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13,860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13,910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(400 shares)</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7/18/2016</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1,079</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14,640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14,989</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Routeware, Inc.</w:t>
            </w:r>
          </w:p>
        </w:tc>
        <w:tc>
          <w:tcPr>
            <w:tcW w:w="186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5"/>
              </w:rPr>
              <w:t>Information Technology Services</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(k)(aa)</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(L + 7.00%) / (1.75%)</w:t>
            </w: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8.75%/0.00%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2/7/2020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2/7/2025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15,000</w:t>
            </w: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14,912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14,912</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43"/>
        </w:trPr>
        <w:tc>
          <w:tcPr>
            <w:tcW w:w="2920" w:type="dxa"/>
            <w:vAlign w:val="bottom"/>
            <w:gridSpan w:val="2"/>
          </w:tcPr>
          <w:p>
            <w:pPr>
              <w:spacing w:after="0"/>
              <w:rPr>
                <w:sz w:val="20"/>
                <w:szCs w:val="20"/>
                <w:color w:val="auto"/>
              </w:rPr>
            </w:pPr>
            <w:r>
              <w:rPr>
                <w:rFonts w:ascii="Arial" w:cs="Arial" w:eastAsia="Arial" w:hAnsi="Arial"/>
                <w:sz w:val="13"/>
                <w:szCs w:val="13"/>
                <w:i w:val="1"/>
                <w:iCs w:val="1"/>
                <w:color w:val="auto"/>
              </w:rPr>
              <w:t>SES Investors, LLC (dba SES Foam)</w:t>
            </w:r>
          </w:p>
        </w:tc>
        <w:tc>
          <w:tcPr>
            <w:tcW w:w="1860" w:type="dxa"/>
            <w:vAlign w:val="bottom"/>
            <w:gridSpan w:val="2"/>
          </w:tcPr>
          <w:p>
            <w:pPr>
              <w:ind w:left="40"/>
              <w:spacing w:after="0"/>
              <w:rPr>
                <w:sz w:val="20"/>
                <w:szCs w:val="20"/>
                <w:color w:val="auto"/>
              </w:rPr>
            </w:pPr>
            <w:r>
              <w:rPr>
                <w:rFonts w:ascii="Arial" w:cs="Arial" w:eastAsia="Arial" w:hAnsi="Arial"/>
                <w:sz w:val="13"/>
                <w:szCs w:val="13"/>
                <w:color w:val="auto"/>
                <w:w w:val="96"/>
              </w:rPr>
              <w:t>Building Products Manufacturing</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13.00%/0.00%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9/8/2016</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12/29/2020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3,095</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3,085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3,095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(6,000 units) (h)(j)</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9/8/2016</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567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914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3,652</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4,009</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Software Technology, LLC</w:t>
            </w:r>
          </w:p>
        </w:tc>
        <w:tc>
          <w:tcPr>
            <w:tcW w:w="186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5"/>
              </w:rPr>
              <w:t>Information Technology Services</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11.00%/0.00%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12/23/2016</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6/23/2023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10,000</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9,974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10,000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 shares)</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12/23/2016</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646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10,620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10,800</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Specialized Elevator Services Holdings, LLC</w:t>
            </w:r>
          </w:p>
        </w:tc>
        <w:tc>
          <w:tcPr>
            <w:tcW w:w="18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(j)(y)</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(L + 5.50%) / (2.00%)</w:t>
            </w: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7.50%/0.00%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5/7/2019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5/3/2024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12,889</w:t>
            </w: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12,758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12,889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(500 units) (j)</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5/8/2019</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596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556</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13,354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13,445</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SpendMend LLC</w:t>
            </w:r>
          </w:p>
        </w:tc>
        <w:tc>
          <w:tcPr>
            <w:tcW w:w="18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11.00%/0.75%</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1/8/2018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7/8/2023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10,515</w:t>
            </w: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10,482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10,515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1/8/2018</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1,000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1,404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11,482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5"/>
              </w:rPr>
              <w:t>11,919</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TransGo, LLC</w:t>
            </w:r>
          </w:p>
        </w:tc>
        <w:tc>
          <w:tcPr>
            <w:tcW w:w="18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 units)</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2/28/2017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499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526</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43"/>
        </w:trPr>
        <w:tc>
          <w:tcPr>
            <w:tcW w:w="2920" w:type="dxa"/>
            <w:vAlign w:val="bottom"/>
            <w:gridSpan w:val="2"/>
          </w:tcPr>
          <w:p>
            <w:pPr>
              <w:spacing w:after="0"/>
              <w:rPr>
                <w:sz w:val="20"/>
                <w:szCs w:val="20"/>
                <w:color w:val="auto"/>
              </w:rPr>
            </w:pPr>
            <w:r>
              <w:rPr>
                <w:rFonts w:ascii="Arial" w:cs="Arial" w:eastAsia="Arial" w:hAnsi="Arial"/>
                <w:sz w:val="13"/>
                <w:szCs w:val="13"/>
                <w:i w:val="1"/>
                <w:iCs w:val="1"/>
                <w:color w:val="auto"/>
              </w:rPr>
              <w:t>The Tranzonic Companies</w:t>
            </w:r>
          </w:p>
        </w:tc>
        <w:tc>
          <w:tcPr>
            <w:tcW w:w="1860" w:type="dxa"/>
            <w:vAlign w:val="bottom"/>
            <w:gridSpan w:val="2"/>
          </w:tcPr>
          <w:p>
            <w:pPr>
              <w:ind w:left="40"/>
              <w:spacing w:after="0"/>
              <w:rPr>
                <w:sz w:val="20"/>
                <w:szCs w:val="20"/>
                <w:color w:val="auto"/>
              </w:rPr>
            </w:pPr>
            <w:r>
              <w:rPr>
                <w:rFonts w:ascii="Arial" w:cs="Arial" w:eastAsia="Arial" w:hAnsi="Arial"/>
                <w:sz w:val="13"/>
                <w:szCs w:val="13"/>
                <w:color w:val="auto"/>
              </w:rPr>
              <w:t>Specialty Distribution</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10.00%/1.25%</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3/27/2018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3/27/2025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6,945</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6,895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6,945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(5,653 units) (j)</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3/27/2018</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565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679</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 units) (j)</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3/27/2018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7,460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7,681</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UBEO, LLC</w:t>
            </w:r>
          </w:p>
        </w:tc>
        <w:tc>
          <w:tcPr>
            <w:tcW w:w="18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11.00%/0.00%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4/3/2018</w:t>
            </w:r>
          </w:p>
        </w:tc>
        <w:tc>
          <w:tcPr>
            <w:tcW w:w="14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10/3/2024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13,893</w:t>
            </w:r>
          </w:p>
        </w:tc>
        <w:tc>
          <w:tcPr>
            <w:tcW w:w="60" w:type="dxa"/>
            <w:vAlign w:val="bottom"/>
          </w:tcPr>
          <w:p>
            <w:pPr>
              <w:spacing w:after="0"/>
              <w:rPr>
                <w:sz w:val="11"/>
                <w:szCs w:val="11"/>
                <w:color w:val="auto"/>
              </w:rPr>
            </w:pP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13,798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12,199</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(705,000 units) (h)(j)</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4/3/2018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668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402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14,466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12,601</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United Biologics, LLC</w:t>
            </w:r>
          </w:p>
        </w:tc>
        <w:tc>
          <w:tcPr>
            <w:tcW w:w="18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Healthcare Services</w:t>
            </w: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(98,377 units) (h)(j)</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4/1/2012</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1,008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(57,469 units) (m)</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3/5/2012</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566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1,574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63</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Vanguard Dealer Services, L.L.C. (n)</w:t>
            </w:r>
          </w:p>
        </w:tc>
        <w:tc>
          <w:tcPr>
            <w:tcW w:w="18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(6,000 units)</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7/30/2015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(2,380 units) (j)</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2/2/2018</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Virginia Tile Company, LLC</w:t>
            </w:r>
          </w:p>
        </w:tc>
        <w:tc>
          <w:tcPr>
            <w:tcW w:w="18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(k)(p)</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12.25%/0.00%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12/19/2014</w:t>
            </w:r>
          </w:p>
        </w:tc>
        <w:tc>
          <w:tcPr>
            <w:tcW w:w="14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4/7/2022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12,000</w:t>
            </w:r>
          </w:p>
        </w:tc>
        <w:tc>
          <w:tcPr>
            <w:tcW w:w="60" w:type="dxa"/>
            <w:vAlign w:val="bottom"/>
          </w:tcPr>
          <w:p>
            <w:pPr>
              <w:spacing w:after="0"/>
              <w:rPr>
                <w:sz w:val="11"/>
                <w:szCs w:val="11"/>
                <w:color w:val="auto"/>
              </w:rPr>
            </w:pP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11,990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9,984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(17 units)</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12/19/2014</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367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12,332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10,351</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Western’s Smokehouse, LLC</w:t>
            </w:r>
          </w:p>
        </w:tc>
        <w:tc>
          <w:tcPr>
            <w:tcW w:w="18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Consumer Products</w:t>
            </w: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920" w:type="dxa"/>
            <w:vAlign w:val="bottom"/>
            <w:gridSpan w:val="2"/>
          </w:tcPr>
          <w:p>
            <w:pPr>
              <w:ind w:left="240"/>
              <w:spacing w:after="0"/>
              <w:rPr>
                <w:sz w:val="20"/>
                <w:szCs w:val="20"/>
                <w:color w:val="auto"/>
              </w:rPr>
            </w:pPr>
            <w:r>
              <w:rPr>
                <w:rFonts w:ascii="Arial" w:cs="Arial" w:eastAsia="Arial" w:hAnsi="Arial"/>
                <w:sz w:val="13"/>
                <w:szCs w:val="13"/>
                <w:color w:val="auto"/>
              </w:rPr>
              <w:t>First Lien Debt (j)(ab)</w:t>
            </w: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Arial" w:cs="Arial" w:eastAsia="Arial" w:hAnsi="Arial"/>
                <w:sz w:val="13"/>
                <w:szCs w:val="13"/>
                <w:color w:val="auto"/>
              </w:rPr>
              <w:t>(L + 6.50%) / (1.25%)</w:t>
            </w: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7.95%/0.00%</w:t>
            </w:r>
          </w:p>
        </w:tc>
        <w:tc>
          <w:tcPr>
            <w:tcW w:w="12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2/28/2020</w:t>
            </w:r>
          </w:p>
        </w:tc>
        <w:tc>
          <w:tcPr>
            <w:tcW w:w="14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12/23/2024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w w:val="95"/>
              </w:rPr>
              <w:t>10,000</w:t>
            </w:r>
          </w:p>
        </w:tc>
        <w:tc>
          <w:tcPr>
            <w:tcW w:w="6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9,853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9,853</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83"/>
        </w:trPr>
        <w:tc>
          <w:tcPr>
            <w:tcW w:w="1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Wheel Pros, Inc.</w:t>
            </w:r>
          </w:p>
        </w:tc>
        <w:tc>
          <w:tcPr>
            <w:tcW w:w="18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(L + 8.50%) / (0.00%)</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0"/>
              </w:rPr>
              <w:t>9.57%/0.00%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5/17/2019</w:t>
            </w:r>
          </w:p>
        </w:tc>
        <w:tc>
          <w:tcPr>
            <w:tcW w:w="14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4/4/2026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20,000</w:t>
            </w:r>
          </w:p>
        </w:tc>
        <w:tc>
          <w:tcPr>
            <w:tcW w:w="60" w:type="dxa"/>
            <w:vAlign w:val="bottom"/>
          </w:tcPr>
          <w:p>
            <w:pPr>
              <w:spacing w:after="0"/>
              <w:rPr>
                <w:sz w:val="11"/>
                <w:szCs w:val="11"/>
                <w:color w:val="auto"/>
              </w:rPr>
            </w:pP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19,825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18,400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(347,222 units) (j)</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5/15/2019</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585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20,575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18,985</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Worldwide Express Operations, LLC</w:t>
            </w:r>
          </w:p>
        </w:tc>
        <w:tc>
          <w:tcPr>
            <w:tcW w:w="18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Transportation services</w:t>
            </w: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(L + 8.00%) / (1.00%)</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0"/>
              </w:rPr>
              <w:t>9.69%/0.00%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2/27/2017</w:t>
            </w:r>
          </w:p>
        </w:tc>
        <w:tc>
          <w:tcPr>
            <w:tcW w:w="14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2/3/2025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20,000</w:t>
            </w:r>
          </w:p>
        </w:tc>
        <w:tc>
          <w:tcPr>
            <w:tcW w:w="60" w:type="dxa"/>
            <w:vAlign w:val="bottom"/>
          </w:tcPr>
          <w:p>
            <w:pPr>
              <w:spacing w:after="0"/>
              <w:rPr>
                <w:sz w:val="11"/>
                <w:szCs w:val="11"/>
                <w:color w:val="auto"/>
              </w:rPr>
            </w:pP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19,753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18,907</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(2,000 units) (h)(j)</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2/27/2017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1,478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21,231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20,407</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Non-control/Non-affiliate Investments</w:t>
            </w: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661,438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u w:val="single" w:color="auto"/>
                <w:color w:val="auto"/>
                <w:w w:val="82"/>
              </w:rPr>
              <w:t>$</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630,885</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Investments</w:t>
            </w: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191%</w:t>
            </w:r>
          </w:p>
        </w:tc>
        <w:tc>
          <w:tcPr>
            <w:tcW w:w="0" w:type="dxa"/>
            <w:vAlign w:val="bottom"/>
          </w:tcPr>
          <w:p>
            <w:pPr>
              <w:spacing w:after="0" w:line="20" w:lineRule="exact"/>
              <w:rPr>
                <w:sz w:val="1"/>
                <w:szCs w:val="1"/>
                <w:color w:val="auto"/>
              </w:rPr>
            </w:pPr>
          </w:p>
        </w:tc>
      </w:tr>
      <w:tr>
        <w:trPr>
          <w:trHeight w:val="129"/>
        </w:trPr>
        <w:tc>
          <w:tcPr>
            <w:tcW w:w="292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731,110</w:t>
            </w: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u w:val="single" w:color="auto"/>
                <w:color w:val="auto"/>
                <w:w w:val="82"/>
              </w:rPr>
              <w:t>$</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0"/>
              </w:rPr>
              <w:t>718,940</w:t>
            </w: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indicated. Equity investments are non-income producing unless otherwise noted.</w:t>
      </w:r>
    </w:p>
    <w:p>
      <w:pPr>
        <w:spacing w:after="0" w:line="32" w:lineRule="exact"/>
        <w:rPr>
          <w:rFonts w:ascii="Arial" w:cs="Arial" w:eastAsia="Arial" w:hAnsi="Arial"/>
          <w:sz w:val="16"/>
          <w:szCs w:val="16"/>
          <w:color w:val="auto"/>
        </w:rPr>
      </w:pPr>
    </w:p>
    <w:p>
      <w:pPr>
        <w:ind w:left="540" w:right="20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March 31, 2020.</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March 31, 2020. Generally, payment-in-kind interest can be paid-in-kind or all in cash.</w:t>
      </w: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date represents the date of the initial investment in the security.</w:t>
      </w:r>
    </w:p>
    <w:p>
      <w:pPr>
        <w:spacing w:after="0" w:line="9"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is held by a Taxable Subsidiary of the Company.</w:t>
      </w:r>
    </w:p>
    <w:p>
      <w:pPr>
        <w:spacing w:after="0" w:line="9" w:lineRule="exact"/>
        <w:rPr>
          <w:rFonts w:ascii="Arial" w:cs="Arial" w:eastAsia="Arial" w:hAnsi="Arial"/>
          <w:sz w:val="18"/>
          <w:szCs w:val="18"/>
          <w:color w:val="auto"/>
        </w:rPr>
      </w:pPr>
    </w:p>
    <w:p>
      <w:pPr>
        <w:ind w:left="540" w:right="560" w:hanging="424"/>
        <w:spacing w:after="0" w:line="281"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disclosed commitment represents the unfunded amount as of March 31, 2020. The Company is earning 0.50% interest on the unfunded balance of the commitment. The interest rate disclosed represents the rate which will be earned if the commitment is funded.</w:t>
      </w:r>
    </w:p>
    <w:p>
      <w:pPr>
        <w:spacing w:after="0" w:line="1" w:lineRule="exact"/>
        <w:rPr>
          <w:rFonts w:ascii="Arial" w:cs="Arial" w:eastAsia="Arial" w:hAnsi="Arial"/>
          <w:sz w:val="16"/>
          <w:szCs w:val="16"/>
          <w:color w:val="auto"/>
        </w:rPr>
      </w:pPr>
    </w:p>
    <w:p>
      <w:pPr>
        <w:ind w:left="540" w:right="180" w:hanging="424"/>
        <w:spacing w:after="0" w:line="281"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6"/>
          <w:szCs w:val="16"/>
          <w:color w:val="auto"/>
        </w:rPr>
      </w:pPr>
    </w:p>
    <w:p>
      <w:pPr>
        <w:ind w:left="540" w:right="100" w:hanging="424"/>
        <w:spacing w:after="0" w:line="255"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ectPr>
          <w:pgSz w:w="11900" w:h="16903" w:orient="portrait"/>
          <w:cols w:equalWidth="0" w:num="1">
            <w:col w:w="11140"/>
          </w:cols>
          <w:pgMar w:left="320" w:top="459" w:right="439" w:bottom="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274"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43" w:lineRule="exact"/>
        <w:rPr>
          <w:sz w:val="20"/>
          <w:szCs w:val="20"/>
          <w:color w:val="auto"/>
        </w:rPr>
      </w:pPr>
    </w:p>
    <w:p>
      <w:pPr>
        <w:ind w:left="540" w:right="300" w:hanging="424"/>
        <w:spacing w:after="0" w:line="287"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2" w:lineRule="exact"/>
        <w:rPr>
          <w:rFonts w:ascii="Arial" w:cs="Arial" w:eastAsia="Arial" w:hAnsi="Arial"/>
          <w:sz w:val="16"/>
          <w:szCs w:val="16"/>
          <w:color w:val="auto"/>
        </w:rPr>
      </w:pPr>
    </w:p>
    <w:p>
      <w:pPr>
        <w:ind w:left="540" w:right="420" w:hanging="424"/>
        <w:spacing w:after="0" w:line="28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producing. Maturity date, if any, represents mandatory redemption date.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Investment was on non-accrual status as of March 31, 2020, meaning the Company has ceased recognizing interest income on the investment.</w:t>
      </w:r>
    </w:p>
    <w:p>
      <w:pPr>
        <w:spacing w:after="0" w:line="32" w:lineRule="exact"/>
        <w:rPr>
          <w:rFonts w:ascii="Arial" w:cs="Arial" w:eastAsia="Arial" w:hAnsi="Arial"/>
          <w:sz w:val="16"/>
          <w:szCs w:val="16"/>
          <w:color w:val="auto"/>
        </w:rPr>
      </w:pPr>
    </w:p>
    <w:p>
      <w:pPr>
        <w:ind w:left="540" w:right="18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 entitles the Company to purchase 9.59% of the outstanding principal of Junior Subordinated Notes prior to exercise, and is non-income producing.</w:t>
      </w:r>
    </w:p>
    <w:p>
      <w:pPr>
        <w:ind w:left="5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5.12%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3.90%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jc w:val="both"/>
        <w:ind w:left="540" w:right="16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 w:lineRule="exact"/>
        <w:rPr>
          <w:rFonts w:ascii="Arial" w:cs="Arial" w:eastAsia="Arial" w:hAnsi="Arial"/>
          <w:sz w:val="18"/>
          <w:szCs w:val="18"/>
          <w:color w:val="auto"/>
        </w:rPr>
      </w:pPr>
    </w:p>
    <w:p>
      <w:pPr>
        <w:ind w:left="540" w:right="500" w:hanging="424"/>
        <w:spacing w:after="0" w:line="28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disclosed commitment represents the unfunded amount as of March 31, 2020. The Company is earning 0.75% interest on the unfunded balance of the commitment. The interest rate disclosed represents the rate earned on the outstanding, funded balance of the commitment.</w:t>
      </w:r>
    </w:p>
    <w:p>
      <w:pPr>
        <w:spacing w:after="0" w:line="1" w:lineRule="exact"/>
        <w:rPr>
          <w:rFonts w:ascii="Arial" w:cs="Arial" w:eastAsia="Arial" w:hAnsi="Arial"/>
          <w:sz w:val="16"/>
          <w:szCs w:val="16"/>
          <w:color w:val="auto"/>
        </w:rPr>
      </w:pPr>
    </w:p>
    <w:p>
      <w:pPr>
        <w:ind w:left="5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3.88%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2.73%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right="100" w:hanging="424"/>
        <w:spacing w:after="0" w:line="28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 of 4.43% on its “last out” tranche of the portfolio company’s senior term debt, which was previously syndicated into “first out” and “last out”</w:t>
      </w:r>
    </w:p>
    <w:p>
      <w:pPr>
        <w:spacing w:after="0" w:line="1" w:lineRule="exact"/>
        <w:rPr>
          <w:sz w:val="20"/>
          <w:szCs w:val="20"/>
          <w:color w:val="auto"/>
        </w:rPr>
      </w:pPr>
    </w:p>
    <w:p>
      <w:pPr>
        <w:ind w:left="540"/>
        <w:spacing w:after="0" w:line="250" w:lineRule="auto"/>
        <w:rPr>
          <w:sz w:val="20"/>
          <w:szCs w:val="20"/>
          <w:color w:val="auto"/>
        </w:rPr>
      </w:pPr>
      <w:r>
        <w:rPr>
          <w:rFonts w:ascii="Arial" w:cs="Arial" w:eastAsia="Arial" w:hAnsi="Arial"/>
          <w:sz w:val="18"/>
          <w:szCs w:val="18"/>
          <w:color w:val="auto"/>
        </w:rPr>
        <w:t>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left="540" w:hanging="424"/>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2.84%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of 3.05% on its “last out” tranche of the portfolio company’s senior term debt, which was previously syndicated into “first out” and “last out”</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thereunder.</w:t>
      </w:r>
    </w:p>
    <w:p>
      <w:pPr>
        <w:spacing w:after="0" w:line="9"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6"/>
          <w:szCs w:val="16"/>
          <w:color w:val="auto"/>
        </w:rPr>
        <w:t>The disclosed commitment represents the unfunded amount as of March 31, 2020. The Company is earning 1.00% interest on the unfunded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balance of the commitment. The interest rate disclosed represents the rate earned on the outstanding, funded balance of the commitment.</w:t>
      </w:r>
    </w:p>
    <w:p>
      <w:pPr>
        <w:spacing w:after="0" w:line="2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(ad)</w:t>
      </w:r>
      <w:r>
        <w:rPr>
          <w:sz w:val="20"/>
          <w:szCs w:val="20"/>
          <w:color w:val="auto"/>
        </w:rPr>
        <w:tab/>
      </w:r>
      <w:r>
        <w:rPr>
          <w:rFonts w:ascii="Arial" w:cs="Arial" w:eastAsia="Arial" w:hAnsi="Arial"/>
          <w:sz w:val="16"/>
          <w:szCs w:val="16"/>
          <w:color w:val="auto"/>
        </w:rPr>
        <w:t>Investment was on PIK-only non-accrual status as of March 31, 2020, meaning the Company has ceased recognizing PIK interest income on the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investment.</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ectPr>
          <w:pgSz w:w="11900" w:h="16838" w:orient="portrait"/>
          <w:cols w:equalWidth="0" w:num="1">
            <w:col w:w="11080"/>
          </w:cols>
          <w:pgMar w:left="320" w:top="459" w:right="499" w:bottom="1440"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80"/>
          </w:cols>
          <w:pgMar w:left="320" w:top="459"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04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Variable Index</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Rate (e)</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Investment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w w:val="94"/>
              </w:rPr>
              <w:t>Principal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r>
      <w:tr>
        <w:trPr>
          <w:trHeight w:val="173"/>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Investment Type (c)</w:t>
            </w:r>
          </w:p>
        </w:tc>
        <w:tc>
          <w:tcPr>
            <w:tcW w:w="1720" w:type="dxa"/>
            <w:vAlign w:val="bottom"/>
          </w:tcPr>
          <w:p>
            <w:pPr>
              <w:spacing w:after="0"/>
              <w:rPr>
                <w:sz w:val="15"/>
                <w:szCs w:val="15"/>
                <w:color w:val="auto"/>
              </w:rPr>
            </w:pPr>
          </w:p>
        </w:tc>
        <w:tc>
          <w:tcPr>
            <w:tcW w:w="1960" w:type="dxa"/>
            <w:vAlign w:val="bottom"/>
            <w:gridSpan w:val="2"/>
          </w:tcPr>
          <w:p>
            <w:pPr>
              <w:ind w:left="720"/>
              <w:spacing w:after="0"/>
              <w:rPr>
                <w:sz w:val="20"/>
                <w:szCs w:val="20"/>
                <w:color w:val="auto"/>
              </w:rPr>
            </w:pPr>
            <w:r>
              <w:rPr>
                <w:rFonts w:ascii="Arial" w:cs="Arial" w:eastAsia="Arial" w:hAnsi="Arial"/>
                <w:sz w:val="13"/>
                <w:szCs w:val="13"/>
                <w:b w:val="1"/>
                <w:bCs w:val="1"/>
                <w:color w:val="auto"/>
              </w:rPr>
              <w:t>Industry</w:t>
            </w: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Spread / Floor (d)</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Cash/PIK</w:t>
            </w: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Date (f)</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Maturity</w:t>
            </w:r>
          </w:p>
        </w:tc>
        <w:tc>
          <w:tcPr>
            <w:tcW w:w="5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2"/>
              </w:rPr>
              <w:t>Cost</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w w:val="98"/>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r>
      <w:tr>
        <w:trPr>
          <w:trHeight w:val="95"/>
        </w:trPr>
        <w:tc>
          <w:tcPr>
            <w:tcW w:w="1260" w:type="dxa"/>
            <w:vAlign w:val="bottom"/>
            <w:tcBorders>
              <w:top w:val="single" w:sz="8" w:color="CCEEFF"/>
              <w:bottom w:val="single" w:sz="8" w:color="auto"/>
            </w:tcBorders>
            <w:shd w:val="clear" w:color="auto" w:fill="CCEEFF"/>
          </w:tcPr>
          <w:p>
            <w:pPr>
              <w:spacing w:after="0" w:line="95" w:lineRule="exact"/>
              <w:rPr>
                <w:sz w:val="20"/>
                <w:szCs w:val="20"/>
                <w:color w:val="auto"/>
              </w:rPr>
            </w:pPr>
            <w:r>
              <w:rPr>
                <w:rFonts w:ascii="Arial" w:cs="Arial" w:eastAsia="Arial" w:hAnsi="Arial"/>
                <w:sz w:val="10"/>
                <w:szCs w:val="10"/>
                <w:b w:val="1"/>
                <w:bCs w:val="1"/>
                <w:color w:val="auto"/>
              </w:rPr>
              <w:t>Control Investments (t)</w:t>
            </w:r>
          </w:p>
        </w:tc>
        <w:tc>
          <w:tcPr>
            <w:tcW w:w="1780" w:type="dxa"/>
            <w:vAlign w:val="bottom"/>
            <w:tcBorders>
              <w:top w:val="single" w:sz="8" w:color="CCEEFF"/>
              <w:bottom w:val="single" w:sz="8" w:color="CCEEFF"/>
            </w:tcBorders>
            <w:gridSpan w:val="2"/>
            <w:shd w:val="clear" w:color="auto" w:fill="CCEEFF"/>
          </w:tcPr>
          <w:p>
            <w:pPr>
              <w:spacing w:after="0"/>
              <w:rPr>
                <w:sz w:val="8"/>
                <w:szCs w:val="8"/>
                <w:color w:val="auto"/>
              </w:rPr>
            </w:pPr>
          </w:p>
        </w:tc>
        <w:tc>
          <w:tcPr>
            <w:tcW w:w="190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116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CCEEFF"/>
            </w:tcBorders>
            <w:shd w:val="clear" w:color="auto" w:fill="CCEEFF"/>
          </w:tcPr>
          <w:p>
            <w:pPr>
              <w:spacing w:after="0"/>
              <w:rPr>
                <w:sz w:val="8"/>
                <w:szCs w:val="8"/>
                <w:color w:val="auto"/>
              </w:rPr>
            </w:pPr>
          </w:p>
        </w:tc>
        <w:tc>
          <w:tcPr>
            <w:tcW w:w="400" w:type="dxa"/>
            <w:vAlign w:val="bottom"/>
            <w:tcBorders>
              <w:top w:val="single" w:sz="8" w:color="auto"/>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CCEEFF"/>
            </w:tcBorders>
            <w:shd w:val="clear" w:color="auto" w:fill="CCEEFF"/>
          </w:tcPr>
          <w:p>
            <w:pPr>
              <w:spacing w:after="0"/>
              <w:rPr>
                <w:sz w:val="8"/>
                <w:szCs w:val="8"/>
                <w:color w:val="auto"/>
              </w:rPr>
            </w:pPr>
          </w:p>
        </w:tc>
        <w:tc>
          <w:tcPr>
            <w:tcW w:w="34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CCEEFF"/>
            </w:tcBorders>
            <w:shd w:val="clear" w:color="auto" w:fill="CCEEFF"/>
          </w:tcPr>
          <w:p>
            <w:pPr>
              <w:spacing w:after="0"/>
              <w:rPr>
                <w:sz w:val="8"/>
                <w:szCs w:val="8"/>
                <w:color w:val="auto"/>
              </w:rPr>
            </w:pPr>
          </w:p>
        </w:tc>
        <w:tc>
          <w:tcPr>
            <w:tcW w:w="40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r>
      <w:tr>
        <w:trPr>
          <w:trHeight w:val="128"/>
        </w:trPr>
        <w:tc>
          <w:tcPr>
            <w:tcW w:w="3040" w:type="dxa"/>
            <w:vAlign w:val="bottom"/>
            <w:gridSpan w:val="3"/>
          </w:tcPr>
          <w:p>
            <w:pPr>
              <w:spacing w:after="0" w:line="129" w:lineRule="exact"/>
              <w:rPr>
                <w:sz w:val="20"/>
                <w:szCs w:val="20"/>
                <w:color w:val="auto"/>
              </w:rPr>
            </w:pPr>
            <w:r>
              <w:rPr>
                <w:rFonts w:ascii="Arial" w:cs="Arial" w:eastAsia="Arial" w:hAnsi="Arial"/>
                <w:sz w:val="13"/>
                <w:szCs w:val="13"/>
                <w:i w:val="1"/>
                <w:iCs w:val="1"/>
                <w:color w:val="auto"/>
              </w:rPr>
              <w:t>FDS Avionics Corp. (dba Flight Display Systems)</w:t>
            </w:r>
          </w:p>
        </w:tc>
        <w:tc>
          <w:tcPr>
            <w:tcW w:w="1960" w:type="dxa"/>
            <w:vAlign w:val="bottom"/>
            <w:gridSpan w:val="2"/>
          </w:tcPr>
          <w:p>
            <w:pPr>
              <w:spacing w:after="0" w:line="129" w:lineRule="exact"/>
              <w:rPr>
                <w:sz w:val="20"/>
                <w:szCs w:val="20"/>
                <w:color w:val="auto"/>
              </w:rPr>
            </w:pPr>
            <w:r>
              <w:rPr>
                <w:rFonts w:ascii="Arial" w:cs="Arial" w:eastAsia="Arial" w:hAnsi="Arial"/>
                <w:sz w:val="13"/>
                <w:szCs w:val="13"/>
                <w:color w:val="auto"/>
                <w:w w:val="91"/>
              </w:rPr>
              <w:t>Aerospace &amp; Defense Manufacturing</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6.00%/9.00%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11/5/2014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12/31/2021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4,420</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4,418</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4,227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Revolving Loan ($30 commitment)</w:t>
            </w: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0"/>
              </w:rPr>
              <w:t>6.00%/9.00%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4/12/2018</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12/31/2021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261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261</w:t>
            </w: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(7,478 shares) (j)</w:t>
            </w: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11/10/2017</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748</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(2,550 shares)</w:t>
            </w: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12/26/2019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2,550</w:t>
            </w: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915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7,977</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5,403</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135"/>
        </w:trPr>
        <w:tc>
          <w:tcPr>
            <w:tcW w:w="30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US GreenFiber, LLC</w:t>
            </w:r>
          </w:p>
        </w:tc>
        <w:tc>
          <w:tcPr>
            <w:tcW w:w="1960" w:type="dxa"/>
            <w:vAlign w:val="bottom"/>
            <w:gridSpan w:val="2"/>
          </w:tcPr>
          <w:p>
            <w:pPr>
              <w:spacing w:after="0" w:line="135" w:lineRule="exact"/>
              <w:rPr>
                <w:sz w:val="20"/>
                <w:szCs w:val="20"/>
                <w:color w:val="auto"/>
              </w:rPr>
            </w:pPr>
            <w:r>
              <w:rPr>
                <w:rFonts w:ascii="Arial" w:cs="Arial" w:eastAsia="Arial" w:hAnsi="Arial"/>
                <w:sz w:val="13"/>
                <w:szCs w:val="13"/>
                <w:color w:val="auto"/>
              </w:rPr>
              <w:t>Building Products Manufacturing</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7.00%/6.00%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7/3/2014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8/30/2024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14,498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0"/>
              </w:rPr>
              <w:t>14,494</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11,757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90"/>
              </w:rPr>
              <w:t>7.50%/7.50%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11/9/2018</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8/30/2024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4,660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4,660</w:t>
            </w: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4,660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(2,522 units) (h)(j)</w:t>
            </w: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7/3/2014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586</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(425,508 units) (j)</w:t>
            </w: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8/30/2019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0"/>
              </w:rPr>
              <w:t>19,741</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16,417</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r>
      <w:tr>
        <w:trPr>
          <w:trHeight w:val="142"/>
        </w:trPr>
        <w:tc>
          <w:tcPr>
            <w:tcW w:w="304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Total Control Investments</w:t>
            </w: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27,718</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21,820</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16"/>
        </w:trPr>
        <w:tc>
          <w:tcPr>
            <w:tcW w:w="3040" w:type="dxa"/>
            <w:vAlign w:val="bottom"/>
            <w:gridSpan w:val="3"/>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Affiliate Investments (l)</w:t>
            </w:r>
          </w:p>
        </w:tc>
        <w:tc>
          <w:tcPr>
            <w:tcW w:w="1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8"/>
        </w:trPr>
        <w:tc>
          <w:tcPr>
            <w:tcW w:w="12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i w:val="1"/>
                <w:iCs w:val="1"/>
                <w:color w:val="auto"/>
                <w:w w:val="95"/>
              </w:rPr>
              <w:t>FAR Research Inc. (n)</w:t>
            </w:r>
          </w:p>
        </w:tc>
        <w:tc>
          <w:tcPr>
            <w:tcW w:w="1780" w:type="dxa"/>
            <w:vAlign w:val="bottom"/>
            <w:tcBorders>
              <w:top w:val="single" w:sz="8" w:color="CCEEFF"/>
            </w:tcBorders>
            <w:gridSpan w:val="2"/>
          </w:tcPr>
          <w:p>
            <w:pPr>
              <w:spacing w:after="0"/>
              <w:rPr>
                <w:sz w:val="11"/>
                <w:szCs w:val="11"/>
                <w:color w:val="auto"/>
              </w:rPr>
            </w:pPr>
          </w:p>
        </w:tc>
        <w:tc>
          <w:tcPr>
            <w:tcW w:w="1960" w:type="dxa"/>
            <w:vAlign w:val="bottom"/>
            <w:tcBorders>
              <w:top w:val="single" w:sz="8" w:color="CCEEFF"/>
            </w:tcBorders>
            <w:gridSpan w:val="2"/>
          </w:tcPr>
          <w:p>
            <w:pPr>
              <w:spacing w:after="0" w:line="129" w:lineRule="exact"/>
              <w:rPr>
                <w:sz w:val="20"/>
                <w:szCs w:val="20"/>
                <w:color w:val="auto"/>
              </w:rPr>
            </w:pPr>
            <w:r>
              <w:rPr>
                <w:rFonts w:ascii="Arial" w:cs="Arial" w:eastAsia="Arial" w:hAnsi="Arial"/>
                <w:sz w:val="13"/>
                <w:szCs w:val="13"/>
                <w:color w:val="auto"/>
              </w:rPr>
              <w:t>Specialty Chemicals</w:t>
            </w:r>
          </w:p>
        </w:tc>
        <w:tc>
          <w:tcPr>
            <w:tcW w:w="11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r>
      <w:tr>
        <w:trPr>
          <w:trHeight w:val="135"/>
        </w:trPr>
        <w:tc>
          <w:tcPr>
            <w:tcW w:w="30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(1,396 units)</w:t>
            </w: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3/31/2014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28</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243"/>
        </w:trPr>
        <w:tc>
          <w:tcPr>
            <w:tcW w:w="3040" w:type="dxa"/>
            <w:vAlign w:val="bottom"/>
            <w:gridSpan w:val="3"/>
          </w:tcPr>
          <w:p>
            <w:pPr>
              <w:spacing w:after="0"/>
              <w:rPr>
                <w:sz w:val="20"/>
                <w:szCs w:val="20"/>
                <w:color w:val="auto"/>
              </w:rPr>
            </w:pPr>
            <w:r>
              <w:rPr>
                <w:rFonts w:ascii="Arial" w:cs="Arial" w:eastAsia="Arial" w:hAnsi="Arial"/>
                <w:sz w:val="13"/>
                <w:szCs w:val="13"/>
                <w:i w:val="1"/>
                <w:iCs w:val="1"/>
                <w:color w:val="auto"/>
              </w:rPr>
              <w:t>Fiber Materials, Inc.</w:t>
            </w:r>
          </w:p>
        </w:tc>
        <w:tc>
          <w:tcPr>
            <w:tcW w:w="1960" w:type="dxa"/>
            <w:vAlign w:val="bottom"/>
            <w:gridSpan w:val="2"/>
          </w:tcPr>
          <w:p>
            <w:pPr>
              <w:spacing w:after="0"/>
              <w:rPr>
                <w:sz w:val="20"/>
                <w:szCs w:val="20"/>
                <w:color w:val="auto"/>
              </w:rPr>
            </w:pPr>
            <w:r>
              <w:rPr>
                <w:rFonts w:ascii="Arial" w:cs="Arial" w:eastAsia="Arial" w:hAnsi="Arial"/>
                <w:sz w:val="13"/>
                <w:szCs w:val="13"/>
                <w:color w:val="auto"/>
                <w:w w:val="91"/>
              </w:rPr>
              <w:t>Aerospace &amp; Defense Manufacturing</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30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 units)</w:t>
            </w: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11/30/2016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645</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10,449</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243"/>
        </w:trPr>
        <w:tc>
          <w:tcPr>
            <w:tcW w:w="3040" w:type="dxa"/>
            <w:vAlign w:val="bottom"/>
            <w:gridSpan w:val="3"/>
          </w:tcPr>
          <w:p>
            <w:pPr>
              <w:spacing w:after="0"/>
              <w:rPr>
                <w:sz w:val="20"/>
                <w:szCs w:val="20"/>
                <w:color w:val="auto"/>
              </w:rPr>
            </w:pPr>
            <w:r>
              <w:rPr>
                <w:rFonts w:ascii="Arial" w:cs="Arial" w:eastAsia="Arial" w:hAnsi="Arial"/>
                <w:sz w:val="13"/>
                <w:szCs w:val="13"/>
                <w:i w:val="1"/>
                <w:iCs w:val="1"/>
                <w:color w:val="auto"/>
              </w:rPr>
              <w:t>Medsurant Holdings, LLC</w:t>
            </w:r>
          </w:p>
        </w:tc>
        <w:tc>
          <w:tcPr>
            <w:tcW w:w="1960" w:type="dxa"/>
            <w:vAlign w:val="bottom"/>
            <w:gridSpan w:val="2"/>
          </w:tcPr>
          <w:p>
            <w:pPr>
              <w:spacing w:after="0"/>
              <w:rPr>
                <w:sz w:val="20"/>
                <w:szCs w:val="20"/>
                <w:color w:val="auto"/>
              </w:rPr>
            </w:pPr>
            <w:r>
              <w:rPr>
                <w:rFonts w:ascii="Arial" w:cs="Arial" w:eastAsia="Arial" w:hAnsi="Arial"/>
                <w:sz w:val="13"/>
                <w:szCs w:val="13"/>
                <w:color w:val="auto"/>
              </w:rPr>
              <w:t>Healthcare Services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30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13.00%/0.00%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12/18/2015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6/30/2020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8,823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8,814</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8,823</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(126,662 units) (h)</w:t>
            </w: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4/12/2011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1,346</w:t>
            </w: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1,780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(505,176 units) (h)(m)</w:t>
            </w: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4/12/2011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4,516</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6,377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14,676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16,980</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4%</w:t>
            </w:r>
          </w:p>
        </w:tc>
      </w:tr>
      <w:tr>
        <w:trPr>
          <w:trHeight w:val="135"/>
        </w:trPr>
        <w:tc>
          <w:tcPr>
            <w:tcW w:w="30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Microbiology Research Associates, Inc.</w:t>
            </w: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Healthcare Services</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11.00%/1.50%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5/13/2015</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3/13/2022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8,930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8,921</w:t>
            </w: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8,930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(1,625,731 units) (j)</w:t>
            </w: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5/13/2015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1,939</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2,681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10,860</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11,611</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30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Mirage Trailers LLC</w:t>
            </w: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Utility Equipment Manufacturing</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8"/>
              </w:rPr>
              <w:t>(L + 8.50%) / (1.00%)</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10.20%/4.50%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11/25/2015</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11/25/2020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6,250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6,253</w:t>
            </w: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6,250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(2,500,000 shares) (o)</w:t>
            </w: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11/25/2015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2,184</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968</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8,437</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7,218</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30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Pfanstiehl, Inc.</w:t>
            </w: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Healthcare Products</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10.50%/0.00%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3/29/2013</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9/29/2022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6,208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6,201</w:t>
            </w: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6,208</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(8,500 units) (j)</w:t>
            </w: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3/29/2013</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850</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26,614</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7,051</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32,822</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8%</w:t>
            </w:r>
          </w:p>
        </w:tc>
      </w:tr>
      <w:tr>
        <w:trPr>
          <w:trHeight w:val="135"/>
        </w:trPr>
        <w:tc>
          <w:tcPr>
            <w:tcW w:w="30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Pinnergy, Ltd.</w:t>
            </w: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Oil &amp; Gas Services</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 Class A-2 (42,500 units) (k)</w:t>
            </w: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10/13/2016</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3,000</w:t>
            </w: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29,831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 Class B (1,000 units) (k)</w:t>
            </w: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10/13/2016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3,000</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3,147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6,000</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32,978</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8%</w:t>
            </w:r>
          </w:p>
        </w:tc>
      </w:tr>
      <w:tr>
        <w:trPr>
          <w:trHeight w:val="135"/>
        </w:trPr>
        <w:tc>
          <w:tcPr>
            <w:tcW w:w="30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2"/>
              </w:rPr>
              <w:t>Steward Holding LLC (dba Steward Advanced Materials)</w:t>
            </w:r>
          </w:p>
        </w:tc>
        <w:tc>
          <w:tcPr>
            <w:tcW w:w="1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1"/>
              </w:rPr>
              <w:t>Aerospace &amp; Defense Manufacturing</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0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12.00%/1.50%</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11/12/2015</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5/12/2021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7,667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8"/>
              </w:rPr>
              <w:t>7,659</w:t>
            </w: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7,667</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0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11/12/2015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1,000</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1,802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8,659</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9,469</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30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Affiliate Investments</w:t>
            </w:r>
          </w:p>
        </w:tc>
        <w:tc>
          <w:tcPr>
            <w:tcW w:w="1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0"/>
              </w:rPr>
              <w:t>56,328</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u w:val="single" w:color="auto"/>
                <w:color w:val="auto"/>
                <w:w w:val="82"/>
              </w:rPr>
              <w:t>$</w:t>
            </w: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0"/>
              </w:rPr>
              <w:t>121,555</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w:t>
            </w:r>
          </w:p>
        </w:tc>
      </w:tr>
      <w:tr>
        <w:trPr>
          <w:trHeight w:val="20"/>
        </w:trPr>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26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Variable Index</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8"/>
              </w:rPr>
              <w:t>Rate (e)</w:t>
            </w:r>
          </w:p>
        </w:tc>
        <w:tc>
          <w:tcPr>
            <w:tcW w:w="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w w:val="93"/>
              </w:rPr>
              <w:t>Investment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7"/>
              </w:rPr>
              <w:t>Principal</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r>
      <w:tr>
        <w:trPr>
          <w:trHeight w:val="173"/>
        </w:trPr>
        <w:tc>
          <w:tcPr>
            <w:tcW w:w="1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Investment Type (c)</w:t>
            </w:r>
          </w:p>
        </w:tc>
        <w:tc>
          <w:tcPr>
            <w:tcW w:w="1920" w:type="dxa"/>
            <w:vAlign w:val="bottom"/>
            <w:gridSpan w:val="2"/>
          </w:tcPr>
          <w:p>
            <w:pPr>
              <w:spacing w:after="0"/>
              <w:rPr>
                <w:sz w:val="15"/>
                <w:szCs w:val="15"/>
                <w:color w:val="auto"/>
              </w:rPr>
            </w:pPr>
          </w:p>
        </w:tc>
        <w:tc>
          <w:tcPr>
            <w:tcW w:w="1940" w:type="dxa"/>
            <w:vAlign w:val="bottom"/>
            <w:gridSpan w:val="2"/>
          </w:tcPr>
          <w:p>
            <w:pPr>
              <w:ind w:left="680"/>
              <w:spacing w:after="0"/>
              <w:rPr>
                <w:sz w:val="20"/>
                <w:szCs w:val="20"/>
                <w:color w:val="auto"/>
              </w:rPr>
            </w:pPr>
            <w:r>
              <w:rPr>
                <w:rFonts w:ascii="Arial" w:cs="Arial" w:eastAsia="Arial" w:hAnsi="Arial"/>
                <w:sz w:val="13"/>
                <w:szCs w:val="13"/>
                <w:b w:val="1"/>
                <w:bCs w:val="1"/>
                <w:color w:val="auto"/>
              </w:rPr>
              <w:t>Industry</w:t>
            </w:r>
          </w:p>
        </w:tc>
        <w:tc>
          <w:tcPr>
            <w:tcW w:w="12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Spread / Floor (d)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Cash/PIK</w:t>
            </w:r>
          </w:p>
        </w:tc>
        <w:tc>
          <w:tcPr>
            <w:tcW w:w="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Date (f)</w:t>
            </w:r>
          </w:p>
        </w:tc>
        <w:tc>
          <w:tcPr>
            <w:tcW w:w="620" w:type="dxa"/>
            <w:vAlign w:val="bottom"/>
          </w:tcPr>
          <w:p>
            <w:pPr>
              <w:ind w:left="80"/>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5"/>
                <w:szCs w:val="15"/>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r>
      <w:tr>
        <w:trPr>
          <w:trHeight w:val="95"/>
        </w:trPr>
        <w:tc>
          <w:tcPr>
            <w:tcW w:w="2040" w:type="dxa"/>
            <w:vAlign w:val="bottom"/>
            <w:tcBorders>
              <w:top w:val="single" w:sz="8" w:color="CCEEFF"/>
              <w:bottom w:val="single" w:sz="8" w:color="auto"/>
            </w:tcBorders>
            <w:gridSpan w:val="2"/>
            <w:shd w:val="clear" w:color="auto" w:fill="CCEEFF"/>
          </w:tcPr>
          <w:p>
            <w:pPr>
              <w:spacing w:after="0" w:line="95" w:lineRule="exact"/>
              <w:rPr>
                <w:sz w:val="20"/>
                <w:szCs w:val="20"/>
                <w:color w:val="auto"/>
              </w:rPr>
            </w:pPr>
            <w:r>
              <w:rPr>
                <w:rFonts w:ascii="Arial" w:cs="Arial" w:eastAsia="Arial" w:hAnsi="Arial"/>
                <w:sz w:val="10"/>
                <w:szCs w:val="10"/>
                <w:b w:val="1"/>
                <w:bCs w:val="1"/>
                <w:color w:val="auto"/>
              </w:rPr>
              <w:t>Non-control/Non-affiliate Investments</w:t>
            </w:r>
          </w:p>
        </w:tc>
        <w:tc>
          <w:tcPr>
            <w:tcW w:w="1220" w:type="dxa"/>
            <w:vAlign w:val="bottom"/>
            <w:tcBorders>
              <w:top w:val="single" w:sz="8" w:color="CCEEFF"/>
              <w:bottom w:val="single" w:sz="8" w:color="CCEEFF"/>
            </w:tcBorders>
            <w:shd w:val="clear" w:color="auto" w:fill="CCEEFF"/>
          </w:tcPr>
          <w:p>
            <w:pPr>
              <w:spacing w:after="0"/>
              <w:rPr>
                <w:sz w:val="8"/>
                <w:szCs w:val="8"/>
                <w:color w:val="auto"/>
              </w:rPr>
            </w:pPr>
          </w:p>
        </w:tc>
        <w:tc>
          <w:tcPr>
            <w:tcW w:w="184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18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500" w:type="dxa"/>
            <w:vAlign w:val="bottom"/>
            <w:tcBorders>
              <w:top w:val="single" w:sz="8" w:color="auto"/>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420" w:type="dxa"/>
            <w:vAlign w:val="bottom"/>
            <w:tcBorders>
              <w:top w:val="single" w:sz="8" w:color="auto"/>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50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r>
      <w:tr>
        <w:trPr>
          <w:trHeight w:val="128"/>
        </w:trPr>
        <w:tc>
          <w:tcPr>
            <w:tcW w:w="3260" w:type="dxa"/>
            <w:vAlign w:val="bottom"/>
            <w:gridSpan w:val="3"/>
          </w:tcPr>
          <w:p>
            <w:pPr>
              <w:spacing w:after="0" w:line="129" w:lineRule="exact"/>
              <w:rPr>
                <w:sz w:val="20"/>
                <w:szCs w:val="20"/>
                <w:color w:val="auto"/>
              </w:rPr>
            </w:pPr>
            <w:r>
              <w:rPr>
                <w:rFonts w:ascii="Arial" w:cs="Arial" w:eastAsia="Arial" w:hAnsi="Arial"/>
                <w:sz w:val="13"/>
                <w:szCs w:val="13"/>
                <w:i w:val="1"/>
                <w:iCs w:val="1"/>
                <w:color w:val="auto"/>
              </w:rPr>
              <w:t>Accent Food Services, LLC</w:t>
            </w:r>
          </w:p>
        </w:tc>
        <w:tc>
          <w:tcPr>
            <w:tcW w:w="1940" w:type="dxa"/>
            <w:vAlign w:val="bottom"/>
            <w:gridSpan w:val="2"/>
          </w:tcPr>
          <w:p>
            <w:pPr>
              <w:ind w:left="40"/>
              <w:spacing w:after="0" w:line="129" w:lineRule="exact"/>
              <w:rPr>
                <w:sz w:val="20"/>
                <w:szCs w:val="20"/>
                <w:color w:val="auto"/>
              </w:rPr>
            </w:pPr>
            <w:r>
              <w:rPr>
                <w:rFonts w:ascii="Arial" w:cs="Arial" w:eastAsia="Arial" w:hAnsi="Arial"/>
                <w:sz w:val="13"/>
                <w:szCs w:val="13"/>
                <w:color w:val="auto"/>
                <w:w w:val="94"/>
              </w:rPr>
              <w:t>Vending Equipment Manufacturing</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(k)(p)</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1"/>
              </w:rPr>
              <w:t>10.00%/5.00% 11/30/2016</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5/30/2022</w:t>
            </w:r>
          </w:p>
        </w:tc>
        <w:tc>
          <w:tcPr>
            <w:tcW w:w="6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  33,842</w:t>
            </w: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7"/>
              </w:rPr>
              <w:t>$33,760</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$ 31,626</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(j)(p)</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3"/>
                <w:szCs w:val="13"/>
                <w:color w:val="auto"/>
                <w:w w:val="87"/>
              </w:rPr>
              <w:t>0.00%/17.00%</w:t>
            </w: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6/28/2019</w:t>
            </w:r>
          </w:p>
        </w:tc>
        <w:tc>
          <w:tcPr>
            <w:tcW w:w="4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5/30/2022</w:t>
            </w:r>
          </w:p>
        </w:tc>
        <w:tc>
          <w:tcPr>
            <w:tcW w:w="6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1,567</w:t>
            </w:r>
          </w:p>
        </w:tc>
        <w:tc>
          <w:tcPr>
            <w:tcW w:w="5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1,567</w:t>
            </w:r>
          </w:p>
        </w:tc>
        <w:tc>
          <w:tcPr>
            <w:tcW w:w="6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1,441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(7,885 units) (h)(j)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2"/>
              </w:rPr>
              <w:t>11/30/2016</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800</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36,127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33,294</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8%</w:t>
            </w:r>
          </w:p>
        </w:tc>
      </w:tr>
      <w:tr>
        <w:trPr>
          <w:trHeight w:val="135"/>
        </w:trPr>
        <w:tc>
          <w:tcPr>
            <w:tcW w:w="32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Allied 100 Group, Inc.</w:t>
            </w:r>
          </w:p>
        </w:tc>
        <w:tc>
          <w:tcPr>
            <w:tcW w:w="19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Healthcare Products</w:t>
            </w: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3"/>
                <w:szCs w:val="13"/>
                <w:color w:val="auto"/>
                <w:w w:val="87"/>
              </w:rPr>
              <w:t>11.25%/0.00%</w:t>
            </w: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7/31/2019</w:t>
            </w:r>
          </w:p>
        </w:tc>
        <w:tc>
          <w:tcPr>
            <w:tcW w:w="4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5/26/2023</w:t>
            </w:r>
          </w:p>
        </w:tc>
        <w:tc>
          <w:tcPr>
            <w:tcW w:w="6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21,500</w:t>
            </w:r>
          </w:p>
        </w:tc>
        <w:tc>
          <w:tcPr>
            <w:tcW w:w="5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21,405</w:t>
            </w:r>
          </w:p>
        </w:tc>
        <w:tc>
          <w:tcPr>
            <w:tcW w:w="6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21,405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(1,250,000 units) (j)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2"/>
              </w:rPr>
              <w:t>11/26/2014</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1,250</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1,465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22,655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22,870</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6%</w:t>
            </w:r>
          </w:p>
        </w:tc>
      </w:tr>
      <w:tr>
        <w:trPr>
          <w:trHeight w:val="135"/>
        </w:trPr>
        <w:tc>
          <w:tcPr>
            <w:tcW w:w="32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Alzheimer’s Research and Treatment Center, LLC</w:t>
            </w:r>
          </w:p>
        </w:tc>
        <w:tc>
          <w:tcPr>
            <w:tcW w:w="19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Healthcare Services</w:t>
            </w: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(j)(w)</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0"/>
              </w:rPr>
              <w:t>(L + 5.75%) / (2.00%)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7.75%/0.00%</w:t>
            </w: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2"/>
              </w:rPr>
              <w:t>10/23/2018</w:t>
            </w:r>
          </w:p>
        </w:tc>
        <w:tc>
          <w:tcPr>
            <w:tcW w:w="4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10/23/2023</w:t>
            </w:r>
          </w:p>
        </w:tc>
        <w:tc>
          <w:tcPr>
            <w:tcW w:w="6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6,500</w:t>
            </w:r>
          </w:p>
        </w:tc>
        <w:tc>
          <w:tcPr>
            <w:tcW w:w="5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6,461</w:t>
            </w:r>
          </w:p>
        </w:tc>
        <w:tc>
          <w:tcPr>
            <w:tcW w:w="6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6,500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 units) (h)(j)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2"/>
              </w:rPr>
              <w:t>10/23/2018</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1,000</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1,406</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7,461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7,906</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32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0"/>
              </w:rPr>
              <w:t>American AllWaste LLC (dba WasteWater Transport Services)</w:t>
            </w:r>
          </w:p>
        </w:tc>
        <w:tc>
          <w:tcPr>
            <w:tcW w:w="19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Environmental Industries</w:t>
            </w: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00" w:type="dxa"/>
            <w:vAlign w:val="bottom"/>
            <w:gridSpan w:val="6"/>
          </w:tcPr>
          <w:p>
            <w:pPr>
              <w:jc w:val="right"/>
              <w:ind w:right="140"/>
              <w:spacing w:after="0" w:line="135" w:lineRule="exact"/>
              <w:rPr>
                <w:sz w:val="20"/>
                <w:szCs w:val="20"/>
                <w:color w:val="auto"/>
              </w:rPr>
            </w:pPr>
            <w:r>
              <w:rPr>
                <w:rFonts w:ascii="Arial" w:cs="Arial" w:eastAsia="Arial" w:hAnsi="Arial"/>
                <w:sz w:val="13"/>
                <w:szCs w:val="13"/>
                <w:color w:val="auto"/>
                <w:w w:val="90"/>
              </w:rPr>
              <w:t>(L + 11.00%) / (2.00%) 13.00%/0.00% 5/31/2018</w:t>
            </w: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11/30/2023</w:t>
            </w:r>
          </w:p>
        </w:tc>
        <w:tc>
          <w:tcPr>
            <w:tcW w:w="6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17,503</w:t>
            </w:r>
          </w:p>
        </w:tc>
        <w:tc>
          <w:tcPr>
            <w:tcW w:w="5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17,411</w:t>
            </w:r>
          </w:p>
        </w:tc>
        <w:tc>
          <w:tcPr>
            <w:tcW w:w="6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17,503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(500 units) (h)(j)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5/31/2018</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500</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540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(207 units) (h)(j)</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8/6/2019</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250</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18,161</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18,293</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r>
      <w:tr>
        <w:trPr>
          <w:trHeight w:val="135"/>
        </w:trPr>
        <w:tc>
          <w:tcPr>
            <w:tcW w:w="32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Argo Turboserve Corporation</w:t>
            </w:r>
          </w:p>
        </w:tc>
        <w:tc>
          <w:tcPr>
            <w:tcW w:w="19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90"/>
              </w:rPr>
              <w:t>(L + 9.75%) / (2.00%)</w:t>
            </w:r>
          </w:p>
        </w:tc>
        <w:tc>
          <w:tcPr>
            <w:tcW w:w="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7"/>
              </w:rPr>
              <w:t>11.84%/0.00%</w:t>
            </w: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2"/>
              </w:rPr>
              <w:t>12/26/2018</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6/28/2023</w:t>
            </w:r>
          </w:p>
        </w:tc>
        <w:tc>
          <w:tcPr>
            <w:tcW w:w="6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14,156</w:t>
            </w: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14,098</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14,156</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243"/>
        </w:trPr>
        <w:tc>
          <w:tcPr>
            <w:tcW w:w="3260" w:type="dxa"/>
            <w:vAlign w:val="bottom"/>
            <w:gridSpan w:val="3"/>
          </w:tcPr>
          <w:p>
            <w:pPr>
              <w:spacing w:after="0"/>
              <w:rPr>
                <w:sz w:val="20"/>
                <w:szCs w:val="20"/>
                <w:color w:val="auto"/>
              </w:rPr>
            </w:pPr>
            <w:r>
              <w:rPr>
                <w:rFonts w:ascii="Arial" w:cs="Arial" w:eastAsia="Arial" w:hAnsi="Arial"/>
                <w:sz w:val="13"/>
                <w:szCs w:val="13"/>
                <w:i w:val="1"/>
                <w:iCs w:val="1"/>
                <w:color w:val="auto"/>
              </w:rPr>
              <w:t>AVC Investors, LLC (dba Auveco)</w:t>
            </w: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Specialty Distribution</w:t>
            </w: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7"/>
              </w:rPr>
              <w:t>11.50%/0.00%</w:t>
            </w: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1/3/2018</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7/3/2023</w:t>
            </w:r>
          </w:p>
        </w:tc>
        <w:tc>
          <w:tcPr>
            <w:tcW w:w="6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22,500</w:t>
            </w: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22,427</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22,500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 units) (j)</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1/3/2018</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776</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22,917</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23,276</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r>
      <w:tr>
        <w:trPr>
          <w:trHeight w:val="135"/>
        </w:trPr>
        <w:tc>
          <w:tcPr>
            <w:tcW w:w="32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B&amp;B Roadway and Security Solutions, LLC</w:t>
            </w:r>
          </w:p>
        </w:tc>
        <w:tc>
          <w:tcPr>
            <w:tcW w:w="19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5"/>
              </w:rPr>
              <w:t>10.50%/3.50% 2/27/2018</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8/27/2023</w:t>
            </w:r>
          </w:p>
        </w:tc>
        <w:tc>
          <w:tcPr>
            <w:tcW w:w="6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10,493</w:t>
            </w: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10,456</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9,569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(50,000 units) (h)(j)</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2/27/2018</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200</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10,956</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9,769</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32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Bandon Fitness (Texas), Inc.</w:t>
            </w:r>
          </w:p>
        </w:tc>
        <w:tc>
          <w:tcPr>
            <w:tcW w:w="19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Retail</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(j)(z)</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90"/>
              </w:rPr>
              <w:t>(L + 6.00%) / (2.25%)</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8.25%/0.00%</w:t>
            </w: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8/9/2019</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8/9/2024</w:t>
            </w:r>
          </w:p>
        </w:tc>
        <w:tc>
          <w:tcPr>
            <w:tcW w:w="6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13,250</w:t>
            </w: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12,785</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12,785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(497,549 units) (j)</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8/9/2019</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849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849</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13,634</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13,634</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32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BCC Group Holdings, Inc.</w:t>
            </w:r>
          </w:p>
        </w:tc>
        <w:tc>
          <w:tcPr>
            <w:tcW w:w="194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9"/>
              </w:rPr>
              <w:t>Information Technology Services</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7"/>
              </w:rPr>
              <w:t>11.00%/1.00%</w:t>
            </w: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1/28/2019</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4/11/2023</w:t>
            </w:r>
          </w:p>
        </w:tc>
        <w:tc>
          <w:tcPr>
            <w:tcW w:w="6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18,167</w:t>
            </w: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18,027</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18,167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(451 shares)</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1/28/2019</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232</w:t>
            </w:r>
          </w:p>
        </w:tc>
        <w:tc>
          <w:tcPr>
            <w:tcW w:w="6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167</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(14 shares)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1/28/2019</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143</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143</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18,402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18,477</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4%</w:t>
            </w:r>
          </w:p>
        </w:tc>
      </w:tr>
      <w:tr>
        <w:trPr>
          <w:trHeight w:val="135"/>
        </w:trPr>
        <w:tc>
          <w:tcPr>
            <w:tcW w:w="32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BCM One Group Holdings, Inc.</w:t>
            </w:r>
          </w:p>
        </w:tc>
        <w:tc>
          <w:tcPr>
            <w:tcW w:w="19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9"/>
              </w:rPr>
              <w:t>Information Technology Services</w:t>
            </w: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3"/>
                <w:szCs w:val="13"/>
                <w:color w:val="auto"/>
                <w:w w:val="87"/>
              </w:rPr>
              <w:t>11.00%/0.00%</w:t>
            </w: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1/3/2019</w:t>
            </w:r>
          </w:p>
        </w:tc>
        <w:tc>
          <w:tcPr>
            <w:tcW w:w="4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7/3/2024</w:t>
            </w:r>
          </w:p>
        </w:tc>
        <w:tc>
          <w:tcPr>
            <w:tcW w:w="6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27,000</w:t>
            </w:r>
          </w:p>
        </w:tc>
        <w:tc>
          <w:tcPr>
            <w:tcW w:w="5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26,888</w:t>
            </w:r>
          </w:p>
        </w:tc>
        <w:tc>
          <w:tcPr>
            <w:tcW w:w="6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27,000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(2,286 shares)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1/3/2019</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(133 shares)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1/3/2019</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1,330</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28,220</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28,662</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w:t>
            </w:r>
          </w:p>
        </w:tc>
      </w:tr>
      <w:tr>
        <w:trPr>
          <w:trHeight w:val="135"/>
        </w:trPr>
        <w:tc>
          <w:tcPr>
            <w:tcW w:w="32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Bedford Precision Parts LLC</w:t>
            </w:r>
          </w:p>
        </w:tc>
        <w:tc>
          <w:tcPr>
            <w:tcW w:w="19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90"/>
              </w:rPr>
              <w:t>(L + 6.25%) / (2.00%)</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8.25%/0.00%</w:t>
            </w: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3/12/2019</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3/12/2024</w:t>
            </w:r>
          </w:p>
        </w:tc>
        <w:tc>
          <w:tcPr>
            <w:tcW w:w="6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5,000</w:t>
            </w: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4,969</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(500,000 units) (h)(j)</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3/12/2019</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445</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5,469</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5,445</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135"/>
        </w:trPr>
        <w:tc>
          <w:tcPr>
            <w:tcW w:w="32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Cardboard Box LLC (dba Anthony’s Coal Fired Pizza)</w:t>
            </w:r>
          </w:p>
        </w:tc>
        <w:tc>
          <w:tcPr>
            <w:tcW w:w="19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Restaurants</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(521,021 units) (j)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2"/>
              </w:rPr>
              <w:t>12/15/2015</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521</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113</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(99,889 units) (j)</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12/6/2019</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146</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570</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259</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326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ControlScan, Inc.</w:t>
            </w:r>
          </w:p>
        </w:tc>
        <w:tc>
          <w:tcPr>
            <w:tcW w:w="194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9"/>
              </w:rPr>
              <w:t>Information Technology Services</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7"/>
              </w:rPr>
              <w:t>11.00%/0.00%</w:t>
            </w: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7/28/2017</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1/28/2023</w:t>
            </w:r>
          </w:p>
        </w:tc>
        <w:tc>
          <w:tcPr>
            <w:tcW w:w="64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6,750</w:t>
            </w: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6,731</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6,750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(3,704 shares) (j)</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7/28/2017</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6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624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(100 shares) (j)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7/28/2017</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996</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996</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7,731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8,370</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32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CRS Solutions Holdings, LLC (dba CRS Texas)</w:t>
            </w:r>
          </w:p>
        </w:tc>
        <w:tc>
          <w:tcPr>
            <w:tcW w:w="19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spacing w:after="0" w:line="135" w:lineRule="exact"/>
              <w:rPr>
                <w:sz w:val="20"/>
                <w:szCs w:val="20"/>
                <w:color w:val="auto"/>
              </w:rPr>
            </w:pPr>
            <w:r>
              <w:rPr>
                <w:rFonts w:ascii="Arial" w:cs="Arial" w:eastAsia="Arial" w:hAnsi="Arial"/>
                <w:sz w:val="13"/>
                <w:szCs w:val="13"/>
                <w:color w:val="auto"/>
                <w:w w:val="95"/>
              </w:rPr>
              <w:t>10.50%/1.00% 3/14/2018</w:t>
            </w:r>
          </w:p>
        </w:tc>
        <w:tc>
          <w:tcPr>
            <w:tcW w:w="4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9/14/2023</w:t>
            </w:r>
          </w:p>
        </w:tc>
        <w:tc>
          <w:tcPr>
            <w:tcW w:w="6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9,166</w:t>
            </w:r>
          </w:p>
        </w:tc>
        <w:tc>
          <w:tcPr>
            <w:tcW w:w="5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9,136</w:t>
            </w:r>
          </w:p>
        </w:tc>
        <w:tc>
          <w:tcPr>
            <w:tcW w:w="6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9,166</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(750,000 units) (h)(j)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3/14/2018</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750</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822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9,886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9,988</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32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Diversified Search LLC</w:t>
            </w:r>
          </w:p>
        </w:tc>
        <w:tc>
          <w:tcPr>
            <w:tcW w:w="19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(k)(r)</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0"/>
              </w:rPr>
              <w:t>(L + 5.75%) / (1.75%)</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7.69%/0.00%</w:t>
            </w:r>
          </w:p>
        </w:tc>
        <w:tc>
          <w:tcPr>
            <w:tcW w:w="6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2/7/2019</w:t>
            </w:r>
          </w:p>
        </w:tc>
        <w:tc>
          <w:tcPr>
            <w:tcW w:w="4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2/7/2024</w:t>
            </w:r>
          </w:p>
        </w:tc>
        <w:tc>
          <w:tcPr>
            <w:tcW w:w="6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15,155</w:t>
            </w:r>
          </w:p>
        </w:tc>
        <w:tc>
          <w:tcPr>
            <w:tcW w:w="5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14,939</w:t>
            </w:r>
          </w:p>
        </w:tc>
        <w:tc>
          <w:tcPr>
            <w:tcW w:w="6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15,155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(573 units) (h)(j)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2/7/2019</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593</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724</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15,532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15,879</w:t>
            </w: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4%</w:t>
            </w:r>
          </w:p>
        </w:tc>
      </w:tr>
      <w:tr>
        <w:trPr>
          <w:trHeight w:val="135"/>
        </w:trPr>
        <w:tc>
          <w:tcPr>
            <w:tcW w:w="326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EBL, LLC (EbLens)</w:t>
            </w:r>
          </w:p>
        </w:tc>
        <w:tc>
          <w:tcPr>
            <w:tcW w:w="19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Retail</w:t>
            </w: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6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spacing w:after="0" w:line="135" w:lineRule="exact"/>
              <w:rPr>
                <w:sz w:val="20"/>
                <w:szCs w:val="20"/>
                <w:color w:val="auto"/>
              </w:rPr>
            </w:pPr>
            <w:r>
              <w:rPr>
                <w:rFonts w:ascii="Arial" w:cs="Arial" w:eastAsia="Arial" w:hAnsi="Arial"/>
                <w:sz w:val="13"/>
                <w:szCs w:val="13"/>
                <w:color w:val="auto"/>
                <w:w w:val="95"/>
              </w:rPr>
              <w:t>12.00%/1.00% 7/13/2017</w:t>
            </w:r>
          </w:p>
        </w:tc>
        <w:tc>
          <w:tcPr>
            <w:tcW w:w="4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1/13/2023</w:t>
            </w:r>
          </w:p>
        </w:tc>
        <w:tc>
          <w:tcPr>
            <w:tcW w:w="6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9,484</w:t>
            </w:r>
          </w:p>
        </w:tc>
        <w:tc>
          <w:tcPr>
            <w:tcW w:w="5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9,433</w:t>
            </w:r>
          </w:p>
        </w:tc>
        <w:tc>
          <w:tcPr>
            <w:tcW w:w="6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9,484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6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 units) (j)</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7/13/2017</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750</w:t>
            </w:r>
          </w:p>
        </w:tc>
        <w:tc>
          <w:tcPr>
            <w:tcW w:w="6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669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4"/>
        </w:trPr>
        <w:tc>
          <w:tcPr>
            <w:tcW w:w="1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10,183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10,153</w:t>
            </w:r>
          </w:p>
        </w:tc>
        <w:tc>
          <w:tcPr>
            <w:tcW w:w="8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r>
    </w:tbl>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Consolidated Schedule of Investments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00"/>
          </w:cols>
          <w:pgMar w:left="320" w:top="459" w:right="479" w:bottom="1440" w:gutter="0" w:footer="0" w:header="0"/>
        </w:sectPr>
      </w:pP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Portfolio Company (a)(b)</w:t>
            </w:r>
          </w:p>
        </w:tc>
        <w:tc>
          <w:tcPr>
            <w:tcW w:w="1800" w:type="dxa"/>
            <w:vAlign w:val="bottom"/>
          </w:tcPr>
          <w:p>
            <w:pPr>
              <w:spacing w:after="0"/>
              <w:rPr>
                <w:sz w:val="12"/>
                <w:szCs w:val="12"/>
                <w:color w:val="auto"/>
              </w:rPr>
            </w:pPr>
          </w:p>
        </w:tc>
      </w:tr>
      <w:tr>
        <w:trPr>
          <w:trHeight w:val="163"/>
        </w:trPr>
        <w:tc>
          <w:tcPr>
            <w:tcW w:w="3640" w:type="dxa"/>
            <w:vAlign w:val="bottom"/>
            <w:gridSpan w:val="2"/>
          </w:tcPr>
          <w:p>
            <w:pPr>
              <w:spacing w:after="0"/>
              <w:rPr>
                <w:sz w:val="20"/>
                <w:szCs w:val="20"/>
                <w:color w:val="auto"/>
              </w:rPr>
            </w:pPr>
            <w:r>
              <w:rPr>
                <w:rFonts w:ascii="Arial" w:cs="Arial" w:eastAsia="Arial" w:hAnsi="Arial"/>
                <w:sz w:val="12"/>
                <w:szCs w:val="12"/>
                <w:b w:val="1"/>
                <w:bCs w:val="1"/>
                <w:color w:val="auto"/>
              </w:rPr>
              <w:t>Investment Type (c)</w:t>
            </w:r>
          </w:p>
        </w:tc>
        <w:tc>
          <w:tcPr>
            <w:tcW w:w="1800" w:type="dxa"/>
            <w:vAlign w:val="bottom"/>
          </w:tcPr>
          <w:p>
            <w:pPr>
              <w:ind w:left="680"/>
              <w:spacing w:after="0"/>
              <w:rPr>
                <w:sz w:val="20"/>
                <w:szCs w:val="20"/>
                <w:color w:val="auto"/>
              </w:rPr>
            </w:pPr>
            <w:r>
              <w:rPr>
                <w:rFonts w:ascii="Arial" w:cs="Arial" w:eastAsia="Arial" w:hAnsi="Arial"/>
                <w:sz w:val="12"/>
                <w:szCs w:val="12"/>
                <w:b w:val="1"/>
                <w:bCs w:val="1"/>
                <w:color w:val="auto"/>
              </w:rPr>
              <w:t>Industry</w:t>
            </w:r>
          </w:p>
        </w:tc>
      </w:tr>
      <w:tr>
        <w:trPr>
          <w:trHeight w:val="116"/>
        </w:trPr>
        <w:tc>
          <w:tcPr>
            <w:tcW w:w="1000" w:type="dxa"/>
            <w:vAlign w:val="bottom"/>
            <w:tcBorders>
              <w:top w:val="single" w:sz="8" w:color="auto"/>
            </w:tcBorders>
          </w:tcPr>
          <w:p>
            <w:pPr>
              <w:spacing w:after="0" w:line="116" w:lineRule="exact"/>
              <w:rPr>
                <w:sz w:val="20"/>
                <w:szCs w:val="20"/>
                <w:color w:val="auto"/>
              </w:rPr>
            </w:pPr>
            <w:r>
              <w:rPr>
                <w:rFonts w:ascii="Arial" w:cs="Arial" w:eastAsia="Arial" w:hAnsi="Arial"/>
                <w:sz w:val="12"/>
                <w:szCs w:val="12"/>
                <w:i w:val="1"/>
                <w:iCs w:val="1"/>
                <w:color w:val="auto"/>
                <w:w w:val="92"/>
              </w:rPr>
              <w:t>French Transit, LLC</w:t>
            </w:r>
          </w:p>
        </w:tc>
        <w:tc>
          <w:tcPr>
            <w:tcW w:w="2640" w:type="dxa"/>
            <w:vAlign w:val="bottom"/>
          </w:tcPr>
          <w:p>
            <w:pPr>
              <w:spacing w:after="0"/>
              <w:rPr>
                <w:sz w:val="10"/>
                <w:szCs w:val="10"/>
                <w:color w:val="auto"/>
              </w:rPr>
            </w:pPr>
          </w:p>
        </w:tc>
        <w:tc>
          <w:tcPr>
            <w:tcW w:w="1800" w:type="dxa"/>
            <w:vAlign w:val="bottom"/>
            <w:tcBorders>
              <w:top w:val="single" w:sz="8" w:color="auto"/>
            </w:tcBorders>
          </w:tcPr>
          <w:p>
            <w:pPr>
              <w:ind w:left="40"/>
              <w:spacing w:after="0" w:line="116" w:lineRule="exact"/>
              <w:rPr>
                <w:sz w:val="20"/>
                <w:szCs w:val="20"/>
                <w:color w:val="auto"/>
              </w:rPr>
            </w:pPr>
            <w:r>
              <w:rPr>
                <w:rFonts w:ascii="Arial" w:cs="Arial" w:eastAsia="Arial" w:hAnsi="Arial"/>
                <w:sz w:val="12"/>
                <w:szCs w:val="12"/>
                <w:color w:val="auto"/>
              </w:rPr>
              <w:t>Consumer Products</w:t>
            </w: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First Lien Debt (j)</w:t>
            </w:r>
          </w:p>
        </w:tc>
        <w:tc>
          <w:tcPr>
            <w:tcW w:w="1800" w:type="dxa"/>
            <w:vAlign w:val="bottom"/>
          </w:tcPr>
          <w:p>
            <w:pPr>
              <w:spacing w:after="0"/>
              <w:rPr>
                <w:sz w:val="11"/>
                <w:szCs w:val="11"/>
                <w:color w:val="auto"/>
              </w:rPr>
            </w:pP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Revolving Loan ($1,000 commitment) (j)(u)</w:t>
            </w:r>
          </w:p>
        </w:tc>
        <w:tc>
          <w:tcPr>
            <w:tcW w:w="1800" w:type="dxa"/>
            <w:vAlign w:val="bottom"/>
          </w:tcPr>
          <w:p>
            <w:pPr>
              <w:spacing w:after="0"/>
              <w:rPr>
                <w:sz w:val="12"/>
                <w:szCs w:val="12"/>
                <w:color w:val="auto"/>
              </w:rPr>
            </w:pPr>
          </w:p>
        </w:tc>
      </w:tr>
      <w:tr>
        <w:trPr>
          <w:trHeight w:val="284"/>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Global Plasma Solutions, Inc.</w:t>
            </w:r>
          </w:p>
        </w:tc>
        <w:tc>
          <w:tcPr>
            <w:tcW w:w="1800" w:type="dxa"/>
            <w:vAlign w:val="bottom"/>
          </w:tcPr>
          <w:p>
            <w:pPr>
              <w:ind w:left="40"/>
              <w:spacing w:after="0"/>
              <w:rPr>
                <w:sz w:val="20"/>
                <w:szCs w:val="20"/>
                <w:color w:val="auto"/>
              </w:rPr>
            </w:pPr>
            <w:r>
              <w:rPr>
                <w:rFonts w:ascii="Arial" w:cs="Arial" w:eastAsia="Arial" w:hAnsi="Arial"/>
                <w:sz w:val="12"/>
                <w:szCs w:val="12"/>
                <w:color w:val="auto"/>
              </w:rPr>
              <w:t>Component Manufacturing</w:t>
            </w: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First Lien Debt (j)(v)</w:t>
            </w:r>
          </w:p>
        </w:tc>
        <w:tc>
          <w:tcPr>
            <w:tcW w:w="1800" w:type="dxa"/>
            <w:vAlign w:val="bottom"/>
          </w:tcPr>
          <w:p>
            <w:pPr>
              <w:spacing w:after="0"/>
              <w:rPr>
                <w:sz w:val="11"/>
                <w:szCs w:val="11"/>
                <w:color w:val="auto"/>
              </w:rPr>
            </w:pP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Preferred Equity (947 shares) (j)</w:t>
            </w:r>
          </w:p>
        </w:tc>
        <w:tc>
          <w:tcPr>
            <w:tcW w:w="1800" w:type="dxa"/>
            <w:vAlign w:val="bottom"/>
          </w:tcPr>
          <w:p>
            <w:pPr>
              <w:spacing w:after="0"/>
              <w:rPr>
                <w:sz w:val="11"/>
                <w:szCs w:val="11"/>
                <w:color w:val="auto"/>
              </w:rPr>
            </w:pP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Common Equity (947 shares) (j)</w:t>
            </w:r>
          </w:p>
        </w:tc>
        <w:tc>
          <w:tcPr>
            <w:tcW w:w="1800" w:type="dxa"/>
            <w:vAlign w:val="bottom"/>
          </w:tcPr>
          <w:p>
            <w:pPr>
              <w:spacing w:after="0"/>
              <w:rPr>
                <w:sz w:val="12"/>
                <w:szCs w:val="12"/>
                <w:color w:val="auto"/>
              </w:rPr>
            </w:pPr>
          </w:p>
        </w:tc>
      </w:tr>
      <w:tr>
        <w:trPr>
          <w:trHeight w:val="284"/>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Gurobi Optimization, LLC</w:t>
            </w:r>
          </w:p>
        </w:tc>
        <w:tc>
          <w:tcPr>
            <w:tcW w:w="1800" w:type="dxa"/>
            <w:vAlign w:val="bottom"/>
          </w:tcPr>
          <w:p>
            <w:pPr>
              <w:ind w:left="40"/>
              <w:spacing w:after="0"/>
              <w:rPr>
                <w:sz w:val="20"/>
                <w:szCs w:val="20"/>
                <w:color w:val="auto"/>
              </w:rPr>
            </w:pPr>
            <w:r>
              <w:rPr>
                <w:rFonts w:ascii="Arial" w:cs="Arial" w:eastAsia="Arial" w:hAnsi="Arial"/>
                <w:sz w:val="12"/>
                <w:szCs w:val="12"/>
                <w:color w:val="auto"/>
                <w:w w:val="99"/>
              </w:rPr>
              <w:t>Information Technology Services</w:t>
            </w: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Common Equity (5 shares)</w:t>
            </w:r>
          </w:p>
        </w:tc>
        <w:tc>
          <w:tcPr>
            <w:tcW w:w="1800" w:type="dxa"/>
            <w:vAlign w:val="bottom"/>
          </w:tcPr>
          <w:p>
            <w:pPr>
              <w:spacing w:after="0"/>
              <w:rPr>
                <w:sz w:val="12"/>
                <w:szCs w:val="12"/>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Haematologic Technologies, Inc.</w:t>
            </w:r>
          </w:p>
        </w:tc>
        <w:tc>
          <w:tcPr>
            <w:tcW w:w="1800" w:type="dxa"/>
            <w:vAlign w:val="bottom"/>
          </w:tcPr>
          <w:p>
            <w:pPr>
              <w:ind w:left="40"/>
              <w:spacing w:after="0"/>
              <w:rPr>
                <w:sz w:val="20"/>
                <w:szCs w:val="20"/>
                <w:color w:val="auto"/>
              </w:rPr>
            </w:pPr>
            <w:r>
              <w:rPr>
                <w:rFonts w:ascii="Arial" w:cs="Arial" w:eastAsia="Arial" w:hAnsi="Arial"/>
                <w:sz w:val="12"/>
                <w:szCs w:val="12"/>
                <w:color w:val="auto"/>
              </w:rPr>
              <w:t>Healthcare Services</w:t>
            </w: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First Lien Debt (x)</w:t>
            </w:r>
          </w:p>
        </w:tc>
        <w:tc>
          <w:tcPr>
            <w:tcW w:w="1800" w:type="dxa"/>
            <w:vAlign w:val="bottom"/>
          </w:tcPr>
          <w:p>
            <w:pPr>
              <w:spacing w:after="0"/>
              <w:rPr>
                <w:sz w:val="11"/>
                <w:szCs w:val="11"/>
                <w:color w:val="auto"/>
              </w:rPr>
            </w:pP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Common Equity (500 units) (j)</w:t>
            </w:r>
          </w:p>
        </w:tc>
        <w:tc>
          <w:tcPr>
            <w:tcW w:w="1800" w:type="dxa"/>
            <w:vAlign w:val="bottom"/>
          </w:tcPr>
          <w:p>
            <w:pPr>
              <w:spacing w:after="0"/>
              <w:rPr>
                <w:sz w:val="12"/>
                <w:szCs w:val="12"/>
                <w:color w:val="auto"/>
              </w:rPr>
            </w:pPr>
          </w:p>
        </w:tc>
      </w:tr>
      <w:tr>
        <w:trPr>
          <w:trHeight w:val="284"/>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Hilco Plastics Holdings, LLC (dba Hilco Technologies)</w:t>
            </w:r>
          </w:p>
        </w:tc>
        <w:tc>
          <w:tcPr>
            <w:tcW w:w="1800" w:type="dxa"/>
            <w:vAlign w:val="bottom"/>
          </w:tcPr>
          <w:p>
            <w:pPr>
              <w:ind w:left="40"/>
              <w:spacing w:after="0"/>
              <w:rPr>
                <w:sz w:val="20"/>
                <w:szCs w:val="20"/>
                <w:color w:val="auto"/>
              </w:rPr>
            </w:pPr>
            <w:r>
              <w:rPr>
                <w:rFonts w:ascii="Arial" w:cs="Arial" w:eastAsia="Arial" w:hAnsi="Arial"/>
                <w:sz w:val="12"/>
                <w:szCs w:val="12"/>
                <w:color w:val="auto"/>
              </w:rPr>
              <w:t>Component Manufacturing</w:t>
            </w: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w:t>
            </w:r>
          </w:p>
        </w:tc>
        <w:tc>
          <w:tcPr>
            <w:tcW w:w="1800" w:type="dxa"/>
            <w:vAlign w:val="bottom"/>
          </w:tcPr>
          <w:p>
            <w:pPr>
              <w:spacing w:after="0"/>
              <w:rPr>
                <w:sz w:val="11"/>
                <w:szCs w:val="11"/>
                <w:color w:val="auto"/>
              </w:rPr>
            </w:pP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Revolving Loan (j)</w:t>
            </w:r>
          </w:p>
        </w:tc>
        <w:tc>
          <w:tcPr>
            <w:tcW w:w="1800" w:type="dxa"/>
            <w:vAlign w:val="bottom"/>
          </w:tcPr>
          <w:p>
            <w:pPr>
              <w:spacing w:after="0"/>
              <w:rPr>
                <w:sz w:val="11"/>
                <w:szCs w:val="11"/>
                <w:color w:val="auto"/>
              </w:rPr>
            </w:pP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First Lien Debt (j)</w:t>
            </w:r>
          </w:p>
        </w:tc>
        <w:tc>
          <w:tcPr>
            <w:tcW w:w="1800" w:type="dxa"/>
            <w:vAlign w:val="bottom"/>
          </w:tcPr>
          <w:p>
            <w:pPr>
              <w:spacing w:after="0"/>
              <w:rPr>
                <w:sz w:val="11"/>
                <w:szCs w:val="11"/>
                <w:color w:val="auto"/>
              </w:rPr>
            </w:pP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First Lien Debt (j)</w:t>
            </w:r>
          </w:p>
        </w:tc>
        <w:tc>
          <w:tcPr>
            <w:tcW w:w="1800" w:type="dxa"/>
            <w:vAlign w:val="bottom"/>
          </w:tcPr>
          <w:p>
            <w:pPr>
              <w:spacing w:after="0"/>
              <w:rPr>
                <w:sz w:val="11"/>
                <w:szCs w:val="11"/>
                <w:color w:val="auto"/>
              </w:rPr>
            </w:pP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Preferred Equity (1,000,000 units) (h)(j)</w:t>
            </w:r>
          </w:p>
        </w:tc>
        <w:tc>
          <w:tcPr>
            <w:tcW w:w="1800" w:type="dxa"/>
            <w:vAlign w:val="bottom"/>
          </w:tcPr>
          <w:p>
            <w:pPr>
              <w:spacing w:after="0"/>
              <w:rPr>
                <w:sz w:val="11"/>
                <w:szCs w:val="11"/>
                <w:color w:val="auto"/>
              </w:rPr>
            </w:pP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Common Equity (72,507 units) (h)(j)</w:t>
            </w:r>
          </w:p>
        </w:tc>
        <w:tc>
          <w:tcPr>
            <w:tcW w:w="1800" w:type="dxa"/>
            <w:vAlign w:val="bottom"/>
          </w:tcPr>
          <w:p>
            <w:pPr>
              <w:spacing w:after="0"/>
              <w:rPr>
                <w:sz w:val="12"/>
                <w:szCs w:val="12"/>
                <w:color w:val="auto"/>
              </w:rPr>
            </w:pPr>
          </w:p>
        </w:tc>
      </w:tr>
      <w:tr>
        <w:trPr>
          <w:trHeight w:val="284"/>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Hoonuit, LLC</w:t>
            </w:r>
          </w:p>
        </w:tc>
        <w:tc>
          <w:tcPr>
            <w:tcW w:w="1800" w:type="dxa"/>
            <w:vAlign w:val="bottom"/>
          </w:tcPr>
          <w:p>
            <w:pPr>
              <w:ind w:left="40"/>
              <w:spacing w:after="0"/>
              <w:rPr>
                <w:sz w:val="20"/>
                <w:szCs w:val="20"/>
                <w:color w:val="auto"/>
              </w:rPr>
            </w:pPr>
            <w:r>
              <w:rPr>
                <w:rFonts w:ascii="Arial" w:cs="Arial" w:eastAsia="Arial" w:hAnsi="Arial"/>
                <w:sz w:val="12"/>
                <w:szCs w:val="12"/>
                <w:color w:val="auto"/>
                <w:w w:val="99"/>
              </w:rPr>
              <w:t>Information Technology Services</w:t>
            </w: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First Lien Debt</w:t>
            </w:r>
          </w:p>
        </w:tc>
        <w:tc>
          <w:tcPr>
            <w:tcW w:w="1800" w:type="dxa"/>
            <w:vAlign w:val="bottom"/>
          </w:tcPr>
          <w:p>
            <w:pPr>
              <w:spacing w:after="0"/>
              <w:rPr>
                <w:sz w:val="11"/>
                <w:szCs w:val="11"/>
                <w:color w:val="auto"/>
              </w:rPr>
            </w:pP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Preferred Equity (610 units) (h)(j)</w:t>
            </w:r>
          </w:p>
        </w:tc>
        <w:tc>
          <w:tcPr>
            <w:tcW w:w="1800" w:type="dxa"/>
            <w:vAlign w:val="bottom"/>
          </w:tcPr>
          <w:p>
            <w:pPr>
              <w:spacing w:after="0"/>
              <w:rPr>
                <w:sz w:val="12"/>
                <w:szCs w:val="12"/>
                <w:color w:val="auto"/>
              </w:rPr>
            </w:pPr>
          </w:p>
        </w:tc>
      </w:tr>
      <w:tr>
        <w:trPr>
          <w:trHeight w:val="284"/>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Hub Acquisition Sub, LLC (dba Hub Pen)</w:t>
            </w:r>
          </w:p>
        </w:tc>
        <w:tc>
          <w:tcPr>
            <w:tcW w:w="1800" w:type="dxa"/>
            <w:vAlign w:val="bottom"/>
          </w:tcPr>
          <w:p>
            <w:pPr>
              <w:ind w:left="40"/>
              <w:spacing w:after="0"/>
              <w:rPr>
                <w:sz w:val="20"/>
                <w:szCs w:val="20"/>
                <w:color w:val="auto"/>
              </w:rPr>
            </w:pPr>
            <w:r>
              <w:rPr>
                <w:rFonts w:ascii="Arial" w:cs="Arial" w:eastAsia="Arial" w:hAnsi="Arial"/>
                <w:sz w:val="12"/>
                <w:szCs w:val="12"/>
                <w:color w:val="auto"/>
              </w:rPr>
              <w:t>Promotional products</w:t>
            </w: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 (k)</w:t>
            </w:r>
          </w:p>
        </w:tc>
        <w:tc>
          <w:tcPr>
            <w:tcW w:w="1800" w:type="dxa"/>
            <w:vAlign w:val="bottom"/>
          </w:tcPr>
          <w:p>
            <w:pPr>
              <w:spacing w:after="0"/>
              <w:rPr>
                <w:sz w:val="11"/>
                <w:szCs w:val="11"/>
                <w:color w:val="auto"/>
              </w:rPr>
            </w:pP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Common Equity (7,500 units)</w:t>
            </w:r>
          </w:p>
        </w:tc>
        <w:tc>
          <w:tcPr>
            <w:tcW w:w="1800" w:type="dxa"/>
            <w:vAlign w:val="bottom"/>
          </w:tcPr>
          <w:p>
            <w:pPr>
              <w:spacing w:after="0"/>
              <w:rPr>
                <w:sz w:val="12"/>
                <w:szCs w:val="12"/>
                <w:color w:val="auto"/>
              </w:rPr>
            </w:pPr>
          </w:p>
        </w:tc>
      </w:tr>
      <w:tr>
        <w:trPr>
          <w:trHeight w:val="284"/>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Hunter Defense Technologies, Inc.</w:t>
            </w:r>
          </w:p>
        </w:tc>
        <w:tc>
          <w:tcPr>
            <w:tcW w:w="1800" w:type="dxa"/>
            <w:vAlign w:val="bottom"/>
          </w:tcPr>
          <w:p>
            <w:pPr>
              <w:ind w:left="40"/>
              <w:spacing w:after="0"/>
              <w:rPr>
                <w:sz w:val="20"/>
                <w:szCs w:val="20"/>
                <w:color w:val="auto"/>
              </w:rPr>
            </w:pPr>
            <w:r>
              <w:rPr>
                <w:rFonts w:ascii="Arial" w:cs="Arial" w:eastAsia="Arial" w:hAnsi="Arial"/>
                <w:sz w:val="12"/>
                <w:szCs w:val="12"/>
                <w:color w:val="auto"/>
                <w:w w:val="88"/>
              </w:rPr>
              <w:t>Aerospace &amp; Defense Manufacturing</w:t>
            </w: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First Lien Debt (j)</w:t>
            </w:r>
          </w:p>
        </w:tc>
        <w:tc>
          <w:tcPr>
            <w:tcW w:w="1800" w:type="dxa"/>
            <w:vAlign w:val="bottom"/>
          </w:tcPr>
          <w:p>
            <w:pPr>
              <w:spacing w:after="0"/>
              <w:rPr>
                <w:sz w:val="12"/>
                <w:szCs w:val="12"/>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IBH Holdings, LLC (fka Inflexxion, Inc.)</w:t>
            </w:r>
          </w:p>
        </w:tc>
        <w:tc>
          <w:tcPr>
            <w:tcW w:w="1800" w:type="dxa"/>
            <w:vAlign w:val="bottom"/>
          </w:tcPr>
          <w:p>
            <w:pPr>
              <w:ind w:left="40"/>
              <w:spacing w:after="0"/>
              <w:rPr>
                <w:sz w:val="20"/>
                <w:szCs w:val="20"/>
                <w:color w:val="auto"/>
              </w:rPr>
            </w:pPr>
            <w:r>
              <w:rPr>
                <w:rFonts w:ascii="Arial" w:cs="Arial" w:eastAsia="Arial" w:hAnsi="Arial"/>
                <w:sz w:val="12"/>
                <w:szCs w:val="12"/>
                <w:color w:val="auto"/>
              </w:rPr>
              <w:t>Business Services</w:t>
            </w: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Common Equity (150,000 units)</w:t>
            </w:r>
          </w:p>
        </w:tc>
        <w:tc>
          <w:tcPr>
            <w:tcW w:w="1800" w:type="dxa"/>
            <w:vAlign w:val="bottom"/>
          </w:tcPr>
          <w:p>
            <w:pPr>
              <w:spacing w:after="0"/>
              <w:rPr>
                <w:sz w:val="12"/>
                <w:szCs w:val="12"/>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w w:val="97"/>
              </w:rPr>
              <w:t>K2 Merger Agreement Agent, LLC (fka K2 Industrial Services, Inc.) (n)</w:t>
            </w:r>
          </w:p>
        </w:tc>
        <w:tc>
          <w:tcPr>
            <w:tcW w:w="1800" w:type="dxa"/>
            <w:vAlign w:val="bottom"/>
          </w:tcPr>
          <w:p>
            <w:pPr>
              <w:ind w:left="40"/>
              <w:spacing w:after="0"/>
              <w:rPr>
                <w:sz w:val="20"/>
                <w:szCs w:val="20"/>
                <w:color w:val="auto"/>
              </w:rPr>
            </w:pPr>
            <w:r>
              <w:rPr>
                <w:rFonts w:ascii="Arial" w:cs="Arial" w:eastAsia="Arial" w:hAnsi="Arial"/>
                <w:sz w:val="12"/>
                <w:szCs w:val="12"/>
                <w:color w:val="auto"/>
              </w:rPr>
              <w:t>Industrial Cleaning &amp; Coatings</w:t>
            </w: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Second Lien Debt</w:t>
            </w:r>
          </w:p>
        </w:tc>
        <w:tc>
          <w:tcPr>
            <w:tcW w:w="1800" w:type="dxa"/>
            <w:vAlign w:val="bottom"/>
          </w:tcPr>
          <w:p>
            <w:pPr>
              <w:spacing w:after="0"/>
              <w:rPr>
                <w:sz w:val="12"/>
                <w:szCs w:val="12"/>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The Kyjen Company, LLC (dba Outward Hound)</w:t>
            </w:r>
          </w:p>
        </w:tc>
        <w:tc>
          <w:tcPr>
            <w:tcW w:w="1800" w:type="dxa"/>
            <w:vAlign w:val="bottom"/>
          </w:tcPr>
          <w:p>
            <w:pPr>
              <w:ind w:left="40"/>
              <w:spacing w:after="0"/>
              <w:rPr>
                <w:sz w:val="20"/>
                <w:szCs w:val="20"/>
                <w:color w:val="auto"/>
              </w:rPr>
            </w:pPr>
            <w:r>
              <w:rPr>
                <w:rFonts w:ascii="Arial" w:cs="Arial" w:eastAsia="Arial" w:hAnsi="Arial"/>
                <w:sz w:val="12"/>
                <w:szCs w:val="12"/>
                <w:color w:val="auto"/>
              </w:rPr>
              <w:t>Consumer Products</w:t>
            </w: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 (k)</w:t>
            </w:r>
          </w:p>
        </w:tc>
        <w:tc>
          <w:tcPr>
            <w:tcW w:w="1800" w:type="dxa"/>
            <w:vAlign w:val="bottom"/>
          </w:tcPr>
          <w:p>
            <w:pPr>
              <w:spacing w:after="0"/>
              <w:rPr>
                <w:sz w:val="11"/>
                <w:szCs w:val="11"/>
                <w:color w:val="auto"/>
              </w:rPr>
            </w:pP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Common Equity (765 shares) (j)</w:t>
            </w:r>
          </w:p>
        </w:tc>
        <w:tc>
          <w:tcPr>
            <w:tcW w:w="1800" w:type="dxa"/>
            <w:vAlign w:val="bottom"/>
          </w:tcPr>
          <w:p>
            <w:pPr>
              <w:spacing w:after="0"/>
              <w:rPr>
                <w:sz w:val="12"/>
                <w:szCs w:val="12"/>
                <w:color w:val="auto"/>
              </w:rPr>
            </w:pPr>
          </w:p>
        </w:tc>
      </w:tr>
      <w:tr>
        <w:trPr>
          <w:trHeight w:val="284"/>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LNG Indy, LLC (dba Kinetrex Energy)</w:t>
            </w:r>
          </w:p>
        </w:tc>
        <w:tc>
          <w:tcPr>
            <w:tcW w:w="1800" w:type="dxa"/>
            <w:vAlign w:val="bottom"/>
          </w:tcPr>
          <w:p>
            <w:pPr>
              <w:ind w:left="40"/>
              <w:spacing w:after="0"/>
              <w:rPr>
                <w:sz w:val="20"/>
                <w:szCs w:val="20"/>
                <w:color w:val="auto"/>
              </w:rPr>
            </w:pPr>
            <w:r>
              <w:rPr>
                <w:rFonts w:ascii="Arial" w:cs="Arial" w:eastAsia="Arial" w:hAnsi="Arial"/>
                <w:sz w:val="12"/>
                <w:szCs w:val="12"/>
                <w:color w:val="auto"/>
              </w:rPr>
              <w:t>Oil &amp; Gas Distribution</w:t>
            </w: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 (k)</w:t>
            </w:r>
          </w:p>
        </w:tc>
        <w:tc>
          <w:tcPr>
            <w:tcW w:w="1800" w:type="dxa"/>
            <w:vAlign w:val="bottom"/>
          </w:tcPr>
          <w:p>
            <w:pPr>
              <w:spacing w:after="0"/>
              <w:rPr>
                <w:sz w:val="11"/>
                <w:szCs w:val="11"/>
                <w:color w:val="auto"/>
              </w:rPr>
            </w:pP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Common Equity (1,000 units)</w:t>
            </w:r>
          </w:p>
        </w:tc>
        <w:tc>
          <w:tcPr>
            <w:tcW w:w="1800" w:type="dxa"/>
            <w:vAlign w:val="bottom"/>
          </w:tcPr>
          <w:p>
            <w:pPr>
              <w:spacing w:after="0"/>
              <w:rPr>
                <w:sz w:val="12"/>
                <w:szCs w:val="12"/>
                <w:color w:val="auto"/>
              </w:rPr>
            </w:pPr>
          </w:p>
        </w:tc>
      </w:tr>
      <w:tr>
        <w:trPr>
          <w:trHeight w:val="284"/>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Marco Group International OpCo, LLC</w:t>
            </w:r>
          </w:p>
        </w:tc>
        <w:tc>
          <w:tcPr>
            <w:tcW w:w="1800" w:type="dxa"/>
            <w:vAlign w:val="bottom"/>
          </w:tcPr>
          <w:p>
            <w:pPr>
              <w:ind w:left="40"/>
              <w:spacing w:after="0"/>
              <w:rPr>
                <w:sz w:val="20"/>
                <w:szCs w:val="20"/>
                <w:color w:val="auto"/>
              </w:rPr>
            </w:pPr>
            <w:r>
              <w:rPr>
                <w:rFonts w:ascii="Arial" w:cs="Arial" w:eastAsia="Arial" w:hAnsi="Arial"/>
                <w:sz w:val="12"/>
                <w:szCs w:val="12"/>
                <w:color w:val="auto"/>
              </w:rPr>
              <w:t>Industrial Cleaning &amp; Coatings</w:t>
            </w: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w:t>
            </w:r>
          </w:p>
        </w:tc>
        <w:tc>
          <w:tcPr>
            <w:tcW w:w="1800" w:type="dxa"/>
            <w:vAlign w:val="bottom"/>
          </w:tcPr>
          <w:p>
            <w:pPr>
              <w:spacing w:after="0"/>
              <w:rPr>
                <w:sz w:val="11"/>
                <w:szCs w:val="11"/>
                <w:color w:val="auto"/>
              </w:rPr>
            </w:pP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Common Equity (960,482 units) (h)(j)</w:t>
            </w:r>
          </w:p>
        </w:tc>
        <w:tc>
          <w:tcPr>
            <w:tcW w:w="1800" w:type="dxa"/>
            <w:vAlign w:val="bottom"/>
          </w:tcPr>
          <w:p>
            <w:pPr>
              <w:spacing w:after="0"/>
              <w:rPr>
                <w:sz w:val="12"/>
                <w:szCs w:val="12"/>
                <w:color w:val="auto"/>
              </w:rPr>
            </w:pPr>
          </w:p>
        </w:tc>
      </w:tr>
      <w:tr>
        <w:trPr>
          <w:trHeight w:val="284"/>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Mesa Line Services, LLC</w:t>
            </w:r>
          </w:p>
        </w:tc>
        <w:tc>
          <w:tcPr>
            <w:tcW w:w="1800" w:type="dxa"/>
            <w:vAlign w:val="bottom"/>
          </w:tcPr>
          <w:p>
            <w:pPr>
              <w:ind w:left="40"/>
              <w:spacing w:after="0"/>
              <w:rPr>
                <w:sz w:val="20"/>
                <w:szCs w:val="20"/>
                <w:color w:val="auto"/>
              </w:rPr>
            </w:pPr>
            <w:r>
              <w:rPr>
                <w:rFonts w:ascii="Arial" w:cs="Arial" w:eastAsia="Arial" w:hAnsi="Arial"/>
                <w:sz w:val="12"/>
                <w:szCs w:val="12"/>
                <w:color w:val="auto"/>
              </w:rPr>
              <w:t>Utilities: Services</w:t>
            </w: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 (j)</w:t>
            </w:r>
          </w:p>
        </w:tc>
        <w:tc>
          <w:tcPr>
            <w:tcW w:w="1800" w:type="dxa"/>
            <w:vAlign w:val="bottom"/>
          </w:tcPr>
          <w:p>
            <w:pPr>
              <w:spacing w:after="0"/>
              <w:rPr>
                <w:sz w:val="11"/>
                <w:szCs w:val="11"/>
                <w:color w:val="auto"/>
              </w:rPr>
            </w:pP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Common Equity (981 shares) (j)</w:t>
            </w:r>
          </w:p>
        </w:tc>
        <w:tc>
          <w:tcPr>
            <w:tcW w:w="1800" w:type="dxa"/>
            <w:vAlign w:val="bottom"/>
          </w:tcPr>
          <w:p>
            <w:pPr>
              <w:spacing w:after="0"/>
              <w:rPr>
                <w:sz w:val="12"/>
                <w:szCs w:val="12"/>
                <w:color w:val="auto"/>
              </w:rPr>
            </w:pPr>
          </w:p>
        </w:tc>
      </w:tr>
      <w:tr>
        <w:trPr>
          <w:trHeight w:val="284"/>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Midwest Transit Equipment, Inc.</w:t>
            </w:r>
          </w:p>
        </w:tc>
        <w:tc>
          <w:tcPr>
            <w:tcW w:w="1800" w:type="dxa"/>
            <w:vAlign w:val="bottom"/>
          </w:tcPr>
          <w:p>
            <w:pPr>
              <w:ind w:left="40"/>
              <w:spacing w:after="0"/>
              <w:rPr>
                <w:sz w:val="20"/>
                <w:szCs w:val="20"/>
                <w:color w:val="auto"/>
              </w:rPr>
            </w:pPr>
            <w:r>
              <w:rPr>
                <w:rFonts w:ascii="Arial" w:cs="Arial" w:eastAsia="Arial" w:hAnsi="Arial"/>
                <w:sz w:val="12"/>
                <w:szCs w:val="12"/>
                <w:color w:val="auto"/>
              </w:rPr>
              <w:t>Transportation services</w:t>
            </w: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Warrant (14,384 shares) (j)(m)</w:t>
            </w:r>
          </w:p>
        </w:tc>
        <w:tc>
          <w:tcPr>
            <w:tcW w:w="1800" w:type="dxa"/>
            <w:vAlign w:val="bottom"/>
          </w:tcPr>
          <w:p>
            <w:pPr>
              <w:spacing w:after="0"/>
              <w:rPr>
                <w:sz w:val="11"/>
                <w:szCs w:val="11"/>
                <w:color w:val="auto"/>
              </w:rPr>
            </w:pP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Warrant (9.59% of Junior Subordinated Notes) (j)(q)</w:t>
            </w:r>
          </w:p>
        </w:tc>
        <w:tc>
          <w:tcPr>
            <w:tcW w:w="1800" w:type="dxa"/>
            <w:vAlign w:val="bottom"/>
          </w:tcPr>
          <w:p>
            <w:pPr>
              <w:spacing w:after="0"/>
              <w:rPr>
                <w:sz w:val="12"/>
                <w:szCs w:val="12"/>
                <w:color w:val="auto"/>
              </w:rPr>
            </w:pPr>
          </w:p>
        </w:tc>
      </w:tr>
      <w:tr>
        <w:trPr>
          <w:trHeight w:val="284"/>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NGT Acquisition Holdings, LLC (dba Techniks Industries)</w:t>
            </w:r>
          </w:p>
        </w:tc>
        <w:tc>
          <w:tcPr>
            <w:tcW w:w="1800" w:type="dxa"/>
            <w:vAlign w:val="bottom"/>
          </w:tcPr>
          <w:p>
            <w:pPr>
              <w:ind w:left="40"/>
              <w:spacing w:after="0"/>
              <w:rPr>
                <w:sz w:val="20"/>
                <w:szCs w:val="20"/>
                <w:color w:val="auto"/>
              </w:rPr>
            </w:pPr>
            <w:r>
              <w:rPr>
                <w:rFonts w:ascii="Arial" w:cs="Arial" w:eastAsia="Arial" w:hAnsi="Arial"/>
                <w:sz w:val="12"/>
                <w:szCs w:val="12"/>
                <w:color w:val="auto"/>
              </w:rPr>
              <w:t>Component Manufacturing</w:t>
            </w: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Common Equity (378 units) (j)</w:t>
            </w:r>
          </w:p>
        </w:tc>
        <w:tc>
          <w:tcPr>
            <w:tcW w:w="1800" w:type="dxa"/>
            <w:vAlign w:val="bottom"/>
          </w:tcPr>
          <w:p>
            <w:pPr>
              <w:spacing w:after="0"/>
              <w:rPr>
                <w:sz w:val="12"/>
                <w:szCs w:val="12"/>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2"/>
                <w:szCs w:val="12"/>
                <w:i w:val="1"/>
                <w:iCs w:val="1"/>
                <w:color w:val="auto"/>
              </w:rPr>
              <w:t>OMC Investors, LLC (dba Ohio Medical Corporation)</w:t>
            </w:r>
          </w:p>
        </w:tc>
        <w:tc>
          <w:tcPr>
            <w:tcW w:w="1800" w:type="dxa"/>
            <w:vAlign w:val="bottom"/>
          </w:tcPr>
          <w:p>
            <w:pPr>
              <w:ind w:left="40"/>
              <w:spacing w:after="0"/>
              <w:rPr>
                <w:sz w:val="20"/>
                <w:szCs w:val="20"/>
                <w:color w:val="auto"/>
              </w:rPr>
            </w:pPr>
            <w:r>
              <w:rPr>
                <w:rFonts w:ascii="Arial" w:cs="Arial" w:eastAsia="Arial" w:hAnsi="Arial"/>
                <w:sz w:val="12"/>
                <w:szCs w:val="12"/>
                <w:color w:val="auto"/>
              </w:rPr>
              <w:t>Healthcare Products</w:t>
            </w:r>
          </w:p>
        </w:tc>
      </w:tr>
      <w:tr>
        <w:trPr>
          <w:trHeight w:val="135"/>
        </w:trPr>
        <w:tc>
          <w:tcPr>
            <w:tcW w:w="364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Second Lien Debt</w:t>
            </w:r>
          </w:p>
        </w:tc>
        <w:tc>
          <w:tcPr>
            <w:tcW w:w="1800" w:type="dxa"/>
            <w:vAlign w:val="bottom"/>
          </w:tcPr>
          <w:p>
            <w:pPr>
              <w:spacing w:after="0"/>
              <w:rPr>
                <w:sz w:val="11"/>
                <w:szCs w:val="11"/>
                <w:color w:val="auto"/>
              </w:rPr>
            </w:pPr>
          </w:p>
        </w:tc>
      </w:tr>
      <w:tr>
        <w:trPr>
          <w:trHeight w:val="148"/>
        </w:trPr>
        <w:tc>
          <w:tcPr>
            <w:tcW w:w="3640" w:type="dxa"/>
            <w:vAlign w:val="bottom"/>
            <w:gridSpan w:val="2"/>
          </w:tcPr>
          <w:p>
            <w:pPr>
              <w:ind w:left="240"/>
              <w:spacing w:after="0"/>
              <w:rPr>
                <w:sz w:val="20"/>
                <w:szCs w:val="20"/>
                <w:color w:val="auto"/>
              </w:rPr>
            </w:pPr>
            <w:r>
              <w:rPr>
                <w:rFonts w:ascii="Arial" w:cs="Arial" w:eastAsia="Arial" w:hAnsi="Arial"/>
                <w:sz w:val="12"/>
                <w:szCs w:val="12"/>
                <w:color w:val="auto"/>
              </w:rPr>
              <w:t>Common Equity (5,000 units)</w:t>
            </w:r>
          </w:p>
        </w:tc>
        <w:tc>
          <w:tcPr>
            <w:tcW w:w="18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1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0"/>
              </w:rPr>
              <w:t>Variable Index</w:t>
            </w:r>
          </w:p>
        </w:tc>
        <w:tc>
          <w:tcPr>
            <w:tcW w:w="7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0"/>
              </w:rPr>
              <w:t>Rate (e)</w:t>
            </w:r>
          </w:p>
        </w:tc>
        <w:tc>
          <w:tcPr>
            <w:tcW w:w="40" w:type="dxa"/>
            <w:vAlign w:val="bottom"/>
          </w:tcPr>
          <w:p>
            <w:pPr>
              <w:spacing w:after="0"/>
              <w:rPr>
                <w:sz w:val="12"/>
                <w:szCs w:val="12"/>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8"/>
              </w:rPr>
              <w:t>Investment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86"/>
              </w:rPr>
              <w:t>Principal</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Fair</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85"/>
              </w:rPr>
              <w:t>Percent of</w:t>
            </w:r>
          </w:p>
        </w:tc>
      </w:tr>
      <w:tr>
        <w:trPr>
          <w:trHeight w:val="157"/>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Spread / Floor (d)</w:t>
            </w:r>
          </w:p>
        </w:tc>
        <w:tc>
          <w:tcPr>
            <w:tcW w:w="6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Cash/PIK</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Date (f)</w:t>
            </w:r>
          </w:p>
        </w:tc>
        <w:tc>
          <w:tcPr>
            <w:tcW w:w="60" w:type="dxa"/>
            <w:vAlign w:val="bottom"/>
          </w:tcPr>
          <w:p>
            <w:pPr>
              <w:spacing w:after="0"/>
              <w:rPr>
                <w:sz w:val="13"/>
                <w:szCs w:val="13"/>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8"/>
              </w:rPr>
              <w:t>Maturity</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3"/>
                <w:szCs w:val="13"/>
                <w:color w:val="auto"/>
              </w:rPr>
            </w:pPr>
          </w:p>
        </w:tc>
        <w:tc>
          <w:tcPr>
            <w:tcW w:w="3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6"/>
              </w:rPr>
              <w:t>Value (g)</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0"/>
              </w:rPr>
              <w:t>Net Assets</w:t>
            </w:r>
          </w:p>
        </w:tc>
        <w:tc>
          <w:tcPr>
            <w:tcW w:w="100" w:type="dxa"/>
            <w:vAlign w:val="bottom"/>
          </w:tcPr>
          <w:p>
            <w:pPr>
              <w:spacing w:after="0"/>
              <w:rPr>
                <w:sz w:val="13"/>
                <w:szCs w:val="13"/>
                <w:color w:val="auto"/>
              </w:rPr>
            </w:pPr>
          </w:p>
        </w:tc>
      </w:tr>
      <w:tr>
        <w:trPr>
          <w:trHeight w:val="257"/>
        </w:trPr>
        <w:tc>
          <w:tcPr>
            <w:tcW w:w="1120" w:type="dxa"/>
            <w:vAlign w:val="bottom"/>
            <w:gridSpan w:val="2"/>
          </w:tcPr>
          <w:p>
            <w:pPr>
              <w:ind w:left="40"/>
              <w:spacing w:after="0"/>
              <w:rPr>
                <w:sz w:val="20"/>
                <w:szCs w:val="20"/>
                <w:color w:val="auto"/>
              </w:rPr>
            </w:pPr>
            <w:r>
              <w:rPr>
                <w:rFonts w:ascii="Arial" w:cs="Arial" w:eastAsia="Arial" w:hAnsi="Arial"/>
                <w:sz w:val="12"/>
                <w:szCs w:val="12"/>
                <w:color w:val="auto"/>
                <w:w w:val="95"/>
              </w:rPr>
              <w:t>(L + 9.00%) /(2.25%)</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11.25%/0.00%</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6/21/2019</w:t>
            </w:r>
          </w:p>
        </w:tc>
        <w:tc>
          <w:tcPr>
            <w:tcW w:w="6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Arial" w:cs="Arial" w:eastAsia="Arial" w:hAnsi="Arial"/>
                <w:sz w:val="12"/>
                <w:szCs w:val="12"/>
                <w:color w:val="auto"/>
                <w:w w:val="97"/>
              </w:rPr>
              <w:t>6/21/2024</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   8,000</w:t>
            </w:r>
          </w:p>
        </w:tc>
        <w:tc>
          <w:tcPr>
            <w:tcW w:w="380" w:type="dxa"/>
            <w:vAlign w:val="bottom"/>
          </w:tcPr>
          <w:p>
            <w:pPr>
              <w:jc w:val="right"/>
              <w:spacing w:after="0"/>
              <w:rPr>
                <w:sz w:val="20"/>
                <w:szCs w:val="20"/>
                <w:color w:val="auto"/>
              </w:rPr>
            </w:pPr>
            <w:r>
              <w:rPr>
                <w:rFonts w:ascii="Arial" w:cs="Arial" w:eastAsia="Arial" w:hAnsi="Arial"/>
                <w:sz w:val="12"/>
                <w:szCs w:val="12"/>
                <w:color w:val="auto"/>
                <w:w w:val="89"/>
              </w:rPr>
              <w:t>$ 7,964</w:t>
            </w:r>
          </w:p>
        </w:tc>
        <w:tc>
          <w:tcPr>
            <w:tcW w:w="16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w w:val="94"/>
              </w:rPr>
              <w:t>$   8,000</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1"/>
        </w:trPr>
        <w:tc>
          <w:tcPr>
            <w:tcW w:w="11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(L + 9.00%) / (2.25%)</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11.25%/0.00%</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6/21/2019</w:t>
            </w:r>
          </w:p>
        </w:tc>
        <w:tc>
          <w:tcPr>
            <w:tcW w:w="6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2"/>
                <w:szCs w:val="12"/>
                <w:color w:val="auto"/>
                <w:w w:val="97"/>
              </w:rPr>
              <w:t>6/21/2024</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(4)</w:t>
            </w:r>
          </w:p>
        </w:tc>
        <w:tc>
          <w:tcPr>
            <w:tcW w:w="5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7,960</w:t>
            </w: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8,000</w:t>
            </w: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257"/>
        </w:trPr>
        <w:tc>
          <w:tcPr>
            <w:tcW w:w="11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(L + 5.00%) / (2.00%)</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w w:val="95"/>
              </w:rPr>
              <w:t>7.10%/0.00%</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9/21/2018</w:t>
            </w:r>
          </w:p>
        </w:tc>
        <w:tc>
          <w:tcPr>
            <w:tcW w:w="6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Arial" w:cs="Arial" w:eastAsia="Arial" w:hAnsi="Arial"/>
                <w:sz w:val="12"/>
                <w:szCs w:val="12"/>
                <w:color w:val="auto"/>
                <w:w w:val="97"/>
              </w:rPr>
              <w:t>9/21/2023</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7,071</w:t>
            </w:r>
          </w:p>
        </w:tc>
        <w:tc>
          <w:tcPr>
            <w:tcW w:w="380" w:type="dxa"/>
            <w:vAlign w:val="bottom"/>
          </w:tcPr>
          <w:p>
            <w:pPr>
              <w:jc w:val="right"/>
              <w:spacing w:after="0"/>
              <w:rPr>
                <w:sz w:val="20"/>
                <w:szCs w:val="20"/>
                <w:color w:val="auto"/>
              </w:rPr>
            </w:pPr>
            <w:r>
              <w:rPr>
                <w:rFonts w:ascii="Arial" w:cs="Arial" w:eastAsia="Arial" w:hAnsi="Arial"/>
                <w:sz w:val="12"/>
                <w:szCs w:val="12"/>
                <w:color w:val="auto"/>
              </w:rPr>
              <w:t>7,013</w:t>
            </w:r>
          </w:p>
        </w:tc>
        <w:tc>
          <w:tcPr>
            <w:tcW w:w="16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7,071</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5"/>
        </w:trPr>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9/21/2018</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360</w:t>
            </w:r>
          </w:p>
        </w:tc>
        <w:tc>
          <w:tcPr>
            <w:tcW w:w="16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399</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1"/>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9/21/2018</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6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7,388</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7,631</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270"/>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w w:val="89"/>
              </w:rPr>
              <w:t>12/19/2017</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1,500</w:t>
            </w:r>
          </w:p>
        </w:tc>
        <w:tc>
          <w:tcPr>
            <w:tcW w:w="160" w:type="dxa"/>
            <w:vAlign w:val="bottom"/>
          </w:tcPr>
          <w:p>
            <w:pPr>
              <w:spacing w:after="0"/>
              <w:rPr>
                <w:sz w:val="23"/>
                <w:szCs w:val="2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3,382</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w:t>
            </w:r>
          </w:p>
        </w:tc>
      </w:tr>
      <w:tr>
        <w:trPr>
          <w:trHeight w:val="365"/>
        </w:trPr>
        <w:tc>
          <w:tcPr>
            <w:tcW w:w="11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(L + 7.25%) / (2.00%)</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w w:val="95"/>
              </w:rPr>
              <w:t>9.25%/0.00%</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w w:val="89"/>
              </w:rPr>
              <w:t>10/11/2019</w:t>
            </w:r>
          </w:p>
        </w:tc>
        <w:tc>
          <w:tcPr>
            <w:tcW w:w="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w w:val="86"/>
              </w:rPr>
              <w:t>10/11/2024</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5,500</w:t>
            </w:r>
          </w:p>
        </w:tc>
        <w:tc>
          <w:tcPr>
            <w:tcW w:w="380" w:type="dxa"/>
            <w:vAlign w:val="bottom"/>
          </w:tcPr>
          <w:p>
            <w:pPr>
              <w:jc w:val="right"/>
              <w:spacing w:after="0"/>
              <w:rPr>
                <w:sz w:val="20"/>
                <w:szCs w:val="20"/>
                <w:color w:val="auto"/>
              </w:rPr>
            </w:pPr>
            <w:r>
              <w:rPr>
                <w:rFonts w:ascii="Arial" w:cs="Arial" w:eastAsia="Arial" w:hAnsi="Arial"/>
                <w:sz w:val="12"/>
                <w:szCs w:val="12"/>
                <w:color w:val="auto"/>
              </w:rPr>
              <w:t>5,461</w:t>
            </w:r>
          </w:p>
        </w:tc>
        <w:tc>
          <w:tcPr>
            <w:tcW w:w="16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5,461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1"/>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w w:val="89"/>
              </w:rPr>
              <w:t>10/11/2019</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w:t>
            </w:r>
          </w:p>
        </w:tc>
        <w:tc>
          <w:tcPr>
            <w:tcW w:w="16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5,961</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5,961</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w:t>
            </w:r>
          </w:p>
        </w:tc>
      </w:tr>
      <w:tr>
        <w:trPr>
          <w:trHeight w:val="257"/>
        </w:trPr>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11.50%/1.50%</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9/23/2016</w:t>
            </w:r>
          </w:p>
        </w:tc>
        <w:tc>
          <w:tcPr>
            <w:tcW w:w="6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Arial" w:cs="Arial" w:eastAsia="Arial" w:hAnsi="Arial"/>
                <w:sz w:val="12"/>
                <w:szCs w:val="12"/>
                <w:color w:val="auto"/>
                <w:w w:val="86"/>
              </w:rPr>
              <w:t>12/31/2019</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10,116</w:t>
            </w: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w w:val="97"/>
              </w:rPr>
              <w:t>10,116</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9,057</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5"/>
        </w:trPr>
        <w:tc>
          <w:tcPr>
            <w:tcW w:w="112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90"/>
              </w:rPr>
              <w:t>(L + 6.50%) / (0.00%)</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w w:val="95"/>
              </w:rPr>
              <w:t>8.26%/0.00%</w:t>
            </w:r>
          </w:p>
        </w:tc>
        <w:tc>
          <w:tcPr>
            <w:tcW w:w="600" w:type="dxa"/>
            <w:vAlign w:val="bottom"/>
            <w:gridSpan w:val="2"/>
          </w:tcPr>
          <w:p>
            <w:pPr>
              <w:ind w:left="40"/>
              <w:spacing w:after="0" w:line="135" w:lineRule="exact"/>
              <w:rPr>
                <w:sz w:val="20"/>
                <w:szCs w:val="20"/>
                <w:color w:val="auto"/>
              </w:rPr>
            </w:pPr>
            <w:r>
              <w:rPr>
                <w:rFonts w:ascii="Arial" w:cs="Arial" w:eastAsia="Arial" w:hAnsi="Arial"/>
                <w:sz w:val="12"/>
                <w:szCs w:val="12"/>
                <w:color w:val="auto"/>
                <w:w w:val="89"/>
              </w:rPr>
              <w:t>12/20/2019</w:t>
            </w:r>
          </w:p>
        </w:tc>
        <w:tc>
          <w:tcPr>
            <w:tcW w:w="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color w:val="auto"/>
                <w:w w:val="86"/>
              </w:rPr>
              <w:t>12/15/2019</w:t>
            </w:r>
          </w:p>
        </w:tc>
        <w:tc>
          <w:tcPr>
            <w:tcW w:w="66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5,962</w:t>
            </w: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5,962</w:t>
            </w:r>
          </w:p>
        </w:tc>
        <w:tc>
          <w:tcPr>
            <w:tcW w:w="16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5,962</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2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90"/>
              </w:rPr>
              <w:t>(L + 6.95%) / (0.00%)</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w w:val="95"/>
              </w:rPr>
              <w:t>8.66%/0.00%</w:t>
            </w:r>
          </w:p>
        </w:tc>
        <w:tc>
          <w:tcPr>
            <w:tcW w:w="600" w:type="dxa"/>
            <w:vAlign w:val="bottom"/>
            <w:gridSpan w:val="2"/>
          </w:tcPr>
          <w:p>
            <w:pPr>
              <w:ind w:left="40"/>
              <w:spacing w:after="0" w:line="135" w:lineRule="exact"/>
              <w:rPr>
                <w:sz w:val="20"/>
                <w:szCs w:val="20"/>
                <w:color w:val="auto"/>
              </w:rPr>
            </w:pPr>
            <w:r>
              <w:rPr>
                <w:rFonts w:ascii="Arial" w:cs="Arial" w:eastAsia="Arial" w:hAnsi="Arial"/>
                <w:sz w:val="12"/>
                <w:szCs w:val="12"/>
                <w:color w:val="auto"/>
                <w:w w:val="89"/>
              </w:rPr>
              <w:t>12/20/2019</w:t>
            </w:r>
          </w:p>
        </w:tc>
        <w:tc>
          <w:tcPr>
            <w:tcW w:w="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color w:val="auto"/>
                <w:w w:val="86"/>
              </w:rPr>
              <w:t>12/15/2019</w:t>
            </w:r>
          </w:p>
        </w:tc>
        <w:tc>
          <w:tcPr>
            <w:tcW w:w="66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4,812</w:t>
            </w: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4,812</w:t>
            </w:r>
          </w:p>
        </w:tc>
        <w:tc>
          <w:tcPr>
            <w:tcW w:w="16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4,812</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120" w:type="dxa"/>
            <w:vAlign w:val="bottom"/>
            <w:gridSpan w:val="2"/>
          </w:tcPr>
          <w:p>
            <w:pPr>
              <w:jc w:val="center"/>
              <w:ind w:right="40"/>
              <w:spacing w:after="0" w:line="135" w:lineRule="exact"/>
              <w:rPr>
                <w:sz w:val="20"/>
                <w:szCs w:val="20"/>
                <w:color w:val="auto"/>
              </w:rPr>
            </w:pPr>
            <w:r>
              <w:rPr>
                <w:rFonts w:ascii="Arial" w:cs="Arial" w:eastAsia="Arial" w:hAnsi="Arial"/>
                <w:sz w:val="12"/>
                <w:szCs w:val="12"/>
                <w:color w:val="auto"/>
                <w:w w:val="90"/>
              </w:rPr>
              <w:t>(L + 6.95%) / (0.00%)</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w w:val="95"/>
              </w:rPr>
              <w:t>8.64%/0.00%</w:t>
            </w:r>
          </w:p>
        </w:tc>
        <w:tc>
          <w:tcPr>
            <w:tcW w:w="600" w:type="dxa"/>
            <w:vAlign w:val="bottom"/>
            <w:gridSpan w:val="2"/>
          </w:tcPr>
          <w:p>
            <w:pPr>
              <w:ind w:left="40"/>
              <w:spacing w:after="0" w:line="135" w:lineRule="exact"/>
              <w:rPr>
                <w:sz w:val="20"/>
                <w:szCs w:val="20"/>
                <w:color w:val="auto"/>
              </w:rPr>
            </w:pPr>
            <w:r>
              <w:rPr>
                <w:rFonts w:ascii="Arial" w:cs="Arial" w:eastAsia="Arial" w:hAnsi="Arial"/>
                <w:sz w:val="12"/>
                <w:szCs w:val="12"/>
                <w:color w:val="auto"/>
                <w:w w:val="89"/>
              </w:rPr>
              <w:t>12/20/2019</w:t>
            </w:r>
          </w:p>
        </w:tc>
        <w:tc>
          <w:tcPr>
            <w:tcW w:w="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color w:val="auto"/>
                <w:w w:val="86"/>
              </w:rPr>
              <w:t>12/15/2019</w:t>
            </w:r>
          </w:p>
        </w:tc>
        <w:tc>
          <w:tcPr>
            <w:tcW w:w="66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1,815</w:t>
            </w: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1,815</w:t>
            </w:r>
          </w:p>
        </w:tc>
        <w:tc>
          <w:tcPr>
            <w:tcW w:w="16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1,815</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4/18/2018</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2"/>
                <w:szCs w:val="12"/>
                <w:color w:val="auto"/>
              </w:rPr>
              <w:t>1,000</w:t>
            </w:r>
          </w:p>
        </w:tc>
        <w:tc>
          <w:tcPr>
            <w:tcW w:w="160" w:type="dxa"/>
            <w:vAlign w:val="bottom"/>
          </w:tcPr>
          <w:p>
            <w:pPr>
              <w:spacing w:after="0"/>
              <w:rPr>
                <w:sz w:val="11"/>
                <w:szCs w:val="11"/>
                <w:color w:val="auto"/>
              </w:rPr>
            </w:pPr>
          </w:p>
        </w:tc>
        <w:tc>
          <w:tcPr>
            <w:tcW w:w="56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1"/>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9/23/2016</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w:t>
            </w:r>
          </w:p>
        </w:tc>
        <w:tc>
          <w:tcPr>
            <w:tcW w:w="160" w:type="dxa"/>
            <w:vAlign w:val="bottom"/>
          </w:tcPr>
          <w:p>
            <w:pPr>
              <w:spacing w:after="0"/>
              <w:rPr>
                <w:sz w:val="12"/>
                <w:szCs w:val="12"/>
                <w:color w:val="auto"/>
              </w:rPr>
            </w:pP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24,178</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21,646</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5%</w:t>
            </w:r>
          </w:p>
        </w:tc>
      </w:tr>
      <w:tr>
        <w:trPr>
          <w:trHeight w:val="257"/>
        </w:trPr>
        <w:tc>
          <w:tcPr>
            <w:tcW w:w="11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(L + 9.25%) / (2.25%)</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11.50%/0.00%</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6/7/2019</w:t>
            </w:r>
          </w:p>
        </w:tc>
        <w:tc>
          <w:tcPr>
            <w:tcW w:w="6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6/7/2024</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7,165</w:t>
            </w:r>
          </w:p>
        </w:tc>
        <w:tc>
          <w:tcPr>
            <w:tcW w:w="380" w:type="dxa"/>
            <w:vAlign w:val="bottom"/>
          </w:tcPr>
          <w:p>
            <w:pPr>
              <w:jc w:val="right"/>
              <w:spacing w:after="0"/>
              <w:rPr>
                <w:sz w:val="20"/>
                <w:szCs w:val="20"/>
                <w:color w:val="auto"/>
              </w:rPr>
            </w:pPr>
            <w:r>
              <w:rPr>
                <w:rFonts w:ascii="Arial" w:cs="Arial" w:eastAsia="Arial" w:hAnsi="Arial"/>
                <w:sz w:val="12"/>
                <w:szCs w:val="12"/>
                <w:color w:val="auto"/>
              </w:rPr>
              <w:t>7,121</w:t>
            </w:r>
          </w:p>
        </w:tc>
        <w:tc>
          <w:tcPr>
            <w:tcW w:w="16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7,165</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1"/>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6/20/2019</w:t>
            </w:r>
          </w:p>
        </w:tc>
        <w:tc>
          <w:tcPr>
            <w:tcW w:w="6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1/1/2022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w:t>
            </w:r>
          </w:p>
        </w:tc>
        <w:tc>
          <w:tcPr>
            <w:tcW w:w="16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279</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7,371</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7,444</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257"/>
        </w:trPr>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12.25%/0.00%</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3/23/2016</w:t>
            </w:r>
          </w:p>
        </w:tc>
        <w:tc>
          <w:tcPr>
            <w:tcW w:w="6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Arial" w:cs="Arial" w:eastAsia="Arial" w:hAnsi="Arial"/>
                <w:sz w:val="12"/>
                <w:szCs w:val="12"/>
                <w:color w:val="auto"/>
                <w:w w:val="97"/>
              </w:rPr>
              <w:t>9/23/2021</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25,000</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24,947</w:t>
            </w:r>
          </w:p>
        </w:tc>
        <w:tc>
          <w:tcPr>
            <w:tcW w:w="16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25,000</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1"/>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3/23/2016</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w:t>
            </w:r>
          </w:p>
        </w:tc>
        <w:tc>
          <w:tcPr>
            <w:tcW w:w="16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1,488</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25,210</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26,488</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6%</w:t>
            </w:r>
          </w:p>
        </w:tc>
      </w:tr>
      <w:tr>
        <w:trPr>
          <w:trHeight w:val="270"/>
        </w:trPr>
        <w:tc>
          <w:tcPr>
            <w:tcW w:w="112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(L + 7.00%) / (1.00%)</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w w:val="95"/>
              </w:rPr>
              <w:t>8.94%/0.00%</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9/27/2018</w:t>
            </w:r>
          </w:p>
        </w:tc>
        <w:tc>
          <w:tcPr>
            <w:tcW w:w="6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w w:val="97"/>
              </w:rPr>
              <w:t>3/29/2023</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9,246</w:t>
            </w:r>
          </w:p>
        </w:tc>
        <w:tc>
          <w:tcPr>
            <w:tcW w:w="380" w:type="dxa"/>
            <w:vAlign w:val="bottom"/>
          </w:tcPr>
          <w:p>
            <w:pPr>
              <w:jc w:val="right"/>
              <w:spacing w:after="0"/>
              <w:rPr>
                <w:sz w:val="20"/>
                <w:szCs w:val="20"/>
                <w:color w:val="auto"/>
              </w:rPr>
            </w:pPr>
            <w:r>
              <w:rPr>
                <w:rFonts w:ascii="Arial" w:cs="Arial" w:eastAsia="Arial" w:hAnsi="Arial"/>
                <w:sz w:val="12"/>
                <w:szCs w:val="12"/>
                <w:color w:val="auto"/>
              </w:rPr>
              <w:t>9,174</w:t>
            </w:r>
          </w:p>
        </w:tc>
        <w:tc>
          <w:tcPr>
            <w:tcW w:w="160" w:type="dxa"/>
            <w:vAlign w:val="bottom"/>
          </w:tcPr>
          <w:p>
            <w:pPr>
              <w:spacing w:after="0"/>
              <w:rPr>
                <w:sz w:val="23"/>
                <w:szCs w:val="2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9,246</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378"/>
        </w:trPr>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6/20/2018</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378"/>
        </w:trPr>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0.00%/10.00%</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1/28/2019</w:t>
            </w:r>
          </w:p>
        </w:tc>
        <w:tc>
          <w:tcPr>
            <w:tcW w:w="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w w:val="97"/>
              </w:rPr>
              <w:t>1/28/2021</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2,309</w:t>
            </w:r>
          </w:p>
        </w:tc>
        <w:tc>
          <w:tcPr>
            <w:tcW w:w="380" w:type="dxa"/>
            <w:vAlign w:val="bottom"/>
          </w:tcPr>
          <w:p>
            <w:pPr>
              <w:jc w:val="right"/>
              <w:spacing w:after="0"/>
              <w:rPr>
                <w:sz w:val="20"/>
                <w:szCs w:val="20"/>
                <w:color w:val="auto"/>
              </w:rPr>
            </w:pPr>
            <w:r>
              <w:rPr>
                <w:rFonts w:ascii="Arial" w:cs="Arial" w:eastAsia="Arial" w:hAnsi="Arial"/>
                <w:sz w:val="12"/>
                <w:szCs w:val="12"/>
                <w:color w:val="auto"/>
              </w:rPr>
              <w:t>2,309</w:t>
            </w:r>
          </w:p>
        </w:tc>
        <w:tc>
          <w:tcPr>
            <w:tcW w:w="16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2,309</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w:t>
            </w:r>
          </w:p>
        </w:tc>
      </w:tr>
      <w:tr>
        <w:trPr>
          <w:trHeight w:val="365"/>
        </w:trPr>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12.00%/0.00%</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12/8/2017</w:t>
            </w:r>
          </w:p>
        </w:tc>
        <w:tc>
          <w:tcPr>
            <w:tcW w:w="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6/8/2024</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15,000</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14,948</w:t>
            </w:r>
          </w:p>
        </w:tc>
        <w:tc>
          <w:tcPr>
            <w:tcW w:w="16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13,024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1"/>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12/8/2017</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765</w:t>
            </w:r>
          </w:p>
        </w:tc>
        <w:tc>
          <w:tcPr>
            <w:tcW w:w="16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609</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15,713</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13,633</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57"/>
        </w:trPr>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11.50%/0.00%</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w w:val="89"/>
              </w:rPr>
              <w:t>12/28/2016</w:t>
            </w:r>
          </w:p>
        </w:tc>
        <w:tc>
          <w:tcPr>
            <w:tcW w:w="6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Arial" w:cs="Arial" w:eastAsia="Arial" w:hAnsi="Arial"/>
                <w:sz w:val="12"/>
                <w:szCs w:val="12"/>
                <w:color w:val="auto"/>
                <w:w w:val="86"/>
              </w:rPr>
              <w:t>11/12/2021</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5,000</w:t>
            </w:r>
          </w:p>
        </w:tc>
        <w:tc>
          <w:tcPr>
            <w:tcW w:w="380" w:type="dxa"/>
            <w:vAlign w:val="bottom"/>
          </w:tcPr>
          <w:p>
            <w:pPr>
              <w:jc w:val="right"/>
              <w:spacing w:after="0"/>
              <w:rPr>
                <w:sz w:val="20"/>
                <w:szCs w:val="20"/>
                <w:color w:val="auto"/>
              </w:rPr>
            </w:pPr>
            <w:r>
              <w:rPr>
                <w:rFonts w:ascii="Arial" w:cs="Arial" w:eastAsia="Arial" w:hAnsi="Arial"/>
                <w:sz w:val="12"/>
                <w:szCs w:val="12"/>
                <w:color w:val="auto"/>
              </w:rPr>
              <w:t>4,991</w:t>
            </w:r>
          </w:p>
        </w:tc>
        <w:tc>
          <w:tcPr>
            <w:tcW w:w="16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5,000</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1"/>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w w:val="89"/>
              </w:rPr>
              <w:t>12/28/2016</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c>
          <w:tcPr>
            <w:tcW w:w="16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1,264</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5,991</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6,264</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257"/>
        </w:trPr>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10.50%/0.75%</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7/21/2017</w:t>
            </w:r>
          </w:p>
        </w:tc>
        <w:tc>
          <w:tcPr>
            <w:tcW w:w="6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Arial" w:cs="Arial" w:eastAsia="Arial" w:hAnsi="Arial"/>
                <w:sz w:val="12"/>
                <w:szCs w:val="12"/>
                <w:color w:val="auto"/>
                <w:w w:val="97"/>
              </w:rPr>
              <w:t>1/21/2023</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12,225</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12,192</w:t>
            </w:r>
          </w:p>
        </w:tc>
        <w:tc>
          <w:tcPr>
            <w:tcW w:w="16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12,120</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1"/>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7/21/2017</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960</w:t>
            </w:r>
          </w:p>
        </w:tc>
        <w:tc>
          <w:tcPr>
            <w:tcW w:w="16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13,152</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13,183</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57"/>
        </w:trPr>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10.50%/1.75%</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w w:val="89"/>
              </w:rPr>
              <w:t>11/30/2017</w:t>
            </w:r>
          </w:p>
        </w:tc>
        <w:tc>
          <w:tcPr>
            <w:tcW w:w="6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8/1/2024</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17,221</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17,133</w:t>
            </w:r>
          </w:p>
        </w:tc>
        <w:tc>
          <w:tcPr>
            <w:tcW w:w="16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17,221</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1"/>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w w:val="89"/>
              </w:rPr>
              <w:t>11/30/2017</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1,148</w:t>
            </w:r>
          </w:p>
        </w:tc>
        <w:tc>
          <w:tcPr>
            <w:tcW w:w="16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18,281</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18,182</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4%</w:t>
            </w:r>
          </w:p>
        </w:tc>
      </w:tr>
      <w:tr>
        <w:trPr>
          <w:trHeight w:val="257"/>
        </w:trPr>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6/23/2017</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361</w:t>
            </w:r>
          </w:p>
        </w:tc>
        <w:tc>
          <w:tcPr>
            <w:tcW w:w="160" w:type="dxa"/>
            <w:vAlign w:val="bottom"/>
          </w:tcPr>
          <w:p>
            <w:pPr>
              <w:spacing w:after="0"/>
              <w:rPr>
                <w:sz w:val="22"/>
                <w:szCs w:val="2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1,244</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1"/>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6/23/2017</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w:t>
            </w:r>
          </w:p>
        </w:tc>
        <w:tc>
          <w:tcPr>
            <w:tcW w:w="16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742</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1,711</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270"/>
        </w:trPr>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5/24/2017</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500</w:t>
            </w:r>
          </w:p>
        </w:tc>
        <w:tc>
          <w:tcPr>
            <w:tcW w:w="160" w:type="dxa"/>
            <w:vAlign w:val="bottom"/>
          </w:tcPr>
          <w:p>
            <w:pPr>
              <w:spacing w:after="0"/>
              <w:rPr>
                <w:sz w:val="23"/>
                <w:szCs w:val="2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155</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0%</w:t>
            </w:r>
          </w:p>
        </w:tc>
      </w:tr>
      <w:tr>
        <w:trPr>
          <w:trHeight w:val="365"/>
        </w:trPr>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12.00%/0.00%</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1/15/2016</w:t>
            </w:r>
          </w:p>
        </w:tc>
        <w:tc>
          <w:tcPr>
            <w:tcW w:w="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2"/>
                <w:szCs w:val="12"/>
                <w:color w:val="auto"/>
                <w:w w:val="97"/>
              </w:rPr>
              <w:t>7/15/2021</w:t>
            </w:r>
          </w:p>
        </w:tc>
        <w:tc>
          <w:tcPr>
            <w:tcW w:w="660" w:type="dxa"/>
            <w:vAlign w:val="bottom"/>
            <w:gridSpan w:val="3"/>
          </w:tcPr>
          <w:p>
            <w:pPr>
              <w:jc w:val="right"/>
              <w:ind w:right="120"/>
              <w:spacing w:after="0"/>
              <w:rPr>
                <w:sz w:val="20"/>
                <w:szCs w:val="20"/>
                <w:color w:val="auto"/>
              </w:rPr>
            </w:pPr>
            <w:r>
              <w:rPr>
                <w:rFonts w:ascii="Arial" w:cs="Arial" w:eastAsia="Arial" w:hAnsi="Arial"/>
                <w:sz w:val="12"/>
                <w:szCs w:val="12"/>
                <w:color w:val="auto"/>
              </w:rPr>
              <w:t>10,000</w:t>
            </w:r>
          </w:p>
        </w:tc>
        <w:tc>
          <w:tcPr>
            <w:tcW w:w="380" w:type="dxa"/>
            <w:vAlign w:val="bottom"/>
          </w:tcPr>
          <w:p>
            <w:pPr>
              <w:jc w:val="right"/>
              <w:spacing w:after="0"/>
              <w:rPr>
                <w:sz w:val="20"/>
                <w:szCs w:val="20"/>
                <w:color w:val="auto"/>
              </w:rPr>
            </w:pPr>
            <w:r>
              <w:rPr>
                <w:rFonts w:ascii="Arial" w:cs="Arial" w:eastAsia="Arial" w:hAnsi="Arial"/>
                <w:sz w:val="12"/>
                <w:szCs w:val="12"/>
                <w:color w:val="auto"/>
              </w:rPr>
              <w:t>9,972</w:t>
            </w:r>
          </w:p>
        </w:tc>
        <w:tc>
          <w:tcPr>
            <w:tcW w:w="16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10,000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1"/>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1/15/2016</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w:t>
            </w:r>
          </w:p>
        </w:tc>
        <w:tc>
          <w:tcPr>
            <w:tcW w:w="16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10,472</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10,475</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-5961380</wp:posOffset>
            </wp:positionV>
            <wp:extent cx="6995160" cy="93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-5781675</wp:posOffset>
            </wp:positionV>
            <wp:extent cx="6995160" cy="85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-5593080</wp:posOffset>
            </wp:positionV>
            <wp:extent cx="6995160" cy="85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-5421630</wp:posOffset>
            </wp:positionV>
            <wp:extent cx="6995160" cy="857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-5233035</wp:posOffset>
            </wp:positionV>
            <wp:extent cx="6995160" cy="85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-5061585</wp:posOffset>
            </wp:positionV>
            <wp:extent cx="6995160" cy="85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-4821555</wp:posOffset>
            </wp:positionV>
            <wp:extent cx="6995160" cy="8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-4632960</wp:posOffset>
            </wp:positionV>
            <wp:extent cx="6995160"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-4461510</wp:posOffset>
            </wp:positionV>
            <wp:extent cx="6995160"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-4290060</wp:posOffset>
            </wp:positionV>
            <wp:extent cx="6995160"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-4118610</wp:posOffset>
            </wp:positionV>
            <wp:extent cx="6995160"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-3930015</wp:posOffset>
            </wp:positionV>
            <wp:extent cx="6995160" cy="85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-3758565</wp:posOffset>
            </wp:positionV>
            <wp:extent cx="6995160" cy="85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-3569970</wp:posOffset>
            </wp:positionV>
            <wp:extent cx="6995160"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-3398520</wp:posOffset>
            </wp:positionV>
            <wp:extent cx="6995160"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-3209925</wp:posOffset>
            </wp:positionV>
            <wp:extent cx="6995160"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-3038475</wp:posOffset>
            </wp:positionV>
            <wp:extent cx="6995160"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-2798445</wp:posOffset>
            </wp:positionV>
            <wp:extent cx="6995160"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-2558415</wp:posOffset>
            </wp:positionV>
            <wp:extent cx="6995160" cy="85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-2318385</wp:posOffset>
            </wp:positionV>
            <wp:extent cx="6995160" cy="85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-2129790</wp:posOffset>
            </wp:positionV>
            <wp:extent cx="6995160"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-1958340</wp:posOffset>
            </wp:positionV>
            <wp:extent cx="6995160"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-1769745</wp:posOffset>
            </wp:positionV>
            <wp:extent cx="6995160"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-1598295</wp:posOffset>
            </wp:positionV>
            <wp:extent cx="6995160"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-1409700</wp:posOffset>
            </wp:positionV>
            <wp:extent cx="6995160"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-1238250</wp:posOffset>
            </wp:positionV>
            <wp:extent cx="6995160" cy="85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-1049655</wp:posOffset>
            </wp:positionV>
            <wp:extent cx="6995160"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-878205</wp:posOffset>
            </wp:positionV>
            <wp:extent cx="6995160" cy="8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-689610</wp:posOffset>
            </wp:positionV>
            <wp:extent cx="6995160" cy="85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-518160</wp:posOffset>
            </wp:positionV>
            <wp:extent cx="699516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-278130</wp:posOffset>
            </wp:positionV>
            <wp:extent cx="6995160"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-89535</wp:posOffset>
            </wp:positionV>
            <wp:extent cx="6995160" cy="85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5560" w:space="100"/>
            <w:col w:w="544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00"/>
          </w:cols>
          <w:pgMar w:left="320" w:top="459" w:right="4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Consolidated Schedule of Investments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080"/>
          </w:cols>
          <w:pgMar w:left="320" w:top="459" w:right="499" w:bottom="1440" w:gutter="0" w:footer="0" w:header="0"/>
        </w:sectPr>
      </w:pP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20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700" w:type="dxa"/>
            <w:vAlign w:val="bottom"/>
          </w:tcPr>
          <w:p>
            <w:pPr>
              <w:spacing w:after="0"/>
              <w:rPr>
                <w:sz w:val="13"/>
                <w:szCs w:val="13"/>
                <w:color w:val="auto"/>
              </w:rPr>
            </w:pPr>
          </w:p>
        </w:tc>
      </w:tr>
      <w:tr>
        <w:trPr>
          <w:trHeight w:val="173"/>
        </w:trPr>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8"/>
              </w:rPr>
              <w:t>Investment Type (c)</w:t>
            </w:r>
          </w:p>
        </w:tc>
        <w:tc>
          <w:tcPr>
            <w:tcW w:w="280" w:type="dxa"/>
            <w:vAlign w:val="bottom"/>
            <w:tcBorders>
              <w:bottom w:val="single" w:sz="8" w:color="auto"/>
            </w:tcBorders>
          </w:tcPr>
          <w:p>
            <w:pPr>
              <w:spacing w:after="0"/>
              <w:rPr>
                <w:sz w:val="15"/>
                <w:szCs w:val="15"/>
                <w:color w:val="auto"/>
              </w:rPr>
            </w:pPr>
          </w:p>
        </w:tc>
        <w:tc>
          <w:tcPr>
            <w:tcW w:w="1820" w:type="dxa"/>
            <w:vAlign w:val="bottom"/>
          </w:tcPr>
          <w:p>
            <w:pPr>
              <w:spacing w:after="0"/>
              <w:rPr>
                <w:sz w:val="15"/>
                <w:szCs w:val="15"/>
                <w:color w:val="auto"/>
              </w:rPr>
            </w:pPr>
          </w:p>
        </w:tc>
        <w:tc>
          <w:tcPr>
            <w:tcW w:w="170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Industry</w:t>
            </w:r>
          </w:p>
        </w:tc>
      </w:tr>
      <w:tr>
        <w:trPr>
          <w:trHeight w:val="108"/>
        </w:trPr>
        <w:tc>
          <w:tcPr>
            <w:tcW w:w="1380" w:type="dxa"/>
            <w:vAlign w:val="bottom"/>
            <w:gridSpan w:val="2"/>
          </w:tcPr>
          <w:p>
            <w:pPr>
              <w:spacing w:after="0" w:line="108" w:lineRule="exact"/>
              <w:rPr>
                <w:sz w:val="20"/>
                <w:szCs w:val="20"/>
                <w:color w:val="auto"/>
              </w:rPr>
            </w:pPr>
            <w:r>
              <w:rPr>
                <w:rFonts w:ascii="Arial" w:cs="Arial" w:eastAsia="Arial" w:hAnsi="Arial"/>
                <w:sz w:val="12"/>
                <w:szCs w:val="12"/>
                <w:i w:val="1"/>
                <w:iCs w:val="1"/>
                <w:color w:val="auto"/>
              </w:rPr>
              <w:t>Palisade Company, LLC</w:t>
            </w:r>
          </w:p>
        </w:tc>
        <w:tc>
          <w:tcPr>
            <w:tcW w:w="1820" w:type="dxa"/>
            <w:vAlign w:val="bottom"/>
          </w:tcPr>
          <w:p>
            <w:pPr>
              <w:spacing w:after="0"/>
              <w:rPr>
                <w:sz w:val="9"/>
                <w:szCs w:val="9"/>
                <w:color w:val="auto"/>
              </w:rPr>
            </w:pPr>
          </w:p>
        </w:tc>
        <w:tc>
          <w:tcPr>
            <w:tcW w:w="1700" w:type="dxa"/>
            <w:vAlign w:val="bottom"/>
          </w:tcPr>
          <w:p>
            <w:pPr>
              <w:spacing w:after="0" w:line="108" w:lineRule="exact"/>
              <w:rPr>
                <w:sz w:val="20"/>
                <w:szCs w:val="20"/>
                <w:color w:val="auto"/>
              </w:rPr>
            </w:pPr>
            <w:r>
              <w:rPr>
                <w:rFonts w:ascii="Arial" w:cs="Arial" w:eastAsia="Arial" w:hAnsi="Arial"/>
                <w:sz w:val="12"/>
                <w:szCs w:val="12"/>
                <w:color w:val="auto"/>
                <w:w w:val="96"/>
              </w:rPr>
              <w:t>Information Technology Services</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700" w:type="dxa"/>
            <w:vAlign w:val="bottom"/>
          </w:tcPr>
          <w:p>
            <w:pPr>
              <w:spacing w:after="0"/>
              <w:rPr>
                <w:sz w:val="11"/>
                <w:szCs w:val="11"/>
                <w:color w:val="auto"/>
              </w:rPr>
            </w:pPr>
          </w:p>
        </w:tc>
      </w:tr>
      <w:tr>
        <w:trPr>
          <w:trHeight w:val="160"/>
        </w:trPr>
        <w:tc>
          <w:tcPr>
            <w:tcW w:w="1100" w:type="dxa"/>
            <w:vAlign w:val="bottom"/>
          </w:tcPr>
          <w:p>
            <w:pPr>
              <w:ind w:left="240"/>
              <w:spacing w:after="0"/>
              <w:rPr>
                <w:sz w:val="20"/>
                <w:szCs w:val="20"/>
                <w:color w:val="auto"/>
              </w:rPr>
            </w:pPr>
            <w:r>
              <w:rPr>
                <w:rFonts w:ascii="Arial" w:cs="Arial" w:eastAsia="Arial" w:hAnsi="Arial"/>
                <w:sz w:val="13"/>
                <w:szCs w:val="13"/>
                <w:color w:val="auto"/>
                <w:w w:val="90"/>
              </w:rPr>
              <w:t>Common Equity</w:t>
            </w: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(100 shares) (j)</w:t>
            </w:r>
          </w:p>
        </w:tc>
        <w:tc>
          <w:tcPr>
            <w:tcW w:w="1700" w:type="dxa"/>
            <w:vAlign w:val="bottom"/>
          </w:tcPr>
          <w:p>
            <w:pPr>
              <w:spacing w:after="0"/>
              <w:rPr>
                <w:sz w:val="13"/>
                <w:szCs w:val="13"/>
                <w:color w:val="auto"/>
              </w:rPr>
            </w:pPr>
          </w:p>
        </w:tc>
      </w:tr>
      <w:tr>
        <w:trPr>
          <w:trHeight w:val="272"/>
        </w:trPr>
        <w:tc>
          <w:tcPr>
            <w:tcW w:w="1100" w:type="dxa"/>
            <w:vAlign w:val="bottom"/>
          </w:tcPr>
          <w:p>
            <w:pPr>
              <w:spacing w:after="0"/>
              <w:rPr>
                <w:sz w:val="20"/>
                <w:szCs w:val="20"/>
                <w:color w:val="auto"/>
              </w:rPr>
            </w:pPr>
            <w:r>
              <w:rPr>
                <w:rFonts w:ascii="Arial" w:cs="Arial" w:eastAsia="Arial" w:hAnsi="Arial"/>
                <w:sz w:val="13"/>
                <w:szCs w:val="13"/>
                <w:i w:val="1"/>
                <w:iCs w:val="1"/>
                <w:color w:val="auto"/>
                <w:w w:val="91"/>
              </w:rPr>
              <w:t>Palmetto Moon, LLC</w:t>
            </w:r>
          </w:p>
        </w:tc>
        <w:tc>
          <w:tcPr>
            <w:tcW w:w="2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Retail</w:t>
            </w: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9"/>
              </w:rPr>
              <w:t>First Lien Debt</w:t>
            </w:r>
          </w:p>
        </w:tc>
        <w:tc>
          <w:tcPr>
            <w:tcW w:w="2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60"/>
        </w:trPr>
        <w:tc>
          <w:tcPr>
            <w:tcW w:w="1100" w:type="dxa"/>
            <w:vAlign w:val="bottom"/>
          </w:tcPr>
          <w:p>
            <w:pPr>
              <w:ind w:left="240"/>
              <w:spacing w:after="0"/>
              <w:rPr>
                <w:sz w:val="20"/>
                <w:szCs w:val="20"/>
                <w:color w:val="auto"/>
              </w:rPr>
            </w:pPr>
            <w:r>
              <w:rPr>
                <w:rFonts w:ascii="Arial" w:cs="Arial" w:eastAsia="Arial" w:hAnsi="Arial"/>
                <w:sz w:val="13"/>
                <w:szCs w:val="13"/>
                <w:color w:val="auto"/>
                <w:w w:val="90"/>
              </w:rPr>
              <w:t>Common Equity</w:t>
            </w: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(499 units) (j)</w:t>
            </w:r>
          </w:p>
        </w:tc>
        <w:tc>
          <w:tcPr>
            <w:tcW w:w="1700" w:type="dxa"/>
            <w:vAlign w:val="bottom"/>
          </w:tcPr>
          <w:p>
            <w:pPr>
              <w:spacing w:after="0"/>
              <w:rPr>
                <w:sz w:val="13"/>
                <w:szCs w:val="13"/>
                <w:color w:val="auto"/>
              </w:rPr>
            </w:pPr>
          </w:p>
        </w:tc>
      </w:tr>
      <w:tr>
        <w:trPr>
          <w:trHeight w:val="272"/>
        </w:trPr>
        <w:tc>
          <w:tcPr>
            <w:tcW w:w="3200" w:type="dxa"/>
            <w:vAlign w:val="bottom"/>
            <w:gridSpan w:val="3"/>
          </w:tcPr>
          <w:p>
            <w:pPr>
              <w:spacing w:after="0"/>
              <w:rPr>
                <w:sz w:val="20"/>
                <w:szCs w:val="20"/>
                <w:color w:val="auto"/>
              </w:rPr>
            </w:pPr>
            <w:r>
              <w:rPr>
                <w:rFonts w:ascii="Arial" w:cs="Arial" w:eastAsia="Arial" w:hAnsi="Arial"/>
                <w:sz w:val="13"/>
                <w:szCs w:val="13"/>
                <w:i w:val="1"/>
                <w:iCs w:val="1"/>
                <w:color w:val="auto"/>
              </w:rPr>
              <w:t>Power Grid Components, Inc.</w:t>
            </w:r>
          </w:p>
        </w:tc>
        <w:tc>
          <w:tcPr>
            <w:tcW w:w="1700" w:type="dxa"/>
            <w:vAlign w:val="bottom"/>
          </w:tcPr>
          <w:p>
            <w:pPr>
              <w:spacing w:after="0"/>
              <w:rPr>
                <w:sz w:val="20"/>
                <w:szCs w:val="20"/>
                <w:color w:val="auto"/>
              </w:rPr>
            </w:pPr>
            <w:r>
              <w:rPr>
                <w:rFonts w:ascii="Arial" w:cs="Arial" w:eastAsia="Arial" w:hAnsi="Arial"/>
                <w:sz w:val="13"/>
                <w:szCs w:val="13"/>
                <w:color w:val="auto"/>
              </w:rPr>
              <w:t>Specialty Distribution</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00" w:type="dxa"/>
            <w:vAlign w:val="bottom"/>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21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(392 shares) (j)</w:t>
            </w:r>
          </w:p>
        </w:tc>
        <w:tc>
          <w:tcPr>
            <w:tcW w:w="1700" w:type="dxa"/>
            <w:vAlign w:val="bottom"/>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21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(48 shares) (j)</w:t>
            </w:r>
          </w:p>
        </w:tc>
        <w:tc>
          <w:tcPr>
            <w:tcW w:w="1700" w:type="dxa"/>
            <w:vAlign w:val="bottom"/>
          </w:tcPr>
          <w:p>
            <w:pPr>
              <w:spacing w:after="0"/>
              <w:rPr>
                <w:sz w:val="11"/>
                <w:szCs w:val="11"/>
                <w:color w:val="auto"/>
              </w:rPr>
            </w:pPr>
          </w:p>
        </w:tc>
      </w:tr>
      <w:tr>
        <w:trPr>
          <w:trHeight w:val="160"/>
        </w:trPr>
        <w:tc>
          <w:tcPr>
            <w:tcW w:w="1100" w:type="dxa"/>
            <w:vAlign w:val="bottom"/>
          </w:tcPr>
          <w:p>
            <w:pPr>
              <w:ind w:left="240"/>
              <w:spacing w:after="0"/>
              <w:rPr>
                <w:sz w:val="20"/>
                <w:szCs w:val="20"/>
                <w:color w:val="auto"/>
              </w:rPr>
            </w:pPr>
            <w:r>
              <w:rPr>
                <w:rFonts w:ascii="Arial" w:cs="Arial" w:eastAsia="Arial" w:hAnsi="Arial"/>
                <w:sz w:val="13"/>
                <w:szCs w:val="13"/>
                <w:color w:val="auto"/>
                <w:w w:val="90"/>
              </w:rPr>
              <w:t>Common Equity</w:t>
            </w: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(10,622 shares) (j)</w:t>
            </w:r>
          </w:p>
        </w:tc>
        <w:tc>
          <w:tcPr>
            <w:tcW w:w="1700" w:type="dxa"/>
            <w:vAlign w:val="bottom"/>
          </w:tcPr>
          <w:p>
            <w:pPr>
              <w:spacing w:after="0"/>
              <w:rPr>
                <w:sz w:val="13"/>
                <w:szCs w:val="13"/>
                <w:color w:val="auto"/>
              </w:rPr>
            </w:pPr>
          </w:p>
        </w:tc>
      </w:tr>
      <w:tr>
        <w:trPr>
          <w:trHeight w:val="272"/>
        </w:trPr>
        <w:tc>
          <w:tcPr>
            <w:tcW w:w="1100" w:type="dxa"/>
            <w:vAlign w:val="bottom"/>
          </w:tcPr>
          <w:p>
            <w:pPr>
              <w:spacing w:after="0"/>
              <w:rPr>
                <w:sz w:val="20"/>
                <w:szCs w:val="20"/>
                <w:color w:val="auto"/>
              </w:rPr>
            </w:pPr>
            <w:r>
              <w:rPr>
                <w:rFonts w:ascii="Arial" w:cs="Arial" w:eastAsia="Arial" w:hAnsi="Arial"/>
                <w:sz w:val="13"/>
                <w:szCs w:val="13"/>
                <w:i w:val="1"/>
                <w:iCs w:val="1"/>
                <w:color w:val="auto"/>
                <w:w w:val="87"/>
              </w:rPr>
              <w:t>Prime AE Group, Inc.</w:t>
            </w:r>
          </w:p>
        </w:tc>
        <w:tc>
          <w:tcPr>
            <w:tcW w:w="2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1700" w:type="dxa"/>
            <w:vAlign w:val="bottom"/>
          </w:tcPr>
          <w:p>
            <w:pPr>
              <w:spacing w:after="0"/>
              <w:rPr>
                <w:sz w:val="11"/>
                <w:szCs w:val="11"/>
                <w:color w:val="auto"/>
              </w:rPr>
            </w:pPr>
          </w:p>
        </w:tc>
      </w:tr>
      <w:tr>
        <w:trPr>
          <w:trHeight w:val="160"/>
        </w:trPr>
        <w:tc>
          <w:tcPr>
            <w:tcW w:w="1100" w:type="dxa"/>
            <w:vAlign w:val="bottom"/>
          </w:tcPr>
          <w:p>
            <w:pPr>
              <w:ind w:left="240"/>
              <w:spacing w:after="0"/>
              <w:rPr>
                <w:sz w:val="20"/>
                <w:szCs w:val="20"/>
                <w:color w:val="auto"/>
              </w:rPr>
            </w:pPr>
            <w:r>
              <w:rPr>
                <w:rFonts w:ascii="Arial" w:cs="Arial" w:eastAsia="Arial" w:hAnsi="Arial"/>
                <w:sz w:val="13"/>
                <w:szCs w:val="13"/>
                <w:color w:val="auto"/>
                <w:w w:val="89"/>
              </w:rPr>
              <w:t>Preferred Equity</w:t>
            </w: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(500,000 shares) (j)</w:t>
            </w:r>
          </w:p>
        </w:tc>
        <w:tc>
          <w:tcPr>
            <w:tcW w:w="1700" w:type="dxa"/>
            <w:vAlign w:val="bottom"/>
          </w:tcPr>
          <w:p>
            <w:pPr>
              <w:spacing w:after="0"/>
              <w:rPr>
                <w:sz w:val="13"/>
                <w:szCs w:val="13"/>
                <w:color w:val="auto"/>
              </w:rPr>
            </w:pPr>
          </w:p>
        </w:tc>
      </w:tr>
      <w:tr>
        <w:trPr>
          <w:trHeight w:val="272"/>
        </w:trPr>
        <w:tc>
          <w:tcPr>
            <w:tcW w:w="3200" w:type="dxa"/>
            <w:vAlign w:val="bottom"/>
            <w:gridSpan w:val="3"/>
          </w:tcPr>
          <w:p>
            <w:pPr>
              <w:spacing w:after="0"/>
              <w:rPr>
                <w:sz w:val="20"/>
                <w:szCs w:val="20"/>
                <w:color w:val="auto"/>
              </w:rPr>
            </w:pPr>
            <w:r>
              <w:rPr>
                <w:rFonts w:ascii="Arial" w:cs="Arial" w:eastAsia="Arial" w:hAnsi="Arial"/>
                <w:sz w:val="13"/>
                <w:szCs w:val="13"/>
                <w:color w:val="auto"/>
              </w:rPr>
              <w:t>Pugh Lubricants, LLC</w:t>
            </w:r>
          </w:p>
        </w:tc>
        <w:tc>
          <w:tcPr>
            <w:tcW w:w="1700" w:type="dxa"/>
            <w:vAlign w:val="bottom"/>
          </w:tcPr>
          <w:p>
            <w:pPr>
              <w:spacing w:after="0"/>
              <w:rPr>
                <w:sz w:val="20"/>
                <w:szCs w:val="20"/>
                <w:color w:val="auto"/>
              </w:rPr>
            </w:pPr>
            <w:r>
              <w:rPr>
                <w:rFonts w:ascii="Arial" w:cs="Arial" w:eastAsia="Arial" w:hAnsi="Arial"/>
                <w:sz w:val="13"/>
                <w:szCs w:val="13"/>
                <w:color w:val="auto"/>
              </w:rPr>
              <w:t>Specialty Distribution</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00" w:type="dxa"/>
            <w:vAlign w:val="bottom"/>
          </w:tcPr>
          <w:p>
            <w:pPr>
              <w:spacing w:after="0"/>
              <w:rPr>
                <w:sz w:val="11"/>
                <w:szCs w:val="11"/>
                <w:color w:val="auto"/>
              </w:rPr>
            </w:pPr>
          </w:p>
        </w:tc>
      </w:tr>
      <w:tr>
        <w:trPr>
          <w:trHeight w:val="160"/>
        </w:trPr>
        <w:tc>
          <w:tcPr>
            <w:tcW w:w="1100" w:type="dxa"/>
            <w:vAlign w:val="bottom"/>
          </w:tcPr>
          <w:p>
            <w:pPr>
              <w:ind w:left="240"/>
              <w:spacing w:after="0"/>
              <w:rPr>
                <w:sz w:val="20"/>
                <w:szCs w:val="20"/>
                <w:color w:val="auto"/>
              </w:rPr>
            </w:pPr>
            <w:r>
              <w:rPr>
                <w:rFonts w:ascii="Arial" w:cs="Arial" w:eastAsia="Arial" w:hAnsi="Arial"/>
                <w:sz w:val="13"/>
                <w:szCs w:val="13"/>
                <w:color w:val="auto"/>
                <w:w w:val="90"/>
              </w:rPr>
              <w:t>Common Equity</w:t>
            </w: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(6,125 units) (h)(j)</w:t>
            </w:r>
          </w:p>
        </w:tc>
        <w:tc>
          <w:tcPr>
            <w:tcW w:w="1700" w:type="dxa"/>
            <w:vAlign w:val="bottom"/>
          </w:tcPr>
          <w:p>
            <w:pPr>
              <w:spacing w:after="0"/>
              <w:rPr>
                <w:sz w:val="13"/>
                <w:szCs w:val="13"/>
                <w:color w:val="auto"/>
              </w:rPr>
            </w:pPr>
          </w:p>
        </w:tc>
      </w:tr>
      <w:tr>
        <w:trPr>
          <w:trHeight w:val="272"/>
        </w:trPr>
        <w:tc>
          <w:tcPr>
            <w:tcW w:w="3200" w:type="dxa"/>
            <w:vAlign w:val="bottom"/>
            <w:gridSpan w:val="3"/>
          </w:tcPr>
          <w:p>
            <w:pPr>
              <w:spacing w:after="0"/>
              <w:rPr>
                <w:sz w:val="20"/>
                <w:szCs w:val="20"/>
                <w:color w:val="auto"/>
              </w:rPr>
            </w:pPr>
            <w:r>
              <w:rPr>
                <w:rFonts w:ascii="Arial" w:cs="Arial" w:eastAsia="Arial" w:hAnsi="Arial"/>
                <w:sz w:val="13"/>
                <w:szCs w:val="13"/>
                <w:i w:val="1"/>
                <w:iCs w:val="1"/>
                <w:color w:val="auto"/>
              </w:rPr>
              <w:t>Revenue Management Solutions, LLC</w:t>
            </w:r>
          </w:p>
        </w:tc>
        <w:tc>
          <w:tcPr>
            <w:tcW w:w="1700" w:type="dxa"/>
            <w:vAlign w:val="bottom"/>
          </w:tcPr>
          <w:p>
            <w:pPr>
              <w:spacing w:after="0"/>
              <w:rPr>
                <w:sz w:val="20"/>
                <w:szCs w:val="20"/>
                <w:color w:val="auto"/>
              </w:rPr>
            </w:pPr>
            <w:r>
              <w:rPr>
                <w:rFonts w:ascii="Arial" w:cs="Arial" w:eastAsia="Arial" w:hAnsi="Arial"/>
                <w:sz w:val="13"/>
                <w:szCs w:val="13"/>
                <w:color w:val="auto"/>
                <w:w w:val="88"/>
              </w:rPr>
              <w:t>Information Technology Services</w:t>
            </w:r>
          </w:p>
        </w:tc>
      </w:tr>
      <w:tr>
        <w:trPr>
          <w:trHeight w:val="160"/>
        </w:trPr>
        <w:tc>
          <w:tcPr>
            <w:tcW w:w="1100" w:type="dxa"/>
            <w:vAlign w:val="bottom"/>
          </w:tcPr>
          <w:p>
            <w:pPr>
              <w:ind w:left="240"/>
              <w:spacing w:after="0"/>
              <w:rPr>
                <w:sz w:val="20"/>
                <w:szCs w:val="20"/>
                <w:color w:val="auto"/>
              </w:rPr>
            </w:pPr>
            <w:r>
              <w:rPr>
                <w:rFonts w:ascii="Arial" w:cs="Arial" w:eastAsia="Arial" w:hAnsi="Arial"/>
                <w:sz w:val="13"/>
                <w:szCs w:val="13"/>
                <w:color w:val="auto"/>
                <w:w w:val="90"/>
              </w:rPr>
              <w:t>Common Equity</w:t>
            </w: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(2,250,000 shares)</w:t>
            </w:r>
          </w:p>
        </w:tc>
        <w:tc>
          <w:tcPr>
            <w:tcW w:w="1700" w:type="dxa"/>
            <w:vAlign w:val="bottom"/>
          </w:tcPr>
          <w:p>
            <w:pPr>
              <w:spacing w:after="0"/>
              <w:rPr>
                <w:sz w:val="13"/>
                <w:szCs w:val="13"/>
                <w:color w:val="auto"/>
              </w:rPr>
            </w:pPr>
          </w:p>
        </w:tc>
      </w:tr>
      <w:tr>
        <w:trPr>
          <w:trHeight w:val="218"/>
        </w:trPr>
        <w:tc>
          <w:tcPr>
            <w:tcW w:w="3200" w:type="dxa"/>
            <w:vAlign w:val="bottom"/>
            <w:gridSpan w:val="3"/>
          </w:tcPr>
          <w:p>
            <w:pPr>
              <w:spacing w:after="0"/>
              <w:rPr>
                <w:sz w:val="20"/>
                <w:szCs w:val="20"/>
                <w:color w:val="auto"/>
              </w:rPr>
            </w:pPr>
            <w:r>
              <w:rPr>
                <w:rFonts w:ascii="Arial" w:cs="Arial" w:eastAsia="Arial" w:hAnsi="Arial"/>
                <w:sz w:val="13"/>
                <w:szCs w:val="13"/>
                <w:i w:val="1"/>
                <w:iCs w:val="1"/>
                <w:color w:val="auto"/>
              </w:rPr>
              <w:t>Rhino Assembly Company, LLC</w:t>
            </w:r>
          </w:p>
        </w:tc>
        <w:tc>
          <w:tcPr>
            <w:tcW w:w="1700" w:type="dxa"/>
            <w:vAlign w:val="bottom"/>
          </w:tcPr>
          <w:p>
            <w:pPr>
              <w:spacing w:after="0"/>
              <w:rPr>
                <w:sz w:val="20"/>
                <w:szCs w:val="20"/>
                <w:color w:val="auto"/>
              </w:rPr>
            </w:pPr>
            <w:r>
              <w:rPr>
                <w:rFonts w:ascii="Arial" w:cs="Arial" w:eastAsia="Arial" w:hAnsi="Arial"/>
                <w:sz w:val="13"/>
                <w:szCs w:val="13"/>
                <w:color w:val="auto"/>
              </w:rPr>
              <w:t>Specialty Distribution</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00" w:type="dxa"/>
            <w:vAlign w:val="bottom"/>
          </w:tcPr>
          <w:p>
            <w:pPr>
              <w:spacing w:after="0"/>
              <w:rPr>
                <w:sz w:val="11"/>
                <w:szCs w:val="11"/>
                <w:color w:val="auto"/>
              </w:rPr>
            </w:pP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w w:val="97"/>
              </w:rPr>
              <w:t>Delayed Draw Commitment ($875 commitment) (i)(j)</w:t>
            </w:r>
          </w:p>
        </w:tc>
        <w:tc>
          <w:tcPr>
            <w:tcW w:w="1700" w:type="dxa"/>
            <w:vAlign w:val="bottom"/>
          </w:tcPr>
          <w:p>
            <w:pPr>
              <w:spacing w:after="0"/>
              <w:rPr>
                <w:sz w:val="11"/>
                <w:szCs w:val="11"/>
                <w:color w:val="auto"/>
              </w:rPr>
            </w:pPr>
          </w:p>
        </w:tc>
      </w:tr>
      <w:tr>
        <w:trPr>
          <w:trHeight w:val="160"/>
        </w:trPr>
        <w:tc>
          <w:tcPr>
            <w:tcW w:w="1100" w:type="dxa"/>
            <w:vAlign w:val="bottom"/>
          </w:tcPr>
          <w:p>
            <w:pPr>
              <w:ind w:left="240"/>
              <w:spacing w:after="0"/>
              <w:rPr>
                <w:sz w:val="20"/>
                <w:szCs w:val="20"/>
                <w:color w:val="auto"/>
              </w:rPr>
            </w:pPr>
            <w:r>
              <w:rPr>
                <w:rFonts w:ascii="Arial" w:cs="Arial" w:eastAsia="Arial" w:hAnsi="Arial"/>
                <w:sz w:val="13"/>
                <w:szCs w:val="13"/>
                <w:color w:val="auto"/>
                <w:w w:val="89"/>
              </w:rPr>
              <w:t>Preferred Equity</w:t>
            </w: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(8,864 units) (h)(j)</w:t>
            </w:r>
          </w:p>
        </w:tc>
        <w:tc>
          <w:tcPr>
            <w:tcW w:w="1700" w:type="dxa"/>
            <w:vAlign w:val="bottom"/>
          </w:tcPr>
          <w:p>
            <w:pPr>
              <w:spacing w:after="0"/>
              <w:rPr>
                <w:sz w:val="13"/>
                <w:szCs w:val="13"/>
                <w:color w:val="auto"/>
              </w:rPr>
            </w:pPr>
          </w:p>
        </w:tc>
      </w:tr>
      <w:tr>
        <w:trPr>
          <w:trHeight w:val="272"/>
        </w:trPr>
        <w:tc>
          <w:tcPr>
            <w:tcW w:w="3200" w:type="dxa"/>
            <w:vAlign w:val="bottom"/>
            <w:gridSpan w:val="3"/>
          </w:tcPr>
          <w:p>
            <w:pPr>
              <w:spacing w:after="0"/>
              <w:rPr>
                <w:sz w:val="20"/>
                <w:szCs w:val="20"/>
                <w:color w:val="auto"/>
              </w:rPr>
            </w:pPr>
            <w:r>
              <w:rPr>
                <w:rFonts w:ascii="Arial" w:cs="Arial" w:eastAsia="Arial" w:hAnsi="Arial"/>
                <w:sz w:val="13"/>
                <w:szCs w:val="13"/>
                <w:i w:val="1"/>
                <w:iCs w:val="1"/>
                <w:color w:val="auto"/>
              </w:rPr>
              <w:t>Road Safety Services, Inc.</w:t>
            </w:r>
          </w:p>
        </w:tc>
        <w:tc>
          <w:tcPr>
            <w:tcW w:w="170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700" w:type="dxa"/>
            <w:vAlign w:val="bottom"/>
          </w:tcPr>
          <w:p>
            <w:pPr>
              <w:spacing w:after="0"/>
              <w:rPr>
                <w:sz w:val="11"/>
                <w:szCs w:val="11"/>
                <w:color w:val="auto"/>
              </w:rPr>
            </w:pPr>
          </w:p>
        </w:tc>
      </w:tr>
      <w:tr>
        <w:trPr>
          <w:trHeight w:val="160"/>
        </w:trPr>
        <w:tc>
          <w:tcPr>
            <w:tcW w:w="3200" w:type="dxa"/>
            <w:vAlign w:val="bottom"/>
            <w:gridSpan w:val="3"/>
          </w:tcPr>
          <w:p>
            <w:pPr>
              <w:ind w:left="240"/>
              <w:spacing w:after="0"/>
              <w:rPr>
                <w:sz w:val="20"/>
                <w:szCs w:val="20"/>
                <w:color w:val="auto"/>
              </w:rPr>
            </w:pPr>
            <w:r>
              <w:rPr>
                <w:rFonts w:ascii="Arial" w:cs="Arial" w:eastAsia="Arial" w:hAnsi="Arial"/>
                <w:sz w:val="13"/>
                <w:szCs w:val="13"/>
                <w:color w:val="auto"/>
              </w:rPr>
              <w:t>Common Equity (655 units)</w:t>
            </w:r>
          </w:p>
        </w:tc>
        <w:tc>
          <w:tcPr>
            <w:tcW w:w="1700" w:type="dxa"/>
            <w:vAlign w:val="bottom"/>
          </w:tcPr>
          <w:p>
            <w:pPr>
              <w:spacing w:after="0"/>
              <w:rPr>
                <w:sz w:val="13"/>
                <w:szCs w:val="13"/>
                <w:color w:val="auto"/>
              </w:rPr>
            </w:pPr>
          </w:p>
        </w:tc>
      </w:tr>
      <w:tr>
        <w:trPr>
          <w:trHeight w:val="272"/>
        </w:trPr>
        <w:tc>
          <w:tcPr>
            <w:tcW w:w="1100" w:type="dxa"/>
            <w:vAlign w:val="bottom"/>
          </w:tcPr>
          <w:p>
            <w:pPr>
              <w:spacing w:after="0"/>
              <w:rPr>
                <w:sz w:val="20"/>
                <w:szCs w:val="20"/>
                <w:color w:val="auto"/>
              </w:rPr>
            </w:pPr>
            <w:r>
              <w:rPr>
                <w:rFonts w:ascii="Arial" w:cs="Arial" w:eastAsia="Arial" w:hAnsi="Arial"/>
                <w:sz w:val="13"/>
                <w:szCs w:val="13"/>
                <w:i w:val="1"/>
                <w:iCs w:val="1"/>
                <w:color w:val="auto"/>
                <w:w w:val="97"/>
              </w:rPr>
              <w:t>Rohrer Corporation</w:t>
            </w:r>
          </w:p>
        </w:tc>
        <w:tc>
          <w:tcPr>
            <w:tcW w:w="2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Packaging</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700" w:type="dxa"/>
            <w:vAlign w:val="bottom"/>
          </w:tcPr>
          <w:p>
            <w:pPr>
              <w:spacing w:after="0"/>
              <w:rPr>
                <w:sz w:val="11"/>
                <w:szCs w:val="11"/>
                <w:color w:val="auto"/>
              </w:rPr>
            </w:pPr>
          </w:p>
        </w:tc>
      </w:tr>
      <w:tr>
        <w:trPr>
          <w:trHeight w:val="160"/>
        </w:trPr>
        <w:tc>
          <w:tcPr>
            <w:tcW w:w="3200" w:type="dxa"/>
            <w:vAlign w:val="bottom"/>
            <w:gridSpan w:val="3"/>
          </w:tcPr>
          <w:p>
            <w:pPr>
              <w:ind w:left="240"/>
              <w:spacing w:after="0"/>
              <w:rPr>
                <w:sz w:val="20"/>
                <w:szCs w:val="20"/>
                <w:color w:val="auto"/>
              </w:rPr>
            </w:pPr>
            <w:r>
              <w:rPr>
                <w:rFonts w:ascii="Arial" w:cs="Arial" w:eastAsia="Arial" w:hAnsi="Arial"/>
                <w:sz w:val="13"/>
                <w:szCs w:val="13"/>
                <w:color w:val="auto"/>
              </w:rPr>
              <w:t>Common Equity (400 shares)</w:t>
            </w:r>
          </w:p>
        </w:tc>
        <w:tc>
          <w:tcPr>
            <w:tcW w:w="1700" w:type="dxa"/>
            <w:vAlign w:val="bottom"/>
          </w:tcPr>
          <w:p>
            <w:pPr>
              <w:spacing w:after="0"/>
              <w:rPr>
                <w:sz w:val="13"/>
                <w:szCs w:val="13"/>
                <w:color w:val="auto"/>
              </w:rPr>
            </w:pPr>
          </w:p>
        </w:tc>
      </w:tr>
      <w:tr>
        <w:trPr>
          <w:trHeight w:val="272"/>
        </w:trPr>
        <w:tc>
          <w:tcPr>
            <w:tcW w:w="3200" w:type="dxa"/>
            <w:vAlign w:val="bottom"/>
            <w:gridSpan w:val="3"/>
          </w:tcPr>
          <w:p>
            <w:pPr>
              <w:spacing w:after="0"/>
              <w:rPr>
                <w:sz w:val="20"/>
                <w:szCs w:val="20"/>
                <w:color w:val="auto"/>
              </w:rPr>
            </w:pPr>
            <w:r>
              <w:rPr>
                <w:rFonts w:ascii="Arial" w:cs="Arial" w:eastAsia="Arial" w:hAnsi="Arial"/>
                <w:sz w:val="13"/>
                <w:szCs w:val="13"/>
                <w:i w:val="1"/>
                <w:iCs w:val="1"/>
                <w:color w:val="auto"/>
              </w:rPr>
              <w:t>SES Investors, LLC (dba SES Foam)</w:t>
            </w:r>
          </w:p>
        </w:tc>
        <w:tc>
          <w:tcPr>
            <w:tcW w:w="1700" w:type="dxa"/>
            <w:vAlign w:val="bottom"/>
          </w:tcPr>
          <w:p>
            <w:pPr>
              <w:spacing w:after="0"/>
              <w:rPr>
                <w:sz w:val="20"/>
                <w:szCs w:val="20"/>
                <w:color w:val="auto"/>
              </w:rPr>
            </w:pPr>
            <w:r>
              <w:rPr>
                <w:rFonts w:ascii="Arial" w:cs="Arial" w:eastAsia="Arial" w:hAnsi="Arial"/>
                <w:sz w:val="13"/>
                <w:szCs w:val="13"/>
                <w:color w:val="auto"/>
                <w:w w:val="89"/>
              </w:rPr>
              <w:t>Building Products Manufacturing</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700" w:type="dxa"/>
            <w:vAlign w:val="bottom"/>
          </w:tcPr>
          <w:p>
            <w:pPr>
              <w:spacing w:after="0"/>
              <w:rPr>
                <w:sz w:val="11"/>
                <w:szCs w:val="11"/>
                <w:color w:val="auto"/>
              </w:rPr>
            </w:pPr>
          </w:p>
        </w:tc>
      </w:tr>
      <w:tr>
        <w:trPr>
          <w:trHeight w:val="160"/>
        </w:trPr>
        <w:tc>
          <w:tcPr>
            <w:tcW w:w="3200" w:type="dxa"/>
            <w:vAlign w:val="bottom"/>
            <w:gridSpan w:val="3"/>
          </w:tcPr>
          <w:p>
            <w:pPr>
              <w:ind w:left="240"/>
              <w:spacing w:after="0"/>
              <w:rPr>
                <w:sz w:val="20"/>
                <w:szCs w:val="20"/>
                <w:color w:val="auto"/>
              </w:rPr>
            </w:pPr>
            <w:r>
              <w:rPr>
                <w:rFonts w:ascii="Arial" w:cs="Arial" w:eastAsia="Arial" w:hAnsi="Arial"/>
                <w:sz w:val="13"/>
                <w:szCs w:val="13"/>
                <w:color w:val="auto"/>
              </w:rPr>
              <w:t>Common Equity (6,000 units) (h)(j)</w:t>
            </w:r>
          </w:p>
        </w:tc>
        <w:tc>
          <w:tcPr>
            <w:tcW w:w="1700" w:type="dxa"/>
            <w:vAlign w:val="bottom"/>
          </w:tcPr>
          <w:p>
            <w:pPr>
              <w:spacing w:after="0"/>
              <w:rPr>
                <w:sz w:val="13"/>
                <w:szCs w:val="13"/>
                <w:color w:val="auto"/>
              </w:rPr>
            </w:pPr>
          </w:p>
        </w:tc>
      </w:tr>
      <w:tr>
        <w:trPr>
          <w:trHeight w:val="272"/>
        </w:trPr>
        <w:tc>
          <w:tcPr>
            <w:tcW w:w="3200" w:type="dxa"/>
            <w:vAlign w:val="bottom"/>
            <w:gridSpan w:val="3"/>
          </w:tcPr>
          <w:p>
            <w:pPr>
              <w:spacing w:after="0"/>
              <w:rPr>
                <w:sz w:val="20"/>
                <w:szCs w:val="20"/>
                <w:color w:val="auto"/>
              </w:rPr>
            </w:pPr>
            <w:r>
              <w:rPr>
                <w:rFonts w:ascii="Arial" w:cs="Arial" w:eastAsia="Arial" w:hAnsi="Arial"/>
                <w:sz w:val="13"/>
                <w:szCs w:val="13"/>
                <w:i w:val="1"/>
                <w:iCs w:val="1"/>
                <w:color w:val="auto"/>
              </w:rPr>
              <w:t>Software Technology, LLC</w:t>
            </w:r>
          </w:p>
        </w:tc>
        <w:tc>
          <w:tcPr>
            <w:tcW w:w="1700" w:type="dxa"/>
            <w:vAlign w:val="bottom"/>
          </w:tcPr>
          <w:p>
            <w:pPr>
              <w:spacing w:after="0"/>
              <w:rPr>
                <w:sz w:val="20"/>
                <w:szCs w:val="20"/>
                <w:color w:val="auto"/>
              </w:rPr>
            </w:pPr>
            <w:r>
              <w:rPr>
                <w:rFonts w:ascii="Arial" w:cs="Arial" w:eastAsia="Arial" w:hAnsi="Arial"/>
                <w:sz w:val="13"/>
                <w:szCs w:val="13"/>
                <w:color w:val="auto"/>
                <w:w w:val="88"/>
              </w:rPr>
              <w:t>Information Technology Services</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700" w:type="dxa"/>
            <w:vAlign w:val="bottom"/>
          </w:tcPr>
          <w:p>
            <w:pPr>
              <w:spacing w:after="0"/>
              <w:rPr>
                <w:sz w:val="11"/>
                <w:szCs w:val="11"/>
                <w:color w:val="auto"/>
              </w:rPr>
            </w:pPr>
          </w:p>
        </w:tc>
      </w:tr>
      <w:tr>
        <w:trPr>
          <w:trHeight w:val="160"/>
        </w:trPr>
        <w:tc>
          <w:tcPr>
            <w:tcW w:w="3200" w:type="dxa"/>
            <w:vAlign w:val="bottom"/>
            <w:gridSpan w:val="3"/>
          </w:tcPr>
          <w:p>
            <w:pPr>
              <w:ind w:left="240"/>
              <w:spacing w:after="0"/>
              <w:rPr>
                <w:sz w:val="20"/>
                <w:szCs w:val="20"/>
                <w:color w:val="auto"/>
              </w:rPr>
            </w:pPr>
            <w:r>
              <w:rPr>
                <w:rFonts w:ascii="Arial" w:cs="Arial" w:eastAsia="Arial" w:hAnsi="Arial"/>
                <w:sz w:val="13"/>
                <w:szCs w:val="13"/>
                <w:color w:val="auto"/>
              </w:rPr>
              <w:t>Common Equity (12 shares)</w:t>
            </w:r>
          </w:p>
        </w:tc>
        <w:tc>
          <w:tcPr>
            <w:tcW w:w="1700" w:type="dxa"/>
            <w:vAlign w:val="bottom"/>
          </w:tcPr>
          <w:p>
            <w:pPr>
              <w:spacing w:after="0"/>
              <w:rPr>
                <w:sz w:val="13"/>
                <w:szCs w:val="13"/>
                <w:color w:val="auto"/>
              </w:rPr>
            </w:pPr>
          </w:p>
        </w:tc>
      </w:tr>
      <w:tr>
        <w:trPr>
          <w:trHeight w:val="272"/>
        </w:trPr>
        <w:tc>
          <w:tcPr>
            <w:tcW w:w="3200" w:type="dxa"/>
            <w:vAlign w:val="bottom"/>
            <w:gridSpan w:val="3"/>
          </w:tcPr>
          <w:p>
            <w:pPr>
              <w:spacing w:after="0"/>
              <w:rPr>
                <w:sz w:val="20"/>
                <w:szCs w:val="20"/>
                <w:color w:val="auto"/>
              </w:rPr>
            </w:pPr>
            <w:r>
              <w:rPr>
                <w:rFonts w:ascii="Arial" w:cs="Arial" w:eastAsia="Arial" w:hAnsi="Arial"/>
                <w:sz w:val="13"/>
                <w:szCs w:val="13"/>
                <w:i w:val="1"/>
                <w:iCs w:val="1"/>
                <w:color w:val="auto"/>
              </w:rPr>
              <w:t>Specialized Elevator Services Holdings, LLC</w:t>
            </w:r>
          </w:p>
        </w:tc>
        <w:tc>
          <w:tcPr>
            <w:tcW w:w="170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(j)(y)</w:t>
            </w:r>
          </w:p>
        </w:tc>
        <w:tc>
          <w:tcPr>
            <w:tcW w:w="1700" w:type="dxa"/>
            <w:vAlign w:val="bottom"/>
          </w:tcPr>
          <w:p>
            <w:pPr>
              <w:spacing w:after="0"/>
              <w:rPr>
                <w:sz w:val="11"/>
                <w:szCs w:val="11"/>
                <w:color w:val="auto"/>
              </w:rPr>
            </w:pPr>
          </w:p>
        </w:tc>
      </w:tr>
      <w:tr>
        <w:trPr>
          <w:trHeight w:val="160"/>
        </w:trPr>
        <w:tc>
          <w:tcPr>
            <w:tcW w:w="3200" w:type="dxa"/>
            <w:vAlign w:val="bottom"/>
            <w:gridSpan w:val="3"/>
          </w:tcPr>
          <w:p>
            <w:pPr>
              <w:ind w:left="240"/>
              <w:spacing w:after="0"/>
              <w:rPr>
                <w:sz w:val="20"/>
                <w:szCs w:val="20"/>
                <w:color w:val="auto"/>
              </w:rPr>
            </w:pPr>
            <w:r>
              <w:rPr>
                <w:rFonts w:ascii="Arial" w:cs="Arial" w:eastAsia="Arial" w:hAnsi="Arial"/>
                <w:sz w:val="13"/>
                <w:szCs w:val="13"/>
                <w:color w:val="auto"/>
              </w:rPr>
              <w:t>Common Equity (500 units) (j)</w:t>
            </w:r>
          </w:p>
        </w:tc>
        <w:tc>
          <w:tcPr>
            <w:tcW w:w="1700" w:type="dxa"/>
            <w:vAlign w:val="bottom"/>
          </w:tcPr>
          <w:p>
            <w:pPr>
              <w:spacing w:after="0"/>
              <w:rPr>
                <w:sz w:val="13"/>
                <w:szCs w:val="13"/>
                <w:color w:val="auto"/>
              </w:rPr>
            </w:pPr>
          </w:p>
        </w:tc>
      </w:tr>
      <w:tr>
        <w:trPr>
          <w:trHeight w:val="272"/>
        </w:trPr>
        <w:tc>
          <w:tcPr>
            <w:tcW w:w="1100" w:type="dxa"/>
            <w:vAlign w:val="bottom"/>
          </w:tcPr>
          <w:p>
            <w:pPr>
              <w:spacing w:after="0"/>
              <w:rPr>
                <w:sz w:val="20"/>
                <w:szCs w:val="20"/>
                <w:color w:val="auto"/>
              </w:rPr>
            </w:pPr>
            <w:r>
              <w:rPr>
                <w:rFonts w:ascii="Arial" w:cs="Arial" w:eastAsia="Arial" w:hAnsi="Arial"/>
                <w:sz w:val="13"/>
                <w:szCs w:val="13"/>
                <w:i w:val="1"/>
                <w:iCs w:val="1"/>
                <w:color w:val="auto"/>
              </w:rPr>
              <w:t>SpendMend LLC</w:t>
            </w:r>
          </w:p>
        </w:tc>
        <w:tc>
          <w:tcPr>
            <w:tcW w:w="2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00" w:type="dxa"/>
            <w:vAlign w:val="bottom"/>
          </w:tcPr>
          <w:p>
            <w:pPr>
              <w:spacing w:after="0"/>
              <w:rPr>
                <w:sz w:val="11"/>
                <w:szCs w:val="11"/>
                <w:color w:val="auto"/>
              </w:rPr>
            </w:pPr>
          </w:p>
        </w:tc>
      </w:tr>
      <w:tr>
        <w:trPr>
          <w:trHeight w:val="160"/>
        </w:trPr>
        <w:tc>
          <w:tcPr>
            <w:tcW w:w="3200" w:type="dxa"/>
            <w:vAlign w:val="bottom"/>
            <w:gridSpan w:val="3"/>
          </w:tcPr>
          <w:p>
            <w:pPr>
              <w:ind w:left="240"/>
              <w:spacing w:after="0"/>
              <w:rPr>
                <w:sz w:val="20"/>
                <w:szCs w:val="20"/>
                <w:color w:val="auto"/>
              </w:rPr>
            </w:pPr>
            <w:r>
              <w:rPr>
                <w:rFonts w:ascii="Arial" w:cs="Arial" w:eastAsia="Arial" w:hAnsi="Arial"/>
                <w:sz w:val="13"/>
                <w:szCs w:val="13"/>
                <w:color w:val="auto"/>
              </w:rPr>
              <w:t>Common Equity (1,000,000 units)</w:t>
            </w:r>
          </w:p>
        </w:tc>
        <w:tc>
          <w:tcPr>
            <w:tcW w:w="1700" w:type="dxa"/>
            <w:vAlign w:val="bottom"/>
          </w:tcPr>
          <w:p>
            <w:pPr>
              <w:spacing w:after="0"/>
              <w:rPr>
                <w:sz w:val="13"/>
                <w:szCs w:val="13"/>
                <w:color w:val="auto"/>
              </w:rPr>
            </w:pPr>
          </w:p>
        </w:tc>
      </w:tr>
      <w:tr>
        <w:trPr>
          <w:trHeight w:val="272"/>
        </w:trPr>
        <w:tc>
          <w:tcPr>
            <w:tcW w:w="1100" w:type="dxa"/>
            <w:vAlign w:val="bottom"/>
          </w:tcPr>
          <w:p>
            <w:pPr>
              <w:spacing w:after="0"/>
              <w:rPr>
                <w:sz w:val="20"/>
                <w:szCs w:val="20"/>
                <w:color w:val="auto"/>
              </w:rPr>
            </w:pPr>
            <w:r>
              <w:rPr>
                <w:rFonts w:ascii="Arial" w:cs="Arial" w:eastAsia="Arial" w:hAnsi="Arial"/>
                <w:sz w:val="13"/>
                <w:szCs w:val="13"/>
                <w:i w:val="1"/>
                <w:iCs w:val="1"/>
                <w:color w:val="auto"/>
              </w:rPr>
              <w:t>TransGo, LLC</w:t>
            </w:r>
          </w:p>
        </w:tc>
        <w:tc>
          <w:tcPr>
            <w:tcW w:w="2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Component Manufacturing</w:t>
            </w:r>
          </w:p>
        </w:tc>
      </w:tr>
      <w:tr>
        <w:trPr>
          <w:trHeight w:val="160"/>
        </w:trPr>
        <w:tc>
          <w:tcPr>
            <w:tcW w:w="3200" w:type="dxa"/>
            <w:vAlign w:val="bottom"/>
            <w:gridSpan w:val="3"/>
          </w:tcPr>
          <w:p>
            <w:pPr>
              <w:ind w:left="240"/>
              <w:spacing w:after="0"/>
              <w:rPr>
                <w:sz w:val="20"/>
                <w:szCs w:val="20"/>
                <w:color w:val="auto"/>
              </w:rPr>
            </w:pPr>
            <w:r>
              <w:rPr>
                <w:rFonts w:ascii="Arial" w:cs="Arial" w:eastAsia="Arial" w:hAnsi="Arial"/>
                <w:sz w:val="13"/>
                <w:szCs w:val="13"/>
                <w:color w:val="auto"/>
              </w:rPr>
              <w:t>Common Equity (1,000 units)</w:t>
            </w:r>
          </w:p>
        </w:tc>
        <w:tc>
          <w:tcPr>
            <w:tcW w:w="1700" w:type="dxa"/>
            <w:vAlign w:val="bottom"/>
          </w:tcPr>
          <w:p>
            <w:pPr>
              <w:spacing w:after="0"/>
              <w:rPr>
                <w:sz w:val="13"/>
                <w:szCs w:val="13"/>
                <w:color w:val="auto"/>
              </w:rPr>
            </w:pPr>
          </w:p>
        </w:tc>
      </w:tr>
      <w:tr>
        <w:trPr>
          <w:trHeight w:val="218"/>
        </w:trPr>
        <w:tc>
          <w:tcPr>
            <w:tcW w:w="3200" w:type="dxa"/>
            <w:vAlign w:val="bottom"/>
            <w:gridSpan w:val="3"/>
          </w:tcPr>
          <w:p>
            <w:pPr>
              <w:spacing w:after="0"/>
              <w:rPr>
                <w:sz w:val="20"/>
                <w:szCs w:val="20"/>
                <w:color w:val="auto"/>
              </w:rPr>
            </w:pPr>
            <w:r>
              <w:rPr>
                <w:rFonts w:ascii="Arial" w:cs="Arial" w:eastAsia="Arial" w:hAnsi="Arial"/>
                <w:sz w:val="13"/>
                <w:szCs w:val="13"/>
                <w:i w:val="1"/>
                <w:iCs w:val="1"/>
                <w:color w:val="auto"/>
              </w:rPr>
              <w:t>The Tranzonic Companies</w:t>
            </w:r>
          </w:p>
        </w:tc>
        <w:tc>
          <w:tcPr>
            <w:tcW w:w="1700" w:type="dxa"/>
            <w:vAlign w:val="bottom"/>
          </w:tcPr>
          <w:p>
            <w:pPr>
              <w:spacing w:after="0"/>
              <w:rPr>
                <w:sz w:val="20"/>
                <w:szCs w:val="20"/>
                <w:color w:val="auto"/>
              </w:rPr>
            </w:pPr>
            <w:r>
              <w:rPr>
                <w:rFonts w:ascii="Arial" w:cs="Arial" w:eastAsia="Arial" w:hAnsi="Arial"/>
                <w:sz w:val="13"/>
                <w:szCs w:val="13"/>
                <w:color w:val="auto"/>
              </w:rPr>
              <w:t>Specialty Distribution</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700" w:type="dxa"/>
            <w:vAlign w:val="bottom"/>
          </w:tcPr>
          <w:p>
            <w:pPr>
              <w:spacing w:after="0"/>
              <w:rPr>
                <w:sz w:val="11"/>
                <w:szCs w:val="11"/>
                <w:color w:val="auto"/>
              </w:rPr>
            </w:pP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(5,653 units) (j)</w:t>
            </w:r>
          </w:p>
        </w:tc>
        <w:tc>
          <w:tcPr>
            <w:tcW w:w="1700" w:type="dxa"/>
            <w:vAlign w:val="bottom"/>
          </w:tcPr>
          <w:p>
            <w:pPr>
              <w:spacing w:after="0"/>
              <w:rPr>
                <w:sz w:val="11"/>
                <w:szCs w:val="11"/>
                <w:color w:val="auto"/>
              </w:rPr>
            </w:pPr>
          </w:p>
        </w:tc>
      </w:tr>
      <w:tr>
        <w:trPr>
          <w:trHeight w:val="160"/>
        </w:trPr>
        <w:tc>
          <w:tcPr>
            <w:tcW w:w="3200" w:type="dxa"/>
            <w:vAlign w:val="bottom"/>
            <w:gridSpan w:val="3"/>
          </w:tcPr>
          <w:p>
            <w:pPr>
              <w:ind w:left="240"/>
              <w:spacing w:after="0"/>
              <w:rPr>
                <w:sz w:val="20"/>
                <w:szCs w:val="20"/>
                <w:color w:val="auto"/>
              </w:rPr>
            </w:pPr>
            <w:r>
              <w:rPr>
                <w:rFonts w:ascii="Arial" w:cs="Arial" w:eastAsia="Arial" w:hAnsi="Arial"/>
                <w:sz w:val="13"/>
                <w:szCs w:val="13"/>
                <w:color w:val="auto"/>
              </w:rPr>
              <w:t>Common Equity (1 units) (j)</w:t>
            </w:r>
          </w:p>
        </w:tc>
        <w:tc>
          <w:tcPr>
            <w:tcW w:w="1700" w:type="dxa"/>
            <w:vAlign w:val="bottom"/>
          </w:tcPr>
          <w:p>
            <w:pPr>
              <w:spacing w:after="0"/>
              <w:rPr>
                <w:sz w:val="13"/>
                <w:szCs w:val="13"/>
                <w:color w:val="auto"/>
              </w:rPr>
            </w:pPr>
          </w:p>
        </w:tc>
      </w:tr>
      <w:tr>
        <w:trPr>
          <w:trHeight w:val="272"/>
        </w:trPr>
        <w:tc>
          <w:tcPr>
            <w:tcW w:w="1100" w:type="dxa"/>
            <w:vAlign w:val="bottom"/>
          </w:tcPr>
          <w:p>
            <w:pPr>
              <w:spacing w:after="0"/>
              <w:rPr>
                <w:sz w:val="20"/>
                <w:szCs w:val="20"/>
                <w:color w:val="auto"/>
              </w:rPr>
            </w:pPr>
            <w:r>
              <w:rPr>
                <w:rFonts w:ascii="Arial" w:cs="Arial" w:eastAsia="Arial" w:hAnsi="Arial"/>
                <w:sz w:val="13"/>
                <w:szCs w:val="13"/>
                <w:i w:val="1"/>
                <w:iCs w:val="1"/>
                <w:color w:val="auto"/>
              </w:rPr>
              <w:t>UBEO, LLC</w:t>
            </w:r>
          </w:p>
        </w:tc>
        <w:tc>
          <w:tcPr>
            <w:tcW w:w="2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70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700" w:type="dxa"/>
            <w:vAlign w:val="bottom"/>
          </w:tcPr>
          <w:p>
            <w:pPr>
              <w:spacing w:after="0"/>
              <w:rPr>
                <w:sz w:val="11"/>
                <w:szCs w:val="11"/>
                <w:color w:val="auto"/>
              </w:rPr>
            </w:pPr>
          </w:p>
        </w:tc>
      </w:tr>
      <w:tr>
        <w:trPr>
          <w:trHeight w:val="160"/>
        </w:trPr>
        <w:tc>
          <w:tcPr>
            <w:tcW w:w="3200" w:type="dxa"/>
            <w:vAlign w:val="bottom"/>
            <w:gridSpan w:val="3"/>
          </w:tcPr>
          <w:p>
            <w:pPr>
              <w:ind w:left="240"/>
              <w:spacing w:after="0"/>
              <w:rPr>
                <w:sz w:val="20"/>
                <w:szCs w:val="20"/>
                <w:color w:val="auto"/>
              </w:rPr>
            </w:pPr>
            <w:r>
              <w:rPr>
                <w:rFonts w:ascii="Arial" w:cs="Arial" w:eastAsia="Arial" w:hAnsi="Arial"/>
                <w:sz w:val="13"/>
                <w:szCs w:val="13"/>
                <w:color w:val="auto"/>
              </w:rPr>
              <w:t>Common Equity (705,000 units) (h)(j)</w:t>
            </w:r>
          </w:p>
        </w:tc>
        <w:tc>
          <w:tcPr>
            <w:tcW w:w="1700" w:type="dxa"/>
            <w:vAlign w:val="bottom"/>
          </w:tcPr>
          <w:p>
            <w:pPr>
              <w:spacing w:after="0"/>
              <w:rPr>
                <w:sz w:val="13"/>
                <w:szCs w:val="13"/>
                <w:color w:val="auto"/>
              </w:rPr>
            </w:pPr>
          </w:p>
        </w:tc>
      </w:tr>
      <w:tr>
        <w:trPr>
          <w:trHeight w:val="272"/>
        </w:trPr>
        <w:tc>
          <w:tcPr>
            <w:tcW w:w="3200" w:type="dxa"/>
            <w:vAlign w:val="bottom"/>
            <w:gridSpan w:val="3"/>
          </w:tcPr>
          <w:p>
            <w:pPr>
              <w:spacing w:after="0"/>
              <w:rPr>
                <w:sz w:val="20"/>
                <w:szCs w:val="20"/>
                <w:color w:val="auto"/>
              </w:rPr>
            </w:pPr>
            <w:r>
              <w:rPr>
                <w:rFonts w:ascii="Arial" w:cs="Arial" w:eastAsia="Arial" w:hAnsi="Arial"/>
                <w:sz w:val="13"/>
                <w:szCs w:val="13"/>
                <w:i w:val="1"/>
                <w:iCs w:val="1"/>
                <w:color w:val="auto"/>
              </w:rPr>
              <w:t>United Biologics, LLC</w:t>
            </w:r>
          </w:p>
        </w:tc>
        <w:tc>
          <w:tcPr>
            <w:tcW w:w="1700" w:type="dxa"/>
            <w:vAlign w:val="bottom"/>
          </w:tcPr>
          <w:p>
            <w:pPr>
              <w:spacing w:after="0"/>
              <w:rPr>
                <w:sz w:val="20"/>
                <w:szCs w:val="20"/>
                <w:color w:val="auto"/>
              </w:rPr>
            </w:pPr>
            <w:r>
              <w:rPr>
                <w:rFonts w:ascii="Arial" w:cs="Arial" w:eastAsia="Arial" w:hAnsi="Arial"/>
                <w:sz w:val="13"/>
                <w:szCs w:val="13"/>
                <w:color w:val="auto"/>
              </w:rPr>
              <w:t>Healthcare Services</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(98,377 units) (h)(j)</w:t>
            </w:r>
          </w:p>
        </w:tc>
        <w:tc>
          <w:tcPr>
            <w:tcW w:w="1700" w:type="dxa"/>
            <w:vAlign w:val="bottom"/>
          </w:tcPr>
          <w:p>
            <w:pPr>
              <w:spacing w:after="0"/>
              <w:rPr>
                <w:sz w:val="11"/>
                <w:szCs w:val="11"/>
                <w:color w:val="auto"/>
              </w:rPr>
            </w:pPr>
          </w:p>
        </w:tc>
      </w:tr>
      <w:tr>
        <w:trPr>
          <w:trHeight w:val="160"/>
        </w:trPr>
        <w:tc>
          <w:tcPr>
            <w:tcW w:w="3200" w:type="dxa"/>
            <w:vAlign w:val="bottom"/>
            <w:gridSpan w:val="3"/>
          </w:tcPr>
          <w:p>
            <w:pPr>
              <w:ind w:left="240"/>
              <w:spacing w:after="0"/>
              <w:rPr>
                <w:sz w:val="20"/>
                <w:szCs w:val="20"/>
                <w:color w:val="auto"/>
              </w:rPr>
            </w:pPr>
            <w:r>
              <w:rPr>
                <w:rFonts w:ascii="Arial" w:cs="Arial" w:eastAsia="Arial" w:hAnsi="Arial"/>
                <w:sz w:val="13"/>
                <w:szCs w:val="13"/>
                <w:color w:val="auto"/>
              </w:rPr>
              <w:t>Warrant (57,469 units) (m)</w:t>
            </w:r>
          </w:p>
        </w:tc>
        <w:tc>
          <w:tcPr>
            <w:tcW w:w="1700" w:type="dxa"/>
            <w:vAlign w:val="bottom"/>
          </w:tcPr>
          <w:p>
            <w:pPr>
              <w:spacing w:after="0"/>
              <w:rPr>
                <w:sz w:val="13"/>
                <w:szCs w:val="13"/>
                <w:color w:val="auto"/>
              </w:rPr>
            </w:pPr>
          </w:p>
        </w:tc>
      </w:tr>
      <w:tr>
        <w:trPr>
          <w:trHeight w:val="272"/>
        </w:trPr>
        <w:tc>
          <w:tcPr>
            <w:tcW w:w="3200" w:type="dxa"/>
            <w:vAlign w:val="bottom"/>
            <w:gridSpan w:val="3"/>
          </w:tcPr>
          <w:p>
            <w:pPr>
              <w:spacing w:after="0"/>
              <w:rPr>
                <w:sz w:val="20"/>
                <w:szCs w:val="20"/>
                <w:color w:val="auto"/>
              </w:rPr>
            </w:pPr>
            <w:r>
              <w:rPr>
                <w:rFonts w:ascii="Arial" w:cs="Arial" w:eastAsia="Arial" w:hAnsi="Arial"/>
                <w:sz w:val="13"/>
                <w:szCs w:val="13"/>
                <w:i w:val="1"/>
                <w:iCs w:val="1"/>
                <w:color w:val="auto"/>
              </w:rPr>
              <w:t>Vanguard Dealer Services, L.L.C. (n)</w:t>
            </w:r>
          </w:p>
        </w:tc>
        <w:tc>
          <w:tcPr>
            <w:tcW w:w="1700" w:type="dxa"/>
            <w:vAlign w:val="bottom"/>
          </w:tcPr>
          <w:p>
            <w:pPr>
              <w:spacing w:after="0"/>
              <w:rPr>
                <w:sz w:val="20"/>
                <w:szCs w:val="20"/>
                <w:color w:val="auto"/>
              </w:rPr>
            </w:pPr>
            <w:r>
              <w:rPr>
                <w:rFonts w:ascii="Arial" w:cs="Arial" w:eastAsia="Arial" w:hAnsi="Arial"/>
                <w:sz w:val="13"/>
                <w:szCs w:val="13"/>
                <w:color w:val="auto"/>
              </w:rPr>
              <w:t>Business Services</w:t>
            </w:r>
          </w:p>
        </w:tc>
      </w:tr>
      <w:tr>
        <w:trPr>
          <w:trHeight w:val="135"/>
        </w:trPr>
        <w:tc>
          <w:tcPr>
            <w:tcW w:w="320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(6,000 units)</w:t>
            </w:r>
          </w:p>
        </w:tc>
        <w:tc>
          <w:tcPr>
            <w:tcW w:w="1700" w:type="dxa"/>
            <w:vAlign w:val="bottom"/>
          </w:tcPr>
          <w:p>
            <w:pPr>
              <w:spacing w:after="0"/>
              <w:rPr>
                <w:sz w:val="11"/>
                <w:szCs w:val="11"/>
                <w:color w:val="auto"/>
              </w:rPr>
            </w:pPr>
          </w:p>
        </w:tc>
      </w:tr>
      <w:tr>
        <w:trPr>
          <w:trHeight w:val="160"/>
        </w:trPr>
        <w:tc>
          <w:tcPr>
            <w:tcW w:w="3200" w:type="dxa"/>
            <w:vAlign w:val="bottom"/>
            <w:gridSpan w:val="3"/>
          </w:tcPr>
          <w:p>
            <w:pPr>
              <w:ind w:left="240"/>
              <w:spacing w:after="0"/>
              <w:rPr>
                <w:sz w:val="20"/>
                <w:szCs w:val="20"/>
                <w:color w:val="auto"/>
              </w:rPr>
            </w:pPr>
            <w:r>
              <w:rPr>
                <w:rFonts w:ascii="Arial" w:cs="Arial" w:eastAsia="Arial" w:hAnsi="Arial"/>
                <w:sz w:val="13"/>
                <w:szCs w:val="13"/>
                <w:color w:val="auto"/>
              </w:rPr>
              <w:t>Common Equity (2,380 units) (j)</w:t>
            </w:r>
          </w:p>
        </w:tc>
        <w:tc>
          <w:tcPr>
            <w:tcW w:w="17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Variable Index</w:t>
            </w:r>
          </w:p>
        </w:tc>
        <w:tc>
          <w:tcPr>
            <w:tcW w:w="880" w:type="dxa"/>
            <w:vAlign w:val="bottom"/>
            <w:gridSpan w:val="2"/>
          </w:tcPr>
          <w:p>
            <w:pPr>
              <w:ind w:left="200"/>
              <w:spacing w:after="0"/>
              <w:rPr>
                <w:sz w:val="20"/>
                <w:szCs w:val="20"/>
                <w:color w:val="auto"/>
              </w:rPr>
            </w:pPr>
            <w:r>
              <w:rPr>
                <w:rFonts w:ascii="Arial" w:cs="Arial" w:eastAsia="Arial" w:hAnsi="Arial"/>
                <w:sz w:val="13"/>
                <w:szCs w:val="13"/>
                <w:b w:val="1"/>
                <w:bCs w:val="1"/>
                <w:color w:val="auto"/>
              </w:rPr>
              <w:t>Rate (e)</w:t>
            </w: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Investment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7"/>
              </w:rPr>
              <w:t>Principal</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4"/>
              </w:rPr>
              <w:t>Percent of</w:t>
            </w:r>
          </w:p>
        </w:tc>
      </w:tr>
      <w:tr>
        <w:trPr>
          <w:trHeight w:val="162"/>
        </w:trPr>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6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auto"/>
              </w:rPr>
              <w:t>Cash/PIK</w:t>
            </w:r>
          </w:p>
        </w:tc>
        <w:tc>
          <w:tcPr>
            <w:tcW w:w="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b w:val="1"/>
                <w:bCs w:val="1"/>
                <w:color w:val="auto"/>
              </w:rPr>
              <w:t>Date (f)</w:t>
            </w:r>
          </w:p>
        </w:tc>
        <w:tc>
          <w:tcPr>
            <w:tcW w:w="12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jc w:val="right"/>
              <w:ind w:right="17"/>
              <w:spacing w:after="0"/>
              <w:rPr>
                <w:sz w:val="20"/>
                <w:szCs w:val="20"/>
                <w:color w:val="auto"/>
              </w:rPr>
            </w:pPr>
            <w:r>
              <w:rPr>
                <w:rFonts w:ascii="Arial" w:cs="Arial" w:eastAsia="Arial" w:hAnsi="Arial"/>
                <w:sz w:val="13"/>
                <w:szCs w:val="13"/>
                <w:b w:val="1"/>
                <w:bCs w:val="1"/>
                <w:color w:val="auto"/>
              </w:rPr>
              <w:t>Cost</w:t>
            </w:r>
          </w:p>
        </w:tc>
        <w:tc>
          <w:tcPr>
            <w:tcW w:w="120" w:type="dxa"/>
            <w:vAlign w:val="bottom"/>
            <w:gridSpan w:val="3"/>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83"/>
              </w:rPr>
              <w:t>Value (g)</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0"/>
              </w:rPr>
              <w:t>Net Assets</w:t>
            </w:r>
          </w:p>
        </w:tc>
      </w:tr>
      <w:tr>
        <w:trPr>
          <w:trHeight w:val="20"/>
        </w:trPr>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w w:val="94"/>
              </w:rPr>
              <w:t>11.75%/0.00%</w:t>
            </w:r>
          </w:p>
        </w:tc>
        <w:tc>
          <w:tcPr>
            <w:tcW w:w="6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11/15/2018</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5/15/2024</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   6,500</w:t>
            </w: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$ 6,474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w w:val="97"/>
              </w:rPr>
              <w:t>$  6,500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11/15/2018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901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7,474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7,401</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44"/>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11.50%/2.50%</w:t>
            </w:r>
          </w:p>
        </w:tc>
        <w:tc>
          <w:tcPr>
            <w:tcW w:w="620" w:type="dxa"/>
            <w:vAlign w:val="bottom"/>
          </w:tcPr>
          <w:p>
            <w:pPr>
              <w:ind w:left="40"/>
              <w:spacing w:after="0"/>
              <w:rPr>
                <w:sz w:val="20"/>
                <w:szCs w:val="20"/>
                <w:color w:val="auto"/>
              </w:rPr>
            </w:pPr>
            <w:r>
              <w:rPr>
                <w:rFonts w:ascii="Arial" w:cs="Arial" w:eastAsia="Arial" w:hAnsi="Arial"/>
                <w:sz w:val="13"/>
                <w:szCs w:val="13"/>
                <w:color w:val="auto"/>
                <w:w w:val="96"/>
              </w:rPr>
              <w:t>11/3/2016</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10/31/2021</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4,963</w:t>
            </w: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4,949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4,963</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11/3/2016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494</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5,443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5,030</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44"/>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11.00%/1.00%</w:t>
            </w:r>
          </w:p>
        </w:tc>
        <w:tc>
          <w:tcPr>
            <w:tcW w:w="620" w:type="dxa"/>
            <w:vAlign w:val="bottom"/>
          </w:tcPr>
          <w:p>
            <w:pPr>
              <w:ind w:left="40"/>
              <w:spacing w:after="0"/>
              <w:rPr>
                <w:sz w:val="20"/>
                <w:szCs w:val="20"/>
                <w:color w:val="auto"/>
              </w:rPr>
            </w:pPr>
            <w:r>
              <w:rPr>
                <w:rFonts w:ascii="Arial" w:cs="Arial" w:eastAsia="Arial" w:hAnsi="Arial"/>
                <w:sz w:val="13"/>
                <w:szCs w:val="13"/>
                <w:color w:val="auto"/>
                <w:w w:val="96"/>
              </w:rPr>
              <w:t>4/12/2018</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12/2/2025</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22,207</w:t>
            </w: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22,115</w:t>
            </w: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22,207</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5"/>
        </w:trPr>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4/12/2018</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392</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459</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12/2/2019</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48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57</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4/12/2018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462</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610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23,017</w:t>
            </w: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23,333</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244"/>
        </w:trPr>
        <w:tc>
          <w:tcPr>
            <w:tcW w:w="1260" w:type="dxa"/>
            <w:vAlign w:val="bottom"/>
            <w:gridSpan w:val="2"/>
          </w:tcPr>
          <w:p>
            <w:pPr>
              <w:ind w:left="80"/>
              <w:spacing w:after="0"/>
              <w:rPr>
                <w:sz w:val="20"/>
                <w:szCs w:val="20"/>
                <w:color w:val="auto"/>
              </w:rPr>
            </w:pPr>
            <w:r>
              <w:rPr>
                <w:rFonts w:ascii="Arial" w:cs="Arial" w:eastAsia="Arial" w:hAnsi="Arial"/>
                <w:sz w:val="13"/>
                <w:szCs w:val="13"/>
                <w:color w:val="auto"/>
                <w:w w:val="93"/>
              </w:rPr>
              <w:t>(L + 6.25%) / (2.00%)</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8.25%/0.00%</w:t>
            </w:r>
          </w:p>
        </w:tc>
        <w:tc>
          <w:tcPr>
            <w:tcW w:w="620" w:type="dxa"/>
            <w:vAlign w:val="bottom"/>
          </w:tcPr>
          <w:p>
            <w:pPr>
              <w:ind w:left="40"/>
              <w:spacing w:after="0"/>
              <w:rPr>
                <w:sz w:val="20"/>
                <w:szCs w:val="20"/>
                <w:color w:val="auto"/>
              </w:rPr>
            </w:pPr>
            <w:r>
              <w:rPr>
                <w:rFonts w:ascii="Arial" w:cs="Arial" w:eastAsia="Arial" w:hAnsi="Arial"/>
                <w:sz w:val="13"/>
                <w:szCs w:val="13"/>
                <w:color w:val="auto"/>
                <w:w w:val="86"/>
              </w:rPr>
              <w:t>11/25/2019</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11/25/2024</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7,500</w:t>
            </w: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7,312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7,312</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11/25/2019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500</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500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7,812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7,812</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44"/>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12.25%/0.00%</w:t>
            </w:r>
          </w:p>
        </w:tc>
        <w:tc>
          <w:tcPr>
            <w:tcW w:w="620" w:type="dxa"/>
            <w:vAlign w:val="bottom"/>
          </w:tcPr>
          <w:p>
            <w:pPr>
              <w:ind w:left="40"/>
              <w:spacing w:after="0"/>
              <w:rPr>
                <w:sz w:val="20"/>
                <w:szCs w:val="20"/>
                <w:color w:val="auto"/>
              </w:rPr>
            </w:pPr>
            <w:r>
              <w:rPr>
                <w:rFonts w:ascii="Arial" w:cs="Arial" w:eastAsia="Arial" w:hAnsi="Arial"/>
                <w:sz w:val="13"/>
                <w:szCs w:val="13"/>
                <w:color w:val="auto"/>
                <w:w w:val="86"/>
              </w:rPr>
              <w:t>11/10/2016</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5/10/2022</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23,581</w:t>
            </w: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23,521</w:t>
            </w: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23,581</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11/10/2016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576</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1,199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24,097</w:t>
            </w: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24,780</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269"/>
        </w:trPr>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1/4/2017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2,250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5,120</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353"/>
        </w:trPr>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12.00%/1.00%</w:t>
            </w:r>
          </w:p>
        </w:tc>
        <w:tc>
          <w:tcPr>
            <w:tcW w:w="620" w:type="dxa"/>
            <w:vAlign w:val="bottom"/>
          </w:tcPr>
          <w:p>
            <w:pPr>
              <w:ind w:left="40"/>
              <w:spacing w:after="0"/>
              <w:rPr>
                <w:sz w:val="20"/>
                <w:szCs w:val="20"/>
                <w:color w:val="auto"/>
              </w:rPr>
            </w:pPr>
            <w:r>
              <w:rPr>
                <w:rFonts w:ascii="Arial" w:cs="Arial" w:eastAsia="Arial" w:hAnsi="Arial"/>
                <w:sz w:val="13"/>
                <w:szCs w:val="13"/>
                <w:color w:val="auto"/>
                <w:w w:val="96"/>
              </w:rPr>
              <w:t>8/11/2017</w:t>
            </w:r>
          </w:p>
        </w:tc>
        <w:tc>
          <w:tcPr>
            <w:tcW w:w="1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2/11/2023</w:t>
            </w:r>
          </w:p>
        </w:tc>
        <w:tc>
          <w:tcPr>
            <w:tcW w:w="1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11,440</w:t>
            </w: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11,402</w:t>
            </w: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10,101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4"/>
              </w:rPr>
              <w:t>12.00%/1.00%</w:t>
            </w: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8/11/2017</w:t>
            </w:r>
          </w:p>
        </w:tc>
        <w:tc>
          <w:tcPr>
            <w:tcW w:w="12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5/17/2022</w:t>
            </w:r>
          </w:p>
        </w:tc>
        <w:tc>
          <w:tcPr>
            <w:tcW w:w="100" w:type="dxa"/>
            <w:vAlign w:val="bottom"/>
          </w:tcPr>
          <w:p>
            <w:pPr>
              <w:spacing w:after="0"/>
              <w:rPr>
                <w:sz w:val="11"/>
                <w:szCs w:val="11"/>
                <w:color w:val="auto"/>
              </w:rPr>
            </w:pPr>
          </w:p>
        </w:tc>
        <w:tc>
          <w:tcPr>
            <w:tcW w:w="5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54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8/11/2017</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944</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499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12,346</w:t>
            </w: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10,600</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4"/>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11.25%/1.50%</w:t>
            </w:r>
          </w:p>
        </w:tc>
        <w:tc>
          <w:tcPr>
            <w:tcW w:w="620" w:type="dxa"/>
            <w:vAlign w:val="bottom"/>
          </w:tcPr>
          <w:p>
            <w:pPr>
              <w:ind w:left="40"/>
              <w:spacing w:after="0"/>
              <w:rPr>
                <w:sz w:val="20"/>
                <w:szCs w:val="20"/>
                <w:color w:val="auto"/>
              </w:rPr>
            </w:pPr>
            <w:r>
              <w:rPr>
                <w:rFonts w:ascii="Arial" w:cs="Arial" w:eastAsia="Arial" w:hAnsi="Arial"/>
                <w:sz w:val="13"/>
                <w:szCs w:val="13"/>
                <w:color w:val="auto"/>
                <w:w w:val="96"/>
              </w:rPr>
              <w:t>9/18/2018</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3/18/2024</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10,222</w:t>
            </w: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10,185</w:t>
            </w: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10,222</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9/18/2018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621</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680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10,806</w:t>
            </w: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10,902</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4"/>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10.50%/1.00%</w:t>
            </w:r>
          </w:p>
        </w:tc>
        <w:tc>
          <w:tcPr>
            <w:tcW w:w="620" w:type="dxa"/>
            <w:vAlign w:val="bottom"/>
          </w:tcPr>
          <w:p>
            <w:pPr>
              <w:ind w:left="40"/>
              <w:spacing w:after="0"/>
              <w:rPr>
                <w:sz w:val="20"/>
                <w:szCs w:val="20"/>
                <w:color w:val="auto"/>
              </w:rPr>
            </w:pPr>
            <w:r>
              <w:rPr>
                <w:rFonts w:ascii="Arial" w:cs="Arial" w:eastAsia="Arial" w:hAnsi="Arial"/>
                <w:sz w:val="13"/>
                <w:szCs w:val="13"/>
                <w:color w:val="auto"/>
                <w:w w:val="96"/>
              </w:rPr>
              <w:t>10/1/2018</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4/1/2024</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13,875</w:t>
            </w: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13,822</w:t>
            </w: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13,875</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7/18/2016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780</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1,256</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14,602</w:t>
            </w: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15,131</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w:t>
            </w:r>
          </w:p>
        </w:tc>
      </w:tr>
      <w:tr>
        <w:trPr>
          <w:trHeight w:val="244"/>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13.00%/0.00%</w:t>
            </w:r>
          </w:p>
        </w:tc>
        <w:tc>
          <w:tcPr>
            <w:tcW w:w="620" w:type="dxa"/>
            <w:vAlign w:val="bottom"/>
          </w:tcPr>
          <w:p>
            <w:pPr>
              <w:ind w:left="40"/>
              <w:spacing w:after="0"/>
              <w:rPr>
                <w:sz w:val="20"/>
                <w:szCs w:val="20"/>
                <w:color w:val="auto"/>
              </w:rPr>
            </w:pPr>
            <w:r>
              <w:rPr>
                <w:rFonts w:ascii="Arial" w:cs="Arial" w:eastAsia="Arial" w:hAnsi="Arial"/>
                <w:sz w:val="13"/>
                <w:szCs w:val="13"/>
                <w:color w:val="auto"/>
              </w:rPr>
              <w:t>9/8/2016</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12/29/2020</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3,095</w:t>
            </w: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3,082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3,095</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9/8/2016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567</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856</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3,649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3,951</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44"/>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11.00%/0.00%</w:t>
            </w:r>
          </w:p>
        </w:tc>
        <w:tc>
          <w:tcPr>
            <w:tcW w:w="620" w:type="dxa"/>
            <w:vAlign w:val="bottom"/>
          </w:tcPr>
          <w:p>
            <w:pPr>
              <w:ind w:left="40"/>
              <w:spacing w:after="0"/>
              <w:rPr>
                <w:sz w:val="20"/>
                <w:szCs w:val="20"/>
                <w:color w:val="auto"/>
              </w:rPr>
            </w:pPr>
            <w:r>
              <w:rPr>
                <w:rFonts w:ascii="Arial" w:cs="Arial" w:eastAsia="Arial" w:hAnsi="Arial"/>
                <w:sz w:val="13"/>
                <w:szCs w:val="13"/>
                <w:color w:val="auto"/>
                <w:w w:val="86"/>
              </w:rPr>
              <w:t>12/23/2016</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6/23/2023</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10,000</w:t>
            </w: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9,972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10,000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86"/>
              </w:rPr>
              <w:t>12/23/2016</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1,291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1,578</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11,263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11,578</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44"/>
        </w:trPr>
        <w:tc>
          <w:tcPr>
            <w:tcW w:w="1260" w:type="dxa"/>
            <w:vAlign w:val="bottom"/>
            <w:gridSpan w:val="2"/>
          </w:tcPr>
          <w:p>
            <w:pPr>
              <w:ind w:left="80"/>
              <w:spacing w:after="0"/>
              <w:rPr>
                <w:sz w:val="20"/>
                <w:szCs w:val="20"/>
                <w:color w:val="auto"/>
              </w:rPr>
            </w:pPr>
            <w:r>
              <w:rPr>
                <w:rFonts w:ascii="Arial" w:cs="Arial" w:eastAsia="Arial" w:hAnsi="Arial"/>
                <w:sz w:val="13"/>
                <w:szCs w:val="13"/>
                <w:color w:val="auto"/>
                <w:w w:val="93"/>
              </w:rPr>
              <w:t>(L + 5.25%) / (2.00%)</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7.25%/0.00%</w:t>
            </w:r>
          </w:p>
        </w:tc>
        <w:tc>
          <w:tcPr>
            <w:tcW w:w="620" w:type="dxa"/>
            <w:vAlign w:val="bottom"/>
          </w:tcPr>
          <w:p>
            <w:pPr>
              <w:ind w:left="40"/>
              <w:spacing w:after="0"/>
              <w:rPr>
                <w:sz w:val="20"/>
                <w:szCs w:val="20"/>
                <w:color w:val="auto"/>
              </w:rPr>
            </w:pPr>
            <w:r>
              <w:rPr>
                <w:rFonts w:ascii="Arial" w:cs="Arial" w:eastAsia="Arial" w:hAnsi="Arial"/>
                <w:sz w:val="13"/>
                <w:szCs w:val="13"/>
                <w:color w:val="auto"/>
              </w:rPr>
              <w:t>5/7/2019</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5/3/2024</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7,080</w:t>
            </w: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6,985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7,080</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5/8/2019</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500</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554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7,485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7,634</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44"/>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11.00%/1.00%</w:t>
            </w:r>
          </w:p>
        </w:tc>
        <w:tc>
          <w:tcPr>
            <w:tcW w:w="620" w:type="dxa"/>
            <w:vAlign w:val="bottom"/>
          </w:tcPr>
          <w:p>
            <w:pPr>
              <w:ind w:left="40"/>
              <w:spacing w:after="0"/>
              <w:rPr>
                <w:sz w:val="20"/>
                <w:szCs w:val="20"/>
                <w:color w:val="auto"/>
              </w:rPr>
            </w:pPr>
            <w:r>
              <w:rPr>
                <w:rFonts w:ascii="Arial" w:cs="Arial" w:eastAsia="Arial" w:hAnsi="Arial"/>
                <w:sz w:val="13"/>
                <w:szCs w:val="13"/>
                <w:color w:val="auto"/>
              </w:rPr>
              <w:t>1/8/2018</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7/8/2023</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10,491</w:t>
            </w: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10,456</w:t>
            </w: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10,491</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1/8/2018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1,400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11,456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11,891</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269"/>
        </w:trPr>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2/28/2017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998</w:t>
            </w:r>
          </w:p>
        </w:tc>
        <w:tc>
          <w:tcPr>
            <w:tcW w:w="80" w:type="dxa"/>
            <w:vAlign w:val="bottom"/>
          </w:tcPr>
          <w:p>
            <w:pPr>
              <w:spacing w:after="0"/>
              <w:rPr>
                <w:sz w:val="23"/>
                <w:szCs w:val="2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1,005</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353"/>
        </w:trPr>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10.00%/1.50%</w:t>
            </w:r>
          </w:p>
        </w:tc>
        <w:tc>
          <w:tcPr>
            <w:tcW w:w="620" w:type="dxa"/>
            <w:vAlign w:val="bottom"/>
          </w:tcPr>
          <w:p>
            <w:pPr>
              <w:ind w:left="40"/>
              <w:spacing w:after="0"/>
              <w:rPr>
                <w:sz w:val="20"/>
                <w:szCs w:val="20"/>
                <w:color w:val="auto"/>
              </w:rPr>
            </w:pPr>
            <w:r>
              <w:rPr>
                <w:rFonts w:ascii="Arial" w:cs="Arial" w:eastAsia="Arial" w:hAnsi="Arial"/>
                <w:sz w:val="13"/>
                <w:szCs w:val="13"/>
                <w:color w:val="auto"/>
                <w:w w:val="96"/>
              </w:rPr>
              <w:t>3/27/2018</w:t>
            </w:r>
          </w:p>
        </w:tc>
        <w:tc>
          <w:tcPr>
            <w:tcW w:w="1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3/27/2025</w:t>
            </w:r>
          </w:p>
        </w:tc>
        <w:tc>
          <w:tcPr>
            <w:tcW w:w="1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6,922</w:t>
            </w: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6,870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6,922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3/27/2018</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565</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663</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3/27/2018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4"/>
          </w:tcPr>
          <w:p>
            <w:pPr>
              <w:ind w:lef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26</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7,435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7,611</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w:t>
            </w:r>
          </w:p>
        </w:tc>
      </w:tr>
      <w:tr>
        <w:trPr>
          <w:trHeight w:val="244"/>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11.00%/0.00%</w:t>
            </w:r>
          </w:p>
        </w:tc>
        <w:tc>
          <w:tcPr>
            <w:tcW w:w="620" w:type="dxa"/>
            <w:vAlign w:val="bottom"/>
          </w:tcPr>
          <w:p>
            <w:pPr>
              <w:ind w:left="40"/>
              <w:spacing w:after="0"/>
              <w:rPr>
                <w:sz w:val="20"/>
                <w:szCs w:val="20"/>
                <w:color w:val="auto"/>
              </w:rPr>
            </w:pPr>
            <w:r>
              <w:rPr>
                <w:rFonts w:ascii="Arial" w:cs="Arial" w:eastAsia="Arial" w:hAnsi="Arial"/>
                <w:sz w:val="13"/>
                <w:szCs w:val="13"/>
                <w:color w:val="auto"/>
              </w:rPr>
              <w:t>4/3/2018</w:t>
            </w: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10/3/2024</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13,893</w:t>
            </w: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13,792</w:t>
            </w: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13,645</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4/3/2018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705</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811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14,497</w:t>
            </w: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14,456</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w:t>
            </w:r>
          </w:p>
        </w:tc>
      </w:tr>
      <w:tr>
        <w:trPr>
          <w:trHeight w:val="244"/>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4/1/2012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1,008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3/5/2012</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jc w:val="right"/>
              <w:ind w:right="40"/>
              <w:spacing w:after="0"/>
              <w:rPr>
                <w:sz w:val="20"/>
                <w:szCs w:val="20"/>
                <w:color w:val="auto"/>
              </w:rPr>
            </w:pPr>
            <w:r>
              <w:rPr>
                <w:rFonts w:ascii="Arial" w:cs="Arial" w:eastAsia="Arial" w:hAnsi="Arial"/>
                <w:sz w:val="13"/>
                <w:szCs w:val="13"/>
                <w:color w:val="auto"/>
              </w:rPr>
              <w:t>566</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1,574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r>
        <w:trPr>
          <w:trHeight w:val="244"/>
        </w:trPr>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w w:val="96"/>
              </w:rPr>
              <w:t>7/30/2015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gridSpan w:val="4"/>
          </w:tcPr>
          <w:p>
            <w:pPr>
              <w:ind w:lef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22</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auto"/>
              </w:rPr>
              <w:t>2/2/2018</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4"/>
          </w:tcPr>
          <w:p>
            <w:pPr>
              <w:ind w:lef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Borders>
              <w:top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120" w:type="dxa"/>
            <w:vAlign w:val="bottom"/>
            <w:gridSpan w:val="3"/>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-3164205</wp:posOffset>
            </wp:positionH>
            <wp:positionV relativeFrom="paragraph">
              <wp:posOffset>-6598920</wp:posOffset>
            </wp:positionV>
            <wp:extent cx="6995160"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-6419215</wp:posOffset>
            </wp:positionV>
            <wp:extent cx="699516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-6230620</wp:posOffset>
            </wp:positionV>
            <wp:extent cx="6995160"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-6059170</wp:posOffset>
            </wp:positionV>
            <wp:extent cx="6995160"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-5870575</wp:posOffset>
            </wp:positionV>
            <wp:extent cx="6995160"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-5699125</wp:posOffset>
            </wp:positionV>
            <wp:extent cx="699516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-5527675</wp:posOffset>
            </wp:positionV>
            <wp:extent cx="6995160"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-5339080</wp:posOffset>
            </wp:positionV>
            <wp:extent cx="699516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-5167630</wp:posOffset>
            </wp:positionV>
            <wp:extent cx="699516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-4979035</wp:posOffset>
            </wp:positionV>
            <wp:extent cx="6995160"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-4807585</wp:posOffset>
            </wp:positionV>
            <wp:extent cx="699516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-4618990</wp:posOffset>
            </wp:positionV>
            <wp:extent cx="699516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-4378960</wp:posOffset>
            </wp:positionV>
            <wp:extent cx="6995160"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-4207510</wp:posOffset>
            </wp:positionV>
            <wp:extent cx="699516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-4018915</wp:posOffset>
            </wp:positionV>
            <wp:extent cx="699516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-3847465</wp:posOffset>
            </wp:positionV>
            <wp:extent cx="6995160"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-3658870</wp:posOffset>
            </wp:positionV>
            <wp:extent cx="699516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-3487420</wp:posOffset>
            </wp:positionV>
            <wp:extent cx="699516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-3298825</wp:posOffset>
            </wp:positionV>
            <wp:extent cx="699516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-3127375</wp:posOffset>
            </wp:positionV>
            <wp:extent cx="699516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-2938780</wp:posOffset>
            </wp:positionV>
            <wp:extent cx="699516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-2767330</wp:posOffset>
            </wp:positionV>
            <wp:extent cx="699516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-2578735</wp:posOffset>
            </wp:positionV>
            <wp:extent cx="699516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-2407285</wp:posOffset>
            </wp:positionV>
            <wp:extent cx="6995160" cy="85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-2218690</wp:posOffset>
            </wp:positionV>
            <wp:extent cx="699516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-2047240</wp:posOffset>
            </wp:positionV>
            <wp:extent cx="6995160"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-1858645</wp:posOffset>
            </wp:positionV>
            <wp:extent cx="699516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-1687195</wp:posOffset>
            </wp:positionV>
            <wp:extent cx="6995160" cy="85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-1447165</wp:posOffset>
            </wp:positionV>
            <wp:extent cx="6995160"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-1275715</wp:posOffset>
            </wp:positionV>
            <wp:extent cx="6995160"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-1087120</wp:posOffset>
            </wp:positionV>
            <wp:extent cx="699516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-915670</wp:posOffset>
            </wp:positionV>
            <wp:extent cx="6995160"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-727075</wp:posOffset>
            </wp:positionV>
            <wp:extent cx="6995160"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-555625</wp:posOffset>
            </wp:positionV>
            <wp:extent cx="6995160"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-367030</wp:posOffset>
            </wp:positionV>
            <wp:extent cx="6995160"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-3164205</wp:posOffset>
            </wp:positionH>
            <wp:positionV relativeFrom="paragraph">
              <wp:posOffset>-195580</wp:posOffset>
            </wp:positionV>
            <wp:extent cx="699516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5020" w:space="80"/>
            <w:col w:w="5980"/>
          </w:cols>
          <w:pgMar w:left="320" w:top="459"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80"/>
          </w:cols>
          <w:pgMar w:left="320" w:top="459" w:right="499" w:bottom="1440" w:gutter="0" w:footer="0" w:header="0"/>
          <w:type w:val="continuous"/>
        </w:sectPr>
      </w:pPr>
    </w:p>
    <w:bookmarkStart w:id="17" w:name="page18"/>
    <w:bookmarkEnd w:id="17"/>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76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(a)(b)</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Variable Index</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Rate (e)</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Investment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Principal</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c>
          <w:tcPr>
            <w:tcW w:w="0" w:type="dxa"/>
            <w:vAlign w:val="bottom"/>
          </w:tcPr>
          <w:p>
            <w:pPr>
              <w:spacing w:after="0"/>
              <w:rPr>
                <w:sz w:val="1"/>
                <w:szCs w:val="1"/>
                <w:color w:val="auto"/>
              </w:rPr>
            </w:pPr>
          </w:p>
        </w:tc>
      </w:tr>
      <w:tr>
        <w:trPr>
          <w:trHeight w:val="173"/>
        </w:trPr>
        <w:tc>
          <w:tcPr>
            <w:tcW w:w="1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Investment Type (c)</w:t>
            </w:r>
          </w:p>
        </w:tc>
        <w:tc>
          <w:tcPr>
            <w:tcW w:w="2420" w:type="dxa"/>
            <w:vAlign w:val="bottom"/>
          </w:tcPr>
          <w:p>
            <w:pPr>
              <w:spacing w:after="0"/>
              <w:rPr>
                <w:sz w:val="15"/>
                <w:szCs w:val="15"/>
                <w:color w:val="auto"/>
              </w:rPr>
            </w:pPr>
          </w:p>
        </w:tc>
        <w:tc>
          <w:tcPr>
            <w:tcW w:w="1340" w:type="dxa"/>
            <w:vAlign w:val="bottom"/>
            <w:gridSpan w:val="2"/>
          </w:tcPr>
          <w:p>
            <w:pPr>
              <w:ind w:left="380"/>
              <w:spacing w:after="0"/>
              <w:rPr>
                <w:sz w:val="20"/>
                <w:szCs w:val="20"/>
                <w:color w:val="auto"/>
              </w:rPr>
            </w:pPr>
            <w:r>
              <w:rPr>
                <w:rFonts w:ascii="Arial" w:cs="Arial" w:eastAsia="Arial" w:hAnsi="Arial"/>
                <w:sz w:val="13"/>
                <w:szCs w:val="13"/>
                <w:b w:val="1"/>
                <w:bCs w:val="1"/>
                <w:color w:val="auto"/>
              </w:rPr>
              <w:t>Industry</w:t>
            </w: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Spread / Floor (d)</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Cash/PIK</w:t>
            </w: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Date (f)</w:t>
            </w: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Maturity</w:t>
            </w:r>
          </w:p>
        </w:tc>
        <w:tc>
          <w:tcPr>
            <w:tcW w:w="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5"/>
                <w:szCs w:val="15"/>
                <w:color w:val="auto"/>
              </w:rPr>
            </w:pPr>
          </w:p>
        </w:tc>
        <w:tc>
          <w:tcPr>
            <w:tcW w:w="480" w:type="dxa"/>
            <w:vAlign w:val="bottom"/>
            <w:gridSpan w:val="3"/>
          </w:tcPr>
          <w:p>
            <w:pPr>
              <w:ind w:left="60"/>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3"/>
                <w:szCs w:val="13"/>
                <w:b w:val="1"/>
                <w:bCs w:val="1"/>
                <w:color w:val="auto"/>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122"/>
        </w:trPr>
        <w:tc>
          <w:tcPr>
            <w:tcW w:w="37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Virginia Tile Company, LLC</w:t>
            </w:r>
          </w:p>
        </w:tc>
        <w:tc>
          <w:tcPr>
            <w:tcW w:w="1220" w:type="dxa"/>
            <w:vAlign w:val="bottom"/>
            <w:tcBorders>
              <w:top w:val="single" w:sz="8" w:color="auto"/>
            </w:tcBorders>
            <w:shd w:val="clear" w:color="auto" w:fill="CCEEFF"/>
          </w:tcPr>
          <w:p>
            <w:pPr>
              <w:ind w:left="40"/>
              <w:spacing w:after="0" w:line="122" w:lineRule="exact"/>
              <w:rPr>
                <w:sz w:val="20"/>
                <w:szCs w:val="20"/>
                <w:color w:val="auto"/>
              </w:rPr>
            </w:pPr>
            <w:r>
              <w:rPr>
                <w:rFonts w:ascii="Arial" w:cs="Arial" w:eastAsia="Arial" w:hAnsi="Arial"/>
                <w:sz w:val="13"/>
                <w:szCs w:val="13"/>
                <w:color w:val="auto"/>
                <w:w w:val="95"/>
              </w:rPr>
              <w:t>Specialty Distribution</w:t>
            </w:r>
          </w:p>
        </w:tc>
        <w:tc>
          <w:tcPr>
            <w:tcW w:w="12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7"/>
              </w:rPr>
              <w:t>12.25%/0.00%</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86"/>
              </w:rPr>
              <w:t>12/19/2014</w:t>
            </w:r>
          </w:p>
        </w:tc>
        <w:tc>
          <w:tcPr>
            <w:tcW w:w="12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3"/>
                <w:szCs w:val="13"/>
                <w:color w:val="auto"/>
                <w:w w:val="86"/>
              </w:rPr>
              <w:t>4/7/2022</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8"/>
              </w:rPr>
              <w:t>$  12,000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11,989</w:t>
            </w: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12,000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(17 units)</w:t>
            </w: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6"/>
              </w:rPr>
              <w:t>12/19/2014</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860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12,331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12,860</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Wheel Pros, Inc.</w:t>
            </w:r>
          </w:p>
        </w:tc>
        <w:tc>
          <w:tcPr>
            <w:tcW w:w="1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1"/>
              </w:rPr>
              <w:t>(L + 8.50%) /(0.00%)</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7"/>
              </w:rPr>
              <w:t>10.30%/0.00%</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5/17/2019</w:t>
            </w:r>
          </w:p>
        </w:tc>
        <w:tc>
          <w:tcPr>
            <w:tcW w:w="12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3"/>
                <w:szCs w:val="13"/>
                <w:color w:val="auto"/>
                <w:w w:val="86"/>
              </w:rPr>
              <w:t>4/4/2026</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20,000</w:t>
            </w:r>
          </w:p>
        </w:tc>
        <w:tc>
          <w:tcPr>
            <w:tcW w:w="60" w:type="dxa"/>
            <w:vAlign w:val="bottom"/>
          </w:tcPr>
          <w:p>
            <w:pPr>
              <w:spacing w:after="0"/>
              <w:rPr>
                <w:sz w:val="11"/>
                <w:szCs w:val="11"/>
                <w:color w:val="auto"/>
              </w:rPr>
            </w:pP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19,818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20,000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(694,444 units) (j)</w:t>
            </w: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5/15/2019</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1,781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21,318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21,781</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Worldwide Express Operations, LLC</w:t>
            </w:r>
          </w:p>
        </w:tc>
        <w:tc>
          <w:tcPr>
            <w:tcW w:w="1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4"/>
              </w:rPr>
              <w:t>Transportation services</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1"/>
              </w:rPr>
              <w:t>(L + 8.00%) /(1.00%)</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0"/>
              </w:rPr>
              <w:t>9.90%/0.00%</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3"/>
                <w:szCs w:val="13"/>
                <w:color w:val="auto"/>
                <w:w w:val="96"/>
              </w:rPr>
              <w:t>2/27/2017</w:t>
            </w:r>
          </w:p>
        </w:tc>
        <w:tc>
          <w:tcPr>
            <w:tcW w:w="12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3"/>
                <w:szCs w:val="13"/>
                <w:color w:val="auto"/>
                <w:w w:val="86"/>
              </w:rPr>
              <w:t>2/3/2025</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20,000</w:t>
            </w:r>
          </w:p>
        </w:tc>
        <w:tc>
          <w:tcPr>
            <w:tcW w:w="60" w:type="dxa"/>
            <w:vAlign w:val="bottom"/>
          </w:tcPr>
          <w:p>
            <w:pPr>
              <w:spacing w:after="0"/>
              <w:rPr>
                <w:sz w:val="11"/>
                <w:szCs w:val="11"/>
                <w:color w:val="auto"/>
              </w:rPr>
            </w:pPr>
          </w:p>
        </w:tc>
        <w:tc>
          <w:tcPr>
            <w:tcW w:w="4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19,740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20,000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(4,000 units) (h)(j)</w:t>
            </w: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2/27/2017</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2,956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4,452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22,696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24,452</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3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Non-control/Non-affiliate Investments</w:t>
            </w: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620,453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u w:val="single" w:color="auto"/>
                <w:color w:val="auto"/>
                <w:w w:val="82"/>
              </w:rPr>
              <w:t>$</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623,544</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Investments</w:t>
            </w: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186%</w:t>
            </w:r>
          </w:p>
        </w:tc>
        <w:tc>
          <w:tcPr>
            <w:tcW w:w="0" w:type="dxa"/>
            <w:vAlign w:val="bottom"/>
          </w:tcPr>
          <w:p>
            <w:pPr>
              <w:spacing w:after="0" w:line="20" w:lineRule="exact"/>
              <w:rPr>
                <w:sz w:val="1"/>
                <w:szCs w:val="1"/>
                <w:color w:val="auto"/>
              </w:rPr>
            </w:pPr>
          </w:p>
        </w:tc>
      </w:tr>
      <w:tr>
        <w:trPr>
          <w:trHeight w:val="129"/>
        </w:trPr>
        <w:tc>
          <w:tcPr>
            <w:tcW w:w="376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704,499</w:t>
            </w: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u w:val="single" w:color="auto"/>
                <w:color w:val="auto"/>
                <w:w w:val="82"/>
              </w:rPr>
              <w:t>$</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0"/>
              </w:rPr>
              <w:t>766,919</w:t>
            </w: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indicated. Equity investments are non-income producing unless otherwise noted.</w:t>
      </w:r>
    </w:p>
    <w:p>
      <w:pPr>
        <w:spacing w:after="0" w:line="32" w:lineRule="exact"/>
        <w:rPr>
          <w:rFonts w:ascii="Arial" w:cs="Arial" w:eastAsia="Arial" w:hAnsi="Arial"/>
          <w:sz w:val="16"/>
          <w:szCs w:val="16"/>
          <w:color w:val="auto"/>
        </w:rPr>
      </w:pPr>
    </w:p>
    <w:p>
      <w:pPr>
        <w:ind w:left="540" w:right="200" w:hanging="424"/>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December 31, 2019.</w:t>
      </w:r>
    </w:p>
    <w:p>
      <w:pPr>
        <w:spacing w:after="0" w:line="1" w:lineRule="exact"/>
        <w:rPr>
          <w:rFonts w:ascii="Arial" w:cs="Arial" w:eastAsia="Arial" w:hAnsi="Arial"/>
          <w:sz w:val="18"/>
          <w:szCs w:val="18"/>
          <w:color w:val="auto"/>
        </w:rPr>
      </w:pPr>
    </w:p>
    <w:p>
      <w:pPr>
        <w:ind w:left="540" w:right="1020" w:hanging="424"/>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December 31, 2019. Generally, payment-in-kind interest can be paid-in-kind or all in cash.</w:t>
      </w: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date represents the date of the initial investment in the security.</w:t>
      </w:r>
    </w:p>
    <w:p>
      <w:pPr>
        <w:spacing w:after="0" w:line="9"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is held by a Taxable Subsidiary of the Company.</w:t>
      </w:r>
    </w:p>
    <w:p>
      <w:pPr>
        <w:spacing w:after="0" w:line="9" w:lineRule="exact"/>
        <w:rPr>
          <w:rFonts w:ascii="Arial" w:cs="Arial" w:eastAsia="Arial" w:hAnsi="Arial"/>
          <w:sz w:val="18"/>
          <w:szCs w:val="18"/>
          <w:color w:val="auto"/>
        </w:rPr>
      </w:pPr>
    </w:p>
    <w:p>
      <w:pPr>
        <w:ind w:left="540" w:right="280" w:hanging="424"/>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disclosed commitment represents the unfunded amount as of December 31, 2019. The Company is earning 0.50% interest on the unfunded balance of the commitment. The interest rate disclosed represents the rate which will be earned if the commitment is funded.</w:t>
      </w:r>
    </w:p>
    <w:p>
      <w:pPr>
        <w:ind w:left="540" w:right="180" w:hanging="424"/>
        <w:spacing w:after="0" w:line="28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8"/>
          <w:szCs w:val="18"/>
          <w:color w:val="auto"/>
        </w:rPr>
      </w:pPr>
    </w:p>
    <w:p>
      <w:pPr>
        <w:ind w:left="540" w:right="360" w:hanging="424"/>
        <w:spacing w:after="0" w:line="28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1" w:lineRule="exact"/>
        <w:rPr>
          <w:rFonts w:ascii="Arial" w:cs="Arial" w:eastAsia="Arial" w:hAnsi="Arial"/>
          <w:sz w:val="16"/>
          <w:szCs w:val="16"/>
          <w:color w:val="auto"/>
        </w:rPr>
      </w:pPr>
    </w:p>
    <w:p>
      <w:pPr>
        <w:ind w:left="540" w:right="480" w:hanging="424"/>
        <w:spacing w:after="0" w:line="28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producing. Maturity date, if any, represents mandatory redemption date.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Investment was on non-accrual status as of December 31, 2019, meaning the Company has ceased recognizing interest income on the investment.</w:t>
      </w:r>
    </w:p>
    <w:p>
      <w:pPr>
        <w:spacing w:after="0" w:line="32" w:lineRule="exact"/>
        <w:rPr>
          <w:rFonts w:ascii="Arial" w:cs="Arial" w:eastAsia="Arial" w:hAnsi="Arial"/>
          <w:sz w:val="16"/>
          <w:szCs w:val="16"/>
          <w:color w:val="auto"/>
        </w:rPr>
      </w:pPr>
    </w:p>
    <w:p>
      <w:pPr>
        <w:ind w:left="540" w:right="240" w:hanging="424"/>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 entitles the Company to purchase 9.59% of the outstanding principal of Junior Subordinated Notes prior to exercise, and is non-income producing.</w:t>
      </w:r>
    </w:p>
    <w:p>
      <w:pPr>
        <w:ind w:left="540" w:right="60" w:hanging="424"/>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jc w:val="both"/>
        <w:ind w:left="540" w:right="220" w:hanging="424"/>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 w:lineRule="exact"/>
        <w:rPr>
          <w:rFonts w:ascii="Arial" w:cs="Arial" w:eastAsia="Arial" w:hAnsi="Arial"/>
          <w:sz w:val="18"/>
          <w:szCs w:val="18"/>
          <w:color w:val="auto"/>
        </w:rPr>
      </w:pPr>
    </w:p>
    <w:p>
      <w:pPr>
        <w:ind w:left="540" w:right="280" w:hanging="424"/>
        <w:spacing w:after="0" w:line="28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disclosed commitment represents the unfunded amount as of December 31, 2019. The Company is earning 0.75% interest on the unfunded balance of the commitment. The interest rate disclosed represents the rate earned on the outstanding, funded balance of the commitment.</w:t>
      </w:r>
    </w:p>
    <w:p>
      <w:pPr>
        <w:spacing w:after="0" w:line="1"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right="60" w:hanging="424"/>
        <w:spacing w:after="0" w:line="25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2.73%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ectPr>
          <w:pgSz w:w="11900" w:h="16900" w:orient="portrait"/>
          <w:cols w:equalWidth="0" w:num="1">
            <w:col w:w="11140"/>
          </w:cols>
          <w:pgMar w:left="320" w:top="459" w:right="439" w:bottom="0" w:gutter="0" w:footer="0" w:header="0"/>
        </w:sectPr>
      </w:pPr>
    </w:p>
    <w:bookmarkStart w:id="18" w:name="page19"/>
    <w:bookmarkEnd w:id="18"/>
    <w:p>
      <w:pPr>
        <w:ind w:left="424" w:hanging="424"/>
        <w:spacing w:after="0" w:line="254"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2"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4.41%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93" w:lineRule="exact"/>
        <w:rPr>
          <w:sz w:val="20"/>
          <w:szCs w:val="20"/>
          <w:color w:val="auto"/>
        </w:rPr>
      </w:pPr>
    </w:p>
    <w:p>
      <w:pPr>
        <w:jc w:val="center"/>
        <w:ind w:right="-63"/>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125"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federal income tax purposes, the Company elected to be treated as a regulated investment company (“RIC”) under Subchapter M of the Internal Revenue Code of 1986, as amended (the “Code”).</w:t>
      </w:r>
    </w:p>
    <w:p>
      <w:pPr>
        <w:spacing w:after="0" w:line="17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w:t>
      </w:r>
    </w:p>
    <w:p>
      <w:pPr>
        <w:spacing w:after="0" w:line="16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Funds reach their borrowing limit under the program. For three or more SBICs under common control, the maximum amount of outstanding SBA debentures cannot exceed $350,000.</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Fund II and Fund III are not registered under the 1940 Act and rely on the exclusion from the definition of investment company contained in Section 3(c)(7) of the 1940 Act.</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Company pays a quarterly base management fee and an incentive fee to Fidus Investment Advisors, LLC (the “Investment Advisor”) under an investment advisory agreement (the “Investment Advisory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accompanying consolidated financial statements of the Company have been prepared in accordance with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accepted accounting principles in the United States of America (“GAAP”) pursuant to the requirements for reporting on Form 10-Q, Accounting Standards Codification (“ASC”)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2019.</w:t>
      </w:r>
    </w:p>
    <w:p>
      <w:pPr>
        <w:spacing w:after="0" w:line="166"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consolidated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Pursuant to Article 6 of Regulation S-X and ASC 946, the Company will generally not consolidate its investments in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Investment risks: </w:t>
      </w:r>
      <w:r>
        <w:rPr>
          <w:rFonts w:ascii="Arial" w:cs="Arial" w:eastAsia="Arial" w:hAnsi="Arial"/>
          <w:sz w:val="17"/>
          <w:szCs w:val="17"/>
          <w:color w:val="auto"/>
        </w:rPr>
        <w:t>The Company’s investments are subject to a variety of risks. These risks may include, but are not limited to the following:</w:t>
      </w:r>
    </w:p>
    <w:p>
      <w:pPr>
        <w:spacing w:after="0" w:line="142" w:lineRule="exact"/>
        <w:rPr>
          <w:sz w:val="20"/>
          <w:szCs w:val="20"/>
          <w:color w:val="auto"/>
        </w:rPr>
      </w:pPr>
    </w:p>
    <w:p>
      <w:pPr>
        <w:ind w:left="1540" w:right="80" w:hanging="331"/>
        <w:spacing w:after="0" w:line="271"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Market risk - </w:t>
      </w:r>
      <w:r>
        <w:rPr>
          <w:rFonts w:ascii="Arial" w:cs="Arial" w:eastAsia="Arial" w:hAnsi="Arial"/>
          <w:sz w:val="17"/>
          <w:szCs w:val="17"/>
          <w:color w:val="auto"/>
        </w:rPr>
        <w:t>In contrast to investment-grade bonds (the market prices of which change primarily as a reaction to changes in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w:t>
      </w:r>
    </w:p>
    <w:p>
      <w:pPr>
        <w:sectPr>
          <w:pgSz w:w="11900" w:h="16838" w:orient="portrait"/>
          <w:cols w:equalWidth="0" w:num="1">
            <w:col w:w="11120"/>
          </w:cols>
          <w:pgMar w:left="320" w:top="459" w:right="459" w:bottom="1440"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9"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540" w:right="120"/>
        <w:spacing w:after="0" w:line="342" w:lineRule="auto"/>
        <w:rPr>
          <w:sz w:val="20"/>
          <w:szCs w:val="20"/>
          <w:color w:val="auto"/>
        </w:rPr>
      </w:pPr>
      <w:r>
        <w:rPr>
          <w:rFonts w:ascii="Arial" w:cs="Arial" w:eastAsia="Arial" w:hAnsi="Arial"/>
          <w:sz w:val="16"/>
          <w:szCs w:val="16"/>
          <w:color w:val="auto"/>
        </w:rPr>
        <w:t>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29" w:lineRule="exact"/>
        <w:rPr>
          <w:sz w:val="20"/>
          <w:szCs w:val="20"/>
          <w:color w:val="auto"/>
        </w:rPr>
      </w:pPr>
    </w:p>
    <w:p>
      <w:pPr>
        <w:ind w:left="1540" w:hanging="331"/>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Credit risk represents the risk that the Company would incur if the counterparties failed to perform pursuant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their agreements with the Company. Issues of high-yield debt securities in which the Company invests are more likely to default on interest or principal than are issues of investment-grade securities.</w:t>
      </w:r>
    </w:p>
    <w:p>
      <w:pPr>
        <w:spacing w:after="0" w:line="89" w:lineRule="exact"/>
        <w:rPr>
          <w:rFonts w:ascii="Arial" w:cs="Arial" w:eastAsia="Arial" w:hAnsi="Arial"/>
          <w:sz w:val="18"/>
          <w:szCs w:val="18"/>
          <w:color w:val="auto"/>
        </w:rPr>
      </w:pPr>
    </w:p>
    <w:p>
      <w:pPr>
        <w:ind w:left="1540" w:right="460" w:hanging="331"/>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Liquidity risk - </w:t>
      </w:r>
      <w:r>
        <w:rPr>
          <w:rFonts w:ascii="Arial" w:cs="Arial" w:eastAsia="Arial" w:hAnsi="Arial"/>
          <w:sz w:val="18"/>
          <w:szCs w:val="18"/>
          <w:color w:val="auto"/>
        </w:rPr>
        <w:t>Liquidity risk represents the possibility that the Company may not be able to sell its investments quickly or at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price (given the lack of an established market).</w:t>
      </w:r>
    </w:p>
    <w:p>
      <w:pPr>
        <w:spacing w:after="0" w:line="75" w:lineRule="exact"/>
        <w:rPr>
          <w:rFonts w:ascii="Arial" w:cs="Arial" w:eastAsia="Arial" w:hAnsi="Arial"/>
          <w:sz w:val="18"/>
          <w:szCs w:val="18"/>
          <w:color w:val="auto"/>
        </w:rPr>
      </w:pPr>
    </w:p>
    <w:p>
      <w:pPr>
        <w:ind w:left="1540" w:right="160" w:hanging="331"/>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Interest rate risk represents the likelihood that a change in interest rates could have an adverse impact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an interest-bearing financial instrument.</w:t>
      </w:r>
    </w:p>
    <w:p>
      <w:pPr>
        <w:spacing w:after="0" w:line="75" w:lineRule="exact"/>
        <w:rPr>
          <w:rFonts w:ascii="Arial" w:cs="Arial" w:eastAsia="Arial" w:hAnsi="Arial"/>
          <w:sz w:val="18"/>
          <w:szCs w:val="18"/>
          <w:color w:val="auto"/>
        </w:rPr>
      </w:pPr>
    </w:p>
    <w:p>
      <w:pPr>
        <w:ind w:left="1540" w:hanging="331"/>
        <w:spacing w:after="0" w:line="311"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Prepayment risk - </w:t>
      </w:r>
      <w:r>
        <w:rPr>
          <w:rFonts w:ascii="Arial" w:cs="Arial" w:eastAsia="Arial" w:hAnsi="Arial"/>
          <w:sz w:val="16"/>
          <w:szCs w:val="16"/>
          <w:color w:val="auto"/>
        </w:rPr>
        <w:t>Certain of the Company’s debt investments allow for prepayment of principal without penalty. Downward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54" w:lineRule="exact"/>
        <w:rPr>
          <w:rFonts w:ascii="Arial" w:cs="Arial" w:eastAsia="Arial" w:hAnsi="Arial"/>
          <w:sz w:val="16"/>
          <w:szCs w:val="16"/>
          <w:color w:val="auto"/>
        </w:rPr>
      </w:pPr>
    </w:p>
    <w:p>
      <w:pPr>
        <w:ind w:left="1540" w:right="100" w:hanging="331"/>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Off-Balance sheet risk - </w:t>
      </w:r>
      <w:r>
        <w:rPr>
          <w:rFonts w:ascii="Arial" w:cs="Arial" w:eastAsia="Arial" w:hAnsi="Arial"/>
          <w:sz w:val="18"/>
          <w:szCs w:val="18"/>
          <w:color w:val="auto"/>
        </w:rPr>
        <w:t>Some of the Company’s financial instruments contain off-balance sheet risk. Generally,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represent future commitments to purchase other financial instruments at defined terms at defined future dates. See Note 7 for further details.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 substantially all of its financial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Investment classification: </w:t>
      </w:r>
      <w:r>
        <w:rPr>
          <w:rFonts w:ascii="Arial" w:cs="Arial" w:eastAsia="Arial" w:hAnsi="Arial"/>
          <w:sz w:val="18"/>
          <w:szCs w:val="18"/>
          <w:color w:val="auto"/>
        </w:rPr>
        <w:t>The Company classifies its investments in accordance with the requirements of the 1940 Act. Under the 1940 Act,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8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has determined that it has a single reporting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unit structure.</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and cash equivalents are highly liquid investments with an original maturity of three months or less at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6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Deferred financing costs consist of fees and expenses paid in connection with the Credit Facility (as defined in Note 6)</w:t>
      </w:r>
      <w:r>
        <w:rPr>
          <w:rFonts w:ascii="Arial" w:cs="Arial" w:eastAsia="Arial" w:hAnsi="Arial"/>
          <w:sz w:val="18"/>
          <w:szCs w:val="18"/>
          <w:i w:val="1"/>
          <w:iCs w:val="1"/>
          <w:color w:val="auto"/>
        </w:rPr>
        <w:t xml:space="preserve"> </w:t>
      </w:r>
      <w:r>
        <w:rPr>
          <w:rFonts w:ascii="Arial" w:cs="Arial" w:eastAsia="Arial" w:hAnsi="Arial"/>
          <w:sz w:val="18"/>
          <w:szCs w:val="18"/>
          <w:color w:val="auto"/>
        </w:rPr>
        <w:t>and SBA debentures.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87"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i w:val="1"/>
          <w:iCs w:val="1"/>
          <w:color w:val="auto"/>
        </w:rPr>
        <w:t xml:space="preserve">Realized losses on extinguishment of debt: </w:t>
      </w:r>
      <w:r>
        <w:rPr>
          <w:rFonts w:ascii="Arial" w:cs="Arial" w:eastAsia="Arial" w:hAnsi="Arial"/>
          <w:sz w:val="17"/>
          <w:szCs w:val="17"/>
          <w:color w:val="auto"/>
        </w:rPr>
        <w:t>Upon the repayment of debt obligations which are deemed to be extinguishments, the difference</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principal amount due at maturity adjusted for any unamortized deferred financing costs is recognized as a loss (i.e., the unamortized deferred financing costs are recognized as a loss upon extinguishment of the underlying debt obligation). In 2019, the Company elected to change the manner in which it presents the derecognition of unamortized deferred financing costs upon extinguishment of the related debt obligation. Previously, the Company classified the extinguishment as a component of interest and financing expenses on the consolidated statements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7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 xml:space="preserve">Deferred offering costs: </w:t>
      </w:r>
      <w:r>
        <w:rPr>
          <w:rFonts w:ascii="Arial" w:cs="Arial" w:eastAsia="Arial" w:hAnsi="Arial"/>
          <w:sz w:val="18"/>
          <w:szCs w:val="18"/>
          <w:color w:val="auto"/>
        </w:rPr>
        <w:t>Deferred offering costs include registration expenses related to shelf filings. These expenses primarily consist of U.S.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ectPr>
          <w:pgSz w:w="11900" w:h="16838" w:orient="portrait"/>
          <w:cols w:equalWidth="0" w:num="1">
            <w:col w:w="11120"/>
          </w:cols>
          <w:pgMar w:left="320" w:top="459"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9" w:right="4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 xml:space="preserve">Realized gains or losses and unrealized appreciation or depreciation on investments: </w:t>
      </w:r>
      <w:r>
        <w:rPr>
          <w:rFonts w:ascii="Arial" w:cs="Arial" w:eastAsia="Arial" w:hAnsi="Arial"/>
          <w:sz w:val="17"/>
          <w:szCs w:val="17"/>
          <w:color w:val="auto"/>
        </w:rPr>
        <w:t>Realized gains or losses on investments are recorded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 xml:space="preserve">Interest and dividend income: </w:t>
      </w:r>
      <w:r>
        <w:rPr>
          <w:rFonts w:ascii="Arial" w:cs="Arial" w:eastAsia="Arial" w:hAnsi="Arial"/>
          <w:sz w:val="17"/>
          <w:szCs w:val="17"/>
          <w:color w:val="auto"/>
        </w:rPr>
        <w:t>Interest and dividend income is recorded on the accrual basis to the extent that the Company expects to collect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i w:val="1"/>
          <w:iCs w:val="1"/>
          <w:color w:val="auto"/>
        </w:rPr>
        <w:t xml:space="preserve">PIK income: </w:t>
      </w:r>
      <w:r>
        <w:rPr>
          <w:rFonts w:ascii="Arial" w:cs="Arial" w:eastAsia="Arial" w:hAnsi="Arial"/>
          <w:sz w:val="18"/>
          <w:szCs w:val="18"/>
          <w:color w:val="auto"/>
        </w:rPr>
        <w:t>Certain of the Company’s investments contain a payment-in-kind (“PIK”) income provision. The PIK income, computed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Non-accrual: </w:t>
      </w:r>
      <w:r>
        <w:rPr>
          <w:rFonts w:ascii="Arial" w:cs="Arial" w:eastAsia="Arial" w:hAnsi="Arial"/>
          <w:sz w:val="18"/>
          <w:szCs w:val="18"/>
          <w:color w:val="auto"/>
        </w:rPr>
        <w:t>Debt investments or preferred equity investments (for which the Company is accruing PIK dividends) are placed</w:t>
      </w:r>
    </w:p>
    <w:p>
      <w:pPr>
        <w:spacing w:after="0" w:line="23" w:lineRule="exact"/>
        <w:rPr>
          <w:sz w:val="20"/>
          <w:szCs w:val="20"/>
          <w:color w:val="auto"/>
        </w:rPr>
      </w:pPr>
    </w:p>
    <w:p>
      <w:pPr>
        <w:ind w:left="120" w:right="100"/>
        <w:spacing w:after="0" w:line="292" w:lineRule="auto"/>
        <w:rPr>
          <w:sz w:val="20"/>
          <w:szCs w:val="20"/>
          <w:color w:val="auto"/>
        </w:rPr>
      </w:pPr>
      <w:r>
        <w:rPr>
          <w:rFonts w:ascii="Arial" w:cs="Arial" w:eastAsia="Arial" w:hAnsi="Arial"/>
          <w:sz w:val="16"/>
          <w:szCs w:val="16"/>
          <w:color w:val="auto"/>
        </w:rPr>
        <w:t>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62" w:lineRule="exact"/>
        <w:rPr>
          <w:sz w:val="20"/>
          <w:szCs w:val="20"/>
          <w:color w:val="auto"/>
        </w:rPr>
      </w:pPr>
    </w:p>
    <w:p>
      <w:pPr>
        <w:ind w:left="120" w:right="520" w:firstLine="440"/>
        <w:spacing w:after="0" w:line="279" w:lineRule="auto"/>
        <w:rPr>
          <w:sz w:val="20"/>
          <w:szCs w:val="20"/>
          <w:color w:val="auto"/>
        </w:rPr>
      </w:pPr>
      <w:r>
        <w:rPr>
          <w:rFonts w:ascii="Arial" w:cs="Arial" w:eastAsia="Arial" w:hAnsi="Arial"/>
          <w:sz w:val="17"/>
          <w:szCs w:val="17"/>
          <w:i w:val="1"/>
          <w:iCs w:val="1"/>
          <w:color w:val="auto"/>
        </w:rPr>
        <w:t xml:space="preserve">Origination and closing fees: </w:t>
      </w:r>
      <w:r>
        <w:rPr>
          <w:rFonts w:ascii="Arial" w:cs="Arial" w:eastAsia="Arial" w:hAnsi="Arial"/>
          <w:sz w:val="17"/>
          <w:szCs w:val="17"/>
          <w:color w:val="auto"/>
        </w:rPr>
        <w:t>The Company also typically receives debt investment origination or closing fees in connection with such</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71"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In connection with the Company’s debt investments, the Company will sometimes receive warrants or other equity-related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9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Fee income</w:t>
      </w:r>
      <w:r>
        <w:rPr>
          <w:rFonts w:ascii="Arial" w:cs="Arial" w:eastAsia="Arial" w:hAnsi="Arial"/>
          <w:sz w:val="17"/>
          <w:szCs w:val="17"/>
          <w:color w:val="auto"/>
        </w:rPr>
        <w:t>: Transaction fees earned in connection with the Company’s investments are recognized as fee income and are generally non-recurring.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7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i w:val="1"/>
          <w:iCs w:val="1"/>
          <w:color w:val="auto"/>
        </w:rPr>
        <w:t xml:space="preserve">Partial loan sales: </w:t>
      </w:r>
      <w:r>
        <w:rPr>
          <w:rFonts w:ascii="Arial" w:cs="Arial" w:eastAsia="Arial" w:hAnsi="Arial"/>
          <w:sz w:val="16"/>
          <w:szCs w:val="16"/>
          <w:color w:val="auto"/>
        </w:rPr>
        <w:t>The Company follows the guidance in ASC 860,</w:t>
      </w:r>
      <w:r>
        <w:rPr>
          <w:rFonts w:ascii="Arial" w:cs="Arial" w:eastAsia="Arial" w:hAnsi="Arial"/>
          <w:sz w:val="16"/>
          <w:szCs w:val="16"/>
          <w:i w:val="1"/>
          <w:iCs w:val="1"/>
          <w:color w:val="auto"/>
        </w:rPr>
        <w:t xml:space="preserve"> Transfers and Servicing, </w:t>
      </w:r>
      <w:r>
        <w:rPr>
          <w:rFonts w:ascii="Arial" w:cs="Arial" w:eastAsia="Arial" w:hAnsi="Arial"/>
          <w:sz w:val="16"/>
          <w:szCs w:val="16"/>
          <w:color w:val="auto"/>
        </w:rPr>
        <w:t>when accounting for loan (debt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participations and other partial loan sales. Such guidance requires a participation or other partial loan sale to meet the definition of a “participating interest,” as defined in the guidance, in order for sale treatment to be allowed. Participations or other partial loan sales which do not meet the definition of a participating interest should remain on the Company’s consolidated statements of assets and liabilities and the proceeds recorded as a secured borrowing until the definition is met. Management has determined that all participations and other partial loan sale transactions entered into by the Company have met the definition of a participating interest. Accordingly, the Company uses sale treatment in accounting for such transactions.</w:t>
      </w:r>
    </w:p>
    <w:p>
      <w:pPr>
        <w:sectPr>
          <w:pgSz w:w="11900" w:h="16838" w:orient="portrait"/>
          <w:cols w:equalWidth="0" w:num="1">
            <w:col w:w="11120"/>
          </w:cols>
          <w:pgMar w:left="320" w:top="459" w:right="459" w:bottom="1440" w:gutter="0" w:footer="0" w:header="0"/>
        </w:sectPr>
      </w:pP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9"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Company has elected to be treated as a RIC under Subchapter M of the Code, which will generally relieve the Company from</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14"/>
          <w:szCs w:val="14"/>
          <w:color w:val="auto"/>
        </w:rPr>
        <w:t>th</w:t>
      </w:r>
      <w:r>
        <w:rPr>
          <w:rFonts w:ascii="Arial" w:cs="Arial" w:eastAsia="Arial" w:hAnsi="Arial"/>
          <w:sz w:val="17"/>
          <w:szCs w:val="17"/>
          <w:color w:val="auto"/>
        </w:rPr>
        <w:t xml:space="preserve"> day of the 10</w:t>
      </w:r>
      <w:r>
        <w:rPr>
          <w:rFonts w:ascii="Arial" w:cs="Arial" w:eastAsia="Arial" w:hAnsi="Arial"/>
          <w:sz w:val="14"/>
          <w:szCs w:val="14"/>
          <w:color w:val="auto"/>
        </w:rPr>
        <w:t>th</w:t>
      </w:r>
      <w:r>
        <w:rPr>
          <w:rFonts w:ascii="Arial" w:cs="Arial" w:eastAsia="Arial" w:hAnsi="Arial"/>
          <w:sz w:val="17"/>
          <w:szCs w:val="17"/>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8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46"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March 31, 2020 and December 31, 2019. The Company’s tax returns are generally subject to examination by U.S. federal and most state tax authorities for a period of three years from the date the respective returns are filed, and, accordingly, the Company’s 2016 through 2019 tax years remain subject to examination.</w:t>
      </w:r>
    </w:p>
    <w:p>
      <w:pPr>
        <w:spacing w:after="0" w:line="178"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i w:val="1"/>
          <w:iCs w:val="1"/>
          <w:color w:val="auto"/>
        </w:rPr>
        <w:t xml:space="preserve">Dividends to stockholders: </w:t>
      </w:r>
      <w:r>
        <w:rPr>
          <w:rFonts w:ascii="Arial" w:cs="Arial" w:eastAsia="Arial" w:hAnsi="Arial"/>
          <w:sz w:val="16"/>
          <w:szCs w:val="16"/>
          <w:color w:val="auto"/>
        </w:rPr>
        <w:t>Dividends to stockholders are recorded on the record date with respect to such distributions. The amount, if any, to be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4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ectPr>
          <w:pgSz w:w="11900" w:h="16838" w:orient="portrait"/>
          <w:cols w:equalWidth="0" w:num="1">
            <w:col w:w="11120"/>
          </w:cols>
          <w:pgMar w:left="320" w:top="459" w:right="459" w:bottom="1440" w:gutter="0" w:footer="0" w:header="0"/>
        </w:sectPr>
      </w:pP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9" w:right="4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three months ended March 31, 2020 and 2019, are computed</w:t>
      </w:r>
      <w:r>
        <w:rPr>
          <w:rFonts w:ascii="Arial" w:cs="Arial" w:eastAsia="Arial" w:hAnsi="Arial"/>
          <w:sz w:val="18"/>
          <w:szCs w:val="18"/>
          <w:i w:val="1"/>
          <w:iCs w:val="1"/>
          <w:color w:val="auto"/>
        </w:rPr>
        <w:t xml:space="preserve"> </w:t>
      </w:r>
      <w:r>
        <w:rPr>
          <w:rFonts w:ascii="Arial" w:cs="Arial" w:eastAsia="Arial" w:hAnsi="Arial"/>
          <w:sz w:val="18"/>
          <w:szCs w:val="18"/>
          <w:color w:val="auto"/>
        </w:rPr>
        <w:t>utilizing the weighted average shares outstanding for the period. Net asset value per share is calculated using the number of shares outstanding as of the end of the period.</w:t>
      </w:r>
    </w:p>
    <w:p>
      <w:pPr>
        <w:spacing w:after="0" w:line="18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The Company has an open market stock repurchase program (the “Stock Repurchase Program”) under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29, 2019, the Board extended the Stock Repurchase Program through December 31, 2020,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During the three months ended March 31, 2020, the Company repurchased 25,719 shares of common stock on the open market for $268. The Company did not make any repurchases of common stock during the three months ended March 31, 2019. Refer to Note 8 for additional information concerning stock repurchases.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 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which is intended to improve fair value disclosure requirements by removing disclosures that are not cost-beneficial, clarifying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specific requirements, and adding relevant disclosure requirements. The guidance is effective for annual and interim reporting periods beginning after December 15, 2019. We adopted the ASU effective January 1, 2020. No significant changes to the fair value disclosures were necessary in the notes to the consolidated financial statements in order to comply with ASU 2018-13.</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Portfolio Company Investments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Company’s portfolio investments principally consist of secured and unsecured debt, equity warrants and direct equity investments in privately held companies. The debt investments may or may not be secured by either a first or second lien on the assets of the portfolio company. The debt investments generally bear interest at fixed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7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As of March 31, 2020, the Company had active investments in 62 portfolio companies and residual investments in four portfolio companies that have sold their underlying operations. The aggregate fair value of the total portfolio was $718,940 and the weighted average effective yield on the Company’s debt investments was 12.0% as of such date. As of March 31, 2020, the Company held equity investments in 90.9% of its portfolio companies and the weighted average fully diluted equity ownership in those portfolio companies was 4.8%. The weighted average fully diluted equity ownership was computed using the fully diluted equity ownership for equity investments (including warrants) at cost as of March 31, 2020.</w:t>
      </w:r>
    </w:p>
    <w:p>
      <w:pPr>
        <w:spacing w:after="0" w:line="16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As of December 31, 2019, the Company had active investments in 61 portfolio companies and residual investments in three portfolio companies that have sold their underlying operations. The aggregate fair value of the total portfolio was $766,919 and the weighted average effective yield on the Company’s debt investments was 12.0% as of such date. As of December 31, 2019, the Company held equity investments in 93.7% of its portfolio companies and the weighted average fully diluted equity ownership in those portfolio companies was 5.3%. The weighted average fully diluted equity ownership was computed using the fully diluted equity ownership for equity investments (including warrants) at cost as of December 31, 2019.</w:t>
      </w:r>
    </w:p>
    <w:p>
      <w:pPr>
        <w:spacing w:after="0" w:line="16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March 31, 2020 and December 31, 2019, including accretion of OID and debt investment origination fees, but excluding investments on non-accrual status, if any.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Purchases of debt and equity investments for the three months ended March 31, 2020 and 2019 totaled $68,192 and $80,473, respectively. Proceeds from sales and repayments, including principal, return of capital distributions and realized gains, of portfolio investments for the three months ended March 31, 2020 and 2019 totaled $73,772 and $57,352,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gridSpan w:val="4"/>
          </w:tcPr>
          <w:p>
            <w:pPr>
              <w:ind w:left="40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1420" w:type="dxa"/>
            <w:vAlign w:val="bottom"/>
            <w:gridSpan w:val="3"/>
          </w:tcPr>
          <w:p>
            <w:pPr>
              <w:ind w:left="300"/>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4"/>
          </w:tcPr>
          <w:p>
            <w:pPr>
              <w:ind w:left="400"/>
              <w:spacing w:after="0" w:line="119" w:lineRule="exact"/>
              <w:rPr>
                <w:sz w:val="20"/>
                <w:szCs w:val="20"/>
                <w:color w:val="auto"/>
              </w:rPr>
            </w:pPr>
            <w:r>
              <w:rPr>
                <w:rFonts w:ascii="Arial" w:cs="Arial" w:eastAsia="Arial" w:hAnsi="Arial"/>
                <w:sz w:val="13"/>
                <w:szCs w:val="13"/>
                <w:b w:val="1"/>
                <w:bCs w:val="1"/>
                <w:color w:val="auto"/>
              </w:rPr>
              <w:t>March 31,</w:t>
            </w:r>
          </w:p>
        </w:tc>
        <w:tc>
          <w:tcPr>
            <w:tcW w:w="1420" w:type="dxa"/>
            <w:vAlign w:val="bottom"/>
            <w:gridSpan w:val="3"/>
          </w:tcPr>
          <w:p>
            <w:pPr>
              <w:ind w:left="300"/>
              <w:spacing w:after="0" w:line="119" w:lineRule="exact"/>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9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$373,560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$383,077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$401,498</w:t>
            </w: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54.9%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$392,196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Subordinated Debt</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140,188</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140,843</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141,262</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19.3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140,670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137,307</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108,327</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139,374</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19.1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107,718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Equity</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64,725</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126,564</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45,781</w:t>
            </w:r>
          </w:p>
        </w:tc>
        <w:tc>
          <w:tcPr>
            <w:tcW w:w="840" w:type="dxa"/>
            <w:vAlign w:val="bottom"/>
            <w:gridSpan w:val="2"/>
          </w:tcPr>
          <w:p>
            <w:pPr>
              <w:jc w:val="right"/>
              <w:ind w:right="308"/>
              <w:spacing w:after="0"/>
              <w:rPr>
                <w:sz w:val="20"/>
                <w:szCs w:val="20"/>
                <w:color w:val="auto"/>
              </w:rPr>
            </w:pPr>
            <w:r>
              <w:rPr>
                <w:rFonts w:ascii="Arial" w:cs="Arial" w:eastAsia="Arial" w:hAnsi="Arial"/>
                <w:sz w:val="18"/>
                <w:szCs w:val="18"/>
                <w:color w:val="auto"/>
              </w:rPr>
              <w:t>6.3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58,091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3,160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8,108</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3,195</w:t>
            </w:r>
          </w:p>
        </w:tc>
        <w:tc>
          <w:tcPr>
            <w:tcW w:w="8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0.4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Royalty Rights</w:t>
            </w:r>
          </w:p>
        </w:tc>
        <w:tc>
          <w:tcPr>
            <w:tcW w:w="9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718,940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766,919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731,110</w:t>
            </w: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8"/>
              </w:rPr>
              <w:t>100.0%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704,499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All investments made by the Company as of March 31, 2020 and December 31, 2019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Cost</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1680" w:type="dxa"/>
            <w:vAlign w:val="bottom"/>
            <w:gridSpan w:val="5"/>
          </w:tcPr>
          <w:p>
            <w:pPr>
              <w:jc w:val="center"/>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14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60" w:type="dxa"/>
            <w:vAlign w:val="bottom"/>
          </w:tcPr>
          <w:p>
            <w:pPr>
              <w:spacing w:after="0"/>
              <w:rPr>
                <w:sz w:val="10"/>
                <w:szCs w:val="10"/>
                <w:color w:val="auto"/>
              </w:rPr>
            </w:pPr>
          </w:p>
        </w:tc>
        <w:tc>
          <w:tcPr>
            <w:tcW w:w="1780" w:type="dxa"/>
            <w:vAlign w:val="bottom"/>
            <w:gridSpan w:val="4"/>
          </w:tcPr>
          <w:p>
            <w:pPr>
              <w:jc w:val="center"/>
              <w:ind w:right="268"/>
              <w:spacing w:after="0" w:line="119" w:lineRule="exact"/>
              <w:rPr>
                <w:sz w:val="20"/>
                <w:szCs w:val="20"/>
                <w:color w:val="auto"/>
              </w:rPr>
            </w:pPr>
            <w:r>
              <w:rPr>
                <w:rFonts w:ascii="Arial" w:cs="Arial" w:eastAsia="Arial" w:hAnsi="Arial"/>
                <w:sz w:val="13"/>
                <w:szCs w:val="13"/>
                <w:b w:val="1"/>
                <w:bCs w:val="1"/>
                <w:color w:val="auto"/>
              </w:rPr>
              <w:t>March 31,</w:t>
            </w:r>
          </w:p>
        </w:tc>
        <w:tc>
          <w:tcPr>
            <w:tcW w:w="20" w:type="dxa"/>
            <w:vAlign w:val="bottom"/>
          </w:tcPr>
          <w:p>
            <w:pPr>
              <w:spacing w:after="0"/>
              <w:rPr>
                <w:sz w:val="10"/>
                <w:szCs w:val="10"/>
                <w:color w:val="auto"/>
              </w:rPr>
            </w:pPr>
          </w:p>
        </w:tc>
        <w:tc>
          <w:tcPr>
            <w:tcW w:w="1440" w:type="dxa"/>
            <w:vAlign w:val="bottom"/>
            <w:gridSpan w:val="3"/>
          </w:tcPr>
          <w:p>
            <w:pPr>
              <w:ind w:left="300"/>
              <w:spacing w:after="0" w:line="119" w:lineRule="exact"/>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$195,094</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$208,248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$183,996</w:t>
            </w:r>
          </w:p>
        </w:tc>
        <w:tc>
          <w:tcPr>
            <w:tcW w:w="8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$181,353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Southeast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144,435</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20.1</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159,959</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20.9</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139,992</w:t>
            </w:r>
          </w:p>
        </w:tc>
        <w:tc>
          <w:tcPr>
            <w:tcW w:w="800" w:type="dxa"/>
            <w:vAlign w:val="bottom"/>
            <w:gridSpan w:val="2"/>
          </w:tcPr>
          <w:p>
            <w:pPr>
              <w:jc w:val="right"/>
              <w:ind w:right="268"/>
              <w:spacing w:after="0"/>
              <w:rPr>
                <w:sz w:val="20"/>
                <w:szCs w:val="20"/>
                <w:color w:val="auto"/>
              </w:rPr>
            </w:pPr>
            <w:r>
              <w:rPr>
                <w:rFonts w:ascii="Arial" w:cs="Arial" w:eastAsia="Arial" w:hAnsi="Arial"/>
                <w:sz w:val="18"/>
                <w:szCs w:val="18"/>
                <w:color w:val="auto"/>
              </w:rPr>
              <w:t>19.1</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138,142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149,148</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154,713</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154,661</w:t>
            </w:r>
          </w:p>
        </w:tc>
        <w:tc>
          <w:tcPr>
            <w:tcW w:w="8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21.2</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142,054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West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83,593</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76,251</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89,330</w:t>
            </w:r>
          </w:p>
        </w:tc>
        <w:tc>
          <w:tcPr>
            <w:tcW w:w="800" w:type="dxa"/>
            <w:vAlign w:val="bottom"/>
            <w:gridSpan w:val="2"/>
          </w:tcPr>
          <w:p>
            <w:pPr>
              <w:jc w:val="right"/>
              <w:ind w:right="268"/>
              <w:spacing w:after="0"/>
              <w:rPr>
                <w:sz w:val="20"/>
                <w:szCs w:val="20"/>
                <w:color w:val="auto"/>
              </w:rPr>
            </w:pPr>
            <w:r>
              <w:rPr>
                <w:rFonts w:ascii="Arial" w:cs="Arial" w:eastAsia="Arial" w:hAnsi="Arial"/>
                <w:sz w:val="18"/>
                <w:szCs w:val="18"/>
                <w:color w:val="auto"/>
              </w:rPr>
              <w:t>12.2</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76,587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146,670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167,748</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163,131</w:t>
            </w:r>
          </w:p>
        </w:tc>
        <w:tc>
          <w:tcPr>
            <w:tcW w:w="8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22.3</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166,363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718,940</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100.0%</w:t>
            </w:r>
          </w:p>
        </w:tc>
        <w:tc>
          <w:tcPr>
            <w:tcW w:w="1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766,919</w:t>
            </w:r>
          </w:p>
        </w:tc>
        <w:tc>
          <w:tcPr>
            <w:tcW w:w="280" w:type="dxa"/>
            <w:vAlign w:val="bottom"/>
            <w:vMerge w:val="continue"/>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100.0%</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731,110</w:t>
            </w:r>
          </w:p>
        </w:tc>
        <w:tc>
          <w:tcPr>
            <w:tcW w:w="280" w:type="dxa"/>
            <w:vAlign w:val="bottom"/>
            <w:vMerge w:val="continue"/>
          </w:tcPr>
          <w:p>
            <w:pPr>
              <w:spacing w:after="0"/>
              <w:rPr>
                <w:sz w:val="19"/>
                <w:szCs w:val="19"/>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w w:val="94"/>
              </w:rPr>
              <w:t>100.0%</w:t>
            </w: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704,499</w:t>
            </w:r>
          </w:p>
        </w:tc>
        <w:tc>
          <w:tcPr>
            <w:tcW w:w="30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portfolio composition by type and by geographic region at fair value as a percentage of net assets.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1540"/>
              <w:spacing w:after="0"/>
              <w:rPr>
                <w:sz w:val="20"/>
                <w:szCs w:val="20"/>
                <w:color w:val="auto"/>
              </w:rPr>
            </w:pPr>
            <w:r>
              <w:rPr>
                <w:rFonts w:ascii="Arial" w:cs="Arial" w:eastAsia="Arial" w:hAnsi="Arial"/>
                <w:sz w:val="14"/>
                <w:szCs w:val="14"/>
                <w:b w:val="1"/>
                <w:bCs w:val="1"/>
                <w:color w:val="auto"/>
              </w:rPr>
              <w:t>By Type</w:t>
            </w:r>
          </w:p>
        </w:tc>
        <w:tc>
          <w:tcPr>
            <w:tcW w:w="8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1020"/>
              <w:spacing w:after="0"/>
              <w:rPr>
                <w:sz w:val="20"/>
                <w:szCs w:val="20"/>
                <w:color w:val="auto"/>
              </w:rPr>
            </w:pPr>
            <w:r>
              <w:rPr>
                <w:rFonts w:ascii="Arial" w:cs="Arial" w:eastAsia="Arial" w:hAnsi="Arial"/>
                <w:sz w:val="14"/>
                <w:szCs w:val="14"/>
                <w:b w:val="1"/>
                <w:bCs w:val="1"/>
                <w:color w:val="auto"/>
              </w:rPr>
              <w:t>By Geographic Region</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19"/>
        </w:trPr>
        <w:tc>
          <w:tcPr>
            <w:tcW w:w="18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1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9"/>
              </w:rPr>
              <w:t>March 31,</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1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March 31,</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r>
      <w:tr>
        <w:trPr>
          <w:trHeight w:val="171"/>
        </w:trPr>
        <w:tc>
          <w:tcPr>
            <w:tcW w:w="186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r>
      <w:tr>
        <w:trPr>
          <w:trHeight w:val="210"/>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1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Midwest</w:t>
            </w:r>
          </w:p>
        </w:tc>
        <w:tc>
          <w:tcPr>
            <w:tcW w:w="18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Subordinated Debt</w:t>
            </w:r>
          </w:p>
        </w:tc>
        <w:tc>
          <w:tcPr>
            <w:tcW w:w="2560" w:type="dxa"/>
            <w:vAlign w:val="bottom"/>
            <w:gridSpan w:val="3"/>
          </w:tcPr>
          <w:p>
            <w:pPr>
              <w:jc w:val="right"/>
              <w:ind w:right="460"/>
              <w:spacing w:after="0"/>
              <w:rPr>
                <w:sz w:val="20"/>
                <w:szCs w:val="20"/>
                <w:color w:val="auto"/>
              </w:rPr>
            </w:pPr>
            <w:r>
              <w:rPr>
                <w:rFonts w:ascii="Arial" w:cs="Arial" w:eastAsia="Arial" w:hAnsi="Arial"/>
                <w:sz w:val="18"/>
                <w:szCs w:val="18"/>
                <w:color w:val="auto"/>
              </w:rPr>
              <w:t>37.3</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34.2</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Southeast</w:t>
            </w:r>
          </w:p>
        </w:tc>
        <w:tc>
          <w:tcPr>
            <w:tcW w:w="2980" w:type="dxa"/>
            <w:vAlign w:val="bottom"/>
            <w:gridSpan w:val="3"/>
          </w:tcPr>
          <w:p>
            <w:pPr>
              <w:jc w:val="right"/>
              <w:ind w:right="460"/>
              <w:spacing w:after="0"/>
              <w:rPr>
                <w:sz w:val="20"/>
                <w:szCs w:val="20"/>
                <w:color w:val="auto"/>
              </w:rPr>
            </w:pPr>
            <w:r>
              <w:rPr>
                <w:rFonts w:ascii="Arial" w:cs="Arial" w:eastAsia="Arial" w:hAnsi="Arial"/>
                <w:sz w:val="18"/>
                <w:szCs w:val="18"/>
                <w:color w:val="auto"/>
              </w:rPr>
              <w:t>38.5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36.6</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Northeast</w:t>
            </w:r>
          </w:p>
        </w:tc>
        <w:tc>
          <w:tcPr>
            <w:tcW w:w="2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39.7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Equity</w:t>
            </w:r>
          </w:p>
        </w:tc>
        <w:tc>
          <w:tcPr>
            <w:tcW w:w="2560" w:type="dxa"/>
            <w:vAlign w:val="bottom"/>
            <w:gridSpan w:val="3"/>
          </w:tcPr>
          <w:p>
            <w:pPr>
              <w:jc w:val="right"/>
              <w:ind w:right="460"/>
              <w:spacing w:after="0"/>
              <w:rPr>
                <w:sz w:val="20"/>
                <w:szCs w:val="20"/>
                <w:color w:val="auto"/>
              </w:rPr>
            </w:pPr>
            <w:r>
              <w:rPr>
                <w:rFonts w:ascii="Arial" w:cs="Arial" w:eastAsia="Arial" w:hAnsi="Arial"/>
                <w:sz w:val="18"/>
                <w:szCs w:val="18"/>
                <w:color w:val="auto"/>
              </w:rPr>
              <w:t>17.2</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30.7</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West</w:t>
            </w:r>
          </w:p>
        </w:tc>
        <w:tc>
          <w:tcPr>
            <w:tcW w:w="2980" w:type="dxa"/>
            <w:vAlign w:val="bottom"/>
            <w:gridSpan w:val="3"/>
          </w:tcPr>
          <w:p>
            <w:pPr>
              <w:jc w:val="right"/>
              <w:ind w:right="460"/>
              <w:spacing w:after="0"/>
              <w:rPr>
                <w:sz w:val="20"/>
                <w:szCs w:val="20"/>
                <w:color w:val="auto"/>
              </w:rPr>
            </w:pPr>
            <w:r>
              <w:rPr>
                <w:rFonts w:ascii="Arial" w:cs="Arial" w:eastAsia="Arial" w:hAnsi="Arial"/>
                <w:sz w:val="18"/>
                <w:szCs w:val="18"/>
                <w:color w:val="auto"/>
              </w:rPr>
              <w:t>22.3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0.8</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Southwest</w:t>
            </w:r>
          </w:p>
        </w:tc>
        <w:tc>
          <w:tcPr>
            <w:tcW w:w="2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39.1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rPr>
              <w:t>Royalty Rights</w:t>
            </w:r>
          </w:p>
        </w:tc>
        <w:tc>
          <w:tcPr>
            <w:tcW w:w="1460" w:type="dxa"/>
            <w:vAlign w:val="bottom"/>
          </w:tcPr>
          <w:p>
            <w:pPr>
              <w:spacing w:after="0"/>
              <w:rPr>
                <w:sz w:val="19"/>
                <w:szCs w:val="19"/>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191.4%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186.0%</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191.4%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186.0%</w:t>
            </w:r>
          </w:p>
        </w:tc>
      </w:tr>
      <w:tr>
        <w:trPr>
          <w:trHeight w:val="20"/>
        </w:trPr>
        <w:tc>
          <w:tcPr>
            <w:tcW w:w="1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March 31, 2020 and December 31, 2019, the Company had no portfolio company investments that represented more than 10% of the total investment portfolio on a fair value or cost basis.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of March 31, 2020 and December 31, 2019, the Company had debt investments in four and one portfolio companies on non-accrual status, respectively:</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1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March 31, 2020</w:t>
            </w:r>
          </w:p>
        </w:tc>
        <w:tc>
          <w:tcPr>
            <w:tcW w:w="19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080" w:type="dxa"/>
            <w:vAlign w:val="bottom"/>
            <w:tcBorders>
              <w:top w:val="single" w:sz="8" w:color="auto"/>
            </w:tcBorders>
            <w:gridSpan w:val="2"/>
          </w:tcPr>
          <w:p>
            <w:pPr>
              <w:jc w:val="right"/>
              <w:ind w:right="640"/>
              <w:spacing w:after="0" w:line="133" w:lineRule="exact"/>
              <w:rPr>
                <w:sz w:val="20"/>
                <w:szCs w:val="20"/>
                <w:color w:val="auto"/>
              </w:rPr>
            </w:pPr>
            <w:r>
              <w:rPr>
                <w:rFonts w:ascii="Arial" w:cs="Arial" w:eastAsia="Arial" w:hAnsi="Arial"/>
                <w:sz w:val="14"/>
                <w:szCs w:val="14"/>
                <w:b w:val="1"/>
                <w:bCs w:val="1"/>
                <w:color w:val="auto"/>
              </w:rPr>
              <w:t>Fair</w:t>
            </w:r>
          </w:p>
        </w:tc>
        <w:tc>
          <w:tcPr>
            <w:tcW w:w="60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rPr>
              <w:t>Fair</w:t>
            </w: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060" w:type="dxa"/>
            <w:vAlign w:val="bottom"/>
            <w:gridSpan w:val="3"/>
            <w:vMerge w:val="continue"/>
          </w:tcPr>
          <w:p>
            <w:pPr>
              <w:spacing w:after="0"/>
              <w:rPr>
                <w:sz w:val="13"/>
                <w:szCs w:val="13"/>
                <w:color w:val="auto"/>
              </w:rPr>
            </w:pPr>
          </w:p>
        </w:tc>
        <w:tc>
          <w:tcPr>
            <w:tcW w:w="108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Value</w:t>
            </w:r>
          </w:p>
        </w:tc>
        <w:tc>
          <w:tcPr>
            <w:tcW w:w="108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Cost</w:t>
            </w:r>
          </w:p>
        </w:tc>
        <w:tc>
          <w:tcPr>
            <w:tcW w:w="10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6"/>
              </w:rPr>
              <w:t>Value</w:t>
            </w:r>
          </w:p>
        </w:tc>
        <w:tc>
          <w:tcPr>
            <w:tcW w:w="8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Accent Food Services, LLC</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$25,717</w:t>
            </w: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$35,328</w:t>
            </w: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$33,067</w:t>
            </w: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$35,327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EBL, LLC (EbLens)</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7,235</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9,146</w:t>
            </w: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Mirage Trailers LLC</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5,297</w:t>
            </w:r>
            <w:r>
              <w:rPr>
                <w:rFonts w:ascii="Arial" w:cs="Arial" w:eastAsia="Arial" w:hAnsi="Arial"/>
                <w:sz w:val="15"/>
                <w:szCs w:val="15"/>
                <w:color w:val="auto"/>
              </w:rPr>
              <w:t>(1)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6,277</w:t>
            </w:r>
            <w:r>
              <w:rPr>
                <w:rFonts w:ascii="Arial" w:cs="Arial" w:eastAsia="Arial" w:hAnsi="Arial"/>
                <w:sz w:val="15"/>
                <w:szCs w:val="15"/>
                <w:color w:val="auto"/>
              </w:rPr>
              <w:t>(1)</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Virginia Tile Company, LLC</w:t>
            </w:r>
          </w:p>
        </w:tc>
        <w:tc>
          <w:tcPr>
            <w:tcW w:w="600" w:type="dxa"/>
            <w:vAlign w:val="bottom"/>
          </w:tcPr>
          <w:p>
            <w:pPr>
              <w:jc w:val="right"/>
              <w:spacing w:after="0"/>
              <w:rPr>
                <w:sz w:val="20"/>
                <w:szCs w:val="20"/>
                <w:color w:val="auto"/>
              </w:rPr>
            </w:pPr>
            <w:r>
              <w:rPr>
                <w:rFonts w:ascii="Arial" w:cs="Arial" w:eastAsia="Arial" w:hAnsi="Arial"/>
                <w:sz w:val="18"/>
                <w:szCs w:val="18"/>
                <w:color w:val="auto"/>
              </w:rPr>
              <w:t>9,984</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11,990</w:t>
            </w:r>
          </w:p>
        </w:tc>
        <w:tc>
          <w:tcPr>
            <w:tcW w:w="480" w:type="dxa"/>
            <w:vAlign w:val="bottom"/>
          </w:tcPr>
          <w:p>
            <w:pPr>
              <w:spacing w:after="0"/>
              <w:rPr>
                <w:sz w:val="19"/>
                <w:szCs w:val="19"/>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48,233</w:t>
            </w:r>
          </w:p>
        </w:tc>
        <w:tc>
          <w:tcPr>
            <w:tcW w:w="48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62,741</w:t>
            </w:r>
          </w:p>
        </w:tc>
        <w:tc>
          <w:tcPr>
            <w:tcW w:w="48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33,067</w:t>
            </w:r>
          </w:p>
        </w:tc>
        <w:tc>
          <w:tcPr>
            <w:tcW w:w="48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35,327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5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Portfolio company was on PIK-only on non-accrual status at period end, meaning the Company has ceased recognizing PIK interest income on the investment.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Portfolio company debt investments were not on non-accrual status at period end.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Consolidated Schedule of Investments In and Advances To Affiliates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table below represents the fair value of control and affiliate investments as of December 31, 2019 and any additions and reductions made to such investments during the three months ended March 31, 2020, the ending fair value as of March 31, 2020, and the total investment income earned on such investments during the period.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10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8"/>
          </w:tcPr>
          <w:p>
            <w:pPr>
              <w:ind w:left="280"/>
              <w:spacing w:after="0"/>
              <w:rPr>
                <w:sz w:val="20"/>
                <w:szCs w:val="20"/>
                <w:color w:val="auto"/>
              </w:rPr>
            </w:pPr>
            <w:r>
              <w:rPr>
                <w:rFonts w:ascii="Arial" w:cs="Arial" w:eastAsia="Arial" w:hAnsi="Arial"/>
                <w:sz w:val="11"/>
                <w:szCs w:val="11"/>
                <w:b w:val="1"/>
                <w:bCs w:val="1"/>
                <w:color w:val="auto"/>
                <w:w w:val="93"/>
              </w:rPr>
              <w:t>Three Months Ended March 31, 2020</w:t>
            </w: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0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jc w:val="right"/>
              <w:ind w:right="126"/>
              <w:spacing w:after="0" w:line="102" w:lineRule="exact"/>
              <w:rPr>
                <w:sz w:val="20"/>
                <w:szCs w:val="20"/>
                <w:color w:val="auto"/>
              </w:rPr>
            </w:pPr>
            <w:r>
              <w:rPr>
                <w:rFonts w:ascii="Arial" w:cs="Arial" w:eastAsia="Arial" w:hAnsi="Arial"/>
                <w:sz w:val="11"/>
                <w:szCs w:val="11"/>
                <w:b w:val="1"/>
                <w:bCs w:val="1"/>
                <w:color w:val="auto"/>
              </w:rPr>
              <w:t>Net</w:t>
            </w:r>
          </w:p>
        </w:tc>
        <w:tc>
          <w:tcPr>
            <w:tcW w:w="220" w:type="dxa"/>
            <w:vAlign w:val="bottom"/>
          </w:tcPr>
          <w:p>
            <w:pPr>
              <w:spacing w:after="0"/>
              <w:rPr>
                <w:sz w:val="8"/>
                <w:szCs w:val="8"/>
                <w:color w:val="auto"/>
              </w:rPr>
            </w:pPr>
          </w:p>
        </w:tc>
        <w:tc>
          <w:tcPr>
            <w:tcW w:w="82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Net Change in</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3"/>
          </w:tcPr>
          <w:p>
            <w:pPr>
              <w:spacing w:after="0" w:line="102" w:lineRule="exact"/>
              <w:rPr>
                <w:sz w:val="20"/>
                <w:szCs w:val="20"/>
                <w:color w:val="auto"/>
              </w:rPr>
            </w:pPr>
            <w:r>
              <w:rPr>
                <w:rFonts w:ascii="Arial" w:cs="Arial" w:eastAsia="Arial" w:hAnsi="Arial"/>
                <w:sz w:val="11"/>
                <w:szCs w:val="11"/>
                <w:b w:val="1"/>
                <w:bCs w:val="1"/>
                <w:color w:val="auto"/>
              </w:rPr>
              <w:t>Payment-in-</w:t>
            </w: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w w:val="91"/>
              </w:rPr>
              <w:t>March 31, 2020</w:t>
            </w:r>
          </w:p>
        </w:tc>
        <w:tc>
          <w:tcPr>
            <w:tcW w:w="220" w:type="dxa"/>
            <w:vAlign w:val="bottom"/>
          </w:tcPr>
          <w:p>
            <w:pPr>
              <w:spacing w:after="0"/>
              <w:rPr>
                <w:sz w:val="10"/>
                <w:szCs w:val="10"/>
                <w:color w:val="auto"/>
              </w:rPr>
            </w:pPr>
          </w:p>
        </w:tc>
        <w:tc>
          <w:tcPr>
            <w:tcW w:w="6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0"/>
              </w:rPr>
              <w:t>March 31,</w:t>
            </w:r>
          </w:p>
        </w:tc>
        <w:tc>
          <w:tcPr>
            <w:tcW w:w="220" w:type="dxa"/>
            <w:vAlign w:val="bottom"/>
          </w:tcPr>
          <w:p>
            <w:pPr>
              <w:spacing w:after="0"/>
              <w:rPr>
                <w:sz w:val="10"/>
                <w:szCs w:val="10"/>
                <w:color w:val="auto"/>
              </w:rPr>
            </w:pPr>
          </w:p>
        </w:tc>
        <w:tc>
          <w:tcPr>
            <w:tcW w:w="46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w w:val="85"/>
              </w:rPr>
              <w:t>Realized</w:t>
            </w:r>
          </w:p>
        </w:tc>
        <w:tc>
          <w:tcPr>
            <w:tcW w:w="220" w:type="dxa"/>
            <w:vAlign w:val="bottom"/>
          </w:tcPr>
          <w:p>
            <w:pPr>
              <w:spacing w:after="0"/>
              <w:rPr>
                <w:sz w:val="10"/>
                <w:szCs w:val="10"/>
                <w:color w:val="auto"/>
              </w:rPr>
            </w:pPr>
          </w:p>
        </w:tc>
        <w:tc>
          <w:tcPr>
            <w:tcW w:w="82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w w:val="89"/>
              </w:rPr>
              <w:t>Unrealized</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7"/>
              </w:rPr>
              <w:t>kind</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20" w:type="dxa"/>
            <w:vAlign w:val="bottom"/>
            <w:vMerge w:val="restart"/>
          </w:tcPr>
          <w:p>
            <w:pPr>
              <w:spacing w:after="0"/>
              <w:rPr>
                <w:sz w:val="20"/>
                <w:szCs w:val="20"/>
                <w:color w:val="auto"/>
              </w:rPr>
            </w:pPr>
            <w:r>
              <w:rPr>
                <w:rFonts w:ascii="Arial" w:cs="Arial" w:eastAsia="Arial" w:hAnsi="Arial"/>
                <w:sz w:val="11"/>
                <w:szCs w:val="11"/>
                <w:b w:val="1"/>
                <w:bCs w:val="1"/>
                <w:color w:val="auto"/>
                <w:w w:val="88"/>
              </w:rPr>
              <w:t xml:space="preserve">Portfolio Company </w:t>
            </w:r>
            <w:r>
              <w:rPr>
                <w:rFonts w:ascii="Arial" w:cs="Arial" w:eastAsia="Arial" w:hAnsi="Arial"/>
                <w:sz w:val="9"/>
                <w:szCs w:val="9"/>
                <w:b w:val="1"/>
                <w:bCs w:val="1"/>
                <w:color w:val="auto"/>
                <w:w w:val="88"/>
              </w:rPr>
              <w:t>(1)</w:t>
            </w:r>
          </w:p>
        </w:tc>
        <w:tc>
          <w:tcPr>
            <w:tcW w:w="2140" w:type="dxa"/>
            <w:vAlign w:val="bottom"/>
            <w:vMerge w:val="restart"/>
          </w:tcPr>
          <w:p>
            <w:pPr>
              <w:spacing w:after="0"/>
              <w:rPr>
                <w:sz w:val="10"/>
                <w:szCs w:val="10"/>
                <w:color w:val="auto"/>
              </w:rPr>
            </w:pPr>
          </w:p>
        </w:tc>
        <w:tc>
          <w:tcPr>
            <w:tcW w:w="8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87"/>
              </w:rPr>
              <w:t>Principal Amount -</w:t>
            </w:r>
          </w:p>
        </w:tc>
        <w:tc>
          <w:tcPr>
            <w:tcW w:w="220" w:type="dxa"/>
            <w:vAlign w:val="bottom"/>
          </w:tcPr>
          <w:p>
            <w:pPr>
              <w:spacing w:after="0"/>
              <w:rPr>
                <w:sz w:val="10"/>
                <w:szCs w:val="10"/>
                <w:color w:val="auto"/>
              </w:rPr>
            </w:pPr>
          </w:p>
        </w:tc>
        <w:tc>
          <w:tcPr>
            <w:tcW w:w="56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w w:val="94"/>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Gross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w w:val="97"/>
              </w:rPr>
              <w:t>2020</w:t>
            </w:r>
          </w:p>
        </w:tc>
        <w:tc>
          <w:tcPr>
            <w:tcW w:w="220" w:type="dxa"/>
            <w:vAlign w:val="bottom"/>
          </w:tcPr>
          <w:p>
            <w:pPr>
              <w:spacing w:after="0"/>
              <w:rPr>
                <w:sz w:val="10"/>
                <w:szCs w:val="10"/>
                <w:color w:val="auto"/>
              </w:rPr>
            </w:pPr>
          </w:p>
        </w:tc>
        <w:tc>
          <w:tcPr>
            <w:tcW w:w="46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Gains</w:t>
            </w:r>
          </w:p>
        </w:tc>
        <w:tc>
          <w:tcPr>
            <w:tcW w:w="22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w w:val="83"/>
              </w:rPr>
              <w:t>Appreciation</w:t>
            </w:r>
          </w:p>
        </w:tc>
        <w:tc>
          <w:tcPr>
            <w:tcW w:w="3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85"/>
              </w:rPr>
              <w:t>Interest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0"/>
              </w:rPr>
              <w:t>Interest</w:t>
            </w:r>
          </w:p>
        </w:tc>
        <w:tc>
          <w:tcPr>
            <w:tcW w:w="6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Dividend</w:t>
            </w:r>
          </w:p>
        </w:tc>
        <w:tc>
          <w:tcPr>
            <w:tcW w:w="60" w:type="dxa"/>
            <w:vAlign w:val="bottom"/>
          </w:tcPr>
          <w:p>
            <w:pPr>
              <w:spacing w:after="0"/>
              <w:rPr>
                <w:sz w:val="10"/>
                <w:szCs w:val="10"/>
                <w:color w:val="auto"/>
              </w:rPr>
            </w:pPr>
          </w:p>
        </w:tc>
        <w:tc>
          <w:tcPr>
            <w:tcW w:w="3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Fee</w:t>
            </w:r>
          </w:p>
        </w:tc>
        <w:tc>
          <w:tcPr>
            <w:tcW w:w="0" w:type="dxa"/>
            <w:vAlign w:val="bottom"/>
          </w:tcPr>
          <w:p>
            <w:pPr>
              <w:spacing w:after="0"/>
              <w:rPr>
                <w:sz w:val="1"/>
                <w:szCs w:val="1"/>
                <w:color w:val="auto"/>
              </w:rPr>
            </w:pPr>
          </w:p>
        </w:tc>
      </w:tr>
      <w:tr>
        <w:trPr>
          <w:trHeight w:val="142"/>
        </w:trPr>
        <w:tc>
          <w:tcPr>
            <w:tcW w:w="1020" w:type="dxa"/>
            <w:vAlign w:val="bottom"/>
            <w:tcBorders>
              <w:bottom w:val="single" w:sz="8" w:color="auto"/>
            </w:tcBorders>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w w:val="89"/>
              </w:rPr>
              <w:t>Debt Investments</w:t>
            </w:r>
          </w:p>
        </w:tc>
        <w:tc>
          <w:tcPr>
            <w:tcW w:w="220" w:type="dxa"/>
            <w:vAlign w:val="bottom"/>
          </w:tcPr>
          <w:p>
            <w:pPr>
              <w:spacing w:after="0"/>
              <w:rPr>
                <w:sz w:val="12"/>
                <w:szCs w:val="12"/>
                <w:color w:val="auto"/>
              </w:rPr>
            </w:pPr>
          </w:p>
        </w:tc>
        <w:tc>
          <w:tcPr>
            <w:tcW w:w="6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Fair Value</w:t>
            </w:r>
          </w:p>
        </w:tc>
        <w:tc>
          <w:tcPr>
            <w:tcW w:w="80" w:type="dxa"/>
            <w:vAlign w:val="bottom"/>
          </w:tcPr>
          <w:p>
            <w:pPr>
              <w:spacing w:after="0"/>
              <w:rPr>
                <w:sz w:val="12"/>
                <w:szCs w:val="12"/>
                <w:color w:val="auto"/>
              </w:rPr>
            </w:pPr>
          </w:p>
        </w:tc>
        <w:tc>
          <w:tcPr>
            <w:tcW w:w="6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89"/>
              </w:rPr>
              <w:t xml:space="preserve">Additions </w:t>
            </w:r>
            <w:r>
              <w:rPr>
                <w:rFonts w:ascii="Arial" w:cs="Arial" w:eastAsia="Arial" w:hAnsi="Arial"/>
                <w:sz w:val="9"/>
                <w:szCs w:val="9"/>
                <w:b w:val="1"/>
                <w:bCs w:val="1"/>
                <w:color w:val="auto"/>
                <w:w w:val="89"/>
              </w:rPr>
              <w:t>(2)</w:t>
            </w:r>
          </w:p>
        </w:tc>
        <w:tc>
          <w:tcPr>
            <w:tcW w:w="140" w:type="dxa"/>
            <w:vAlign w:val="bottom"/>
          </w:tcPr>
          <w:p>
            <w:pPr>
              <w:spacing w:after="0"/>
              <w:rPr>
                <w:sz w:val="12"/>
                <w:szCs w:val="12"/>
                <w:color w:val="auto"/>
              </w:rPr>
            </w:pPr>
          </w:p>
        </w:tc>
        <w:tc>
          <w:tcPr>
            <w:tcW w:w="7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 xml:space="preserve">Reductions </w:t>
            </w:r>
            <w:r>
              <w:rPr>
                <w:rFonts w:ascii="Arial" w:cs="Arial" w:eastAsia="Arial" w:hAnsi="Arial"/>
                <w:sz w:val="9"/>
                <w:szCs w:val="9"/>
                <w:b w:val="1"/>
                <w:bCs w:val="1"/>
                <w:color w:val="auto"/>
              </w:rPr>
              <w:t>(3)</w:t>
            </w:r>
          </w:p>
        </w:tc>
        <w:tc>
          <w:tcPr>
            <w:tcW w:w="80" w:type="dxa"/>
            <w:vAlign w:val="bottom"/>
          </w:tcPr>
          <w:p>
            <w:pPr>
              <w:spacing w:after="0"/>
              <w:rPr>
                <w:sz w:val="12"/>
                <w:szCs w:val="12"/>
                <w:color w:val="auto"/>
              </w:rPr>
            </w:pPr>
          </w:p>
        </w:tc>
        <w:tc>
          <w:tcPr>
            <w:tcW w:w="4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87"/>
              </w:rPr>
              <w:t>Fair Value</w:t>
            </w:r>
          </w:p>
        </w:tc>
        <w:tc>
          <w:tcPr>
            <w:tcW w:w="220" w:type="dxa"/>
            <w:vAlign w:val="bottom"/>
          </w:tcPr>
          <w:p>
            <w:pPr>
              <w:spacing w:after="0"/>
              <w:rPr>
                <w:sz w:val="12"/>
                <w:szCs w:val="12"/>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w w:val="74"/>
              </w:rPr>
              <w:t xml:space="preserve">(Losses) </w:t>
            </w:r>
            <w:r>
              <w:rPr>
                <w:rFonts w:ascii="Arial" w:cs="Arial" w:eastAsia="Arial" w:hAnsi="Arial"/>
                <w:sz w:val="9"/>
                <w:szCs w:val="9"/>
                <w:b w:val="1"/>
                <w:bCs w:val="1"/>
                <w:color w:val="auto"/>
                <w:w w:val="74"/>
              </w:rPr>
              <w:t>(4)</w:t>
            </w:r>
          </w:p>
        </w:tc>
        <w:tc>
          <w:tcPr>
            <w:tcW w:w="220" w:type="dxa"/>
            <w:vAlign w:val="bottom"/>
          </w:tcPr>
          <w:p>
            <w:pPr>
              <w:spacing w:after="0"/>
              <w:rPr>
                <w:sz w:val="12"/>
                <w:szCs w:val="12"/>
                <w:color w:val="auto"/>
              </w:rPr>
            </w:pPr>
          </w:p>
        </w:tc>
        <w:tc>
          <w:tcPr>
            <w:tcW w:w="8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(Depreciation)</w:t>
            </w:r>
          </w:p>
        </w:tc>
        <w:tc>
          <w:tcPr>
            <w:tcW w:w="3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88"/>
              </w:rPr>
              <w:t>Income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Income</w:t>
            </w:r>
          </w:p>
        </w:tc>
        <w:tc>
          <w:tcPr>
            <w:tcW w:w="60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Income</w:t>
            </w:r>
          </w:p>
        </w:tc>
        <w:tc>
          <w:tcPr>
            <w:tcW w:w="3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93"/>
              </w:rPr>
              <w:t>Income</w:t>
            </w:r>
          </w:p>
        </w:tc>
        <w:tc>
          <w:tcPr>
            <w:tcW w:w="0" w:type="dxa"/>
            <w:vAlign w:val="bottom"/>
          </w:tcPr>
          <w:p>
            <w:pPr>
              <w:spacing w:after="0"/>
              <w:rPr>
                <w:sz w:val="1"/>
                <w:szCs w:val="1"/>
                <w:color w:val="auto"/>
              </w:rPr>
            </w:pPr>
          </w:p>
        </w:tc>
      </w:tr>
      <w:tr>
        <w:trPr>
          <w:trHeight w:val="95"/>
        </w:trPr>
        <w:tc>
          <w:tcPr>
            <w:tcW w:w="3160" w:type="dxa"/>
            <w:vAlign w:val="bottom"/>
            <w:tcBorders>
              <w:top w:val="single" w:sz="8" w:color="CCEEFF"/>
            </w:tcBorders>
            <w:gridSpan w:val="2"/>
            <w:shd w:val="clear" w:color="auto" w:fill="CCEEFF"/>
          </w:tcPr>
          <w:p>
            <w:pPr>
              <w:spacing w:after="0" w:line="95" w:lineRule="exact"/>
              <w:rPr>
                <w:sz w:val="20"/>
                <w:szCs w:val="20"/>
                <w:color w:val="auto"/>
              </w:rPr>
            </w:pPr>
            <w:r>
              <w:rPr>
                <w:rFonts w:ascii="Arial" w:cs="Arial" w:eastAsia="Arial" w:hAnsi="Arial"/>
                <w:sz w:val="11"/>
                <w:szCs w:val="11"/>
                <w:b w:val="1"/>
                <w:bCs w:val="1"/>
                <w:color w:val="auto"/>
              </w:rPr>
              <w:t>Control Investments</w:t>
            </w:r>
          </w:p>
        </w:tc>
        <w:tc>
          <w:tcPr>
            <w:tcW w:w="6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right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right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right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160" w:type="dxa"/>
            <w:vAlign w:val="bottom"/>
            <w:gridSpan w:val="2"/>
          </w:tcPr>
          <w:p>
            <w:pPr>
              <w:spacing w:after="0" w:line="122" w:lineRule="exact"/>
              <w:rPr>
                <w:sz w:val="20"/>
                <w:szCs w:val="20"/>
                <w:color w:val="auto"/>
              </w:rPr>
            </w:pPr>
            <w:r>
              <w:rPr>
                <w:rFonts w:ascii="Arial" w:cs="Arial" w:eastAsia="Arial" w:hAnsi="Arial"/>
                <w:sz w:val="11"/>
                <w:szCs w:val="11"/>
                <w:color w:val="auto"/>
              </w:rPr>
              <w:t>FDS Avionics Corp. (dba Flight Display Systems)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4,786</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5,403</w:t>
            </w:r>
          </w:p>
        </w:tc>
        <w:tc>
          <w:tcPr>
            <w:tcW w:w="1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106</w:t>
            </w:r>
          </w:p>
        </w:tc>
        <w:tc>
          <w:tcPr>
            <w:tcW w:w="260" w:type="dxa"/>
            <w:vAlign w:val="bottom"/>
            <w:gridSpan w:val="2"/>
          </w:tcPr>
          <w:p>
            <w:pPr>
              <w:ind w:left="14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(1,271)</w:t>
            </w:r>
          </w:p>
        </w:tc>
        <w:tc>
          <w:tcPr>
            <w:tcW w:w="160" w:type="dxa"/>
            <w:vAlign w:val="bottom"/>
            <w:gridSpan w:val="2"/>
          </w:tcPr>
          <w:p>
            <w:pPr>
              <w:ind w:left="80"/>
              <w:spacing w:after="0" w:line="122" w:lineRule="exact"/>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4,238</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(1,270)</w:t>
            </w:r>
          </w:p>
        </w:tc>
        <w:tc>
          <w:tcPr>
            <w:tcW w:w="12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ind w:left="120"/>
              <w:spacing w:after="0" w:line="122" w:lineRule="exact"/>
              <w:rPr>
                <w:sz w:val="20"/>
                <w:szCs w:val="20"/>
                <w:color w:val="auto"/>
              </w:rPr>
            </w:pPr>
            <w:r>
              <w:rPr>
                <w:rFonts w:ascii="Arial" w:cs="Arial" w:eastAsia="Arial" w:hAnsi="Arial"/>
                <w:sz w:val="11"/>
                <w:szCs w:val="11"/>
                <w:color w:val="auto"/>
                <w:w w:val="81"/>
              </w:rPr>
              <w:t>73</w:t>
            </w:r>
          </w:p>
        </w:tc>
        <w:tc>
          <w:tcPr>
            <w:tcW w:w="240" w:type="dxa"/>
            <w:vAlign w:val="bottom"/>
            <w:gridSpan w:val="2"/>
          </w:tcPr>
          <w:p>
            <w:pPr>
              <w:ind w:left="160"/>
              <w:spacing w:after="0" w:line="122" w:lineRule="exact"/>
              <w:rPr>
                <w:sz w:val="20"/>
                <w:szCs w:val="20"/>
                <w:color w:val="auto"/>
              </w:rPr>
            </w:pPr>
            <w:r>
              <w:rPr>
                <w:rFonts w:ascii="Arial" w:cs="Arial" w:eastAsia="Arial" w:hAnsi="Arial"/>
                <w:sz w:val="11"/>
                <w:szCs w:val="11"/>
                <w:color w:val="auto"/>
                <w:w w:val="97"/>
              </w:rPr>
              <w:t>$</w:t>
            </w:r>
          </w:p>
        </w:tc>
        <w:tc>
          <w:tcPr>
            <w:tcW w:w="66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105</w:t>
            </w:r>
          </w:p>
        </w:tc>
        <w:tc>
          <w:tcPr>
            <w:tcW w:w="16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1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US GreenFiber, LLC</w:t>
            </w: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19,481</w:t>
            </w:r>
          </w:p>
        </w:tc>
        <w:tc>
          <w:tcPr>
            <w:tcW w:w="22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16,417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321</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(425)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16,313</w:t>
            </w:r>
          </w:p>
        </w:tc>
        <w:tc>
          <w:tcPr>
            <w:tcW w:w="2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(426)</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76"/>
              </w:rPr>
              <w:t>359</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320</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Control Investments</w:t>
            </w: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60" w:type="dxa"/>
            <w:vAlign w:val="bottom"/>
            <w:gridSpan w:val="2"/>
            <w:vMerge w:val="continue"/>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24,267</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21,820</w:t>
            </w:r>
          </w:p>
        </w:tc>
        <w:tc>
          <w:tcPr>
            <w:tcW w:w="18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427</w:t>
            </w:r>
          </w:p>
        </w:tc>
        <w:tc>
          <w:tcPr>
            <w:tcW w:w="26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(1,696)</w:t>
            </w:r>
          </w:p>
        </w:tc>
        <w:tc>
          <w:tcPr>
            <w:tcW w:w="160" w:type="dxa"/>
            <w:vAlign w:val="bottom"/>
            <w:gridSpan w:val="2"/>
          </w:tcPr>
          <w:p>
            <w:pPr>
              <w:ind w:left="80"/>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20,551</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(1,696)</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40" w:type="dxa"/>
            <w:vAlign w:val="bottom"/>
          </w:tcPr>
          <w:p>
            <w:pPr>
              <w:ind w:left="80"/>
              <w:spacing w:after="0"/>
              <w:rPr>
                <w:sz w:val="20"/>
                <w:szCs w:val="20"/>
                <w:color w:val="auto"/>
              </w:rPr>
            </w:pPr>
            <w:r>
              <w:rPr>
                <w:rFonts w:ascii="Arial" w:cs="Arial" w:eastAsia="Arial" w:hAnsi="Arial"/>
                <w:sz w:val="11"/>
                <w:szCs w:val="11"/>
                <w:color w:val="auto"/>
                <w:w w:val="76"/>
              </w:rPr>
              <w:t>432</w:t>
            </w:r>
          </w:p>
        </w:tc>
        <w:tc>
          <w:tcPr>
            <w:tcW w:w="240" w:type="dxa"/>
            <w:vAlign w:val="bottom"/>
            <w:gridSpan w:val="2"/>
          </w:tcPr>
          <w:p>
            <w:pPr>
              <w:ind w:left="160"/>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ind w:left="340"/>
              <w:spacing w:after="0"/>
              <w:rPr>
                <w:sz w:val="20"/>
                <w:szCs w:val="20"/>
                <w:color w:val="auto"/>
              </w:rPr>
            </w:pPr>
            <w:r>
              <w:rPr>
                <w:rFonts w:ascii="Arial" w:cs="Arial" w:eastAsia="Arial" w:hAnsi="Arial"/>
                <w:sz w:val="11"/>
                <w:szCs w:val="11"/>
                <w:color w:val="auto"/>
              </w:rPr>
              <w:t>425</w:t>
            </w:r>
          </w:p>
        </w:tc>
        <w:tc>
          <w:tcPr>
            <w:tcW w:w="16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60" w:type="dxa"/>
            <w:vAlign w:val="bottom"/>
            <w:gridSpan w:val="2"/>
            <w:shd w:val="clear" w:color="auto" w:fill="CCEEFF"/>
          </w:tcPr>
          <w:p>
            <w:pPr>
              <w:spacing w:after="0" w:line="116" w:lineRule="exact"/>
              <w:rPr>
                <w:sz w:val="20"/>
                <w:szCs w:val="20"/>
                <w:color w:val="auto"/>
              </w:rPr>
            </w:pPr>
            <w:r>
              <w:rPr>
                <w:rFonts w:ascii="Arial" w:cs="Arial" w:eastAsia="Arial" w:hAnsi="Arial"/>
                <w:sz w:val="11"/>
                <w:szCs w:val="11"/>
                <w:b w:val="1"/>
                <w:bCs w:val="1"/>
                <w:color w:val="auto"/>
              </w:rPr>
              <w:t>Affiliate Investments</w:t>
            </w: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60" w:type="dxa"/>
            <w:vAlign w:val="bottom"/>
            <w:gridSpan w:val="2"/>
          </w:tcPr>
          <w:p>
            <w:pPr>
              <w:spacing w:after="0" w:line="122" w:lineRule="exact"/>
              <w:rPr>
                <w:sz w:val="20"/>
                <w:szCs w:val="20"/>
                <w:color w:val="auto"/>
              </w:rPr>
            </w:pPr>
            <w:r>
              <w:rPr>
                <w:rFonts w:ascii="Arial" w:cs="Arial" w:eastAsia="Arial" w:hAnsi="Arial"/>
                <w:sz w:val="11"/>
                <w:szCs w:val="11"/>
                <w:color w:val="auto"/>
              </w:rPr>
              <w:t>FAR Research Inc.</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28</w:t>
            </w:r>
          </w:p>
        </w:tc>
        <w:tc>
          <w:tcPr>
            <w:tcW w:w="18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60" w:type="dxa"/>
            <w:vAlign w:val="bottom"/>
            <w:gridSpan w:val="2"/>
          </w:tcPr>
          <w:p>
            <w:pPr>
              <w:ind w:left="14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60" w:type="dxa"/>
            <w:vAlign w:val="bottom"/>
            <w:gridSpan w:val="2"/>
          </w:tcPr>
          <w:p>
            <w:pPr>
              <w:ind w:left="80"/>
              <w:spacing w:after="0" w:line="122" w:lineRule="exact"/>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28</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ind w:left="80"/>
              <w:spacing w:after="0" w:line="122" w:lineRule="exact"/>
              <w:rPr>
                <w:sz w:val="20"/>
                <w:szCs w:val="20"/>
                <w:color w:val="auto"/>
              </w:rPr>
            </w:pPr>
            <w:r>
              <w:rPr>
                <w:rFonts w:ascii="Arial" w:cs="Arial" w:eastAsia="Arial" w:hAnsi="Arial"/>
                <w:sz w:val="11"/>
                <w:szCs w:val="11"/>
                <w:color w:val="auto"/>
              </w:rPr>
              <w:t>—</w:t>
            </w:r>
          </w:p>
        </w:tc>
        <w:tc>
          <w:tcPr>
            <w:tcW w:w="240" w:type="dxa"/>
            <w:vAlign w:val="bottom"/>
            <w:gridSpan w:val="2"/>
          </w:tcPr>
          <w:p>
            <w:pPr>
              <w:ind w:left="160"/>
              <w:spacing w:after="0" w:line="122" w:lineRule="exact"/>
              <w:rPr>
                <w:sz w:val="20"/>
                <w:szCs w:val="20"/>
                <w:color w:val="auto"/>
              </w:rPr>
            </w:pPr>
            <w:r>
              <w:rPr>
                <w:rFonts w:ascii="Arial" w:cs="Arial" w:eastAsia="Arial" w:hAnsi="Arial"/>
                <w:sz w:val="11"/>
                <w:szCs w:val="11"/>
                <w:color w:val="auto"/>
                <w:w w:val="97"/>
              </w:rPr>
              <w:t>$</w:t>
            </w:r>
          </w:p>
        </w:tc>
        <w:tc>
          <w:tcPr>
            <w:tcW w:w="66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1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Fiber Materials, Inc.</w:t>
            </w: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10,449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9,769</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(20,218)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9,769</w:t>
            </w:r>
          </w:p>
        </w:tc>
        <w:tc>
          <w:tcPr>
            <w:tcW w:w="220" w:type="dxa"/>
            <w:vAlign w:val="bottom"/>
            <w:tcBorders>
              <w:righ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(9,804)</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160" w:type="dxa"/>
            <w:vAlign w:val="bottom"/>
            <w:gridSpan w:val="2"/>
          </w:tcPr>
          <w:p>
            <w:pPr>
              <w:spacing w:after="0" w:line="122" w:lineRule="exact"/>
              <w:rPr>
                <w:sz w:val="20"/>
                <w:szCs w:val="20"/>
                <w:color w:val="auto"/>
              </w:rPr>
            </w:pPr>
            <w:r>
              <w:rPr>
                <w:rFonts w:ascii="Arial" w:cs="Arial" w:eastAsia="Arial" w:hAnsi="Arial"/>
                <w:sz w:val="11"/>
                <w:szCs w:val="11"/>
                <w:color w:val="auto"/>
              </w:rPr>
              <w:t>Medsurant Holdings, LLC</w:t>
            </w:r>
          </w:p>
        </w:tc>
        <w:tc>
          <w:tcPr>
            <w:tcW w:w="6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8,823</w:t>
            </w:r>
          </w:p>
        </w:tc>
        <w:tc>
          <w:tcPr>
            <w:tcW w:w="22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16,980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1,718</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(6,662)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12,036</w:t>
            </w: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1,714</w:t>
            </w:r>
          </w:p>
        </w:tc>
        <w:tc>
          <w:tcPr>
            <w:tcW w:w="22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(2,018)</w:t>
            </w:r>
          </w:p>
        </w:tc>
        <w:tc>
          <w:tcPr>
            <w:tcW w:w="120" w:type="dxa"/>
            <w:vAlign w:val="bottom"/>
          </w:tcPr>
          <w:p>
            <w:pPr>
              <w:spacing w:after="0"/>
              <w:rPr>
                <w:sz w:val="10"/>
                <w:szCs w:val="10"/>
                <w:color w:val="auto"/>
              </w:rPr>
            </w:pPr>
          </w:p>
        </w:tc>
        <w:tc>
          <w:tcPr>
            <w:tcW w:w="240" w:type="dxa"/>
            <w:vAlign w:val="bottom"/>
          </w:tcPr>
          <w:p>
            <w:pPr>
              <w:ind w:left="80"/>
              <w:spacing w:after="0" w:line="122" w:lineRule="exact"/>
              <w:rPr>
                <w:sz w:val="20"/>
                <w:szCs w:val="20"/>
                <w:color w:val="auto"/>
              </w:rPr>
            </w:pPr>
            <w:r>
              <w:rPr>
                <w:rFonts w:ascii="Arial" w:cs="Arial" w:eastAsia="Arial" w:hAnsi="Arial"/>
                <w:sz w:val="11"/>
                <w:szCs w:val="11"/>
                <w:color w:val="auto"/>
                <w:w w:val="76"/>
              </w:rPr>
              <w:t>320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44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3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1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Microbiology Research Associates, Inc.</w:t>
            </w:r>
            <w:r>
              <w:rPr>
                <w:rFonts w:ascii="Arial" w:cs="Arial" w:eastAsia="Arial" w:hAnsi="Arial"/>
                <w:sz w:val="9"/>
                <w:szCs w:val="9"/>
                <w:color w:val="auto"/>
              </w:rPr>
              <w:t>(5)</w:t>
            </w: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11,611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(11,632)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(752)</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w w:val="81"/>
              </w:rPr>
              <w:t>84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11</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160" w:type="dxa"/>
            <w:vAlign w:val="bottom"/>
            <w:gridSpan w:val="2"/>
          </w:tcPr>
          <w:p>
            <w:pPr>
              <w:spacing w:after="0" w:line="122" w:lineRule="exact"/>
              <w:rPr>
                <w:sz w:val="20"/>
                <w:szCs w:val="20"/>
                <w:color w:val="auto"/>
              </w:rPr>
            </w:pPr>
            <w:r>
              <w:rPr>
                <w:rFonts w:ascii="Arial" w:cs="Arial" w:eastAsia="Arial" w:hAnsi="Arial"/>
                <w:sz w:val="11"/>
                <w:szCs w:val="11"/>
                <w:color w:val="auto"/>
              </w:rPr>
              <w:t>Mirage Trailers LLC</w:t>
            </w:r>
          </w:p>
        </w:tc>
        <w:tc>
          <w:tcPr>
            <w:tcW w:w="6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6,250</w:t>
            </w:r>
          </w:p>
        </w:tc>
        <w:tc>
          <w:tcPr>
            <w:tcW w:w="22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7,218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(1,946)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5,297</w:t>
            </w:r>
          </w:p>
        </w:tc>
        <w:tc>
          <w:tcPr>
            <w:tcW w:w="220" w:type="dxa"/>
            <w:vAlign w:val="bottom"/>
          </w:tcPr>
          <w:p>
            <w:pPr>
              <w:spacing w:after="0"/>
              <w:rPr>
                <w:sz w:val="10"/>
                <w:szCs w:val="10"/>
                <w:color w:val="auto"/>
              </w:rPr>
            </w:pPr>
          </w:p>
        </w:tc>
        <w:tc>
          <w:tcPr>
            <w:tcW w:w="4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(1,946)</w:t>
            </w:r>
          </w:p>
        </w:tc>
        <w:tc>
          <w:tcPr>
            <w:tcW w:w="120" w:type="dxa"/>
            <w:vAlign w:val="bottom"/>
          </w:tcPr>
          <w:p>
            <w:pPr>
              <w:spacing w:after="0"/>
              <w:rPr>
                <w:sz w:val="10"/>
                <w:szCs w:val="10"/>
                <w:color w:val="auto"/>
              </w:rPr>
            </w:pPr>
          </w:p>
        </w:tc>
        <w:tc>
          <w:tcPr>
            <w:tcW w:w="240" w:type="dxa"/>
            <w:vAlign w:val="bottom"/>
          </w:tcPr>
          <w:p>
            <w:pPr>
              <w:ind w:left="80"/>
              <w:spacing w:after="0" w:line="122" w:lineRule="exact"/>
              <w:rPr>
                <w:sz w:val="20"/>
                <w:szCs w:val="20"/>
                <w:color w:val="auto"/>
              </w:rPr>
            </w:pPr>
            <w:r>
              <w:rPr>
                <w:rFonts w:ascii="Arial" w:cs="Arial" w:eastAsia="Arial" w:hAnsi="Arial"/>
                <w:sz w:val="11"/>
                <w:szCs w:val="11"/>
                <w:color w:val="auto"/>
                <w:w w:val="76"/>
              </w:rPr>
              <w:t>185</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440" w:type="dxa"/>
            <w:vAlign w:val="bottom"/>
            <w:gridSpan w:val="2"/>
          </w:tcPr>
          <w:p>
            <w:pPr>
              <w:ind w:left="220"/>
              <w:spacing w:after="0" w:line="122" w:lineRule="exact"/>
              <w:rPr>
                <w:sz w:val="20"/>
                <w:szCs w:val="20"/>
                <w:color w:val="auto"/>
              </w:rPr>
            </w:pPr>
            <w:r>
              <w:rPr>
                <w:rFonts w:ascii="Arial" w:cs="Arial" w:eastAsia="Arial" w:hAnsi="Arial"/>
                <w:sz w:val="11"/>
                <w:szCs w:val="11"/>
                <w:color w:val="auto"/>
              </w:rPr>
              <w:t>1</w:t>
            </w:r>
          </w:p>
        </w:tc>
        <w:tc>
          <w:tcPr>
            <w:tcW w:w="60" w:type="dxa"/>
            <w:vAlign w:val="bottom"/>
          </w:tcPr>
          <w:p>
            <w:pPr>
              <w:spacing w:after="0"/>
              <w:rPr>
                <w:sz w:val="10"/>
                <w:szCs w:val="10"/>
                <w:color w:val="auto"/>
              </w:rPr>
            </w:pPr>
          </w:p>
        </w:tc>
        <w:tc>
          <w:tcPr>
            <w:tcW w:w="3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1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Pfanstiehl, Inc.</w:t>
            </w: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6,208</w:t>
            </w:r>
          </w:p>
        </w:tc>
        <w:tc>
          <w:tcPr>
            <w:tcW w:w="22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32,822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12,813</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(25,063)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20,572</w:t>
            </w:r>
          </w:p>
        </w:tc>
        <w:tc>
          <w:tcPr>
            <w:tcW w:w="2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12,812</w:t>
            </w:r>
          </w:p>
        </w:tc>
        <w:tc>
          <w:tcPr>
            <w:tcW w:w="220" w:type="dxa"/>
            <w:vAlign w:val="bottom"/>
            <w:tcBorders>
              <w:righ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(11,826)</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76"/>
              </w:rPr>
              <w:t>163</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106</w:t>
            </w:r>
          </w:p>
        </w:tc>
        <w:tc>
          <w:tcPr>
            <w:tcW w:w="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3160" w:type="dxa"/>
            <w:vAlign w:val="bottom"/>
            <w:gridSpan w:val="2"/>
          </w:tcPr>
          <w:p>
            <w:pPr>
              <w:spacing w:after="0" w:line="122" w:lineRule="exact"/>
              <w:rPr>
                <w:sz w:val="20"/>
                <w:szCs w:val="20"/>
                <w:color w:val="auto"/>
              </w:rPr>
            </w:pPr>
            <w:r>
              <w:rPr>
                <w:rFonts w:ascii="Arial" w:cs="Arial" w:eastAsia="Arial" w:hAnsi="Arial"/>
                <w:sz w:val="11"/>
                <w:szCs w:val="11"/>
                <w:color w:val="auto"/>
              </w:rPr>
              <w:t>Pinnergy, Ltd.</w:t>
            </w:r>
          </w:p>
        </w:tc>
        <w:tc>
          <w:tcPr>
            <w:tcW w:w="6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32,978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(13,191)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19,787</w:t>
            </w:r>
          </w:p>
        </w:tc>
        <w:tc>
          <w:tcPr>
            <w:tcW w:w="220" w:type="dxa"/>
            <w:vAlign w:val="bottom"/>
          </w:tcPr>
          <w:p>
            <w:pPr>
              <w:spacing w:after="0"/>
              <w:rPr>
                <w:sz w:val="10"/>
                <w:szCs w:val="10"/>
                <w:color w:val="auto"/>
              </w:rPr>
            </w:pPr>
          </w:p>
        </w:tc>
        <w:tc>
          <w:tcPr>
            <w:tcW w:w="46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(13,192)</w:t>
            </w:r>
          </w:p>
        </w:tc>
        <w:tc>
          <w:tcPr>
            <w:tcW w:w="120" w:type="dxa"/>
            <w:vAlign w:val="bottom"/>
          </w:tcPr>
          <w:p>
            <w:pPr>
              <w:spacing w:after="0"/>
              <w:rPr>
                <w:sz w:val="10"/>
                <w:szCs w:val="10"/>
                <w:color w:val="auto"/>
              </w:rPr>
            </w:pPr>
          </w:p>
        </w:tc>
        <w:tc>
          <w:tcPr>
            <w:tcW w:w="240" w:type="dxa"/>
            <w:vAlign w:val="bottom"/>
          </w:tcPr>
          <w:p>
            <w:pPr>
              <w:ind w:left="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44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3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1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Steward Holding LLC (dba Steward Advanced Materials)</w:t>
            </w: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7,696</w:t>
            </w:r>
          </w:p>
        </w:tc>
        <w:tc>
          <w:tcPr>
            <w:tcW w:w="220" w:type="dxa"/>
            <w:vAlign w:val="bottom"/>
            <w:tcBorders>
              <w:right w:val="single" w:sz="8" w:color="CCEEFF"/>
            </w:tcBorders>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9,469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315</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9,784</w:t>
            </w:r>
          </w:p>
        </w:tc>
        <w:tc>
          <w:tcPr>
            <w:tcW w:w="22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ind w:left="440"/>
              <w:spacing w:after="0" w:line="122" w:lineRule="exact"/>
              <w:rPr>
                <w:sz w:val="20"/>
                <w:szCs w:val="20"/>
                <w:color w:val="auto"/>
              </w:rPr>
            </w:pPr>
            <w:r>
              <w:rPr>
                <w:rFonts w:ascii="Arial" w:cs="Arial" w:eastAsia="Arial" w:hAnsi="Arial"/>
                <w:sz w:val="11"/>
                <w:szCs w:val="11"/>
                <w:color w:val="auto"/>
                <w:w w:val="76"/>
              </w:rPr>
              <w:t>285</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76"/>
              </w:rPr>
              <w:t>231</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29</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Affiliate Investments</w:t>
            </w: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60" w:type="dxa"/>
            <w:vAlign w:val="bottom"/>
            <w:gridSpan w:val="2"/>
            <w:vMerge w:val="continue"/>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28,977</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121,555</w:t>
            </w:r>
          </w:p>
        </w:tc>
        <w:tc>
          <w:tcPr>
            <w:tcW w:w="18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24,661</w:t>
            </w:r>
          </w:p>
        </w:tc>
        <w:tc>
          <w:tcPr>
            <w:tcW w:w="26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(78,712)</w:t>
            </w:r>
          </w:p>
        </w:tc>
        <w:tc>
          <w:tcPr>
            <w:tcW w:w="160" w:type="dxa"/>
            <w:vAlign w:val="bottom"/>
            <w:gridSpan w:val="2"/>
          </w:tcPr>
          <w:p>
            <w:pPr>
              <w:ind w:left="80"/>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67,504</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24,295</w:t>
            </w: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(39,253)</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40" w:type="dxa"/>
            <w:vAlign w:val="bottom"/>
          </w:tcPr>
          <w:p>
            <w:pPr>
              <w:ind w:left="80"/>
              <w:spacing w:after="0"/>
              <w:rPr>
                <w:sz w:val="20"/>
                <w:szCs w:val="20"/>
                <w:color w:val="auto"/>
              </w:rPr>
            </w:pPr>
            <w:r>
              <w:rPr>
                <w:rFonts w:ascii="Arial" w:cs="Arial" w:eastAsia="Arial" w:hAnsi="Arial"/>
                <w:sz w:val="11"/>
                <w:szCs w:val="11"/>
                <w:color w:val="auto"/>
                <w:w w:val="76"/>
              </w:rPr>
              <w:t>983</w:t>
            </w:r>
          </w:p>
        </w:tc>
        <w:tc>
          <w:tcPr>
            <w:tcW w:w="240" w:type="dxa"/>
            <w:vAlign w:val="bottom"/>
            <w:gridSpan w:val="2"/>
          </w:tcPr>
          <w:p>
            <w:pPr>
              <w:ind w:left="160"/>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ind w:left="400"/>
              <w:spacing w:after="0"/>
              <w:rPr>
                <w:sz w:val="20"/>
                <w:szCs w:val="20"/>
                <w:color w:val="auto"/>
              </w:rPr>
            </w:pPr>
            <w:r>
              <w:rPr>
                <w:rFonts w:ascii="Arial" w:cs="Arial" w:eastAsia="Arial" w:hAnsi="Arial"/>
                <w:sz w:val="11"/>
                <w:szCs w:val="11"/>
                <w:color w:val="auto"/>
              </w:rPr>
              <w:t>40</w:t>
            </w:r>
          </w:p>
        </w:tc>
        <w:tc>
          <w:tcPr>
            <w:tcW w:w="16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20"/>
              <w:spacing w:after="0"/>
              <w:rPr>
                <w:sz w:val="20"/>
                <w:szCs w:val="20"/>
                <w:color w:val="auto"/>
              </w:rPr>
            </w:pPr>
            <w:r>
              <w:rPr>
                <w:rFonts w:ascii="Arial" w:cs="Arial" w:eastAsia="Arial" w:hAnsi="Arial"/>
                <w:sz w:val="11"/>
                <w:szCs w:val="11"/>
                <w:color w:val="auto"/>
              </w:rPr>
              <w:t>107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120" w:hanging="424"/>
        <w:spacing w:after="0" w:line="25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investment type, industry, ownership detail for equity investments, and if the investment is income producing is disclosed in the consolidated schedule of investments.</w:t>
      </w:r>
    </w:p>
    <w:p>
      <w:pPr>
        <w:spacing w:after="0" w:line="1" w:lineRule="exact"/>
        <w:rPr>
          <w:rFonts w:ascii="Arial" w:cs="Arial" w:eastAsia="Arial" w:hAnsi="Arial"/>
          <w:sz w:val="18"/>
          <w:szCs w:val="18"/>
          <w:color w:val="auto"/>
        </w:rPr>
      </w:pPr>
    </w:p>
    <w:p>
      <w:pPr>
        <w:ind w:left="540" w:right="220" w:hanging="424"/>
        <w:spacing w:after="0" w:line="28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1" w:lineRule="exact"/>
        <w:rPr>
          <w:rFonts w:ascii="Arial" w:cs="Arial" w:eastAsia="Arial" w:hAnsi="Arial"/>
          <w:sz w:val="16"/>
          <w:szCs w:val="16"/>
          <w:color w:val="auto"/>
        </w:rPr>
      </w:pPr>
    </w:p>
    <w:p>
      <w:pPr>
        <w:ind w:left="540" w:right="14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or sales and net unrealized (depreciation) recognized during the period. Gross reductions also include include transfers of portfolio companies out of the control or affiliate classification during the period, as applicable.</w:t>
      </w:r>
    </w:p>
    <w:p>
      <w:pPr>
        <w:spacing w:after="0" w:line="1" w:lineRule="exact"/>
        <w:rPr>
          <w:rFonts w:ascii="Arial" w:cs="Arial" w:eastAsia="Arial" w:hAnsi="Arial"/>
          <w:sz w:val="18"/>
          <w:szCs w:val="18"/>
          <w:color w:val="auto"/>
        </w:rPr>
      </w:pPr>
    </w:p>
    <w:p>
      <w:pPr>
        <w:ind w:left="540" w:right="30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 w:lineRule="exact"/>
        <w:rPr>
          <w:rFonts w:ascii="Arial" w:cs="Arial" w:eastAsia="Arial" w:hAnsi="Arial"/>
          <w:sz w:val="18"/>
          <w:szCs w:val="18"/>
          <w:color w:val="auto"/>
        </w:rPr>
      </w:pPr>
    </w:p>
    <w:p>
      <w:pPr>
        <w:ind w:left="540" w:right="140" w:hanging="424"/>
        <w:spacing w:after="0" w:line="26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Portfolio company was transferred to Non-control/Non-affiliate investments from Affiliate investments during the three months ended March 31,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as of the measurement date.</w:t>
      </w:r>
    </w:p>
    <w:p>
      <w:pPr>
        <w:spacing w:after="0" w:line="225"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in active markets, or that are quoted prices for identical or similar assets in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active and inputs that are observable, either directly or indirectly, for substantially the full term, if applicable, of the investment.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ectPr>
          <w:pgSz w:w="11900" w:h="16838" w:orient="portrait"/>
          <w:cols w:equalWidth="0" w:num="1">
            <w:col w:w="11140"/>
          </w:cols>
          <w:pgMar w:left="320" w:top="459" w:right="439" w:bottom="65" w:gutter="0" w:footer="0" w:header="0"/>
        </w:sectPr>
      </w:pPr>
    </w:p>
    <w:bookmarkStart w:id="26" w:name="page27"/>
    <w:bookmarkEnd w:id="26"/>
    <w:p>
      <w:pPr>
        <w:ind w:firstLine="440"/>
        <w:spacing w:after="0" w:line="301" w:lineRule="auto"/>
        <w:rPr>
          <w:sz w:val="20"/>
          <w:szCs w:val="20"/>
          <w:color w:val="auto"/>
        </w:rPr>
      </w:pPr>
      <w:r>
        <w:rPr>
          <w:rFonts w:ascii="Arial" w:cs="Arial" w:eastAsia="Arial" w:hAnsi="Arial"/>
          <w:sz w:val="16"/>
          <w:szCs w:val="16"/>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40" w:top="125" w:right="5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88"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76" w:lineRule="exact"/>
        <w:rPr>
          <w:sz w:val="20"/>
          <w:szCs w:val="20"/>
          <w:color w:val="auto"/>
        </w:rPr>
      </w:pPr>
    </w:p>
    <w:p>
      <w:pPr>
        <w:ind w:left="1080" w:right="34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the Investment Advisor;</w:t>
      </w:r>
    </w:p>
    <w:p>
      <w:pPr>
        <w:spacing w:after="0" w:line="142" w:lineRule="exact"/>
        <w:rPr>
          <w:rFonts w:ascii="Arial" w:cs="Arial" w:eastAsia="Arial" w:hAnsi="Arial"/>
          <w:sz w:val="17"/>
          <w:szCs w:val="17"/>
          <w:color w:val="auto"/>
        </w:rPr>
      </w:pPr>
    </w:p>
    <w:p>
      <w:pPr>
        <w:ind w:left="1080" w:right="20" w:hanging="532"/>
        <w:spacing w:after="0" w:line="272"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p>
      <w:pPr>
        <w:spacing w:after="0" w:line="82" w:lineRule="exact"/>
        <w:rPr>
          <w:rFonts w:ascii="Arial" w:cs="Arial" w:eastAsia="Arial" w:hAnsi="Arial"/>
          <w:sz w:val="17"/>
          <w:szCs w:val="17"/>
          <w:color w:val="auto"/>
        </w:rPr>
      </w:pPr>
    </w:p>
    <w:p>
      <w:pPr>
        <w:ind w:left="1080" w:right="24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9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8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ectPr>
          <w:pgSz w:w="11900" w:h="16838" w:orient="portrait"/>
          <w:cols w:equalWidth="0" w:num="1">
            <w:col w:w="11120"/>
          </w:cols>
          <w:pgMar w:left="320" w:top="459" w:right="459" w:bottom="1440" w:gutter="0" w:footer="0" w:header="0"/>
        </w:sectPr>
      </w:pP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20"/>
          </w:cols>
          <w:pgMar w:left="320" w:top="459"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460" w:firstLine="440"/>
        <w:spacing w:after="0" w:line="272" w:lineRule="auto"/>
        <w:rPr>
          <w:sz w:val="20"/>
          <w:szCs w:val="20"/>
          <w:color w:val="auto"/>
        </w:rPr>
      </w:pPr>
      <w:r>
        <w:rPr>
          <w:rFonts w:ascii="Arial" w:cs="Arial" w:eastAsia="Arial" w:hAnsi="Arial"/>
          <w:sz w:val="17"/>
          <w:szCs w:val="17"/>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7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64"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fair value of the Company’s royalty rights are calculated based on projected future cash flows and the specific provisions contained in the pertinent agreements. The determination of the fair value of such royalty rights is not a significant component of the Company’s valuation process.</w:t>
      </w:r>
    </w:p>
    <w:p>
      <w:pPr>
        <w:spacing w:after="0" w:line="12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three months ended March 31, 2020 and 2019.</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three months ended March 31, 2020 and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Second Lien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Subordinated</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4"/>
                <w:szCs w:val="14"/>
                <w:color w:val="auto"/>
              </w:rPr>
            </w:pPr>
          </w:p>
        </w:tc>
        <w:tc>
          <w:tcPr>
            <w:tcW w:w="7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0"/>
              </w:rPr>
              <w:t>Royalty</w:t>
            </w:r>
          </w:p>
        </w:tc>
        <w:tc>
          <w:tcPr>
            <w:tcW w:w="24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Debt</w:t>
            </w:r>
          </w:p>
        </w:tc>
        <w:tc>
          <w:tcPr>
            <w:tcW w:w="18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Rights</w:t>
            </w:r>
          </w:p>
        </w:tc>
        <w:tc>
          <w:tcPr>
            <w:tcW w:w="2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2018</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366,517</w:t>
            </w: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104,225</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51,790</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106,707</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13,743</w:t>
            </w: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$642,982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Net realized gains (losses) on investments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(1,214)</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1,144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7,987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(2,657)</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3,545</w:t>
            </w: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Purchase of investments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14,630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46,243</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16,250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3,350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80,473</w:t>
            </w: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sales and repayments of investments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(19,419)</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(26,663)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(57,352)</w:t>
            </w:r>
          </w:p>
        </w:tc>
        <w:tc>
          <w:tcPr>
            <w:tcW w:w="0" w:type="dxa"/>
            <w:vAlign w:val="bottom"/>
          </w:tcPr>
          <w:p>
            <w:pPr>
              <w:spacing w:after="0"/>
              <w:rPr>
                <w:sz w:val="1"/>
                <w:szCs w:val="1"/>
                <w:color w:val="auto"/>
              </w:rPr>
            </w:pPr>
          </w:p>
        </w:tc>
      </w:tr>
      <w:tr>
        <w:trPr>
          <w:trHeight w:val="149"/>
        </w:trPr>
        <w:tc>
          <w:tcPr>
            <w:tcW w:w="4840" w:type="dxa"/>
            <w:vAlign w:val="bottom"/>
          </w:tcPr>
          <w:p>
            <w:pPr>
              <w:spacing w:after="0" w:line="149" w:lineRule="exact"/>
              <w:rPr>
                <w:sz w:val="20"/>
                <w:szCs w:val="20"/>
                <w:color w:val="auto"/>
              </w:rPr>
            </w:pPr>
            <w:r>
              <w:rPr>
                <w:rFonts w:ascii="Arial" w:cs="Arial" w:eastAsia="Arial" w:hAnsi="Arial"/>
                <w:sz w:val="14"/>
                <w:szCs w:val="14"/>
                <w:color w:val="auto"/>
              </w:rPr>
              <w:t>Interest and dividend income paid-in-kind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2,083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511</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2,630</w:t>
            </w: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loan origination fees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(88)</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Accretion of loan origination fees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163</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119</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of original issue discount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5"/>
        </w:trPr>
        <w:tc>
          <w:tcPr>
            <w:tcW w:w="48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March 31, 2019</w:t>
            </w: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362,680</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125,252</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55,511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115,952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11,086</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670,481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December 31, 2019</w:t>
            </w:r>
          </w:p>
        </w:tc>
        <w:tc>
          <w:tcPr>
            <w:tcW w:w="1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383,077</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140,843</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98"/>
              </w:rPr>
              <w:t>108,327</w:t>
            </w: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90"/>
              </w:rPr>
              <w:t>126,564</w:t>
            </w:r>
          </w:p>
        </w:tc>
        <w:tc>
          <w:tcPr>
            <w:tcW w:w="26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8,108</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$766,919</w:t>
            </w: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Net realized gains (losses) on investments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29,419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1,862</w:t>
            </w: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31,377</w:t>
            </w: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(18,819)</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(49,529)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(2,319)</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(74,590)</w:t>
            </w: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Purchase of investments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2,000</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45,940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68,192</w:t>
            </w: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sales and repayments of investments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(11,706)</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(1,567)</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(41,982)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(4,491)</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(73,772)</w:t>
            </w:r>
          </w:p>
        </w:tc>
        <w:tc>
          <w:tcPr>
            <w:tcW w:w="0" w:type="dxa"/>
            <w:vAlign w:val="bottom"/>
          </w:tcPr>
          <w:p>
            <w:pPr>
              <w:spacing w:after="0"/>
              <w:rPr>
                <w:sz w:val="1"/>
                <w:szCs w:val="1"/>
                <w:color w:val="auto"/>
              </w:rPr>
            </w:pPr>
          </w:p>
        </w:tc>
      </w:tr>
      <w:tr>
        <w:trPr>
          <w:trHeight w:val="149"/>
        </w:trPr>
        <w:tc>
          <w:tcPr>
            <w:tcW w:w="4840" w:type="dxa"/>
            <w:vAlign w:val="bottom"/>
          </w:tcPr>
          <w:p>
            <w:pPr>
              <w:spacing w:after="0" w:line="149" w:lineRule="exact"/>
              <w:rPr>
                <w:sz w:val="20"/>
                <w:szCs w:val="20"/>
                <w:color w:val="auto"/>
              </w:rPr>
            </w:pPr>
            <w:r>
              <w:rPr>
                <w:rFonts w:ascii="Arial" w:cs="Arial" w:eastAsia="Arial" w:hAnsi="Arial"/>
                <w:sz w:val="14"/>
                <w:szCs w:val="14"/>
                <w:color w:val="auto"/>
              </w:rPr>
              <w:t>Interest and dividend income paid-in-kind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137</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loan origination fees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(158)</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48"/>
        </w:trPr>
        <w:tc>
          <w:tcPr>
            <w:tcW w:w="4840" w:type="dxa"/>
            <w:vAlign w:val="bottom"/>
          </w:tcPr>
          <w:p>
            <w:pPr>
              <w:spacing w:after="0" w:line="149" w:lineRule="exact"/>
              <w:rPr>
                <w:sz w:val="20"/>
                <w:szCs w:val="20"/>
                <w:color w:val="auto"/>
              </w:rPr>
            </w:pPr>
            <w:r>
              <w:rPr>
                <w:rFonts w:ascii="Arial" w:cs="Arial" w:eastAsia="Arial" w:hAnsi="Arial"/>
                <w:sz w:val="14"/>
                <w:szCs w:val="14"/>
                <w:color w:val="auto"/>
              </w:rPr>
              <w:t>Accretion of loan origination fees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of original issue discount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55"/>
        </w:trPr>
        <w:tc>
          <w:tcPr>
            <w:tcW w:w="48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March 31, 2020</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373,560</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140,188</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137,307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64,725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3,160</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718,940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Net change in unrealized (depreciation) of $(73,964) for the three months ended March 31, 2020 was attributable to Level 3 investments held at March 31, 2020. Net change in unrealized appreciation of $1,538 for the three months ended March 31, 2019 was attributable to Level 3 investments held at March 31, 2019.</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following tables summarize the significant unobservable inputs by valuation technique used to determine the fair value of the Company’s Level 3 debt and equity investments as of March 31, 2020 and December 31, 2019. The tables are not intended to be all-inclusive, but instead capture the significant unobservable inputs relevant to the Company’s determination of fair values.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Fair Value at</w:t>
            </w:r>
          </w:p>
        </w:tc>
        <w:tc>
          <w:tcPr>
            <w:tcW w:w="14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20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2"/>
              </w:rPr>
              <w:t>Unobservable</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480"/>
              <w:spacing w:after="0"/>
              <w:rPr>
                <w:sz w:val="20"/>
                <w:szCs w:val="20"/>
                <w:color w:val="auto"/>
              </w:rPr>
            </w:pPr>
            <w:r>
              <w:rPr>
                <w:rFonts w:ascii="Arial" w:cs="Arial" w:eastAsia="Arial" w:hAnsi="Arial"/>
                <w:sz w:val="14"/>
                <w:szCs w:val="14"/>
                <w:b w:val="1"/>
                <w:bCs w:val="1"/>
                <w:color w:val="auto"/>
              </w:rPr>
              <w:t>Range</w:t>
            </w:r>
          </w:p>
        </w:tc>
      </w:tr>
      <w:tr>
        <w:trPr>
          <w:trHeight w:val="185"/>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2020</w:t>
            </w:r>
          </w:p>
        </w:tc>
        <w:tc>
          <w:tcPr>
            <w:tcW w:w="1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7"/>
              </w:rPr>
              <w:t>Techniques</w:t>
            </w:r>
          </w:p>
        </w:tc>
        <w:tc>
          <w:tcPr>
            <w:tcW w:w="20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(weighted average)</w:t>
            </w:r>
            <w:r>
              <w:rPr>
                <w:rFonts w:ascii="Arial" w:cs="Arial" w:eastAsia="Arial" w:hAnsi="Arial"/>
                <w:sz w:val="12"/>
                <w:szCs w:val="12"/>
                <w:b w:val="1"/>
                <w:bCs w:val="1"/>
                <w:color w:val="auto"/>
              </w:rPr>
              <w:t>(1)</w:t>
            </w:r>
          </w:p>
        </w:tc>
      </w:tr>
      <w:tr>
        <w:trPr>
          <w:trHeight w:val="196"/>
        </w:trPr>
        <w:tc>
          <w:tcPr>
            <w:tcW w:w="2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6"/>
        </w:trPr>
        <w:tc>
          <w:tcPr>
            <w:tcW w:w="2460" w:type="dxa"/>
            <w:vAlign w:val="bottom"/>
          </w:tcPr>
          <w:p>
            <w:pPr>
              <w:ind w:left="180"/>
              <w:spacing w:after="0"/>
              <w:rPr>
                <w:sz w:val="20"/>
                <w:szCs w:val="20"/>
                <w:color w:val="auto"/>
              </w:rPr>
            </w:pPr>
            <w:r>
              <w:rPr>
                <w:rFonts w:ascii="Arial" w:cs="Arial" w:eastAsia="Arial" w:hAnsi="Arial"/>
                <w:sz w:val="18"/>
                <w:szCs w:val="18"/>
                <w:color w:val="auto"/>
              </w:rPr>
              <w:t>Second Lien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349,968</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Discounted cash flow</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Weighted average cost of capital</w:t>
            </w:r>
          </w:p>
        </w:tc>
        <w:tc>
          <w:tcPr>
            <w:tcW w:w="2220" w:type="dxa"/>
            <w:vAlign w:val="bottom"/>
            <w:gridSpan w:val="3"/>
          </w:tcPr>
          <w:p>
            <w:pPr>
              <w:ind w:left="200"/>
              <w:spacing w:after="0"/>
              <w:rPr>
                <w:sz w:val="20"/>
                <w:szCs w:val="20"/>
                <w:color w:val="auto"/>
              </w:rPr>
            </w:pPr>
            <w:r>
              <w:rPr>
                <w:rFonts w:ascii="Arial" w:cs="Arial" w:eastAsia="Arial" w:hAnsi="Arial"/>
                <w:sz w:val="18"/>
                <w:szCs w:val="18"/>
                <w:color w:val="auto"/>
              </w:rPr>
              <w:t>9.6% - 16.5% (12.4%)</w:t>
            </w:r>
          </w:p>
        </w:tc>
      </w:tr>
      <w:tr>
        <w:trPr>
          <w:trHeight w:val="216"/>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21,609</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Enterprise value</w:t>
            </w: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4.0x</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- 6.0x (5.5x)</w:t>
            </w:r>
          </w:p>
        </w:tc>
      </w:tr>
      <w:tr>
        <w:trPr>
          <w:trHeight w:val="230"/>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1,983</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Enterprise value</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Asset Coverage</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93"/>
              </w:rPr>
              <w:t>1.3x</w:t>
            </w:r>
          </w:p>
        </w:tc>
        <w:tc>
          <w:tcPr>
            <w:tcW w:w="1680" w:type="dxa"/>
            <w:vAlign w:val="bottom"/>
          </w:tcPr>
          <w:p>
            <w:pPr>
              <w:ind w:left="20"/>
              <w:spacing w:after="0"/>
              <w:rPr>
                <w:sz w:val="20"/>
                <w:szCs w:val="20"/>
                <w:color w:val="auto"/>
              </w:rPr>
            </w:pPr>
            <w:r>
              <w:rPr>
                <w:rFonts w:ascii="Arial" w:cs="Arial" w:eastAsia="Arial" w:hAnsi="Arial"/>
                <w:sz w:val="18"/>
                <w:szCs w:val="18"/>
                <w:color w:val="auto"/>
              </w:rPr>
              <w:t>- 1.3x (1.3x)</w:t>
            </w:r>
          </w:p>
        </w:tc>
      </w:tr>
      <w:tr>
        <w:trPr>
          <w:trHeight w:val="94"/>
        </w:trPr>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20" w:type="dxa"/>
            <w:vAlign w:val="bottom"/>
            <w:gridSpan w:val="2"/>
          </w:tcPr>
          <w:p>
            <w:pPr>
              <w:spacing w:after="0"/>
              <w:rPr>
                <w:sz w:val="8"/>
                <w:szCs w:val="8"/>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140,188</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Discounted cash flow</w:t>
            </w: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 average cost of capital</w:t>
            </w:r>
          </w:p>
        </w:tc>
        <w:tc>
          <w:tcPr>
            <w:tcW w:w="2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10.9% - 13.1% (11.9%)</w:t>
            </w:r>
          </w:p>
        </w:tc>
      </w:tr>
      <w:tr>
        <w:trPr>
          <w:trHeight w:val="324"/>
        </w:trPr>
        <w:tc>
          <w:tcPr>
            <w:tcW w:w="2460" w:type="dxa"/>
            <w:vAlign w:val="bottom"/>
          </w:tcPr>
          <w:p>
            <w:pPr>
              <w:ind w:left="180"/>
              <w:spacing w:after="0"/>
              <w:rPr>
                <w:sz w:val="20"/>
                <w:szCs w:val="20"/>
                <w:color w:val="auto"/>
              </w:rPr>
            </w:pPr>
            <w:r>
              <w:rPr>
                <w:rFonts w:ascii="Arial" w:cs="Arial" w:eastAsia="Arial" w:hAnsi="Arial"/>
                <w:sz w:val="18"/>
                <w:szCs w:val="18"/>
                <w:color w:val="auto"/>
              </w:rPr>
              <w:t>First Lien Debt</w:t>
            </w:r>
          </w:p>
        </w:tc>
        <w:tc>
          <w:tcPr>
            <w:tcW w:w="1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126,157</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Discounted cash flow</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Weighted average cost of capital</w:t>
            </w:r>
          </w:p>
        </w:tc>
        <w:tc>
          <w:tcPr>
            <w:tcW w:w="2220" w:type="dxa"/>
            <w:vAlign w:val="bottom"/>
            <w:gridSpan w:val="3"/>
          </w:tcPr>
          <w:p>
            <w:pPr>
              <w:ind w:left="200"/>
              <w:spacing w:after="0"/>
              <w:rPr>
                <w:sz w:val="20"/>
                <w:szCs w:val="20"/>
                <w:color w:val="auto"/>
              </w:rPr>
            </w:pPr>
            <w:r>
              <w:rPr>
                <w:rFonts w:ascii="Arial" w:cs="Arial" w:eastAsia="Arial" w:hAnsi="Arial"/>
                <w:sz w:val="18"/>
                <w:szCs w:val="18"/>
                <w:color w:val="auto"/>
              </w:rPr>
              <w:t>7.6% - 15.1% (11.8%)</w:t>
            </w:r>
          </w:p>
        </w:tc>
      </w:tr>
      <w:tr>
        <w:trPr>
          <w:trHeight w:val="216"/>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7,165</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Enterprise value</w:t>
            </w: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 multiples</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4.4x</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- 4.4x (4.4x)</w:t>
            </w:r>
          </w:p>
        </w:tc>
      </w:tr>
      <w:tr>
        <w:trPr>
          <w:trHeight w:val="230"/>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3,985</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Enterprise value</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93"/>
              </w:rPr>
              <w:t>4.0x</w:t>
            </w:r>
          </w:p>
        </w:tc>
        <w:tc>
          <w:tcPr>
            <w:tcW w:w="1680" w:type="dxa"/>
            <w:vAlign w:val="bottom"/>
          </w:tcPr>
          <w:p>
            <w:pPr>
              <w:ind w:left="20"/>
              <w:spacing w:after="0"/>
              <w:rPr>
                <w:sz w:val="20"/>
                <w:szCs w:val="20"/>
                <w:color w:val="auto"/>
              </w:rPr>
            </w:pPr>
            <w:r>
              <w:rPr>
                <w:rFonts w:ascii="Arial" w:cs="Arial" w:eastAsia="Arial" w:hAnsi="Arial"/>
                <w:sz w:val="18"/>
                <w:szCs w:val="18"/>
                <w:color w:val="auto"/>
              </w:rPr>
              <w:t>- 4.0x (4.0x)</w:t>
            </w:r>
          </w:p>
        </w:tc>
      </w:tr>
      <w:tr>
        <w:trPr>
          <w:trHeight w:val="94"/>
        </w:trPr>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tcPr>
          <w:p>
            <w:pPr>
              <w:spacing w:after="0"/>
              <w:rPr>
                <w:sz w:val="8"/>
                <w:szCs w:val="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460" w:type="dxa"/>
            <w:vAlign w:val="bottom"/>
          </w:tcPr>
          <w:p>
            <w:pPr>
              <w:ind w:left="18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64,465</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Enterprise value</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93"/>
              </w:rPr>
              <w:t>2.7x</w:t>
            </w:r>
          </w:p>
        </w:tc>
        <w:tc>
          <w:tcPr>
            <w:tcW w:w="1680" w:type="dxa"/>
            <w:vAlign w:val="bottom"/>
          </w:tcPr>
          <w:p>
            <w:pPr>
              <w:ind w:left="20"/>
              <w:spacing w:after="0"/>
              <w:rPr>
                <w:sz w:val="20"/>
                <w:szCs w:val="20"/>
                <w:color w:val="auto"/>
              </w:rPr>
            </w:pPr>
            <w:r>
              <w:rPr>
                <w:rFonts w:ascii="Arial" w:cs="Arial" w:eastAsia="Arial" w:hAnsi="Arial"/>
                <w:sz w:val="18"/>
                <w:szCs w:val="18"/>
                <w:color w:val="auto"/>
              </w:rPr>
              <w:t>- 14.0x (6.6x)</w:t>
            </w:r>
          </w:p>
        </w:tc>
      </w:tr>
      <w:tr>
        <w:trPr>
          <w:trHeight w:val="216"/>
        </w:trPr>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Enterprise value</w:t>
            </w: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 multiples</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1.1x</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- 4.4x (4.4x)</w:t>
            </w:r>
          </w:p>
        </w:tc>
      </w:tr>
      <w:tr>
        <w:trPr>
          <w:trHeight w:val="324"/>
        </w:trPr>
        <w:tc>
          <w:tcPr>
            <w:tcW w:w="246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3,160</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Enterprise value</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93"/>
              </w:rPr>
              <w:t>4.0x</w:t>
            </w:r>
          </w:p>
        </w:tc>
        <w:tc>
          <w:tcPr>
            <w:tcW w:w="1680" w:type="dxa"/>
            <w:vAlign w:val="bottom"/>
          </w:tcPr>
          <w:p>
            <w:pPr>
              <w:ind w:left="20"/>
              <w:spacing w:after="0"/>
              <w:rPr>
                <w:sz w:val="20"/>
                <w:szCs w:val="20"/>
                <w:color w:val="auto"/>
              </w:rPr>
            </w:pPr>
            <w:r>
              <w:rPr>
                <w:rFonts w:ascii="Arial" w:cs="Arial" w:eastAsia="Arial" w:hAnsi="Arial"/>
                <w:sz w:val="18"/>
                <w:szCs w:val="18"/>
                <w:color w:val="auto"/>
              </w:rPr>
              <w:t>- 6.0x (5.7x)</w:t>
            </w:r>
          </w:p>
        </w:tc>
      </w:tr>
    </w:tbl>
    <w:p>
      <w:pPr>
        <w:spacing w:after="0" w:line="202" w:lineRule="exact"/>
        <w:rPr>
          <w:sz w:val="20"/>
          <w:szCs w:val="20"/>
          <w:color w:val="auto"/>
        </w:rPr>
      </w:pPr>
    </w:p>
    <w:p>
      <w:pPr>
        <w:ind w:left="560" w:hanging="444"/>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Unobservable inputs were weighted by the relative fair value of the instruments.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20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2"/>
              </w:rPr>
              <w:t>Unobservable</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480"/>
              <w:spacing w:after="0"/>
              <w:rPr>
                <w:sz w:val="20"/>
                <w:szCs w:val="20"/>
                <w:color w:val="auto"/>
              </w:rPr>
            </w:pPr>
            <w:r>
              <w:rPr>
                <w:rFonts w:ascii="Arial" w:cs="Arial" w:eastAsia="Arial" w:hAnsi="Arial"/>
                <w:sz w:val="14"/>
                <w:szCs w:val="14"/>
                <w:b w:val="1"/>
                <w:bCs w:val="1"/>
                <w:color w:val="auto"/>
              </w:rPr>
              <w:t>Range</w:t>
            </w:r>
          </w:p>
        </w:tc>
      </w:tr>
      <w:tr>
        <w:trPr>
          <w:trHeight w:val="185"/>
        </w:trPr>
        <w:tc>
          <w:tcPr>
            <w:tcW w:w="246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2019</w:t>
            </w:r>
          </w:p>
        </w:tc>
        <w:tc>
          <w:tcPr>
            <w:tcW w:w="1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7"/>
              </w:rPr>
              <w:t>Techniques</w:t>
            </w:r>
          </w:p>
        </w:tc>
        <w:tc>
          <w:tcPr>
            <w:tcW w:w="20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(weighted average)</w:t>
            </w:r>
            <w:r>
              <w:rPr>
                <w:rFonts w:ascii="Arial" w:cs="Arial" w:eastAsia="Arial" w:hAnsi="Arial"/>
                <w:sz w:val="12"/>
                <w:szCs w:val="12"/>
                <w:b w:val="1"/>
                <w:bCs w:val="1"/>
                <w:color w:val="auto"/>
              </w:rPr>
              <w:t>(1)</w:t>
            </w:r>
          </w:p>
        </w:tc>
      </w:tr>
      <w:tr>
        <w:trPr>
          <w:trHeight w:val="196"/>
        </w:trPr>
        <w:tc>
          <w:tcPr>
            <w:tcW w:w="2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6"/>
        </w:trPr>
        <w:tc>
          <w:tcPr>
            <w:tcW w:w="2460" w:type="dxa"/>
            <w:vAlign w:val="bottom"/>
          </w:tcPr>
          <w:p>
            <w:pPr>
              <w:ind w:left="180"/>
              <w:spacing w:after="0"/>
              <w:rPr>
                <w:sz w:val="20"/>
                <w:szCs w:val="20"/>
                <w:color w:val="auto"/>
              </w:rPr>
            </w:pPr>
            <w:r>
              <w:rPr>
                <w:rFonts w:ascii="Arial" w:cs="Arial" w:eastAsia="Arial" w:hAnsi="Arial"/>
                <w:sz w:val="18"/>
                <w:szCs w:val="18"/>
                <w:color w:val="auto"/>
              </w:rPr>
              <w:t>Second Lien Debt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364,351</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Discounted cash flow</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Weighted average cost of capital</w:t>
            </w:r>
          </w:p>
        </w:tc>
        <w:tc>
          <w:tcPr>
            <w:tcW w:w="2220" w:type="dxa"/>
            <w:vAlign w:val="bottom"/>
            <w:gridSpan w:val="3"/>
          </w:tcPr>
          <w:p>
            <w:pPr>
              <w:ind w:left="200"/>
              <w:spacing w:after="0"/>
              <w:rPr>
                <w:sz w:val="20"/>
                <w:szCs w:val="20"/>
                <w:color w:val="auto"/>
              </w:rPr>
            </w:pPr>
            <w:r>
              <w:rPr>
                <w:rFonts w:ascii="Arial" w:cs="Arial" w:eastAsia="Arial" w:hAnsi="Arial"/>
                <w:sz w:val="18"/>
                <w:szCs w:val="18"/>
                <w:color w:val="auto"/>
              </w:rPr>
              <w:t>10.3% - 18.2% (13.2%)</w:t>
            </w:r>
          </w:p>
        </w:tc>
      </w:tr>
      <w:tr>
        <w:trPr>
          <w:trHeight w:val="216"/>
        </w:trPr>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16,417</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Enterprise value</w:t>
            </w: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5.3x</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- 5.3x (5.3x)</w:t>
            </w:r>
          </w:p>
        </w:tc>
      </w:tr>
      <w:tr>
        <w:trPr>
          <w:trHeight w:val="230"/>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2,309</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Enterprise value</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Asset Coverage</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93"/>
              </w:rPr>
              <w:t>1.2x</w:t>
            </w:r>
          </w:p>
        </w:tc>
        <w:tc>
          <w:tcPr>
            <w:tcW w:w="1680" w:type="dxa"/>
            <w:vAlign w:val="bottom"/>
          </w:tcPr>
          <w:p>
            <w:pPr>
              <w:ind w:left="20"/>
              <w:spacing w:after="0"/>
              <w:rPr>
                <w:sz w:val="20"/>
                <w:szCs w:val="20"/>
                <w:color w:val="auto"/>
              </w:rPr>
            </w:pPr>
            <w:r>
              <w:rPr>
                <w:rFonts w:ascii="Arial" w:cs="Arial" w:eastAsia="Arial" w:hAnsi="Arial"/>
                <w:sz w:val="18"/>
                <w:szCs w:val="18"/>
                <w:color w:val="auto"/>
              </w:rPr>
              <w:t>- 1.2x (1.2x)</w:t>
            </w:r>
          </w:p>
        </w:tc>
      </w:tr>
      <w:tr>
        <w:trPr>
          <w:trHeight w:val="94"/>
        </w:trPr>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20" w:type="dxa"/>
            <w:vAlign w:val="bottom"/>
            <w:gridSpan w:val="2"/>
          </w:tcPr>
          <w:p>
            <w:pPr>
              <w:spacing w:after="0"/>
              <w:rPr>
                <w:sz w:val="8"/>
                <w:szCs w:val="8"/>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140,843</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Discounted cash flow</w:t>
            </w: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 average cost of capital</w:t>
            </w:r>
          </w:p>
        </w:tc>
        <w:tc>
          <w:tcPr>
            <w:tcW w:w="2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10.9% - 21.6% (12.0%)</w:t>
            </w:r>
          </w:p>
        </w:tc>
      </w:tr>
      <w:tr>
        <w:trPr>
          <w:trHeight w:val="324"/>
        </w:trPr>
        <w:tc>
          <w:tcPr>
            <w:tcW w:w="2460" w:type="dxa"/>
            <w:vAlign w:val="bottom"/>
          </w:tcPr>
          <w:p>
            <w:pPr>
              <w:ind w:left="180"/>
              <w:spacing w:after="0"/>
              <w:rPr>
                <w:sz w:val="20"/>
                <w:szCs w:val="20"/>
                <w:color w:val="auto"/>
              </w:rPr>
            </w:pPr>
            <w:r>
              <w:rPr>
                <w:rFonts w:ascii="Arial" w:cs="Arial" w:eastAsia="Arial" w:hAnsi="Arial"/>
                <w:sz w:val="18"/>
                <w:szCs w:val="18"/>
                <w:color w:val="auto"/>
              </w:rPr>
              <w:t>First Lien Debt</w:t>
            </w:r>
          </w:p>
        </w:tc>
        <w:tc>
          <w:tcPr>
            <w:tcW w:w="1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101,162</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Discounted cash flow</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Weighted average cost of capital</w:t>
            </w:r>
          </w:p>
        </w:tc>
        <w:tc>
          <w:tcPr>
            <w:tcW w:w="2220" w:type="dxa"/>
            <w:vAlign w:val="bottom"/>
            <w:gridSpan w:val="3"/>
          </w:tcPr>
          <w:p>
            <w:pPr>
              <w:ind w:left="200"/>
              <w:spacing w:after="0"/>
              <w:rPr>
                <w:sz w:val="20"/>
                <w:szCs w:val="20"/>
                <w:color w:val="auto"/>
              </w:rPr>
            </w:pPr>
            <w:r>
              <w:rPr>
                <w:rFonts w:ascii="Arial" w:cs="Arial" w:eastAsia="Arial" w:hAnsi="Arial"/>
                <w:sz w:val="18"/>
                <w:szCs w:val="18"/>
                <w:color w:val="auto"/>
              </w:rPr>
              <w:t>8.4% - 14.8% (11.8%)</w:t>
            </w:r>
          </w:p>
        </w:tc>
      </w:tr>
      <w:tr>
        <w:trPr>
          <w:trHeight w:val="216"/>
        </w:trPr>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7,165</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Enterprise value</w:t>
            </w: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 multiples</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4.4x</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- 4.4x (4.4x)</w:t>
            </w:r>
          </w:p>
        </w:tc>
      </w:tr>
      <w:tr>
        <w:trPr>
          <w:trHeight w:val="324"/>
        </w:trPr>
        <w:tc>
          <w:tcPr>
            <w:tcW w:w="2460" w:type="dxa"/>
            <w:vAlign w:val="bottom"/>
          </w:tcPr>
          <w:p>
            <w:pPr>
              <w:spacing w:after="0"/>
              <w:rPr>
                <w:sz w:val="20"/>
                <w:szCs w:val="20"/>
                <w:color w:val="auto"/>
              </w:rPr>
            </w:pPr>
            <w:r>
              <w:rPr>
                <w:rFonts w:ascii="Arial" w:cs="Arial" w:eastAsia="Arial" w:hAnsi="Arial"/>
                <w:sz w:val="18"/>
                <w:szCs w:val="18"/>
                <w:b w:val="1"/>
                <w:bCs w:val="1"/>
                <w:color w:val="auto"/>
              </w:rPr>
              <w:t>Equity investments: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125,370</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Enterprise value</w:t>
            </w: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3.5x</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- 20.7x (8.5x)</w:t>
            </w:r>
          </w:p>
        </w:tc>
      </w:tr>
      <w:tr>
        <w:trPr>
          <w:trHeight w:val="230"/>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1,194</w:t>
            </w:r>
          </w:p>
        </w:tc>
        <w:tc>
          <w:tcPr>
            <w:tcW w:w="1880" w:type="dxa"/>
            <w:vAlign w:val="bottom"/>
            <w:gridSpan w:val="2"/>
          </w:tcPr>
          <w:p>
            <w:pPr>
              <w:ind w:left="140"/>
              <w:spacing w:after="0"/>
              <w:rPr>
                <w:sz w:val="20"/>
                <w:szCs w:val="20"/>
                <w:color w:val="auto"/>
              </w:rPr>
            </w:pPr>
            <w:r>
              <w:rPr>
                <w:rFonts w:ascii="Arial" w:cs="Arial" w:eastAsia="Arial" w:hAnsi="Arial"/>
                <w:sz w:val="18"/>
                <w:szCs w:val="18"/>
                <w:color w:val="auto"/>
              </w:rPr>
              <w:t>Enterprise value</w:t>
            </w:r>
          </w:p>
        </w:tc>
        <w:tc>
          <w:tcPr>
            <w:tcW w:w="3180" w:type="dxa"/>
            <w:vAlign w:val="bottom"/>
            <w:gridSpan w:val="2"/>
          </w:tcPr>
          <w:p>
            <w:pPr>
              <w:ind w:left="200"/>
              <w:spacing w:after="0"/>
              <w:rPr>
                <w:sz w:val="20"/>
                <w:szCs w:val="20"/>
                <w:color w:val="auto"/>
              </w:rPr>
            </w:pPr>
            <w:r>
              <w:rPr>
                <w:rFonts w:ascii="Arial" w:cs="Arial" w:eastAsia="Arial" w:hAnsi="Arial"/>
                <w:sz w:val="18"/>
                <w:szCs w:val="18"/>
                <w:color w:val="auto"/>
              </w:rPr>
              <w:t>Revenue multiples</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93"/>
              </w:rPr>
              <w:t>1.2x</w:t>
            </w:r>
          </w:p>
        </w:tc>
        <w:tc>
          <w:tcPr>
            <w:tcW w:w="1680" w:type="dxa"/>
            <w:vAlign w:val="bottom"/>
          </w:tcPr>
          <w:p>
            <w:pPr>
              <w:ind w:left="20"/>
              <w:spacing w:after="0"/>
              <w:rPr>
                <w:sz w:val="20"/>
                <w:szCs w:val="20"/>
                <w:color w:val="auto"/>
              </w:rPr>
            </w:pPr>
            <w:r>
              <w:rPr>
                <w:rFonts w:ascii="Arial" w:cs="Arial" w:eastAsia="Arial" w:hAnsi="Arial"/>
                <w:sz w:val="18"/>
                <w:szCs w:val="18"/>
                <w:color w:val="auto"/>
              </w:rPr>
              <w:t>- 4.4x (2.0x)</w:t>
            </w:r>
          </w:p>
        </w:tc>
      </w:tr>
      <w:tr>
        <w:trPr>
          <w:trHeight w:val="94"/>
        </w:trPr>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tcPr>
          <w:p>
            <w:pPr>
              <w:spacing w:after="0"/>
              <w:rPr>
                <w:sz w:val="8"/>
                <w:szCs w:val="8"/>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8,108</w:t>
            </w:r>
          </w:p>
        </w:tc>
        <w:tc>
          <w:tcPr>
            <w:tcW w:w="1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Enterprise value</w:t>
            </w: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EBITDA multiples</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4.0x</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- 7.0x (6.6x)</w:t>
            </w:r>
          </w:p>
        </w:tc>
      </w:tr>
    </w:tbl>
    <w:p>
      <w:pPr>
        <w:spacing w:after="0" w:line="229"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Unobservable inputs were weighted by the relative fair value of the instruments.</w:t>
      </w:r>
    </w:p>
    <w:p>
      <w:pPr>
        <w:spacing w:after="0" w:line="225"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24"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SBA debentures, and Public Notes (as defined in Note 6) are recorded at their respective carrying values.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summarize the carrying value and fair value of the Company’s debt obligations as of March 31, 2020 and December 31,</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3"/>
          </w:tcPr>
          <w:p>
            <w:pPr>
              <w:ind w:left="400"/>
              <w:spacing w:after="0"/>
              <w:rPr>
                <w:sz w:val="20"/>
                <w:szCs w:val="20"/>
                <w:color w:val="auto"/>
              </w:rPr>
            </w:pPr>
            <w:r>
              <w:rPr>
                <w:rFonts w:ascii="Arial" w:cs="Arial" w:eastAsia="Arial" w:hAnsi="Arial"/>
                <w:sz w:val="14"/>
                <w:szCs w:val="14"/>
                <w:b w:val="1"/>
                <w:bCs w:val="1"/>
                <w:color w:val="auto"/>
                <w:w w:val="94"/>
              </w:rPr>
              <w:t>March 31, 2020</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 2019</w:t>
            </w:r>
          </w:p>
        </w:tc>
      </w:tr>
      <w:tr>
        <w:trPr>
          <w:trHeight w:val="142"/>
        </w:trPr>
        <w:tc>
          <w:tcPr>
            <w:tcW w:w="4760" w:type="dxa"/>
            <w:vAlign w:val="bottom"/>
          </w:tcPr>
          <w:p>
            <w:pPr>
              <w:spacing w:after="0"/>
              <w:rPr>
                <w:sz w:val="12"/>
                <w:szCs w:val="12"/>
                <w:color w:val="auto"/>
              </w:rPr>
            </w:pPr>
          </w:p>
        </w:tc>
        <w:tc>
          <w:tcPr>
            <w:tcW w:w="168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12"/>
                <w:szCs w:val="12"/>
                <w:b w:val="1"/>
                <w:bCs w:val="1"/>
                <w:color w:val="auto"/>
              </w:rPr>
              <w:t>(1)</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12"/>
                <w:szCs w:val="12"/>
                <w:b w:val="1"/>
                <w:bCs w:val="1"/>
                <w:color w:val="auto"/>
              </w:rPr>
              <w:t>(1)</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2"/>
                <w:szCs w:val="12"/>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SBA debentures </w:t>
            </w:r>
            <w:r>
              <w:rPr>
                <w:rFonts w:ascii="Arial" w:cs="Arial" w:eastAsia="Arial" w:hAnsi="Arial"/>
                <w:sz w:val="15"/>
                <w:szCs w:val="15"/>
                <w:color w:val="auto"/>
              </w:rPr>
              <w:t>(2)</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156,500</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$156,500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$157,500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 xml:space="preserve">Credit Facility borrowings </w:t>
            </w:r>
            <w:r>
              <w:rPr>
                <w:rFonts w:ascii="Arial" w:cs="Arial" w:eastAsia="Arial" w:hAnsi="Arial"/>
                <w:sz w:val="15"/>
                <w:szCs w:val="15"/>
                <w:color w:val="auto"/>
              </w:rPr>
              <w:t>(3)</w:t>
            </w:r>
          </w:p>
        </w:tc>
        <w:tc>
          <w:tcPr>
            <w:tcW w:w="32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35,000</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35,000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25,000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2023 Notes </w:t>
            </w:r>
            <w:r>
              <w:rPr>
                <w:rFonts w:ascii="Arial" w:cs="Arial" w:eastAsia="Arial" w:hAnsi="Arial"/>
                <w:sz w:val="15"/>
                <w:szCs w:val="15"/>
                <w:color w:val="auto"/>
              </w:rPr>
              <w:t>(4)</w:t>
            </w:r>
          </w:p>
        </w:tc>
        <w:tc>
          <w:tcPr>
            <w:tcW w:w="3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50,000</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41,500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 xml:space="preserve">February 2024 Notes </w:t>
            </w:r>
            <w:r>
              <w:rPr>
                <w:rFonts w:ascii="Arial" w:cs="Arial" w:eastAsia="Arial" w:hAnsi="Arial"/>
                <w:sz w:val="15"/>
                <w:szCs w:val="15"/>
                <w:color w:val="auto"/>
              </w:rPr>
              <w:t>(4)</w:t>
            </w:r>
          </w:p>
        </w:tc>
        <w:tc>
          <w:tcPr>
            <w:tcW w:w="32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69,000</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64,888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69,000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72,422</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November 2024 Notes </w:t>
            </w:r>
            <w:r>
              <w:rPr>
                <w:rFonts w:ascii="Arial" w:cs="Arial" w:eastAsia="Arial" w:hAnsi="Arial"/>
                <w:sz w:val="15"/>
                <w:szCs w:val="15"/>
                <w:color w:val="auto"/>
              </w:rPr>
              <w:t>(4)</w:t>
            </w:r>
          </w:p>
        </w:tc>
        <w:tc>
          <w:tcPr>
            <w:tcW w:w="3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63,250</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46,173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63,250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65,148</w:t>
            </w: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373,750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344,061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364,750</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371,970</w:t>
            </w:r>
          </w:p>
        </w:tc>
        <w:tc>
          <w:tcPr>
            <w:tcW w:w="4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Carrying value represents the outstanding principal balance of the debt obligation.</w:t>
      </w:r>
    </w:p>
    <w:p>
      <w:pPr>
        <w:spacing w:after="0" w:line="23"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fair value of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fair value of borrowings under the Credit Facility, if valued under ASC Topic 820, are based on a market yield approach and current interest rates, which are Level 3 inputs to the market yield model.</w:t>
      </w: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Public Notes, if valued under ASC Topic 820, are valued using available market quotes, which is a Level 1 input.</w:t>
      </w:r>
    </w:p>
    <w:p>
      <w:pPr>
        <w:spacing w:after="0" w:line="21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summarizes the inputs used to value the Company’s debt obligations if measured at fair value as of March 31, 2020 and December 31, 2019.</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Fair Value</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3"/>
              </w:rPr>
              <w:t>Valuation Inputs</w:t>
            </w:r>
          </w:p>
        </w:tc>
        <w:tc>
          <w:tcPr>
            <w:tcW w:w="5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March 31,</w:t>
            </w:r>
          </w:p>
        </w:tc>
        <w:tc>
          <w:tcPr>
            <w:tcW w:w="8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vMerge w:val="continue"/>
          </w:tcPr>
          <w:p>
            <w:pPr>
              <w:spacing w:after="0"/>
              <w:rPr>
                <w:sz w:val="15"/>
                <w:szCs w:val="15"/>
                <w:color w:val="auto"/>
              </w:rPr>
            </w:pPr>
          </w:p>
        </w:tc>
        <w:tc>
          <w:tcPr>
            <w:tcW w:w="6060" w:type="dxa"/>
            <w:vAlign w:val="bottom"/>
            <w:gridSpan w:val="3"/>
          </w:tcPr>
          <w:p>
            <w:pPr>
              <w:jc w:val="right"/>
              <w:ind w:right="117"/>
              <w:spacing w:after="0" w:line="158"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Level 1</w:t>
            </w:r>
          </w:p>
        </w:tc>
        <w:tc>
          <w:tcPr>
            <w:tcW w:w="540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$152,561</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189,470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Level 2</w:t>
            </w:r>
          </w:p>
        </w:tc>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6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191,500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182,500</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8"/>
                <w:szCs w:val="18"/>
                <w:color w:val="auto"/>
              </w:rPr>
              <w:t>Total</w:t>
            </w:r>
          </w:p>
        </w:tc>
        <w:tc>
          <w:tcPr>
            <w:tcW w:w="5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344,061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371,970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i w:val="1"/>
          <w:iCs w:val="1"/>
          <w:color w:val="auto"/>
        </w:rPr>
        <w:t xml:space="preserve">Investment Advisory Agreement: </w:t>
      </w:r>
      <w:r>
        <w:rPr>
          <w:rFonts w:ascii="Arial" w:cs="Arial" w:eastAsia="Arial" w:hAnsi="Arial"/>
          <w:sz w:val="16"/>
          <w:szCs w:val="16"/>
          <w:color w:val="auto"/>
        </w:rPr>
        <w:t>The Company has entered into an Investment Advisory Agreement with the Investment Advisor. On June 6,</w:t>
      </w:r>
      <w:r>
        <w:rPr>
          <w:rFonts w:ascii="Arial" w:cs="Arial" w:eastAsia="Arial" w:hAnsi="Arial"/>
          <w:sz w:val="16"/>
          <w:szCs w:val="16"/>
          <w:i w:val="1"/>
          <w:iCs w:val="1"/>
          <w:color w:val="auto"/>
        </w:rPr>
        <w:t xml:space="preserve"> </w:t>
      </w:r>
      <w:r>
        <w:rPr>
          <w:rFonts w:ascii="Arial" w:cs="Arial" w:eastAsia="Arial" w:hAnsi="Arial"/>
          <w:sz w:val="16"/>
          <w:szCs w:val="16"/>
          <w:color w:val="auto"/>
        </w:rPr>
        <w:t>2019, the Board approved the renewal of the Investment Advisory Agreement through June 20, 2020.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5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base management fee is payable quarterly in arrears. The base management fee under the Investment Advisory Agreement was $3,272 for the three months ended March 31, 2020 and $2,871 for the three months ended March 31, 2019. As of March 31, 2020 and December 31, 2019, the base management fee payable was $3,272 and $3,334, respectively.</w:t>
      </w:r>
    </w:p>
    <w:p>
      <w:pPr>
        <w:spacing w:after="0" w:line="18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66"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w:t>
      </w:r>
    </w:p>
    <w:p>
      <w:pPr>
        <w:sectPr>
          <w:pgSz w:w="11900" w:h="16838" w:orient="portrait"/>
          <w:cols w:equalWidth="0" w:num="1">
            <w:col w:w="11100"/>
          </w:cols>
          <w:pgMar w:left="320" w:top="459" w:right="479" w:bottom="1440" w:gutter="0" w:footer="0" w:header="0"/>
        </w:sectPr>
      </w:pP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00"/>
          </w:cols>
          <w:pgMar w:left="320" w:top="459" w:right="47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7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Company pays the Investment Advisor an incentive fee with respect to pre-incentive fee net investment income in each calendar quarter as follows:</w:t>
      </w:r>
    </w:p>
    <w:p>
      <w:pPr>
        <w:spacing w:after="0" w:line="76"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the pre-incentive fee net investment income does not exceed the hurdle rate of 2.0%;</w:t>
      </w:r>
    </w:p>
    <w:p>
      <w:pPr>
        <w:spacing w:after="0" w:line="153" w:lineRule="exact"/>
        <w:rPr>
          <w:rFonts w:ascii="Arial" w:cs="Arial" w:eastAsia="Arial" w:hAnsi="Arial"/>
          <w:sz w:val="16"/>
          <w:szCs w:val="16"/>
          <w:color w:val="auto"/>
        </w:rPr>
      </w:pPr>
    </w:p>
    <w:p>
      <w:pPr>
        <w:ind w:left="1080" w:hanging="532"/>
        <w:spacing w:after="0" w:line="25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20.0% of the amount of the Company’s pre-incentive fee net investment income, if any, that exceeds 2.5% in any calendar quarter.</w:t>
      </w:r>
    </w:p>
    <w:p>
      <w:pPr>
        <w:spacing w:after="0" w:line="237"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was $1,855 for the three months ended March 31, 2020 and $2,485 for the three months ended March 31, 2019. As of March 31, 2020 and December 31, 2019, the income incentive fee payable was $1,855 and $1,497 respectively.</w:t>
      </w:r>
    </w:p>
    <w:p>
      <w:pPr>
        <w:spacing w:after="0" w:line="187"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w:t>
      </w:r>
    </w:p>
    <w:p>
      <w:pPr>
        <w:spacing w:after="0" w:line="6"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20.0% of such amount, less the aggregate amount of any capital gains incentive fees paid in all prior years. As of March 31, 2020 and December 31, 2019, the capital gains incentive fee payable in cash was $0 (as cumulative aggregate realized capital gains and losses on investments plus aggregate unrealized capital depreciation on investments plus realized losses on extinguishment of debt was negative as of each period). The aggregate amount of capital gains incentive fees paid from the IPO through March 31, 2020 was $348.</w:t>
      </w:r>
    </w:p>
    <w:p>
      <w:pPr>
        <w:spacing w:after="0" w:line="193"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w:t>
      </w:r>
    </w:p>
    <w:p>
      <w:pPr>
        <w:spacing w:after="0" w:line="1" w:lineRule="exact"/>
        <w:rPr>
          <w:sz w:val="20"/>
          <w:szCs w:val="20"/>
          <w:color w:val="auto"/>
        </w:rPr>
      </w:pPr>
    </w:p>
    <w:p>
      <w:pPr>
        <w:ind w:left="120" w:hanging="4"/>
        <w:spacing w:after="0" w:line="253"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realized gains/(losses) on investments plus (ii) net unrealized appreciation/(depreciation) on investments plus (iii) realized losses on extinguishment of debt. The capital gains incentive fee accrued (reversed) during the three months ended March 31, 2020 was $(8,878), and $355 for the three months ended March 31, 2019. As of March 31, 2020 and December 31, 2019, the accrued capital gains incentive fee payable was $3,837 and $12,715, respectively.</w:t>
      </w:r>
    </w:p>
    <w:p>
      <w:pPr>
        <w:spacing w:after="0" w:line="193" w:lineRule="exact"/>
        <w:rPr>
          <w:sz w:val="20"/>
          <w:szCs w:val="20"/>
          <w:color w:val="auto"/>
        </w:rPr>
      </w:pPr>
    </w:p>
    <w:p>
      <w:pPr>
        <w:jc w:val="both"/>
        <w:ind w:left="120" w:right="100" w:firstLine="440"/>
        <w:spacing w:after="0" w:line="296" w:lineRule="auto"/>
        <w:rPr>
          <w:sz w:val="20"/>
          <w:szCs w:val="20"/>
          <w:color w:val="auto"/>
        </w:rPr>
      </w:pPr>
      <w:r>
        <w:rPr>
          <w:rFonts w:ascii="Arial" w:cs="Arial" w:eastAsia="Arial" w:hAnsi="Arial"/>
          <w:sz w:val="16"/>
          <w:szCs w:val="16"/>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ectPr>
          <w:pgSz w:w="11900" w:h="16838" w:orient="portrait"/>
          <w:cols w:equalWidth="0" w:num="1">
            <w:col w:w="11120"/>
          </w:cols>
          <w:pgMar w:left="320" w:top="459" w:right="459" w:bottom="1440" w:gutter="0" w:footer="0" w:header="0"/>
        </w:sectPr>
      </w:pP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20"/>
          </w:cols>
          <w:pgMar w:left="320" w:top="459" w:right="4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i w:val="1"/>
          <w:iCs w:val="1"/>
          <w:color w:val="auto"/>
        </w:rPr>
        <w:t xml:space="preserve">Administration Agreement: </w:t>
      </w:r>
      <w:r>
        <w:rPr>
          <w:rFonts w:ascii="Arial" w:cs="Arial" w:eastAsia="Arial" w:hAnsi="Arial"/>
          <w:sz w:val="16"/>
          <w:szCs w:val="16"/>
          <w:color w:val="auto"/>
        </w:rPr>
        <w:t>The Company also entered into an administration agreement (the “Administration Agreement”) with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Advisor. On June 6, 2019, the Board approved the renewal of the Administration Agreement through June 20, 2020.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Administration Agreement, administrative service expenses for the three months ended March 31, 2020 were $466, and $399 for the three months ended March 31, 2019. As of March 31, 2020 and December 31, 2019, the accrued administrative service expense was $558 and $528, respectively.</w:t>
      </w:r>
    </w:p>
    <w:p>
      <w:pPr>
        <w:spacing w:after="0" w:line="168"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i w:val="1"/>
          <w:iCs w:val="1"/>
          <w:color w:val="auto"/>
        </w:rPr>
        <w:t>Fidus Equity Fund I, L.P.</w:t>
      </w:r>
      <w:r>
        <w:rPr>
          <w:rFonts w:ascii="Arial" w:cs="Arial" w:eastAsia="Arial" w:hAnsi="Arial"/>
          <w:sz w:val="17"/>
          <w:szCs w:val="17"/>
          <w:color w:val="auto"/>
        </w:rPr>
        <w:t>: On February 25, 2020, the Company entered into a Limited Partnership Agreement (the “Agreement”) with Fidus</w:t>
      </w:r>
      <w:r>
        <w:rPr>
          <w:rFonts w:ascii="Arial" w:cs="Arial" w:eastAsia="Arial" w:hAnsi="Arial"/>
          <w:sz w:val="17"/>
          <w:szCs w:val="17"/>
          <w:i w:val="1"/>
          <w:iCs w:val="1"/>
          <w:color w:val="auto"/>
        </w:rPr>
        <w:t xml:space="preserve"> </w:t>
      </w:r>
      <w:r>
        <w:rPr>
          <w:rFonts w:ascii="Arial" w:cs="Arial" w:eastAsia="Arial" w:hAnsi="Arial"/>
          <w:sz w:val="17"/>
          <w:szCs w:val="17"/>
          <w:color w:val="auto"/>
        </w:rPr>
        <w:t>Equity Fund I, L.P. (“FEF I”). Pursuant to the Agreement, we will serve as the General Partner of FEF I. Owned by third-party investors, FEF I was formed to purchase 50% of select equity investments from us. On February 25, 2020, we sold 50% of our equity investments in 20 portfolio companies to FEF I and received net proceeds of $35.9 million, resulting in a realized gain, net of estimated taxes, of approximately $20.4 million. We will not receive any fees from FEF I for any services provided in our capacity as the General Partner of FEF I.</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 On June 16, 2014, FIC entered into a senior secured revolving credit agreement (the “Credit Facility”) with 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Capital LLC, as administrative agent. The Amended Credit Agreement amends, restates, and replaces the Credit Facility.</w:t>
      </w:r>
    </w:p>
    <w:p>
      <w:pPr>
        <w:spacing w:after="0" w:line="161" w:lineRule="exact"/>
        <w:rPr>
          <w:sz w:val="20"/>
          <w:szCs w:val="20"/>
          <w:color w:val="auto"/>
        </w:rPr>
      </w:pPr>
    </w:p>
    <w:p>
      <w:pPr>
        <w:ind w:left="120" w:right="200" w:firstLine="440"/>
        <w:spacing w:after="0" w:line="284" w:lineRule="auto"/>
        <w:rPr>
          <w:sz w:val="20"/>
          <w:szCs w:val="20"/>
          <w:color w:val="auto"/>
        </w:rPr>
      </w:pPr>
      <w:r>
        <w:rPr>
          <w:rFonts w:ascii="Arial" w:cs="Arial" w:eastAsia="Arial" w:hAnsi="Arial"/>
          <w:sz w:val="16"/>
          <w:szCs w:val="16"/>
          <w:color w:val="auto"/>
        </w:rPr>
        <w:t>Under the Amended Credit Agreement, (i) revolving commitments by lenders were increased from $90,000 to $100,000, with an accordion feature that allows for an increase in total commitments up to $250,000,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1" w:lineRule="exact"/>
        <w:rPr>
          <w:sz w:val="20"/>
          <w:szCs w:val="20"/>
          <w:color w:val="auto"/>
        </w:rPr>
      </w:pPr>
    </w:p>
    <w:p>
      <w:pPr>
        <w:ind w:left="120" w:right="60" w:hanging="4"/>
        <w:spacing w:after="0" w:line="292" w:lineRule="auto"/>
        <w:tabs>
          <w:tab w:leader="none" w:pos="4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three month LIBOR plus 1.0%, and (D) zero. The Company pays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6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5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2020 and December 31, 2019, the Company was in compliance in all material respect with the terms of the Credit Facility.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SBA debentures: </w:t>
      </w:r>
      <w:r>
        <w:rPr>
          <w:rFonts w:ascii="Arial" w:cs="Arial" w:eastAsia="Arial" w:hAnsi="Arial"/>
          <w:sz w:val="18"/>
          <w:szCs w:val="18"/>
          <w:color w:val="auto"/>
        </w:rPr>
        <w:t>The Company uses debenture leverage provided through the SBA to fund a portion of its investment purchases.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March 31, 2020 and December 31, 2019, approved and unused SBA debenture commitments were $11,500 and $17,500, respectively. The SBA may limit the amount that may be drawn each year under these commitments, and each issuance of leverage is conditioned on the Company’s full compliance, as determined by the SBA, with the terms and conditions set forth in the SBIC Act.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2020 and December 31, 2019, the Company’s issued and outstanding SBA debentures mature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89"/>
              </w:rPr>
              <w:t>Pooling</w:t>
            </w:r>
          </w:p>
        </w:tc>
        <w:tc>
          <w:tcPr>
            <w:tcW w:w="2240" w:type="dxa"/>
            <w:vAlign w:val="bottom"/>
            <w:gridSpan w:val="2"/>
          </w:tcPr>
          <w:p>
            <w:pPr>
              <w:ind w:left="60"/>
              <w:spacing w:after="0"/>
              <w:rPr>
                <w:sz w:val="20"/>
                <w:szCs w:val="20"/>
                <w:color w:val="auto"/>
              </w:rPr>
            </w:pPr>
            <w:r>
              <w:rPr>
                <w:rFonts w:ascii="Arial" w:cs="Arial" w:eastAsia="Arial" w:hAnsi="Arial"/>
                <w:sz w:val="14"/>
                <w:szCs w:val="14"/>
                <w:b w:val="1"/>
                <w:bCs w:val="1"/>
                <w:color w:val="auto"/>
              </w:rPr>
              <w:t>Maturity</w:t>
            </w:r>
          </w:p>
        </w:tc>
        <w:tc>
          <w:tcPr>
            <w:tcW w:w="2520" w:type="dxa"/>
            <w:vAlign w:val="bottom"/>
            <w:gridSpan w:val="2"/>
          </w:tcPr>
          <w:p>
            <w:pPr>
              <w:ind w:left="240"/>
              <w:spacing w:after="0"/>
              <w:rPr>
                <w:sz w:val="20"/>
                <w:szCs w:val="20"/>
                <w:color w:val="auto"/>
              </w:rPr>
            </w:pPr>
            <w:r>
              <w:rPr>
                <w:rFonts w:ascii="Arial" w:cs="Arial" w:eastAsia="Arial" w:hAnsi="Arial"/>
                <w:sz w:val="14"/>
                <w:szCs w:val="14"/>
                <w:b w:val="1"/>
                <w:bCs w:val="1"/>
                <w:color w:val="auto"/>
              </w:rPr>
              <w:t>Fixed</w:t>
            </w:r>
          </w:p>
        </w:tc>
        <w:tc>
          <w:tcPr>
            <w:tcW w:w="224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Date </w:t>
            </w:r>
            <w:r>
              <w:rPr>
                <w:rFonts w:ascii="Arial" w:cs="Arial" w:eastAsia="Arial" w:hAnsi="Arial"/>
                <w:sz w:val="12"/>
                <w:szCs w:val="12"/>
                <w:b w:val="1"/>
                <w:bCs w:val="1"/>
                <w:color w:val="auto"/>
                <w:w w:val="93"/>
              </w:rPr>
              <w:t>(1)</w:t>
            </w:r>
          </w:p>
        </w:tc>
        <w:tc>
          <w:tcPr>
            <w:tcW w:w="15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Date</w:t>
            </w:r>
          </w:p>
        </w:tc>
        <w:tc>
          <w:tcPr>
            <w:tcW w:w="15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Interest Rate</w:t>
            </w:r>
          </w:p>
        </w:tc>
        <w:tc>
          <w:tcPr>
            <w:tcW w:w="17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6"/>
                <w:szCs w:val="16"/>
                <w:color w:val="auto"/>
              </w:rPr>
            </w:pPr>
          </w:p>
        </w:tc>
      </w:tr>
      <w:tr>
        <w:trPr>
          <w:trHeight w:val="209"/>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9/24/2014</w:t>
            </w:r>
          </w:p>
        </w:tc>
        <w:tc>
          <w:tcPr>
            <w:tcW w:w="150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9/1/2024</w:t>
            </w:r>
          </w:p>
        </w:tc>
        <w:tc>
          <w:tcPr>
            <w:tcW w:w="15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3.775%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2"/>
              </w:rPr>
              <w:t>3/25/2015</w:t>
            </w:r>
          </w:p>
        </w:tc>
        <w:tc>
          <w:tcPr>
            <w:tcW w:w="150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3/1/2025</w:t>
            </w:r>
          </w:p>
        </w:tc>
        <w:tc>
          <w:tcPr>
            <w:tcW w:w="2520" w:type="dxa"/>
            <w:vAlign w:val="bottom"/>
            <w:gridSpan w:val="2"/>
          </w:tcPr>
          <w:p>
            <w:pPr>
              <w:ind w:left="420"/>
              <w:spacing w:after="0"/>
              <w:rPr>
                <w:sz w:val="20"/>
                <w:szCs w:val="20"/>
                <w:color w:val="auto"/>
              </w:rPr>
            </w:pPr>
            <w:r>
              <w:rPr>
                <w:rFonts w:ascii="Arial" w:cs="Arial" w:eastAsia="Arial" w:hAnsi="Arial"/>
                <w:sz w:val="18"/>
                <w:szCs w:val="18"/>
                <w:color w:val="auto"/>
              </w:rPr>
              <w:t>3.277</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22,500</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22,500</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9/23/2015</w:t>
            </w:r>
          </w:p>
        </w:tc>
        <w:tc>
          <w:tcPr>
            <w:tcW w:w="15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9/1/2025</w:t>
            </w:r>
          </w:p>
        </w:tc>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3.571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16,700</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16,700</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2"/>
              </w:rPr>
              <w:t>3/23/2016</w:t>
            </w:r>
          </w:p>
        </w:tc>
        <w:tc>
          <w:tcPr>
            <w:tcW w:w="150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3/1/2026</w:t>
            </w:r>
          </w:p>
        </w:tc>
        <w:tc>
          <w:tcPr>
            <w:tcW w:w="2520" w:type="dxa"/>
            <w:vAlign w:val="bottom"/>
            <w:gridSpan w:val="2"/>
          </w:tcPr>
          <w:p>
            <w:pPr>
              <w:ind w:left="420"/>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3/23/2016</w:t>
            </w:r>
          </w:p>
        </w:tc>
        <w:tc>
          <w:tcPr>
            <w:tcW w:w="15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3/1/2026</w:t>
            </w:r>
          </w:p>
        </w:tc>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3.249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21,800</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21,800</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2"/>
              </w:rPr>
              <w:t>9/21/2016</w:t>
            </w:r>
          </w:p>
        </w:tc>
        <w:tc>
          <w:tcPr>
            <w:tcW w:w="150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9/1/2026</w:t>
            </w:r>
          </w:p>
        </w:tc>
        <w:tc>
          <w:tcPr>
            <w:tcW w:w="2520" w:type="dxa"/>
            <w:vAlign w:val="bottom"/>
            <w:gridSpan w:val="2"/>
          </w:tcPr>
          <w:p>
            <w:pPr>
              <w:ind w:left="420"/>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3/29/2017</w:t>
            </w:r>
          </w:p>
        </w:tc>
        <w:tc>
          <w:tcPr>
            <w:tcW w:w="15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3/1/2027</w:t>
            </w:r>
          </w:p>
        </w:tc>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3.587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2"/>
              </w:rPr>
              <w:t>9/20/2017</w:t>
            </w:r>
          </w:p>
        </w:tc>
        <w:tc>
          <w:tcPr>
            <w:tcW w:w="150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9/1/2027</w:t>
            </w:r>
          </w:p>
        </w:tc>
        <w:tc>
          <w:tcPr>
            <w:tcW w:w="2520" w:type="dxa"/>
            <w:vAlign w:val="bottom"/>
            <w:gridSpan w:val="2"/>
          </w:tcPr>
          <w:p>
            <w:pPr>
              <w:ind w:left="420"/>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9/20/2017</w:t>
            </w:r>
          </w:p>
        </w:tc>
        <w:tc>
          <w:tcPr>
            <w:tcW w:w="15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9/1/2027</w:t>
            </w:r>
          </w:p>
        </w:tc>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3.190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33,000</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2"/>
              </w:rPr>
              <w:t>3/21/2018</w:t>
            </w:r>
          </w:p>
        </w:tc>
        <w:tc>
          <w:tcPr>
            <w:tcW w:w="150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3/1/2028</w:t>
            </w:r>
          </w:p>
        </w:tc>
        <w:tc>
          <w:tcPr>
            <w:tcW w:w="2520" w:type="dxa"/>
            <w:vAlign w:val="bottom"/>
            <w:gridSpan w:val="2"/>
          </w:tcPr>
          <w:p>
            <w:pPr>
              <w:ind w:left="420"/>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16,000</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16,000</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3/21/2018</w:t>
            </w:r>
          </w:p>
        </w:tc>
        <w:tc>
          <w:tcPr>
            <w:tcW w:w="15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3/1/2028</w:t>
            </w:r>
          </w:p>
        </w:tc>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3.534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10,500</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15,500</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2"/>
              </w:rPr>
              <w:t>9/19/2018</w:t>
            </w:r>
          </w:p>
        </w:tc>
        <w:tc>
          <w:tcPr>
            <w:tcW w:w="150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9/1/2028</w:t>
            </w:r>
          </w:p>
        </w:tc>
        <w:tc>
          <w:tcPr>
            <w:tcW w:w="2520" w:type="dxa"/>
            <w:vAlign w:val="bottom"/>
            <w:gridSpan w:val="2"/>
          </w:tcPr>
          <w:p>
            <w:pPr>
              <w:ind w:left="420"/>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9,500</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9,500</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9/19/2018</w:t>
            </w:r>
          </w:p>
        </w:tc>
        <w:tc>
          <w:tcPr>
            <w:tcW w:w="15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9/1/2028</w:t>
            </w:r>
          </w:p>
        </w:tc>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1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2"/>
              </w:rPr>
              <w:t>9/25/2019</w:t>
            </w:r>
          </w:p>
        </w:tc>
        <w:tc>
          <w:tcPr>
            <w:tcW w:w="150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9/1/2029</w:t>
            </w:r>
          </w:p>
        </w:tc>
        <w:tc>
          <w:tcPr>
            <w:tcW w:w="2520" w:type="dxa"/>
            <w:vAlign w:val="bottom"/>
            <w:gridSpan w:val="2"/>
          </w:tcPr>
          <w:p>
            <w:pPr>
              <w:ind w:left="420"/>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3/25/2020</w:t>
            </w:r>
          </w:p>
        </w:tc>
        <w:tc>
          <w:tcPr>
            <w:tcW w:w="15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3/1/2030</w:t>
            </w:r>
          </w:p>
        </w:tc>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gridSpan w:val="2"/>
          </w:tcPr>
          <w:p>
            <w:pPr>
              <w:spacing w:after="0"/>
              <w:rPr>
                <w:sz w:val="20"/>
                <w:szCs w:val="20"/>
                <w:color w:val="auto"/>
              </w:rPr>
            </w:pPr>
            <w:r>
              <w:rPr>
                <w:rFonts w:ascii="Arial" w:cs="Arial" w:eastAsia="Arial" w:hAnsi="Arial"/>
                <w:sz w:val="18"/>
                <w:szCs w:val="18"/>
                <w:color w:val="auto"/>
              </w:rPr>
              <w:t>Total outstanding SBA debentures</w:t>
            </w:r>
          </w:p>
        </w:tc>
        <w:tc>
          <w:tcPr>
            <w:tcW w:w="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156,500</w:t>
            </w:r>
          </w:p>
        </w:tc>
        <w:tc>
          <w:tcPr>
            <w:tcW w:w="20" w:type="dxa"/>
            <w:vAlign w:val="bottom"/>
            <w:tcBorders>
              <w:bottom w:val="single" w:sz="8" w:color="auto"/>
            </w:tcBorders>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157,500</w:t>
            </w:r>
          </w:p>
        </w:tc>
        <w:tc>
          <w:tcPr>
            <w:tcW w:w="6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00" w:hanging="424"/>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SBA has two scheduled pooling dates for debentures (in March and in September). Certain debentures funded during the reporting periods may not be pooled until the subsequent pooling date.</w:t>
      </w:r>
    </w:p>
    <w:p>
      <w:pPr>
        <w:spacing w:after="0" w:line="170"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i w:val="1"/>
          <w:iCs w:val="1"/>
          <w:color w:val="auto"/>
        </w:rPr>
        <w:t xml:space="preserve">Public Notes: </w:t>
      </w:r>
      <w:r>
        <w:rPr>
          <w:rFonts w:ascii="Arial" w:cs="Arial" w:eastAsia="Arial" w:hAnsi="Arial"/>
          <w:sz w:val="16"/>
          <w:szCs w:val="16"/>
          <w:color w:val="auto"/>
        </w:rPr>
        <w:t>On February 2, 2018, the Company closed the public offering of approximately $43,478 in aggregate principal amount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5.875% notes 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w:t>
      </w:r>
    </w:p>
    <w:p>
      <w:pPr>
        <w:spacing w:after="0" w:line="15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The 2023 Notes mature on February 1, 2023 and bear interest at a rate of 5.875%. The 2023 Notes may be redeemed in whole or in part at any time or from time to time at the Company’s option on or after February 1, 2020. Interest on the 2023 Notes is payable quarterly on February 1, May 1, August 1 and November 1 of each year. The 2023 Notes are listed on the NASDAQ Global Select Market under the trading symbol “FDUSL.”</w:t>
      </w:r>
    </w:p>
    <w:p>
      <w:pPr>
        <w:spacing w:after="0" w:line="14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On February 8, 2019, the Company closed the public offering of approximately $60,000 in aggregate principal amount of its 6.000% notes due 2024, or the “February 2024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approximately $2,070 and offering expenses of $409, were approximately $66,521.</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February 2024 Notes mature on February 15, 2024 and bear interest at a rate of 6.000%. The February 2024 Notes may be redeemed in whole or in part at any time or from time to time at the Company’s option on or after February 15, 2021. Interest on the February 2024 Notes is payable quarterly on February 15, May 15, August 15 and November 15 of each year, beginning May 15, 2019. The February 2024 Notes are listed on the NASDAQ Global Select Market under the trading symbol “FDUSZ.”</w:t>
      </w:r>
    </w:p>
    <w:p>
      <w:pPr>
        <w:spacing w:after="0" w:line="187" w:lineRule="exact"/>
        <w:rPr>
          <w:sz w:val="20"/>
          <w:szCs w:val="20"/>
          <w:color w:val="auto"/>
        </w:rPr>
      </w:pPr>
    </w:p>
    <w:p>
      <w:pPr>
        <w:jc w:val="both"/>
        <w:ind w:left="120" w:right="200" w:firstLine="440"/>
        <w:spacing w:after="0" w:line="275" w:lineRule="auto"/>
        <w:rPr>
          <w:sz w:val="20"/>
          <w:szCs w:val="20"/>
          <w:color w:val="auto"/>
        </w:rPr>
      </w:pPr>
      <w:r>
        <w:rPr>
          <w:rFonts w:ascii="Arial" w:cs="Arial" w:eastAsia="Arial" w:hAnsi="Arial"/>
          <w:sz w:val="17"/>
          <w:szCs w:val="17"/>
          <w:color w:val="auto"/>
        </w:rPr>
        <w:t>On October 16, 2019, the Company closed the public offering of approximately $55,000 in aggregate principal amount of its 5.375% notes due 2024, or the “November 2024 Notes” (and collectively with the 2023 Notes and February 2024 Notes, the “Public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approximately $1,898 and offering expenses of $300, were approximately $61,053.</w:t>
      </w:r>
    </w:p>
    <w:p>
      <w:pPr>
        <w:sectPr>
          <w:pgSz w:w="11900" w:h="16838" w:orient="portrait"/>
          <w:cols w:equalWidth="0" w:num="1">
            <w:col w:w="11140"/>
          </w:cols>
          <w:pgMar w:left="320" w:top="459" w:right="439" w:bottom="1440" w:gutter="0" w:footer="0" w:header="0"/>
        </w:sectPr>
      </w:pP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40"/>
          </w:cols>
          <w:pgMar w:left="32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November 2024 Notes will mature on November 1, 2024 and bear interest at a rate of 5.375%. The November 2024 Notes may be redeemed in whole or in part at any time or from time to time at the Company’s option on or after November 1, 2021. Interest on the November 2024 Notes is payable quarterly on February 1, May 1, August 1 and November 1 of each year, beginning February 1, 2020. The November 2024 Notes are listed on the NASDAQ Global Select Market under the trading symbol “FDUSG.”</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Public Notes are unsecured obligations of the Company and rank pari passu with the Company’s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of March 31, 2020, the aggregate amount outstanding of the senior securities issued by the Company was $217,250, for which our asset coverage was 272.9%. The SBA-guaranteed debentures are not subject to the asset coverage requirements of the 1940 Act as a result of exemptive relief granted to us by the SEC effective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and Financing Expenses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Interest and fees related to the Company’s debt for the three months ended March 31, 2020 and 2019 which are included in interest and financing expenses on the consolidated statements of operations,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jc w:val="right"/>
              <w:ind w:right="393"/>
              <w:spacing w:after="0"/>
              <w:rPr>
                <w:sz w:val="20"/>
                <w:szCs w:val="20"/>
                <w:color w:val="auto"/>
              </w:rPr>
            </w:pPr>
            <w:r>
              <w:rPr>
                <w:rFonts w:ascii="Arial" w:cs="Arial" w:eastAsia="Arial" w:hAnsi="Arial"/>
                <w:sz w:val="14"/>
                <w:szCs w:val="14"/>
                <w:b w:val="1"/>
                <w:bCs w:val="1"/>
                <w:color w:val="auto"/>
              </w:rPr>
              <w:t>Three Months Ended March 31, 2020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b w:val="1"/>
                <w:bCs w:val="1"/>
                <w:color w:val="auto"/>
              </w:rPr>
              <w:t>Three Months Ended March 31, 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SBA</w:t>
            </w:r>
          </w:p>
        </w:tc>
        <w:tc>
          <w:tcPr>
            <w:tcW w:w="74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Public</w:t>
            </w: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SBA</w:t>
            </w:r>
          </w:p>
        </w:tc>
        <w:tc>
          <w:tcPr>
            <w:tcW w:w="7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Public</w:t>
            </w: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Notes</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debentures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Notes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1,332</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$2,619</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$4,410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$1,314</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$3,309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326</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164</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2,945</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4,960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565</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3,724</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w w:val="94"/>
              </w:rPr>
              <w:t>Weighted average stated interest rate, period end</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3.855%</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5.749%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5.947%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 rate, period end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0.500%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Realized Losses on Extinguishment of Debt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During the three months ended March 31, 2020 and 2019, the Company prepaid $7,000 and $19,750 of SBA debentures, respectively, which were scheduled to mature on dates ranging from 2024 to 2028 and 2021 to 2025, respectively. As a result of the prepayments, the Company recognized realized losses on extinguishment of debt of $125 and $189, respectively, equal to the write-off of the related unamortized deferred financing costs, during the three months ended March 31, 2020 and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Credit Facility, SBA debentures, and Public Notes as of March 31, 2020 and December 31, 2019 were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8"/>
              </w:rPr>
              <w:t>March 31, 2020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SBA</w:t>
            </w:r>
          </w:p>
        </w:tc>
        <w:tc>
          <w:tcPr>
            <w:tcW w:w="70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Credit</w:t>
            </w:r>
          </w:p>
        </w:tc>
        <w:tc>
          <w:tcPr>
            <w:tcW w:w="60" w:type="dxa"/>
            <w:vAlign w:val="bottom"/>
          </w:tcPr>
          <w:p>
            <w:pPr>
              <w:spacing w:after="0"/>
              <w:rPr>
                <w:sz w:val="10"/>
                <w:szCs w:val="10"/>
                <w:color w:val="auto"/>
              </w:rPr>
            </w:pPr>
          </w:p>
        </w:tc>
        <w:tc>
          <w:tcPr>
            <w:tcW w:w="72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Public</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SBA</w:t>
            </w:r>
          </w:p>
        </w:tc>
        <w:tc>
          <w:tcPr>
            <w:tcW w:w="78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Credit</w:t>
            </w:r>
          </w:p>
        </w:tc>
        <w:tc>
          <w:tcPr>
            <w:tcW w:w="78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debentures</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Facility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Notes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 commitment fees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1,750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SBA debenture leverage fees</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3,966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upfront fees</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2,894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Public Notes underwriting discounts</w:t>
            </w:r>
          </w:p>
        </w:tc>
        <w:tc>
          <w:tcPr>
            <w:tcW w:w="16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5,468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5,468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5,468</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Public Notes debt issue costs</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Total deferred financing costs</w:t>
            </w: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2,894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15,225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4"/>
              </w:rPr>
              <w:t>5,570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15,079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(1,876)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(1,592)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(5,606)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(1,793)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(1,266)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(4,931)</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Unamortized deferred financing costs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3,698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40"/>
          </w:cols>
          <w:pgMar w:left="320" w:top="459" w:right="4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Unamortized deferred financing costs are presented as a direct offset to the SBA debentures, Credit Facility and Public Notes liabilities on the consolidated statements of assets and liabilities. The following table summarizes the outstanding debt net of unamortized deferred financing costs as of March 31, 2020 and December 31, 2019:</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March 31, 2020</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SBA</w:t>
            </w:r>
          </w:p>
        </w:tc>
        <w:tc>
          <w:tcPr>
            <w:tcW w:w="80" w:type="dxa"/>
            <w:vAlign w:val="bottom"/>
          </w:tcPr>
          <w:p>
            <w:pPr>
              <w:spacing w:after="0"/>
              <w:rPr>
                <w:sz w:val="10"/>
                <w:szCs w:val="10"/>
                <w:color w:val="auto"/>
              </w:rPr>
            </w:pPr>
          </w:p>
        </w:tc>
        <w:tc>
          <w:tcPr>
            <w:tcW w:w="7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Credit</w:t>
            </w:r>
          </w:p>
        </w:tc>
        <w:tc>
          <w:tcPr>
            <w:tcW w:w="80" w:type="dxa"/>
            <w:vAlign w:val="bottom"/>
          </w:tcPr>
          <w:p>
            <w:pPr>
              <w:spacing w:after="0"/>
              <w:rPr>
                <w:sz w:val="10"/>
                <w:szCs w:val="10"/>
                <w:color w:val="auto"/>
              </w:rPr>
            </w:pPr>
          </w:p>
        </w:tc>
        <w:tc>
          <w:tcPr>
            <w:tcW w:w="9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Public</w:t>
            </w:r>
          </w:p>
        </w:tc>
        <w:tc>
          <w:tcPr>
            <w:tcW w:w="7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SBA</w:t>
            </w:r>
          </w:p>
        </w:tc>
        <w:tc>
          <w:tcPr>
            <w:tcW w:w="160" w:type="dxa"/>
            <w:vAlign w:val="bottom"/>
          </w:tcPr>
          <w:p>
            <w:pPr>
              <w:spacing w:after="0"/>
              <w:rPr>
                <w:sz w:val="10"/>
                <w:szCs w:val="10"/>
                <w:color w:val="auto"/>
              </w:rPr>
            </w:pPr>
          </w:p>
        </w:tc>
        <w:tc>
          <w:tcPr>
            <w:tcW w:w="720" w:type="dxa"/>
            <w:vAlign w:val="bottom"/>
            <w:gridSpan w:val="4"/>
          </w:tcPr>
          <w:p>
            <w:pPr>
              <w:jc w:val="right"/>
              <w:ind w:right="22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60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Public</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debentures</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Notes</w:t>
            </w: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7"/>
              </w:rPr>
              <w:t>debentures</w:t>
            </w:r>
          </w:p>
        </w:tc>
        <w:tc>
          <w:tcPr>
            <w:tcW w:w="160" w:type="dxa"/>
            <w:vAlign w:val="bottom"/>
          </w:tcPr>
          <w:p>
            <w:pPr>
              <w:spacing w:after="0"/>
              <w:rPr>
                <w:sz w:val="14"/>
                <w:szCs w:val="14"/>
                <w:color w:val="auto"/>
              </w:rPr>
            </w:pPr>
          </w:p>
        </w:tc>
        <w:tc>
          <w:tcPr>
            <w:tcW w:w="7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6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Outstanding debt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$156,500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$182,250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$373,750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$157,500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$25,000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$182,250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$364,750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8"/>
                <w:szCs w:val="18"/>
                <w:color w:val="auto"/>
              </w:rPr>
              <w:t>Less: unamortized deferred financing costs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(3,578)</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(1,018)</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(5,023)</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(9,619)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(3,698)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(1,101)</w:t>
            </w:r>
          </w:p>
        </w:tc>
        <w:tc>
          <w:tcPr>
            <w:tcW w:w="920" w:type="dxa"/>
            <w:vAlign w:val="bottom"/>
            <w:gridSpan w:val="6"/>
          </w:tcPr>
          <w:p>
            <w:pPr>
              <w:jc w:val="right"/>
              <w:ind w:right="8"/>
              <w:spacing w:after="0"/>
              <w:rPr>
                <w:sz w:val="20"/>
                <w:szCs w:val="20"/>
                <w:color w:val="auto"/>
              </w:rPr>
            </w:pPr>
            <w:r>
              <w:rPr>
                <w:rFonts w:ascii="Arial" w:cs="Arial" w:eastAsia="Arial" w:hAnsi="Arial"/>
                <w:sz w:val="18"/>
                <w:szCs w:val="18"/>
                <w:color w:val="auto"/>
              </w:rPr>
              <w:t>(5,349)</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Debt, net of deferred financing costs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152,922</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33,982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177,227</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364,131</w:t>
            </w: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153,802</w:t>
            </w:r>
          </w:p>
        </w:tc>
        <w:tc>
          <w:tcPr>
            <w:tcW w:w="8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23,899</w:t>
            </w:r>
          </w:p>
        </w:tc>
        <w:tc>
          <w:tcPr>
            <w:tcW w:w="920" w:type="dxa"/>
            <w:vAlign w:val="bottom"/>
            <w:gridSpan w:val="6"/>
            <w:shd w:val="clear" w:color="auto" w:fill="CCEEFF"/>
          </w:tcPr>
          <w:p>
            <w:pPr>
              <w:jc w:val="right"/>
              <w:ind w:right="6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176,901</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354,602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80" w:type="dxa"/>
            <w:vAlign w:val="bottom"/>
            <w:gridSpan w:val="15"/>
          </w:tcPr>
          <w:p>
            <w:pPr>
              <w:ind w:left="440"/>
              <w:spacing w:after="0"/>
              <w:rPr>
                <w:sz w:val="20"/>
                <w:szCs w:val="20"/>
                <w:color w:val="auto"/>
              </w:rPr>
            </w:pPr>
            <w:r>
              <w:rPr>
                <w:rFonts w:ascii="Arial" w:cs="Arial" w:eastAsia="Arial" w:hAnsi="Arial"/>
                <w:sz w:val="18"/>
                <w:szCs w:val="18"/>
                <w:color w:val="auto"/>
                <w:w w:val="96"/>
              </w:rPr>
              <w:t xml:space="preserve">As of March 31, 2020, the Company’s debt liabilities are scheduled to mature as follows </w:t>
            </w:r>
            <w:r>
              <w:rPr>
                <w:rFonts w:ascii="Arial" w:cs="Arial" w:eastAsia="Arial" w:hAnsi="Arial"/>
                <w:sz w:val="15"/>
                <w:szCs w:val="15"/>
                <w:color w:val="auto"/>
                <w:w w:val="96"/>
              </w:rPr>
              <w:t>(1)</w:t>
            </w:r>
            <w:r>
              <w:rPr>
                <w:rFonts w:ascii="Arial" w:cs="Arial" w:eastAsia="Arial" w:hAnsi="Arial"/>
                <w:sz w:val="18"/>
                <w:szCs w:val="18"/>
                <w:color w:val="auto"/>
                <w:w w:val="96"/>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Year</w:t>
            </w:r>
          </w:p>
        </w:tc>
        <w:tc>
          <w:tcPr>
            <w:tcW w:w="2600" w:type="dxa"/>
            <w:vAlign w:val="bottom"/>
            <w:vMerge w:val="restart"/>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SBA</w:t>
            </w:r>
          </w:p>
        </w:tc>
        <w:tc>
          <w:tcPr>
            <w:tcW w:w="240" w:type="dxa"/>
            <w:vAlign w:val="bottom"/>
          </w:tcPr>
          <w:p>
            <w:pPr>
              <w:spacing w:after="0"/>
              <w:rPr>
                <w:sz w:val="24"/>
                <w:szCs w:val="24"/>
                <w:color w:val="auto"/>
              </w:rPr>
            </w:pPr>
          </w:p>
        </w:tc>
        <w:tc>
          <w:tcPr>
            <w:tcW w:w="600" w:type="dxa"/>
            <w:vAlign w:val="bottom"/>
            <w:gridSpan w:val="4"/>
          </w:tcPr>
          <w:p>
            <w:pPr>
              <w:jc w:val="right"/>
              <w:ind w:right="24"/>
              <w:spacing w:after="0"/>
              <w:rPr>
                <w:sz w:val="20"/>
                <w:szCs w:val="20"/>
                <w:color w:val="auto"/>
              </w:rPr>
            </w:pPr>
            <w:r>
              <w:rPr>
                <w:rFonts w:ascii="Arial" w:cs="Arial" w:eastAsia="Arial" w:hAnsi="Arial"/>
                <w:sz w:val="14"/>
                <w:szCs w:val="14"/>
                <w:b w:val="1"/>
                <w:bCs w:val="1"/>
                <w:color w:val="auto"/>
              </w:rPr>
              <w:t>Credit</w:t>
            </w:r>
          </w:p>
        </w:tc>
        <w:tc>
          <w:tcPr>
            <w:tcW w:w="260" w:type="dxa"/>
            <w:vAlign w:val="bottom"/>
          </w:tcPr>
          <w:p>
            <w:pPr>
              <w:spacing w:after="0"/>
              <w:rPr>
                <w:sz w:val="24"/>
                <w:szCs w:val="24"/>
                <w:color w:val="auto"/>
              </w:rPr>
            </w:pPr>
          </w:p>
        </w:tc>
        <w:tc>
          <w:tcPr>
            <w:tcW w:w="9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Public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w w:val="90"/>
              </w:rPr>
              <w:t>debentures</w:t>
            </w:r>
          </w:p>
        </w:tc>
        <w:tc>
          <w:tcPr>
            <w:tcW w:w="240" w:type="dxa"/>
            <w:vAlign w:val="bottom"/>
          </w:tcPr>
          <w:p>
            <w:pPr>
              <w:spacing w:after="0"/>
              <w:rPr>
                <w:sz w:val="15"/>
                <w:szCs w:val="15"/>
                <w:color w:val="auto"/>
              </w:rPr>
            </w:pPr>
          </w:p>
        </w:tc>
        <w:tc>
          <w:tcPr>
            <w:tcW w:w="600" w:type="dxa"/>
            <w:vAlign w:val="bottom"/>
            <w:gridSpan w:val="4"/>
          </w:tcPr>
          <w:p>
            <w:pPr>
              <w:jc w:val="right"/>
              <w:spacing w:after="0" w:line="158" w:lineRule="exact"/>
              <w:rPr>
                <w:sz w:val="20"/>
                <w:szCs w:val="20"/>
                <w:color w:val="auto"/>
              </w:rPr>
            </w:pPr>
            <w:r>
              <w:rPr>
                <w:rFonts w:ascii="Arial" w:cs="Arial" w:eastAsia="Arial" w:hAnsi="Arial"/>
                <w:sz w:val="14"/>
                <w:szCs w:val="14"/>
                <w:b w:val="1"/>
                <w:bCs w:val="1"/>
                <w:color w:val="auto"/>
              </w:rPr>
              <w:t>Facility</w:t>
            </w:r>
          </w:p>
        </w:tc>
        <w:tc>
          <w:tcPr>
            <w:tcW w:w="260" w:type="dxa"/>
            <w:vAlign w:val="bottom"/>
          </w:tcPr>
          <w:p>
            <w:pPr>
              <w:spacing w:after="0"/>
              <w:rPr>
                <w:sz w:val="15"/>
                <w:szCs w:val="15"/>
                <w:color w:val="auto"/>
              </w:rPr>
            </w:pPr>
          </w:p>
        </w:tc>
        <w:tc>
          <w:tcPr>
            <w:tcW w:w="940" w:type="dxa"/>
            <w:vAlign w:val="bottom"/>
            <w:gridSpan w:val="5"/>
          </w:tcPr>
          <w:p>
            <w:pPr>
              <w:jc w:val="right"/>
              <w:ind w:right="420"/>
              <w:spacing w:after="0" w:line="158" w:lineRule="exact"/>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5"/>
          </w:tcPr>
          <w:p>
            <w:pPr>
              <w:jc w:val="right"/>
              <w:ind w:right="700"/>
              <w:spacing w:after="0" w:line="15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040" w:type="dxa"/>
            <w:vAlign w:val="bottom"/>
            <w:tcBorders>
              <w:top w:val="single" w:sz="8" w:color="CCEEFF"/>
            </w:tcBorders>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2020</w:t>
            </w:r>
          </w:p>
        </w:tc>
        <w:tc>
          <w:tcPr>
            <w:tcW w:w="2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line="203"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4"/>
              <w:spacing w:after="0" w:line="203"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right w:val="single" w:sz="8" w:color="CCEEFF"/>
            </w:tcBorders>
            <w:shd w:val="clear" w:color="auto" w:fill="CCEEFF"/>
          </w:tcPr>
          <w:p>
            <w:pPr>
              <w:jc w:val="right"/>
              <w:ind w:right="54"/>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2021</w:t>
            </w:r>
          </w:p>
        </w:tc>
        <w:tc>
          <w:tcPr>
            <w:tcW w:w="2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4"/>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2022</w:t>
            </w:r>
          </w:p>
        </w:tc>
        <w:tc>
          <w:tcPr>
            <w:tcW w:w="2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2023</w:t>
            </w:r>
          </w:p>
        </w:tc>
        <w:tc>
          <w:tcPr>
            <w:tcW w:w="2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w w:val="99"/>
              </w:rPr>
              <w:t>—</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35,000</w:t>
            </w:r>
          </w:p>
        </w:tc>
        <w:tc>
          <w:tcPr>
            <w:tcW w:w="1200" w:type="dxa"/>
            <w:vAlign w:val="bottom"/>
            <w:gridSpan w:val="6"/>
          </w:tcPr>
          <w:p>
            <w:pPr>
              <w:jc w:val="right"/>
              <w:ind w:right="26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85,000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2024</w:t>
            </w:r>
          </w:p>
        </w:tc>
        <w:tc>
          <w:tcPr>
            <w:tcW w:w="2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w w:val="99"/>
              </w:rPr>
              <w:t>—</w:t>
            </w:r>
          </w:p>
        </w:tc>
        <w:tc>
          <w:tcPr>
            <w:tcW w:w="120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132,250</w:t>
            </w: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132,250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00" w:type="dxa"/>
            <w:vAlign w:val="bottom"/>
            <w:gridSpan w:val="2"/>
          </w:tcPr>
          <w:p>
            <w:pPr>
              <w:ind w:left="80"/>
              <w:spacing w:after="0"/>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156,500</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156,500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156,500</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35,000</w:t>
            </w:r>
          </w:p>
        </w:tc>
        <w:tc>
          <w:tcPr>
            <w:tcW w:w="120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182,250</w:t>
            </w:r>
          </w:p>
        </w:tc>
        <w:tc>
          <w:tcPr>
            <w:tcW w:w="7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373,750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40" w:hanging="424"/>
        <w:spacing w:after="0" w:line="263"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The Company had outstanding commitments to portfolio companies to fund various undrawn revolving loans, other debt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capital commitments totaling $4,757 as of March 31, 2020 and December 31, 2019. Such outstanding commitments are summarized in the following table:</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March 31, 2020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3"/>
              </w:rPr>
              <w:t>Portfolio Company - Investment</w:t>
            </w:r>
          </w:p>
        </w:tc>
        <w:tc>
          <w:tcPr>
            <w:tcW w:w="354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rPr>
              <w:t>Total</w:t>
            </w: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
              <w:spacing w:after="0" w:line="133" w:lineRule="exact"/>
              <w:rPr>
                <w:sz w:val="20"/>
                <w:szCs w:val="20"/>
                <w:color w:val="auto"/>
              </w:rPr>
            </w:pPr>
            <w:r>
              <w:rPr>
                <w:rFonts w:ascii="Arial" w:cs="Arial" w:eastAsia="Arial" w:hAnsi="Arial"/>
                <w:sz w:val="14"/>
                <w:szCs w:val="14"/>
                <w:b w:val="1"/>
                <w:bCs w:val="1"/>
                <w:color w:val="auto"/>
                <w:w w:val="91"/>
              </w:rPr>
              <w:t>Unfunded</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ind w:right="280"/>
              <w:spacing w:after="0" w:line="133" w:lineRule="exact"/>
              <w:rPr>
                <w:sz w:val="20"/>
                <w:szCs w:val="20"/>
                <w:color w:val="auto"/>
              </w:rPr>
            </w:pPr>
            <w:r>
              <w:rPr>
                <w:rFonts w:ascii="Arial" w:cs="Arial" w:eastAsia="Arial" w:hAnsi="Arial"/>
                <w:sz w:val="14"/>
                <w:szCs w:val="14"/>
                <w:b w:val="1"/>
                <w:bCs w:val="1"/>
                <w:color w:val="auto"/>
              </w:rPr>
              <w:t>Total</w:t>
            </w: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
              <w:spacing w:after="0" w:line="133" w:lineRule="exact"/>
              <w:rPr>
                <w:sz w:val="20"/>
                <w:szCs w:val="20"/>
                <w:color w:val="auto"/>
              </w:rPr>
            </w:pPr>
            <w:r>
              <w:rPr>
                <w:rFonts w:ascii="Arial" w:cs="Arial" w:eastAsia="Arial" w:hAnsi="Arial"/>
                <w:sz w:val="14"/>
                <w:szCs w:val="14"/>
                <w:b w:val="1"/>
                <w:bCs w:val="1"/>
                <w:color w:val="auto"/>
                <w:w w:val="91"/>
              </w:rPr>
              <w:t>Unfunded</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00" w:type="dxa"/>
            <w:vAlign w:val="bottom"/>
            <w:tcBorders>
              <w:bottom w:val="single" w:sz="8" w:color="auto"/>
            </w:tcBorders>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right"/>
              <w:ind w:right="20"/>
              <w:spacing w:after="0" w:line="158" w:lineRule="exact"/>
              <w:rPr>
                <w:sz w:val="20"/>
                <w:szCs w:val="20"/>
                <w:color w:val="auto"/>
              </w:rPr>
            </w:pPr>
            <w:r>
              <w:rPr>
                <w:rFonts w:ascii="Arial" w:cs="Arial" w:eastAsia="Arial" w:hAnsi="Arial"/>
                <w:sz w:val="14"/>
                <w:szCs w:val="14"/>
                <w:b w:val="1"/>
                <w:bCs w:val="1"/>
                <w:color w:val="auto"/>
                <w:w w:val="91"/>
              </w:rPr>
              <w:t>Commitment</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5"/>
              </w:rPr>
              <w:t>Commitment</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5"/>
              </w:rPr>
              <w:t>Commitment</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5"/>
              </w:rPr>
              <w:t>Commitment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Combined Systems, Inc. - Revolving Loan</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FDS Avionics Corp. (dba Flight Display Systems) - Revolving Loan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French Transit, LLC - Revolving Loan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Rhino Assembly Company, LLC - Delayed Draw Commitment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875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875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Safety Products Group, LLC - Common Equity (Units)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7"/>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w:t>
            </w:r>
          </w:p>
        </w:tc>
        <w:tc>
          <w:tcPr>
            <w:tcW w:w="4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7"/>
              </w:rPr>
              <w:t>(1)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w:t>
            </w:r>
          </w:p>
        </w:tc>
        <w:tc>
          <w:tcPr>
            <w:tcW w:w="4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7"/>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(1)</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2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the Company’s maximum potential liability related to certain guaranteed obligations stemming from the prior sale of the portfolio company’s underlying operations.</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Additional detail for each of the commitments above is provided in the Company’s consolidated schedules of investments.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commitments are generally subject to the borrowers meeting certain criteria such as compliance with financial and nonfinancial covenants.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Since commitments may expire without being drawn upon, the total commitment amount does not necessarily represent future cash requirements.</w:t>
      </w:r>
    </w:p>
    <w:p>
      <w:pPr>
        <w:spacing w:after="0" w:line="22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In the normal course of business, the Company enters into contracts and agreements that contain a variety of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95"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the normal course of business, the Company may be subject to legal and regulatory proceedings that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incidental to its ongoing operations. While the outcome of any such legal proceedings cannot be predicted with certainty, the Company does not believe any such legal proceedings will have a material adverse effect on the Company’s consolidated financial statements.</w:t>
      </w:r>
    </w:p>
    <w:p>
      <w:pPr>
        <w:sectPr>
          <w:pgSz w:w="11900" w:h="16838" w:orient="portrait"/>
          <w:cols w:equalWidth="0" w:num="1">
            <w:col w:w="11140"/>
          </w:cols>
          <w:pgMar w:left="320" w:top="459" w:right="439" w:bottom="844" w:gutter="0" w:footer="0" w:header="0"/>
        </w:sectPr>
      </w:pP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40"/>
          </w:cols>
          <w:pgMar w:left="320" w:top="459" w:right="439" w:bottom="844"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Offerings of Common Stock</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summarizes the cumulative total shares issued, net proceeds received, and weighted average offering price in public offerings of the Company’s common stock since the IPO.</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Cumulative</w:t>
            </w:r>
          </w:p>
        </w:tc>
        <w:tc>
          <w:tcPr>
            <w:tcW w:w="300" w:type="dxa"/>
            <w:vAlign w:val="bottom"/>
          </w:tcPr>
          <w:p>
            <w:pPr>
              <w:spacing w:after="0"/>
              <w:rPr>
                <w:sz w:val="14"/>
                <w:szCs w:val="14"/>
                <w:color w:val="auto"/>
              </w:rPr>
            </w:pP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 Gross</w:t>
            </w:r>
          </w:p>
        </w:tc>
        <w:tc>
          <w:tcPr>
            <w:tcW w:w="28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Cumulative Underwriting Fees and</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4"/>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240" w:type="dxa"/>
            <w:vAlign w:val="bottom"/>
            <w:vMerge w:val="restart"/>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2820" w:type="dxa"/>
            <w:vAlign w:val="bottom"/>
            <w:gridSpan w:val="3"/>
          </w:tcPr>
          <w:p>
            <w:pPr>
              <w:jc w:val="center"/>
              <w:ind w:right="680"/>
              <w:spacing w:after="0" w:line="145" w:lineRule="exact"/>
              <w:rPr>
                <w:sz w:val="20"/>
                <w:szCs w:val="20"/>
                <w:color w:val="auto"/>
              </w:rPr>
            </w:pPr>
            <w:r>
              <w:rPr>
                <w:rFonts w:ascii="Arial" w:cs="Arial" w:eastAsia="Arial" w:hAnsi="Arial"/>
                <w:sz w:val="14"/>
                <w:szCs w:val="14"/>
                <w:b w:val="1"/>
                <w:bCs w:val="1"/>
                <w:color w:val="auto"/>
                <w:w w:val="91"/>
              </w:rPr>
              <w:t>Commissions and Offering Costs</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20" w:type="dxa"/>
            <w:vAlign w:val="bottom"/>
            <w:tcBorders>
              <w:bottom w:val="single" w:sz="8" w:color="auto"/>
            </w:tcBorders>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4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Number of Shares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Proceeds</w:t>
            </w:r>
          </w:p>
        </w:tc>
        <w:tc>
          <w:tcPr>
            <w:tcW w:w="560" w:type="dxa"/>
            <w:vAlign w:val="bottom"/>
          </w:tcPr>
          <w:p>
            <w:pPr>
              <w:spacing w:after="0"/>
              <w:rPr>
                <w:sz w:val="14"/>
                <w:szCs w:val="14"/>
                <w:color w:val="auto"/>
              </w:rPr>
            </w:pPr>
          </w:p>
        </w:tc>
        <w:tc>
          <w:tcPr>
            <w:tcW w:w="1620" w:type="dxa"/>
            <w:vAlign w:val="bottom"/>
          </w:tcPr>
          <w:p>
            <w:pPr>
              <w:jc w:val="center"/>
              <w:ind w:right="484"/>
              <w:spacing w:after="0"/>
              <w:rPr>
                <w:sz w:val="20"/>
                <w:szCs w:val="20"/>
                <w:color w:val="auto"/>
              </w:rPr>
            </w:pPr>
            <w:r>
              <w:rPr>
                <w:rFonts w:ascii="Arial" w:cs="Arial" w:eastAsia="Arial" w:hAnsi="Arial"/>
                <w:sz w:val="12"/>
                <w:szCs w:val="12"/>
                <w:b w:val="1"/>
                <w:bCs w:val="1"/>
                <w:color w:val="auto"/>
                <w:w w:val="95"/>
              </w:rPr>
              <w:t>(1)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Offering Price</w:t>
            </w:r>
          </w:p>
        </w:tc>
        <w:tc>
          <w:tcPr>
            <w:tcW w:w="0" w:type="dxa"/>
            <w:vAlign w:val="bottom"/>
          </w:tcPr>
          <w:p>
            <w:pPr>
              <w:spacing w:after="0"/>
              <w:rPr>
                <w:sz w:val="1"/>
                <w:szCs w:val="1"/>
                <w:color w:val="auto"/>
              </w:rPr>
            </w:pPr>
          </w:p>
        </w:tc>
      </w:tr>
      <w:tr>
        <w:trPr>
          <w:trHeight w:val="203"/>
        </w:trPr>
        <w:tc>
          <w:tcPr>
            <w:tcW w:w="2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Cumulative since IPO</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14,388,414</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236,597</w:t>
            </w:r>
          </w:p>
        </w:tc>
        <w:tc>
          <w:tcPr>
            <w:tcW w:w="6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82"/>
              <w:spacing w:after="0" w:line="203"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8,989</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60" w:hanging="424"/>
        <w:spacing w:after="0" w:line="263"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 ATM Program</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the last two fiscal years and for the three months ended March 31,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As described in Note 2, the Company has a Stock Repurchase Program under which the Company may acquire up to $5,000 of its outstanding common stock. During the three months ended March 31, 2020, the Company repurchased 25,719 shares of common stock, respectively, on the open market for $268. The Company did not make any repurchases of common stock during the three months ended March 31, 2019. The Company’s NAV per share increased by approximately $0.01 for the three months ended March 31, 2020, as a result of the share repurchases. The following table summarizes the Company’s share repurchases under the Stock Repurchase Program for the three months ended March 31, 2020 and 2019:</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Repurchases of Common Stock</w:t>
            </w:r>
          </w:p>
        </w:tc>
        <w:tc>
          <w:tcPr>
            <w:tcW w:w="58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8"/>
        </w:trPr>
        <w:tc>
          <w:tcPr>
            <w:tcW w:w="1940" w:type="dxa"/>
            <w:vAlign w:val="bottom"/>
            <w:tcBorders>
              <w:bottom w:val="single" w:sz="8" w:color="auto"/>
            </w:tcBorders>
            <w:vMerge w:val="continue"/>
          </w:tcPr>
          <w:p>
            <w:pPr>
              <w:spacing w:after="0"/>
              <w:rPr>
                <w:sz w:val="12"/>
                <w:szCs w:val="12"/>
                <w:color w:val="auto"/>
              </w:rPr>
            </w:pPr>
          </w:p>
        </w:tc>
        <w:tc>
          <w:tcPr>
            <w:tcW w:w="580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35"/>
              <w:spacing w:after="0" w:line="129"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Number of shares repurchased</w:t>
            </w: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25,719</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Cost of shares repurchased, including commissions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268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price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Net asset value per share at prior quarter end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16.85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to net asset value at quarter end prior to repurchases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Note 9 for additional information regarding the issuance of shares under the DRIP.</w:t>
      </w:r>
    </w:p>
    <w:p>
      <w:pPr>
        <w:spacing w:after="0" w:line="225" w:lineRule="exact"/>
        <w:rPr>
          <w:sz w:val="20"/>
          <w:szCs w:val="20"/>
          <w:color w:val="auto"/>
        </w:rPr>
      </w:pPr>
    </w:p>
    <w:p>
      <w:pPr>
        <w:jc w:val="center"/>
        <w:ind w:left="660" w:right="220"/>
        <w:spacing w:after="0" w:line="449" w:lineRule="auto"/>
        <w:rPr>
          <w:sz w:val="20"/>
          <w:szCs w:val="20"/>
          <w:color w:val="auto"/>
        </w:rPr>
      </w:pPr>
      <w:r>
        <w:rPr>
          <w:rFonts w:ascii="Arial" w:cs="Arial" w:eastAsia="Arial" w:hAnsi="Arial"/>
          <w:sz w:val="18"/>
          <w:szCs w:val="18"/>
          <w:color w:val="auto"/>
        </w:rPr>
        <w:t>The Company had 24,437,400 and 24,463,119 shares of common stock outstanding as of March 31, 2020 and December 31, 2019, respectively. 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Dividends and Distributions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Company’s dividends and distributions are recorded on the record date. The following table summarizes the dividends paid during the last two fiscal years and for the three months ended March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Record</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Payment</w:t>
            </w:r>
          </w:p>
        </w:tc>
        <w:tc>
          <w:tcPr>
            <w:tcW w:w="120" w:type="dxa"/>
            <w:vAlign w:val="bottom"/>
          </w:tcPr>
          <w:p>
            <w:pPr>
              <w:spacing w:after="0"/>
              <w:rPr>
                <w:sz w:val="14"/>
                <w:szCs w:val="14"/>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Cash</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DRIP</w:t>
            </w: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DRIP</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74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Shares</w:t>
            </w:r>
          </w:p>
        </w:tc>
        <w:tc>
          <w:tcPr>
            <w:tcW w:w="820" w:type="dxa"/>
            <w:vAlign w:val="bottom"/>
            <w:gridSpan w:val="2"/>
            <w:vMerge w:val="continue"/>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0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5"/>
                <w:szCs w:val="15"/>
                <w:color w:val="auto"/>
              </w:rPr>
            </w:pPr>
          </w:p>
        </w:tc>
        <w:tc>
          <w:tcPr>
            <w:tcW w:w="8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Share</w:t>
            </w:r>
          </w:p>
        </w:tc>
        <w:tc>
          <w:tcPr>
            <w:tcW w:w="10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Distribution</w:t>
            </w:r>
          </w:p>
        </w:tc>
        <w:tc>
          <w:tcPr>
            <w:tcW w:w="10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Distribution</w:t>
            </w:r>
          </w:p>
        </w:tc>
        <w:tc>
          <w:tcPr>
            <w:tcW w:w="82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w w:val="96"/>
              </w:rPr>
              <w:t>Value</w:t>
            </w:r>
          </w:p>
        </w:tc>
        <w:tc>
          <w:tcPr>
            <w:tcW w:w="8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Issue Price</w:t>
            </w:r>
          </w:p>
        </w:tc>
        <w:tc>
          <w:tcPr>
            <w:tcW w:w="0" w:type="dxa"/>
            <w:vAlign w:val="bottom"/>
          </w:tcPr>
          <w:p>
            <w:pPr>
              <w:spacing w:after="0"/>
              <w:rPr>
                <w:sz w:val="1"/>
                <w:szCs w:val="1"/>
                <w:color w:val="auto"/>
              </w:rPr>
            </w:pPr>
          </w:p>
        </w:tc>
      </w:tr>
      <w:tr>
        <w:trPr>
          <w:trHeight w:val="189"/>
        </w:trPr>
        <w:tc>
          <w:tcPr>
            <w:tcW w:w="3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Ended December 31, 2018:</w:t>
            </w: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2/13/2018</w:t>
            </w:r>
          </w:p>
        </w:tc>
        <w:tc>
          <w:tcPr>
            <w:tcW w:w="27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3/9/2018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3/23/2018</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9,558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9,558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4/30/2018</w:t>
            </w:r>
          </w:p>
        </w:tc>
        <w:tc>
          <w:tcPr>
            <w:tcW w:w="27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6/8/2018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6/22/2018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7/30/2018</w:t>
            </w:r>
          </w:p>
        </w:tc>
        <w:tc>
          <w:tcPr>
            <w:tcW w:w="27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9/7/2018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9/21/2018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9,540</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9,540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95"/>
              </w:rPr>
              <w:t>10/30/2018</w:t>
            </w:r>
          </w:p>
        </w:tc>
        <w:tc>
          <w:tcPr>
            <w:tcW w:w="27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12/7/2018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12/21/2018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 xml:space="preserve">10/30/2018 </w:t>
            </w:r>
            <w:r>
              <w:rPr>
                <w:rFonts w:ascii="Arial" w:cs="Arial" w:eastAsia="Arial" w:hAnsi="Arial"/>
                <w:sz w:val="15"/>
                <w:szCs w:val="15"/>
                <w:color w:val="auto"/>
              </w:rPr>
              <w:t>(1)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12/7/2018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12/21/2018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w:t>
            </w:r>
          </w:p>
        </w:tc>
        <w:tc>
          <w:tcPr>
            <w:tcW w:w="2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39,158</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39,158</w:t>
            </w:r>
          </w:p>
        </w:tc>
        <w:tc>
          <w:tcPr>
            <w:tcW w:w="24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Year Ended December 31, 2019:</w:t>
            </w: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1/31/2019</w:t>
            </w:r>
          </w:p>
        </w:tc>
        <w:tc>
          <w:tcPr>
            <w:tcW w:w="27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3/8/2019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3/22/2019</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4/29/2019</w:t>
            </w:r>
          </w:p>
        </w:tc>
        <w:tc>
          <w:tcPr>
            <w:tcW w:w="27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6/7/2019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6/21/2019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9,540</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9,540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7/29/2019</w:t>
            </w:r>
          </w:p>
        </w:tc>
        <w:tc>
          <w:tcPr>
            <w:tcW w:w="27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9/6/2019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9/20/2019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10/29/2019</w:t>
            </w:r>
          </w:p>
        </w:tc>
        <w:tc>
          <w:tcPr>
            <w:tcW w:w="27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12/6/2019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12/20/2019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9,541</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9,541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10/29/2019 </w:t>
            </w:r>
            <w:r>
              <w:rPr>
                <w:rFonts w:ascii="Arial" w:cs="Arial" w:eastAsia="Arial" w:hAnsi="Arial"/>
                <w:sz w:val="15"/>
                <w:szCs w:val="15"/>
                <w:color w:val="auto"/>
              </w:rPr>
              <w:t>(1)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12/6/2019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12/20/2019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39,141</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March 31, 2020:</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2/14/2020</w:t>
            </w:r>
          </w:p>
        </w:tc>
        <w:tc>
          <w:tcPr>
            <w:tcW w:w="27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3/13/2020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3/27/2020</w:t>
            </w:r>
          </w:p>
        </w:tc>
        <w:tc>
          <w:tcPr>
            <w:tcW w:w="1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9,537</w:t>
            </w: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9,537</w:t>
            </w:r>
          </w:p>
        </w:tc>
        <w:tc>
          <w:tcPr>
            <w:tcW w:w="2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24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Special dividend.</w:t>
      </w:r>
    </w:p>
    <w:p>
      <w:pPr>
        <w:spacing w:after="0" w:line="23" w:lineRule="exact"/>
        <w:rPr>
          <w:rFonts w:ascii="Arial" w:cs="Arial" w:eastAsia="Arial" w:hAnsi="Arial"/>
          <w:sz w:val="18"/>
          <w:szCs w:val="18"/>
          <w:color w:val="auto"/>
        </w:rPr>
      </w:pPr>
    </w:p>
    <w:p>
      <w:pPr>
        <w:jc w:val="both"/>
        <w:ind w:left="540" w:right="120" w:hanging="424"/>
        <w:spacing w:after="0" w:line="277"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During the three months ended March 31, 2020 and the years ended December 31, 2019 and 2018, the Company directed the DRIP program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17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 Ended December 31, 2018:</w:t>
            </w:r>
          </w:p>
        </w:tc>
        <w:tc>
          <w:tcPr>
            <w:tcW w:w="1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1180" w:type="dxa"/>
            <w:vAlign w:val="bottom"/>
            <w:gridSpan w:val="3"/>
          </w:tcPr>
          <w:p>
            <w:pPr>
              <w:ind w:left="5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40" w:type="dxa"/>
            <w:vAlign w:val="bottom"/>
            <w:gridSpan w:val="3"/>
            <w:vMerge w:val="continue"/>
          </w:tcPr>
          <w:p>
            <w:pPr>
              <w:spacing w:after="0"/>
              <w:rPr>
                <w:sz w:val="13"/>
                <w:szCs w:val="13"/>
                <w:color w:val="auto"/>
              </w:rPr>
            </w:pPr>
          </w:p>
        </w:tc>
        <w:tc>
          <w:tcPr>
            <w:tcW w:w="21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and Reissued</w:t>
            </w:r>
          </w:p>
        </w:tc>
        <w:tc>
          <w:tcPr>
            <w:tcW w:w="520" w:type="dxa"/>
            <w:vAlign w:val="bottom"/>
          </w:tcPr>
          <w:p>
            <w:pPr>
              <w:spacing w:after="0"/>
              <w:rPr>
                <w:sz w:val="13"/>
                <w:szCs w:val="13"/>
                <w:color w:val="auto"/>
              </w:rPr>
            </w:pPr>
          </w:p>
        </w:tc>
        <w:tc>
          <w:tcPr>
            <w:tcW w:w="6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4"/>
              </w:rPr>
              <w:t>Per Share</w:t>
            </w:r>
          </w:p>
        </w:tc>
        <w:tc>
          <w:tcPr>
            <w:tcW w:w="1400" w:type="dxa"/>
            <w:vAlign w:val="bottom"/>
            <w:gridSpan w:val="4"/>
          </w:tcPr>
          <w:p>
            <w:pPr>
              <w:jc w:val="center"/>
              <w:ind w:left="379"/>
              <w:spacing w:after="0" w:line="158" w:lineRule="exact"/>
              <w:rPr>
                <w:sz w:val="20"/>
                <w:szCs w:val="20"/>
                <w:color w:val="auto"/>
              </w:rPr>
            </w:pPr>
            <w:r>
              <w:rPr>
                <w:rFonts w:ascii="Arial" w:cs="Arial" w:eastAsia="Arial" w:hAnsi="Arial"/>
                <w:sz w:val="14"/>
                <w:szCs w:val="14"/>
                <w:b w:val="1"/>
                <w:bCs w:val="1"/>
                <w:color w:val="auto"/>
                <w:w w:val="94"/>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shd w:val="clear" w:color="auto" w:fill="000000"/>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2018 through March 31, 2018</w:t>
            </w:r>
          </w:p>
        </w:tc>
        <w:tc>
          <w:tcPr>
            <w:tcW w:w="1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16,503</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12.97</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April 1, 2018 through June 30, 2018</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16,216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2018 through September 30, 2018</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October 1, 2018 through December 31, 2018</w:t>
            </w:r>
          </w:p>
        </w:tc>
        <w:tc>
          <w:tcPr>
            <w:tcW w:w="1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29,152</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78,078</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24"/>
                <w:szCs w:val="2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 Ended December 31, 2019:</w:t>
            </w:r>
          </w:p>
        </w:tc>
        <w:tc>
          <w:tcPr>
            <w:tcW w:w="1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1180" w:type="dxa"/>
            <w:vAlign w:val="bottom"/>
            <w:gridSpan w:val="3"/>
          </w:tcPr>
          <w:p>
            <w:pPr>
              <w:ind w:left="5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40" w:type="dxa"/>
            <w:vAlign w:val="bottom"/>
            <w:gridSpan w:val="3"/>
            <w:vMerge w:val="continue"/>
          </w:tcPr>
          <w:p>
            <w:pPr>
              <w:spacing w:after="0"/>
              <w:rPr>
                <w:sz w:val="13"/>
                <w:szCs w:val="13"/>
                <w:color w:val="auto"/>
              </w:rPr>
            </w:pPr>
          </w:p>
        </w:tc>
        <w:tc>
          <w:tcPr>
            <w:tcW w:w="21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and Reissued</w:t>
            </w:r>
          </w:p>
        </w:tc>
        <w:tc>
          <w:tcPr>
            <w:tcW w:w="520" w:type="dxa"/>
            <w:vAlign w:val="bottom"/>
          </w:tcPr>
          <w:p>
            <w:pPr>
              <w:spacing w:after="0"/>
              <w:rPr>
                <w:sz w:val="13"/>
                <w:szCs w:val="13"/>
                <w:color w:val="auto"/>
              </w:rPr>
            </w:pPr>
          </w:p>
        </w:tc>
        <w:tc>
          <w:tcPr>
            <w:tcW w:w="6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4"/>
              </w:rPr>
              <w:t>Per Share</w:t>
            </w:r>
          </w:p>
        </w:tc>
        <w:tc>
          <w:tcPr>
            <w:tcW w:w="1400" w:type="dxa"/>
            <w:vAlign w:val="bottom"/>
            <w:gridSpan w:val="4"/>
          </w:tcPr>
          <w:p>
            <w:pPr>
              <w:jc w:val="center"/>
              <w:ind w:left="379"/>
              <w:spacing w:after="0" w:line="158" w:lineRule="exact"/>
              <w:rPr>
                <w:sz w:val="20"/>
                <w:szCs w:val="20"/>
                <w:color w:val="auto"/>
              </w:rPr>
            </w:pPr>
            <w:r>
              <w:rPr>
                <w:rFonts w:ascii="Arial" w:cs="Arial" w:eastAsia="Arial" w:hAnsi="Arial"/>
                <w:sz w:val="14"/>
                <w:szCs w:val="14"/>
                <w:b w:val="1"/>
                <w:bCs w:val="1"/>
                <w:color w:val="auto"/>
                <w:w w:val="94"/>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shd w:val="clear" w:color="auto" w:fill="000000"/>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2019 through March 31, 2019</w:t>
            </w:r>
          </w:p>
        </w:tc>
        <w:tc>
          <w:tcPr>
            <w:tcW w:w="1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21,855</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15.25</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April 1, 2019 through June 30, 2019</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14,067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16.23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 through September 30, 2019</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October 1, 2019 through December 31, 2019</w:t>
            </w:r>
          </w:p>
        </w:tc>
        <w:tc>
          <w:tcPr>
            <w:tcW w:w="1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17,525</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68,736</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1000"/>
        <w:spacing w:after="0"/>
        <w:rPr>
          <w:sz w:val="20"/>
          <w:szCs w:val="20"/>
          <w:color w:val="auto"/>
        </w:rPr>
      </w:pPr>
      <w:r>
        <w:rPr>
          <w:rFonts w:ascii="Arial" w:cs="Arial" w:eastAsia="Arial" w:hAnsi="Arial"/>
          <w:sz w:val="14"/>
          <w:szCs w:val="14"/>
          <w:b w:val="1"/>
          <w:bCs w:val="1"/>
          <w:u w:val="single" w:color="auto"/>
          <w:color w:val="auto"/>
        </w:rPr>
        <w:t>Three Months Ended March 31, 2020:</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January 1, 2020 through March 31, 2020</w:t>
      </w:r>
    </w:p>
    <w:p>
      <w:pPr>
        <w:spacing w:after="0" w:line="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4"/>
                <w:szCs w:val="14"/>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120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w w:val="91"/>
              </w:rPr>
              <w:t>Price Paid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and Reissued</w:t>
            </w:r>
          </w:p>
        </w:tc>
        <w:tc>
          <w:tcPr>
            <w:tcW w:w="5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Per Share</w:t>
            </w:r>
          </w:p>
        </w:tc>
        <w:tc>
          <w:tcPr>
            <w:tcW w:w="5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2"/>
              </w:rPr>
              <w:t>Amount Paid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31,586</w:t>
            </w: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580" w:type="dxa"/>
            <w:vAlign w:val="bottom"/>
          </w:tcPr>
          <w:p>
            <w:pPr>
              <w:spacing w:after="0"/>
              <w:rPr>
                <w:sz w:val="18"/>
                <w:szCs w:val="18"/>
                <w:color w:val="auto"/>
              </w:rPr>
            </w:pPr>
          </w:p>
        </w:tc>
        <w:tc>
          <w:tcPr>
            <w:tcW w:w="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31,586</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-325120</wp:posOffset>
            </wp:positionV>
            <wp:extent cx="587184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6060" w:space="720"/>
            <w:col w:w="436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40"/>
          </w:cols>
          <w:pgMar w:left="320" w:top="459" w:right="4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Financial Highlights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schedule of financial highlights for the three months ended March 31, 2020 and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16.85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Net realized gain (loss) on investments, net of tax (provision)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unrealized appreciation (depreciation) on investments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Realized losses on extinguishment of debt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increase from investment operations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Accretive (dilutive) effect of share issuances and repurchases</w:t>
            </w:r>
          </w:p>
        </w:tc>
        <w:tc>
          <w:tcPr>
            <w:tcW w:w="8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Dividends to stockholders</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Market value at end of period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7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24,437,400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24,463,119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w:t>
            </w:r>
          </w:p>
        </w:tc>
        <w:tc>
          <w:tcPr>
            <w:tcW w:w="8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w w:val="88"/>
              </w:rPr>
              <w:t>24,457,634</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24,463,119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375,534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404,816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15"/>
                <w:szCs w:val="15"/>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393,922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403,901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to average net assets: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(3)(5)(10)</w:t>
            </w:r>
          </w:p>
        </w:tc>
        <w:tc>
          <w:tcPr>
            <w:tcW w:w="8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(3)(6)</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(4)</w:t>
            </w:r>
          </w:p>
        </w:tc>
        <w:tc>
          <w:tcPr>
            <w:tcW w:w="8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(9)</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Portfolio turnover ratio </w:t>
            </w:r>
            <w:r>
              <w:rPr>
                <w:rFonts w:ascii="Arial" w:cs="Arial" w:eastAsia="Arial" w:hAnsi="Arial"/>
                <w:sz w:val="15"/>
                <w:szCs w:val="15"/>
                <w:color w:val="auto"/>
              </w:rPr>
              <w:t>(3)</w:t>
            </w:r>
          </w:p>
        </w:tc>
        <w:tc>
          <w:tcPr>
            <w:tcW w:w="8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15"/>
                <w:szCs w:val="15"/>
                <w:color w:val="auto"/>
              </w:rPr>
              <w:t>(8)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369,250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283,875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5"/>
                <w:szCs w:val="15"/>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Weighted average per share data.</w:t>
      </w:r>
    </w:p>
    <w:p>
      <w:pPr>
        <w:spacing w:after="0" w:line="23"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jc w:val="both"/>
        <w:ind w:left="540" w:right="100" w:hanging="424"/>
        <w:spacing w:after="0" w:line="265"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ind w:left="540" w:right="70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expenses to average net assets ratio is calculated using the total expenses caption as presented on the consolidated statements of operations, which includes incentive fee and excludes the income tax provision.</w:t>
      </w:r>
    </w:p>
    <w:p>
      <w:pPr>
        <w:ind w:left="540" w:right="46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net investment income to average net assets ratio is calculated using the net investment income caption as presented on the consolidated statements of operations, which includes incentive fee.</w:t>
      </w:r>
    </w:p>
    <w:p>
      <w:pPr>
        <w:ind w:left="540" w:hanging="424"/>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Average net assets is calculated as the average of the net asset balances as of each quarter end during the fiscal year and the prior year end.</w:t>
      </w:r>
    </w:p>
    <w:p>
      <w:pPr>
        <w:spacing w:after="0" w:line="32" w:lineRule="exact"/>
        <w:rPr>
          <w:rFonts w:ascii="Arial" w:cs="Arial" w:eastAsia="Arial" w:hAnsi="Arial"/>
          <w:sz w:val="16"/>
          <w:szCs w:val="16"/>
          <w:color w:val="auto"/>
        </w:rPr>
      </w:pPr>
    </w:p>
    <w:p>
      <w:pPr>
        <w:ind w:left="540" w:right="22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debt outstanding is calculated as the average of the outstanding debt balances as of each quarter end during the fiscal year and the prior year end.</w:t>
      </w:r>
    </w:p>
    <w:p>
      <w:pPr>
        <w:ind w:left="540" w:hanging="424"/>
        <w:spacing w:after="0" w:line="253"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  The following is a schedule of supplemental expense ratios to average net assets: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w w:val="89"/>
              </w:rPr>
              <w:t>Ratio to average net assets:</w:t>
            </w:r>
          </w:p>
        </w:tc>
        <w:tc>
          <w:tcPr>
            <w:tcW w:w="3960" w:type="dxa"/>
            <w:vAlign w:val="bottom"/>
            <w:vMerge w:val="restart"/>
          </w:tcPr>
          <w:p>
            <w:pPr>
              <w:spacing w:after="0"/>
              <w:rPr>
                <w:sz w:val="14"/>
                <w:szCs w:val="14"/>
                <w:color w:val="auto"/>
              </w:rPr>
            </w:pPr>
          </w:p>
        </w:tc>
        <w:tc>
          <w:tcPr>
            <w:tcW w:w="27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33"/>
        </w:trPr>
        <w:tc>
          <w:tcPr>
            <w:tcW w:w="1680" w:type="dxa"/>
            <w:vAlign w:val="bottom"/>
            <w:tcBorders>
              <w:bottom w:val="single" w:sz="8" w:color="auto"/>
            </w:tcBorders>
            <w:vMerge w:val="continue"/>
          </w:tcPr>
          <w:p>
            <w:pPr>
              <w:spacing w:after="0"/>
              <w:rPr>
                <w:sz w:val="11"/>
                <w:szCs w:val="11"/>
                <w:color w:val="auto"/>
              </w:rPr>
            </w:pPr>
          </w:p>
        </w:tc>
        <w:tc>
          <w:tcPr>
            <w:tcW w:w="3960" w:type="dxa"/>
            <w:vAlign w:val="bottom"/>
            <w:vMerge w:val="continue"/>
          </w:tcPr>
          <w:p>
            <w:pPr>
              <w:spacing w:after="0"/>
              <w:rPr>
                <w:sz w:val="11"/>
                <w:szCs w:val="11"/>
                <w:color w:val="auto"/>
              </w:rPr>
            </w:pPr>
          </w:p>
        </w:tc>
        <w:tc>
          <w:tcPr>
            <w:tcW w:w="66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2020</w:t>
            </w:r>
          </w:p>
        </w:tc>
        <w:tc>
          <w:tcPr>
            <w:tcW w:w="1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xml:space="preserve">Expenses other than incentive fee </w:t>
            </w:r>
            <w:r>
              <w:rPr>
                <w:rFonts w:ascii="Arial" w:cs="Arial" w:eastAsia="Arial" w:hAnsi="Arial"/>
                <w:sz w:val="15"/>
                <w:szCs w:val="15"/>
                <w:color w:val="auto"/>
              </w:rPr>
              <w:t>(3)</w:t>
            </w:r>
          </w:p>
        </w:tc>
        <w:tc>
          <w:tcPr>
            <w:tcW w:w="66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vMerge w:val="continue"/>
            <w:shd w:val="clear" w:color="auto" w:fill="CCEEFF"/>
          </w:tcPr>
          <w:p>
            <w:pPr>
              <w:spacing w:after="0"/>
              <w:rPr>
                <w:sz w:val="17"/>
                <w:szCs w:val="17"/>
                <w:color w:val="auto"/>
              </w:rPr>
            </w:pPr>
          </w:p>
        </w:tc>
        <w:tc>
          <w:tcPr>
            <w:tcW w:w="1780" w:type="dxa"/>
            <w:vAlign w:val="bottom"/>
            <w:gridSpan w:val="2"/>
            <w:shd w:val="clear" w:color="auto" w:fill="CCEEFF"/>
          </w:tcPr>
          <w:p>
            <w:pPr>
              <w:jc w:val="right"/>
              <w:ind w:right="960"/>
              <w:spacing w:after="0" w:line="203" w:lineRule="exact"/>
              <w:rPr>
                <w:sz w:val="20"/>
                <w:szCs w:val="20"/>
                <w:color w:val="auto"/>
              </w:rPr>
            </w:pPr>
            <w:r>
              <w:rPr>
                <w:rFonts w:ascii="Arial" w:cs="Arial" w:eastAsia="Arial" w:hAnsi="Arial"/>
                <w:sz w:val="18"/>
                <w:szCs w:val="18"/>
                <w:color w:val="auto"/>
              </w:rPr>
              <w:t>9.7%</w:t>
            </w:r>
          </w:p>
        </w:tc>
        <w:tc>
          <w:tcPr>
            <w:tcW w:w="9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 xml:space="preserve">Incentive fee </w:t>
            </w:r>
            <w:r>
              <w:rPr>
                <w:rFonts w:ascii="Arial" w:cs="Arial" w:eastAsia="Arial" w:hAnsi="Arial"/>
                <w:sz w:val="15"/>
                <w:szCs w:val="15"/>
                <w:color w:val="auto"/>
              </w:rPr>
              <w:t>(3)</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(7.1%)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(3)(5)</w:t>
            </w:r>
          </w:p>
        </w:tc>
        <w:tc>
          <w:tcPr>
            <w:tcW w:w="17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On April 29, 2020, the Board declared a regular quarterly dividend of $0.30 per share payable on June 26, 2020 to stockholders of record as of June 12, 2020.</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On April 30, 2020, the Company invested $12,500 in subordinated debt and common equity of ECM Industries, LLC, a global manufacturer and supplier of electrical products through a wide range of premium brands.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evaluated events subsequent to March 31, 2020 through April 30, 2020. On March 11, 2020, the World Health Organization declared the novel coronavirus (“COVID-19”) as a pandemic, and on March 13, 2020 the United States declared a national emergency with respect to COVID-19. The outbreak of COVID-19 has severely impacted global economic activity and caused significant volatility and negative pressure in financial markets. The global impact of the outbreak has been rapidly evolving and many countries, including the United States, have reacted by instituting quarantines, mandating business and school closures and restricting travel. Such actions are creating disruption in global supply chains and adversely impacting a number of industries. The outbreak could have a continued adverse impact on economic and market conditions and trigger a period of global economic slowdown. The rapid development and fluidity of this situation precludes any prediction as to the ultimate adverse impact of COVID-19. Nevertheless, COVID-19 presents material uncertainty and risks with respect to the underlying value of the Company’s portfolio companies, the Company’s business, financial condition, results of operations and cash flows, such as the potential negative impact to financing arrangements, increased costs of operations, changes in law and/or regulation, and uncertainty regarding government and regulatory policy. Further, the operational and financial performance of the portfolio companies in which we make investments may be significantly impacted by COVID-19, which may in turn impact the valuation of our investments.</w:t>
      </w:r>
    </w:p>
    <w:p>
      <w:pPr>
        <w:spacing w:after="0" w:line="179"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Accordingly, the Company cannot predict the extent to which its financial condition and results of operations will be affected at this time. The potential impact to our results will depend to a large extent on future developments and new information that may emerge regarding the duration and severity of COVID-19 and the actions taken by authorities and other entities to contain the coronavirus or treat its impact, all of which are beyond our control.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10-K for the year ended December 31, 2019, filed with the U.S. Securities and Exchange Commission (“SEC”) on February 27, 2020. The information contained in this section should also be read in conjunction with our unaudited consolidated financial statements and related notes thereto appearing elsewhere in this quarterly report on Form 10-Q.</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i w:val="1"/>
          <w:iCs w:val="1"/>
          <w:color w:val="auto"/>
        </w:rPr>
        <w:t>Except as otherwise specified, references to “we,” “us,” “our,” “Fidus” and “FIC” refer to Fidus Investment Corporation and its consolidated subsidiaries.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98"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right="7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pandemics or other serious public health events, such as the recent global outbreak of COVID-19 (more commonly known as the Coronavirus);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expected financing and investments;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9" w:lineRule="exact"/>
        <w:rPr>
          <w:sz w:val="20"/>
          <w:szCs w:val="20"/>
          <w:color w:val="auto"/>
        </w:rPr>
      </w:pPr>
    </w:p>
    <w:p>
      <w:pPr>
        <w:ind w:left="1080" w:right="14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contraction of available credit and/or an inability to access the equity markets could impair our lending and investment activities;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because we use leverage as part of our investment strategy;</w:t>
      </w:r>
    </w:p>
    <w:p>
      <w:pPr>
        <w:spacing w:after="0" w:line="142" w:lineRule="exact"/>
        <w:rPr>
          <w:rFonts w:ascii="Arial" w:cs="Arial" w:eastAsia="Arial" w:hAnsi="Arial"/>
          <w:sz w:val="17"/>
          <w:szCs w:val="17"/>
          <w:color w:val="auto"/>
        </w:rPr>
      </w:pPr>
    </w:p>
    <w:p>
      <w:pPr>
        <w:ind w:left="1080" w:right="16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the U.S. dollars; and,</w:t>
      </w:r>
    </w:p>
    <w:p>
      <w:pPr>
        <w:spacing w:after="0" w:line="75" w:lineRule="exact"/>
        <w:rPr>
          <w:rFonts w:ascii="Arial" w:cs="Arial" w:eastAsia="Arial" w:hAnsi="Arial"/>
          <w:sz w:val="18"/>
          <w:szCs w:val="18"/>
          <w:color w:val="auto"/>
        </w:rPr>
      </w:pPr>
    </w:p>
    <w:p>
      <w:pPr>
        <w:ind w:left="1080" w:right="100" w:hanging="532"/>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risks, uncertainties and other factors we identify in </w:t>
      </w:r>
      <w:r>
        <w:rPr>
          <w:rFonts w:ascii="Arial" w:cs="Arial" w:eastAsia="Arial" w:hAnsi="Arial"/>
          <w:sz w:val="17"/>
          <w:szCs w:val="17"/>
          <w:i w:val="1"/>
          <w:iCs w:val="1"/>
          <w:color w:val="auto"/>
        </w:rPr>
        <w:t>Item 1A. – Risk Factors</w:t>
      </w:r>
      <w:r>
        <w:rPr>
          <w:rFonts w:ascii="Arial" w:cs="Arial" w:eastAsia="Arial" w:hAnsi="Arial"/>
          <w:sz w:val="17"/>
          <w:szCs w:val="17"/>
          <w:color w:val="auto"/>
        </w:rPr>
        <w:t xml:space="preserve"> contained in our Annual Report on Form 10-K for the year ended December 31, 2019, elsewhere in this Quarterly Report on Form 10-Q and in our other filings with the SEC.</w:t>
      </w:r>
    </w:p>
    <w:p>
      <w:pPr>
        <w:spacing w:after="0" w:line="14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Arial" w:cs="Arial" w:eastAsia="Arial" w:hAnsi="Arial"/>
          <w:sz w:val="16"/>
          <w:szCs w:val="16"/>
          <w:i w:val="1"/>
          <w:iCs w:val="1"/>
          <w:color w:val="auto"/>
        </w:rPr>
        <w:t>Item 1.A – 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 </w:t>
      </w:r>
      <w:r>
        <w:rPr>
          <w:rFonts w:ascii="Arial" w:cs="Arial" w:eastAsia="Arial" w:hAnsi="Arial"/>
          <w:sz w:val="16"/>
          <w:szCs w:val="16"/>
          <w:color w:val="auto"/>
        </w:rPr>
        <w:t>contained in our Annual Report on Form 10-K for the year ended December 31, 2019, filed with the SEC on February 27, 2020. You should not</w:t>
      </w:r>
      <w:r>
        <w:rPr>
          <w:rFonts w:ascii="Arial" w:cs="Arial" w:eastAsia="Arial" w:hAnsi="Arial"/>
          <w:sz w:val="16"/>
          <w:szCs w:val="16"/>
          <w:i w:val="1"/>
          <w:iCs w:val="1"/>
          <w:color w:val="auto"/>
        </w:rPr>
        <w:t xml:space="preserve"> </w:t>
      </w:r>
      <w:r>
        <w:rPr>
          <w:rFonts w:ascii="Arial" w:cs="Arial" w:eastAsia="Arial" w:hAnsi="Arial"/>
          <w:sz w:val="16"/>
          <w:szCs w:val="16"/>
          <w:color w:val="auto"/>
        </w:rPr>
        <w:t>place undue reliance on these forward-looking statements, which apply only as of the date of this Quarterly Report on Form 10-Q.</w:t>
      </w:r>
    </w:p>
    <w:p>
      <w:pPr>
        <w:sectPr>
          <w:pgSz w:w="11900" w:h="16838" w:orient="portrait"/>
          <w:cols w:equalWidth="0" w:num="1">
            <w:col w:w="11120"/>
          </w:cols>
          <w:pgMar w:left="320" w:top="459" w:right="459" w:bottom="1440" w:gutter="0" w:footer="0" w:header="0"/>
        </w:sectPr>
      </w:pP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20"/>
          </w:cols>
          <w:pgMar w:left="320" w:top="459" w:right="4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Corporate Structure</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FIC was formed as a Maryland corporation on February 14, 2011. We completed our initial public offering, or IPO, in June 2011. FIC has elected to be treated as business development company, or BDC, under the 1940 Act and our investment activities are managed by Fidus Investment Advisors, LLC, our investment advisor, and supervised by our board of directors, a majority of whom are independent of us. On March 29, 2013, we commenced operations of a wholly-owned subsidiary, Fund II. On April 18, 2018, we commenced operations of another wholly-owned subsidiary, Fund III. Fund II and Fund III are collectively referred to as the “Funds.”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We have also made, and continue to make, investments directly through FIC. We believe that utilizing FIC and the Funds as investment vehicles provides us with access to a broader array of investment opportunities.</w:t>
      </w:r>
    </w:p>
    <w:p>
      <w:pPr>
        <w:spacing w:after="0" w:line="187"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We seek to create a diversified investment portfolio that primarily includes debt investments and, to a lesser extent, equity securities. Our investments typically range between $5.0 million to $30.0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6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 xml:space="preserve">Second Lien Debt. </w:t>
      </w:r>
      <w:r>
        <w:rPr>
          <w:rFonts w:ascii="Arial" w:cs="Arial" w:eastAsia="Arial" w:hAnsi="Arial"/>
          <w:sz w:val="18"/>
          <w:szCs w:val="18"/>
          <w:color w:val="auto"/>
        </w:rPr>
        <w:t>The majority of our debt investments take the form of second lien debt, which includes senior subordinated notes. Second lien</w:t>
      </w:r>
      <w:r>
        <w:rPr>
          <w:rFonts w:ascii="Arial" w:cs="Arial" w:eastAsia="Arial" w:hAnsi="Arial"/>
          <w:sz w:val="18"/>
          <w:szCs w:val="18"/>
          <w:i w:val="1"/>
          <w:iCs w:val="1"/>
          <w:color w:val="auto"/>
        </w:rPr>
        <w:t xml:space="preserve"> </w:t>
      </w:r>
      <w:r>
        <w:rPr>
          <w:rFonts w:ascii="Arial" w:cs="Arial" w:eastAsia="Arial" w:hAnsi="Arial"/>
          <w:sz w:val="18"/>
          <w:szCs w:val="18"/>
          <w:color w:val="auto"/>
        </w:rPr>
        <w:t>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9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i w:val="1"/>
          <w:iCs w:val="1"/>
          <w:color w:val="auto"/>
        </w:rPr>
        <w:t xml:space="preserve">Subordinated Debt. </w:t>
      </w:r>
      <w:r>
        <w:rPr>
          <w:rFonts w:ascii="Arial" w:cs="Arial" w:eastAsia="Arial" w:hAnsi="Arial"/>
          <w:sz w:val="16"/>
          <w:szCs w:val="16"/>
          <w:color w:val="auto"/>
        </w:rPr>
        <w:t>These investments are typically structured as unsecured, subordinated notes. Structurally, subordinated debt usually ranks</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i w:val="1"/>
          <w:iCs w:val="1"/>
          <w:color w:val="auto"/>
        </w:rPr>
        <w:t>First Lien Debt</w:t>
      </w:r>
      <w:r>
        <w:rPr>
          <w:rFonts w:ascii="Arial" w:cs="Arial" w:eastAsia="Arial" w:hAnsi="Arial"/>
          <w:sz w:val="17"/>
          <w:szCs w:val="17"/>
          <w:color w:val="auto"/>
        </w:rPr>
        <w:t>. To a lesser extent, we also structure some of our debt investments as senior secured or first lien debt investments. First lien debt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8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fixed interest rate.</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Equity Securities</w:t>
      </w:r>
      <w:r>
        <w:rPr>
          <w:rFonts w:ascii="Arial" w:cs="Arial" w:eastAsia="Arial" w:hAnsi="Arial"/>
          <w:sz w:val="17"/>
          <w:szCs w:val="17"/>
          <w:color w:val="auto"/>
        </w:rPr>
        <w:t>. Our equity securities typically consist of either a direct minority equity investment in common or preferred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8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We generate revenue in the form of interest and fee income on debt investments and dividends, if any, on equity investments. Our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whether in the form of second lien, subordinated or first lien loans, typically have terms of five to seven years and most bear interest at a fixed rate, but some bear interest at a floating rate.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82"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All investment professionals of our investment advisor and/or its affiliates, when and to the extent engaged in providing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and management services to us, and the compensation and routine overhead expenses allocable to personnel who provide these services to us, are provided and paid for by our investment advisor and not by us. We bear all other out-of-pocket costs and expenses of our operations and transactions, including, without limitation, those relating to:</w:t>
      </w:r>
    </w:p>
    <w:p>
      <w:pPr>
        <w:spacing w:after="0" w:line="9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and expenses incurred by our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advisory fees and management fees;</w:t>
      </w:r>
    </w:p>
    <w:p>
      <w:pPr>
        <w:spacing w:after="0" w:line="130"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administration fees and expenses, if any, payable under the Administration Agreement (including payments under the Administration Agreement between us and our investment advisor based upon our allocable portion of our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agent, dividend agent and custodial fees and expenses;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costs of registration and listing our shares on any securities exchange;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or other regulators including printing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and mailing costs;</w:t>
      </w:r>
    </w:p>
    <w:p>
      <w:pPr>
        <w:spacing w:after="0" w:line="130"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officers/errors and omissions liability insurance, and any other insurance premiums;</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proxy voting expenses;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other expenses reasonably incurred by us or our investment advisor in connection with administering our business.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Portfolio Composition, Investment Activity and Yield</w:t>
      </w:r>
    </w:p>
    <w:p>
      <w:pPr>
        <w:spacing w:after="0" w:line="121"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During the three months ended March 31, 2020 and 2019, we invested $68.2 million and $80.5 million, respectively, in debt and equity investments including three and four new portfolio companies, respectively. During the three months ended March 31, 2020 and 2019, we received proceeds from sales or repayments, including principal, return of capital dividends and net realized gains (losses), of $73.8 million and $57.4 million, respectively, including exits of one and three portfolio companies, respectively. The following table summarizes investment purchases and sales and repayments of investments by type for the three months ended March 31, 2020 and 2019 (dollars in millions).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7"/>
          </w:tcPr>
          <w:p>
            <w:pPr>
              <w:spacing w:after="0"/>
              <w:rPr>
                <w:sz w:val="20"/>
                <w:szCs w:val="20"/>
                <w:color w:val="auto"/>
              </w:rPr>
            </w:pPr>
            <w:r>
              <w:rPr>
                <w:rFonts w:ascii="Arial" w:cs="Arial" w:eastAsia="Arial" w:hAnsi="Arial"/>
                <w:sz w:val="14"/>
                <w:szCs w:val="14"/>
                <w:b w:val="1"/>
                <w:bCs w:val="1"/>
                <w:color w:val="auto"/>
                <w:w w:val="88"/>
              </w:rPr>
              <w:t>Purchases of Investments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1"/>
              </w:rPr>
              <w:t>Sales and Repayments of Investments</w:t>
            </w:r>
          </w:p>
        </w:tc>
      </w:tr>
      <w:tr>
        <w:trPr>
          <w:trHeight w:val="142"/>
        </w:trPr>
        <w:tc>
          <w:tcPr>
            <w:tcW w:w="352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gridSpan w:val="4"/>
          </w:tcPr>
          <w:p>
            <w:pPr>
              <w:jc w:val="right"/>
              <w:ind w:right="29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$14.6</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$11.7</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$19.4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Subordinated Debt</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2.9</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46.2</w:t>
            </w:r>
          </w:p>
        </w:tc>
        <w:tc>
          <w:tcPr>
            <w:tcW w:w="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57.4</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1.6</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26.7</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67.4</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0.4</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42.0</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56.9</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0.5</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Royalty Rights</w:t>
            </w:r>
          </w:p>
        </w:tc>
        <w:tc>
          <w:tcPr>
            <w:tcW w:w="21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68.2</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80.5</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100.0%</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73.8</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100.0%</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0"/>
        </w:trPr>
        <w:tc>
          <w:tcPr>
            <w:tcW w:w="3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As of March 31, 2020, the fair value of our investment portfolio totaled $718.9 million and consisted of 62 active portfolio companies and four portfolio companies that have sold their underlying operations. As of March 31, 2020, 19 portfolio companies’ debt investments bore interest at a variable rate, which represented $207.3 million, or 31.8%, of our debt investment portfolio on a fair value basis, and the remainder of our debt investment portfolio was comprised of fixed rate investments. Overall, the portfolio had net unrealized depreciation of $(12.2) million as of March 31, 2020. As of March 31, 2020, our average active portfolio company investment at amortized cost was $11.8 million, which excludes investments in the four portfolio companies that have sold their underlying operations.</w:t>
      </w:r>
    </w:p>
    <w:p>
      <w:pPr>
        <w:sectPr>
          <w:pgSz w:w="11900" w:h="16838" w:orient="portrait"/>
          <w:cols w:equalWidth="0" w:num="1">
            <w:col w:w="11140"/>
          </w:cols>
          <w:pgMar w:left="320" w:top="459" w:right="439" w:bottom="898" w:gutter="0" w:footer="0" w:header="0"/>
        </w:sectPr>
      </w:pP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40"/>
          </w:cols>
          <w:pgMar w:left="320" w:top="459" w:right="439" w:bottom="898"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of December 31, 2019, the fair value of our investment portfolio totaled $766.9 million and consisted of 61 active portfolio companies and three portfolio companies that have sold their underlying operations. As of December 31, 2019, 17 portfolio companies’ debt investments bore interest at a variable rate, which represented $181.3 million, or 28.7%, of our debt investment portfolio on a fair value basis, and the remainder of our debt investment portfolio was comprised of fixed rate investments. Overall, the portfolio had net unrealized appreciation of $62.4 million as of December 31, 2019. As of December 31, 2019, our average active portfolio company investment at amortized cost was $11.5 million, which excludes investments in the three portfolio companies that have sold their underlying operations.</w:t>
      </w:r>
    </w:p>
    <w:p>
      <w:pPr>
        <w:spacing w:after="0" w:line="178"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The weighted average yield on debt investments as of both March 31, 2020 and December 31, 2019 was 12.0%.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as of March 31, 2020 and December 31, 2019, respectively, including the accretion of OID and debt investment origination fees, but excluding investments on non-accrual status, if any.</w:t>
      </w:r>
    </w:p>
    <w:p>
      <w:pPr>
        <w:spacing w:after="0" w:line="1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shows the portfolio composition by investment type at fair value and cost and as a percentage of total investments (dollars in millions):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5400" w:type="dxa"/>
            <w:vAlign w:val="bottom"/>
          </w:tcPr>
          <w:p>
            <w:pPr>
              <w:spacing w:after="0"/>
              <w:rPr>
                <w:sz w:val="10"/>
                <w:szCs w:val="10"/>
                <w:color w:val="auto"/>
              </w:rPr>
            </w:pPr>
          </w:p>
        </w:tc>
        <w:tc>
          <w:tcPr>
            <w:tcW w:w="1420" w:type="dxa"/>
            <w:vAlign w:val="bottom"/>
            <w:gridSpan w:val="5"/>
          </w:tcPr>
          <w:p>
            <w:pPr>
              <w:jc w:val="center"/>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20" w:type="dxa"/>
            <w:vAlign w:val="bottom"/>
          </w:tcPr>
          <w:p>
            <w:pPr>
              <w:spacing w:after="0"/>
              <w:rPr>
                <w:sz w:val="10"/>
                <w:szCs w:val="10"/>
                <w:color w:val="auto"/>
              </w:rPr>
            </w:pPr>
          </w:p>
        </w:tc>
        <w:tc>
          <w:tcPr>
            <w:tcW w:w="1420" w:type="dxa"/>
            <w:vAlign w:val="bottom"/>
            <w:gridSpan w:val="5"/>
          </w:tcPr>
          <w:p>
            <w:pPr>
              <w:jc w:val="center"/>
              <w:ind w:right="228"/>
              <w:spacing w:after="0" w:line="119" w:lineRule="exact"/>
              <w:rPr>
                <w:sz w:val="20"/>
                <w:szCs w:val="20"/>
                <w:color w:val="auto"/>
              </w:rPr>
            </w:pPr>
            <w:r>
              <w:rPr>
                <w:rFonts w:ascii="Arial" w:cs="Arial" w:eastAsia="Arial" w:hAnsi="Arial"/>
                <w:sz w:val="13"/>
                <w:szCs w:val="13"/>
                <w:b w:val="1"/>
                <w:bCs w:val="1"/>
                <w:color w:val="auto"/>
              </w:rPr>
              <w:t>March 31,</w:t>
            </w: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$373.5</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$383.1</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$401.4</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54.9%</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$392.2</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Subordinated Debt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140.2</w:t>
            </w:r>
          </w:p>
        </w:tc>
        <w:tc>
          <w:tcPr>
            <w:tcW w:w="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140.8</w:t>
            </w:r>
          </w:p>
        </w:tc>
        <w:tc>
          <w:tcPr>
            <w:tcW w:w="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18.4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141.3</w:t>
            </w:r>
          </w:p>
        </w:tc>
        <w:tc>
          <w:tcPr>
            <w:tcW w:w="40" w:type="dxa"/>
            <w:vAlign w:val="bottom"/>
          </w:tcPr>
          <w:p>
            <w:pPr>
              <w:spacing w:after="0"/>
              <w:rPr>
                <w:sz w:val="18"/>
                <w:szCs w:val="18"/>
                <w:color w:val="auto"/>
              </w:rPr>
            </w:pPr>
          </w:p>
        </w:tc>
        <w:tc>
          <w:tcPr>
            <w:tcW w:w="720" w:type="dxa"/>
            <w:vAlign w:val="bottom"/>
            <w:gridSpan w:val="2"/>
          </w:tcPr>
          <w:p>
            <w:pPr>
              <w:jc w:val="right"/>
              <w:ind w:right="228"/>
              <w:spacing w:after="0"/>
              <w:rPr>
                <w:sz w:val="20"/>
                <w:szCs w:val="20"/>
                <w:color w:val="auto"/>
              </w:rPr>
            </w:pPr>
            <w:r>
              <w:rPr>
                <w:rFonts w:ascii="Arial" w:cs="Arial" w:eastAsia="Arial" w:hAnsi="Arial"/>
                <w:sz w:val="18"/>
                <w:szCs w:val="18"/>
                <w:color w:val="auto"/>
              </w:rPr>
              <w:t>19.3</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140.7</w:t>
            </w:r>
          </w:p>
        </w:tc>
        <w:tc>
          <w:tcPr>
            <w:tcW w:w="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137.3</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139.4</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19.1</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107.7</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64.7</w:t>
            </w:r>
          </w:p>
        </w:tc>
        <w:tc>
          <w:tcPr>
            <w:tcW w:w="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126.6</w:t>
            </w:r>
          </w:p>
        </w:tc>
        <w:tc>
          <w:tcPr>
            <w:tcW w:w="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45.8</w:t>
            </w:r>
          </w:p>
        </w:tc>
        <w:tc>
          <w:tcPr>
            <w:tcW w:w="40" w:type="dxa"/>
            <w:vAlign w:val="bottom"/>
          </w:tcPr>
          <w:p>
            <w:pPr>
              <w:spacing w:after="0"/>
              <w:rPr>
                <w:sz w:val="18"/>
                <w:szCs w:val="18"/>
                <w:color w:val="auto"/>
              </w:rPr>
            </w:pPr>
          </w:p>
        </w:tc>
        <w:tc>
          <w:tcPr>
            <w:tcW w:w="720" w:type="dxa"/>
            <w:vAlign w:val="bottom"/>
            <w:gridSpan w:val="2"/>
          </w:tcPr>
          <w:p>
            <w:pPr>
              <w:jc w:val="right"/>
              <w:ind w:right="228"/>
              <w:spacing w:after="0"/>
              <w:rPr>
                <w:sz w:val="20"/>
                <w:szCs w:val="20"/>
                <w:color w:val="auto"/>
              </w:rPr>
            </w:pPr>
            <w:r>
              <w:rPr>
                <w:rFonts w:ascii="Arial" w:cs="Arial" w:eastAsia="Arial" w:hAnsi="Arial"/>
                <w:sz w:val="18"/>
                <w:szCs w:val="18"/>
                <w:color w:val="auto"/>
              </w:rPr>
              <w:t>6.3</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58.1</w:t>
            </w:r>
          </w:p>
        </w:tc>
        <w:tc>
          <w:tcPr>
            <w:tcW w:w="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0.4</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Royalty Rights</w:t>
            </w: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718.9</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731.1</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100.0%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704.5</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All investments made by us as of March 31, 2020 and December 31, 2019 were made in portfolio companies headquartered in the U.S. 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1420" w:type="dxa"/>
            <w:vAlign w:val="bottom"/>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112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420" w:type="dxa"/>
            <w:vAlign w:val="bottom"/>
            <w:gridSpan w:val="4"/>
          </w:tcPr>
          <w:p>
            <w:pPr>
              <w:jc w:val="center"/>
              <w:ind w:right="228"/>
              <w:spacing w:after="0" w:line="119" w:lineRule="exact"/>
              <w:rPr>
                <w:sz w:val="20"/>
                <w:szCs w:val="20"/>
                <w:color w:val="auto"/>
              </w:rPr>
            </w:pPr>
            <w:r>
              <w:rPr>
                <w:rFonts w:ascii="Arial" w:cs="Arial" w:eastAsia="Arial" w:hAnsi="Arial"/>
                <w:sz w:val="13"/>
                <w:szCs w:val="13"/>
                <w:b w:val="1"/>
                <w:bCs w:val="1"/>
                <w:color w:val="auto"/>
              </w:rPr>
              <w:t>March 31,</w:t>
            </w:r>
          </w:p>
        </w:tc>
        <w:tc>
          <w:tcPr>
            <w:tcW w:w="112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$195.1</w:t>
            </w:r>
          </w:p>
        </w:tc>
        <w:tc>
          <w:tcPr>
            <w:tcW w:w="76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$208.2</w:t>
            </w:r>
          </w:p>
        </w:tc>
        <w:tc>
          <w:tcPr>
            <w:tcW w:w="78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$184.0</w:t>
            </w:r>
          </w:p>
        </w:tc>
        <w:tc>
          <w:tcPr>
            <w:tcW w:w="760" w:type="dxa"/>
            <w:vAlign w:val="bottom"/>
            <w:tcBorders>
              <w:lef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25.2%</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$181.3</w:t>
            </w: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Southeast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144.4</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20.1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160.0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140.0</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19.1</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138.1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149.1</w:t>
            </w:r>
          </w:p>
        </w:tc>
        <w:tc>
          <w:tcPr>
            <w:tcW w:w="76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21.2</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142.1</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West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83.6</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76.3</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89.3</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12.2</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76.6</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163.1</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22.3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166.4</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718.9</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731.1</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704.5</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00" w:type="dxa"/>
            <w:vAlign w:val="bottom"/>
          </w:tcPr>
          <w:p>
            <w:pPr>
              <w:spacing w:after="0"/>
              <w:rPr>
                <w:sz w:val="24"/>
                <w:szCs w:val="24"/>
                <w:color w:val="auto"/>
              </w:rPr>
            </w:pPr>
          </w:p>
        </w:tc>
        <w:tc>
          <w:tcPr>
            <w:tcW w:w="500" w:type="dxa"/>
            <w:vAlign w:val="bottom"/>
          </w:tcPr>
          <w:p>
            <w:pPr>
              <w:jc w:val="right"/>
              <w:ind w:right="215"/>
              <w:spacing w:after="0"/>
              <w:rPr>
                <w:sz w:val="20"/>
                <w:szCs w:val="20"/>
                <w:color w:val="auto"/>
              </w:rPr>
            </w:pPr>
            <w:r>
              <w:rPr>
                <w:rFonts w:ascii="Arial" w:cs="Arial" w:eastAsia="Arial" w:hAnsi="Arial"/>
                <w:sz w:val="18"/>
                <w:szCs w:val="18"/>
                <w:color w:val="auto"/>
                <w:w w:val="89"/>
              </w:rPr>
              <w:t>41</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the detailed industry composition of our portfolio at fair value and cost as a percentage of total investments:</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gridSpan w:val="3"/>
          </w:tcPr>
          <w:p>
            <w:pPr>
              <w:jc w:val="right"/>
              <w:ind w:right="1400"/>
              <w:spacing w:after="0"/>
              <w:rPr>
                <w:sz w:val="20"/>
                <w:szCs w:val="20"/>
                <w:color w:val="auto"/>
              </w:rPr>
            </w:pPr>
            <w:r>
              <w:rPr>
                <w:rFonts w:ascii="Arial" w:cs="Arial" w:eastAsia="Arial" w:hAnsi="Arial"/>
                <w:sz w:val="14"/>
                <w:szCs w:val="14"/>
                <w:b w:val="1"/>
                <w:bCs w:val="1"/>
                <w:color w:val="auto"/>
              </w:rPr>
              <w:t>Fair Value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568"/>
              <w:spacing w:after="0" w:line="119" w:lineRule="exact"/>
              <w:rPr>
                <w:sz w:val="20"/>
                <w:szCs w:val="20"/>
                <w:color w:val="auto"/>
              </w:rPr>
            </w:pPr>
            <w:r>
              <w:rPr>
                <w:rFonts w:ascii="Arial" w:cs="Arial" w:eastAsia="Arial" w:hAnsi="Arial"/>
                <w:sz w:val="13"/>
                <w:szCs w:val="13"/>
                <w:b w:val="1"/>
                <w:bCs w:val="1"/>
                <w:color w:val="auto"/>
              </w:rPr>
              <w:t>March 31,</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6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March 31,</w:t>
            </w:r>
          </w:p>
        </w:tc>
        <w:tc>
          <w:tcPr>
            <w:tcW w:w="4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Specialty Distribution</w:t>
            </w:r>
          </w:p>
        </w:tc>
        <w:tc>
          <w:tcPr>
            <w:tcW w:w="13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17.6%</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Information Technology Services</w:t>
            </w: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13.9</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11.8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13.7</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Healthcare Products</w:t>
            </w: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7.4</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8.6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Component Manufacturing</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5.4</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Healthcare Services</w:t>
            </w: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4.9</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5.6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3.9</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Aerospace &amp; Defense Manufacturing</w:t>
            </w: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3.6</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4.5</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Vending Equipment Manufacturing</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3.6</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Retail</w:t>
            </w: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Promotional Products</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3.2</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Transportation Services</w:t>
            </w: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2.9</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Oil &amp; Gas Services</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Building Products Manufacturing</w:t>
            </w: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2.8</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2.7</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2.5</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Utilities: Services</w:t>
            </w: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2.5</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Packaging</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2.1</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Industrial Cleaning &amp; Coatings</w:t>
            </w: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Oil &amp; Gas Distribution</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1.5</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Utility Equipment Manufacturing</w:t>
            </w: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0.7</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0.9</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Restaurants</w:t>
            </w: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Specialty Chemicals</w:t>
            </w:r>
          </w:p>
        </w:tc>
        <w:tc>
          <w:tcPr>
            <w:tcW w:w="1300" w:type="dxa"/>
            <w:vAlign w:val="bottom"/>
            <w:gridSpan w:val="2"/>
          </w:tcPr>
          <w:p>
            <w:pPr>
              <w:jc w:val="right"/>
              <w:ind w:right="408"/>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Percentage is less than 0.1% of respective total.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Portfolio Asset Quality</w:t>
      </w:r>
    </w:p>
    <w:p>
      <w:pPr>
        <w:spacing w:after="0" w:line="12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9" w:lineRule="exact"/>
        <w:rPr>
          <w:sz w:val="20"/>
          <w:szCs w:val="20"/>
          <w:color w:val="auto"/>
        </w:rPr>
      </w:pPr>
    </w:p>
    <w:p>
      <w:pPr>
        <w:ind w:left="1080" w:right="260" w:hanging="532"/>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89"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89"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89" w:lineRule="exact"/>
        <w:rPr>
          <w:rFonts w:ascii="Arial" w:cs="Arial" w:eastAsia="Arial" w:hAnsi="Arial"/>
          <w:sz w:val="18"/>
          <w:szCs w:val="18"/>
          <w:color w:val="auto"/>
        </w:rPr>
      </w:pPr>
    </w:p>
    <w:p>
      <w:pPr>
        <w:ind w:left="1080" w:right="680" w:hanging="532"/>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51" w:lineRule="exact"/>
        <w:rPr>
          <w:rFonts w:ascii="Arial" w:cs="Arial" w:eastAsia="Arial" w:hAnsi="Arial"/>
          <w:sz w:val="17"/>
          <w:szCs w:val="17"/>
          <w:color w:val="auto"/>
        </w:rPr>
      </w:pPr>
    </w:p>
    <w:p>
      <w:pPr>
        <w:ind w:left="1080" w:right="28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60"/>
          </w:cols>
          <w:pgMar w:left="320" w:top="459"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distribution of our investments on the 1 to 5 investment rating scale at fair value and cost as of March 31, 2020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(dollars 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2"/>
              </w:rPr>
              <w:t>Investment Rating</w:t>
            </w:r>
          </w:p>
        </w:tc>
        <w:tc>
          <w:tcPr>
            <w:tcW w:w="4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5"/>
          </w:tcPr>
          <w:p>
            <w:pPr>
              <w:jc w:val="center"/>
              <w:ind w:right="380"/>
              <w:spacing w:after="0" w:line="133" w:lineRule="exact"/>
              <w:rPr>
                <w:sz w:val="20"/>
                <w:szCs w:val="20"/>
                <w:color w:val="auto"/>
              </w:rPr>
            </w:pPr>
            <w:r>
              <w:rPr>
                <w:rFonts w:ascii="Arial" w:cs="Arial" w:eastAsia="Arial" w:hAnsi="Arial"/>
                <w:sz w:val="14"/>
                <w:szCs w:val="14"/>
                <w:b w:val="1"/>
                <w:bCs w:val="1"/>
                <w:color w:val="auto"/>
                <w:w w:val="99"/>
              </w:rPr>
              <w:t>March 31,</w:t>
            </w:r>
          </w:p>
        </w:tc>
        <w:tc>
          <w:tcPr>
            <w:tcW w:w="1120" w:type="dxa"/>
            <w:vAlign w:val="bottom"/>
            <w:gridSpan w:val="3"/>
          </w:tcPr>
          <w:p>
            <w:pPr>
              <w:ind w:left="140"/>
              <w:spacing w:after="0" w:line="133"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4"/>
          </w:tcPr>
          <w:p>
            <w:pPr>
              <w:jc w:val="center"/>
              <w:ind w:right="328"/>
              <w:spacing w:after="0" w:line="133"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c>
          <w:tcPr>
            <w:tcW w:w="1020" w:type="dxa"/>
            <w:vAlign w:val="bottom"/>
            <w:gridSpan w:val="3"/>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140" w:type="dxa"/>
            <w:vAlign w:val="bottom"/>
            <w:tcBorders>
              <w:bottom w:val="single" w:sz="8" w:color="auto"/>
            </w:tcBorders>
            <w:vMerge w:val="continue"/>
          </w:tcPr>
          <w:p>
            <w:pPr>
              <w:spacing w:after="0"/>
              <w:rPr>
                <w:sz w:val="13"/>
                <w:szCs w:val="13"/>
                <w:color w:val="auto"/>
              </w:rPr>
            </w:pPr>
          </w:p>
        </w:tc>
        <w:tc>
          <w:tcPr>
            <w:tcW w:w="4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4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vMerge w:val="continue"/>
            <w:shd w:val="clear" w:color="auto" w:fill="CCEEFF"/>
          </w:tcPr>
          <w:p>
            <w:pPr>
              <w:spacing w:after="0"/>
              <w:rPr>
                <w:sz w:val="17"/>
                <w:szCs w:val="17"/>
                <w:color w:val="auto"/>
              </w:rPr>
            </w:pPr>
          </w:p>
        </w:tc>
        <w:tc>
          <w:tcPr>
            <w:tcW w:w="4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7"/>
                <w:szCs w:val="17"/>
                <w:color w:val="auto"/>
              </w:rPr>
            </w:pPr>
          </w:p>
        </w:tc>
        <w:tc>
          <w:tcPr>
            <w:tcW w:w="760" w:type="dxa"/>
            <w:vAlign w:val="bottom"/>
            <w:tcBorders>
              <w:left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6.5%</w:t>
            </w:r>
          </w:p>
        </w:tc>
        <w:tc>
          <w:tcPr>
            <w:tcW w:w="6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87"/>
              </w:rPr>
              <w:t>$100.1</w:t>
            </w:r>
          </w:p>
        </w:tc>
        <w:tc>
          <w:tcPr>
            <w:tcW w:w="780" w:type="dxa"/>
            <w:vAlign w:val="bottom"/>
            <w:tcBorders>
              <w:left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15.5</w:t>
            </w:r>
          </w:p>
        </w:tc>
        <w:tc>
          <w:tcPr>
            <w:tcW w:w="760" w:type="dxa"/>
            <w:vAlign w:val="bottom"/>
            <w:tcBorders>
              <w:left w:val="single" w:sz="8" w:color="CCEEFF"/>
            </w:tcBorders>
            <w:gridSpan w:val="2"/>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29.0</w:t>
            </w:r>
          </w:p>
        </w:tc>
        <w:tc>
          <w:tcPr>
            <w:tcW w:w="66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2</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535.1</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74.4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580.5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536.6</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570.1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111.5</w:t>
            </w:r>
          </w:p>
        </w:tc>
        <w:tc>
          <w:tcPr>
            <w:tcW w:w="76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131.0</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96.7</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4</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45.1</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42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718.9</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731.1</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704.5</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Based on our investment rating system, the weighted average rating of our portfolio as of March 31, 2020 and December 31, 2019 was 2.2 and 2.0, respectively, on a fair value basis and 2.3 and 2.1, respectively, on a cost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Non-Accrual</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March 31, 2020 and December 31, 2019, we had debt investments in four and one portfolio companies on non-accrual status, respectively (dollars in millions):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4"/>
                <w:szCs w:val="14"/>
                <w:color w:val="auto"/>
              </w:rPr>
            </w:pPr>
          </w:p>
        </w:tc>
        <w:tc>
          <w:tcPr>
            <w:tcW w:w="158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32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Fair</w:t>
            </w:r>
          </w:p>
        </w:tc>
        <w:tc>
          <w:tcPr>
            <w:tcW w:w="4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rPr>
              <w:t>Fair</w:t>
            </w:r>
          </w:p>
        </w:tc>
        <w:tc>
          <w:tcPr>
            <w:tcW w:w="4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400" w:type="dxa"/>
            <w:vAlign w:val="bottom"/>
            <w:gridSpan w:val="3"/>
            <w:vMerge w:val="continue"/>
          </w:tcPr>
          <w:p>
            <w:pPr>
              <w:spacing w:after="0"/>
              <w:rPr>
                <w:sz w:val="13"/>
                <w:szCs w:val="13"/>
                <w:color w:val="auto"/>
              </w:rPr>
            </w:pPr>
          </w:p>
        </w:tc>
        <w:tc>
          <w:tcPr>
            <w:tcW w:w="2320" w:type="dxa"/>
            <w:vAlign w:val="bottom"/>
          </w:tcPr>
          <w:p>
            <w:pPr>
              <w:spacing w:after="0"/>
              <w:rPr>
                <w:sz w:val="13"/>
                <w:szCs w:val="13"/>
                <w:color w:val="auto"/>
              </w:rPr>
            </w:pPr>
          </w:p>
        </w:tc>
        <w:tc>
          <w:tcPr>
            <w:tcW w:w="90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96"/>
              </w:rPr>
              <w:t>Value</w:t>
            </w:r>
          </w:p>
        </w:tc>
        <w:tc>
          <w:tcPr>
            <w:tcW w:w="7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3"/>
                <w:szCs w:val="13"/>
                <w:color w:val="auto"/>
              </w:rPr>
            </w:pPr>
          </w:p>
        </w:tc>
        <w:tc>
          <w:tcPr>
            <w:tcW w:w="90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6"/>
              </w:rPr>
              <w:t>Value</w:t>
            </w:r>
          </w:p>
        </w:tc>
        <w:tc>
          <w:tcPr>
            <w:tcW w:w="6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Accent Food Services, LLC</w:t>
            </w:r>
          </w:p>
        </w:tc>
        <w:tc>
          <w:tcPr>
            <w:tcW w:w="23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$25.7</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$35.3</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$33.1</w:t>
            </w: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$ 35.3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EBL, LLC (EbLens)</w:t>
            </w:r>
          </w:p>
        </w:tc>
        <w:tc>
          <w:tcPr>
            <w:tcW w:w="3220" w:type="dxa"/>
            <w:vAlign w:val="bottom"/>
            <w:gridSpan w:val="3"/>
          </w:tcPr>
          <w:p>
            <w:pPr>
              <w:jc w:val="right"/>
              <w:ind w:right="480"/>
              <w:spacing w:after="0"/>
              <w:rPr>
                <w:sz w:val="20"/>
                <w:szCs w:val="20"/>
                <w:color w:val="auto"/>
              </w:rPr>
            </w:pPr>
            <w:r>
              <w:rPr>
                <w:rFonts w:ascii="Arial" w:cs="Arial" w:eastAsia="Arial" w:hAnsi="Arial"/>
                <w:sz w:val="18"/>
                <w:szCs w:val="18"/>
                <w:color w:val="auto"/>
              </w:rPr>
              <w:t>7.2</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Mirage Trailers LLC</w:t>
            </w:r>
          </w:p>
        </w:tc>
        <w:tc>
          <w:tcPr>
            <w:tcW w:w="3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5.3</w:t>
            </w:r>
            <w:r>
              <w:rPr>
                <w:rFonts w:ascii="Arial" w:cs="Arial" w:eastAsia="Arial" w:hAnsi="Arial"/>
                <w:sz w:val="15"/>
                <w:szCs w:val="15"/>
                <w:color w:val="auto"/>
              </w:rPr>
              <w:t>(1)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Virginia Tile Company, LLC</w:t>
            </w:r>
          </w:p>
        </w:tc>
        <w:tc>
          <w:tcPr>
            <w:tcW w:w="232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48.2</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62.7</w:t>
            </w:r>
          </w:p>
        </w:tc>
        <w:tc>
          <w:tcPr>
            <w:tcW w:w="106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33.1</w:t>
            </w:r>
          </w:p>
        </w:tc>
        <w:tc>
          <w:tcPr>
            <w:tcW w:w="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$ 35.3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5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Portfolio company was on PIK-only on non-accrual status at period end, meaning the Company has ceased recognizing PIK interest income on the investment.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Portfolio company debt investments were not on non-accrual status at period end.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Discussion and Analysis of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three months ended March 31, 2020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Below is a summary of the changes in total investment income for the three months ended March 31, 2020 as compared to the same period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(dollars in millions):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Change</w:t>
            </w:r>
          </w:p>
        </w:tc>
        <w:tc>
          <w:tcPr>
            <w:tcW w:w="420" w:type="dxa"/>
            <w:vAlign w:val="bottom"/>
            <w:vMerge w:val="restart"/>
          </w:tcPr>
          <w:p>
            <w:pPr>
              <w:spacing w:after="0"/>
              <w:rPr>
                <w:sz w:val="14"/>
                <w:szCs w:val="14"/>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2019</w:t>
            </w:r>
          </w:p>
        </w:tc>
        <w:tc>
          <w:tcPr>
            <w:tcW w:w="4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60" w:type="dxa"/>
            <w:vAlign w:val="bottom"/>
            <w:tcBorders>
              <w:lef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800" w:type="dxa"/>
            <w:vAlign w:val="bottom"/>
            <w:gridSpan w:val="2"/>
          </w:tcPr>
          <w:p>
            <w:pPr>
              <w:jc w:val="right"/>
              <w:ind w:right="281"/>
              <w:spacing w:after="0"/>
              <w:rPr>
                <w:sz w:val="20"/>
                <w:szCs w:val="20"/>
                <w:color w:val="auto"/>
              </w:rPr>
            </w:pPr>
            <w:r>
              <w:rPr>
                <w:rFonts w:ascii="Arial" w:cs="Arial" w:eastAsia="Arial" w:hAnsi="Arial"/>
                <w:sz w:val="18"/>
                <w:szCs w:val="18"/>
                <w:color w:val="auto"/>
              </w:rPr>
              <w:t>(1.5)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Fee income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800" w:type="dxa"/>
            <w:vAlign w:val="bottom"/>
            <w:gridSpan w:val="2"/>
          </w:tcPr>
          <w:p>
            <w:pPr>
              <w:jc w:val="right"/>
              <w:ind w:right="281"/>
              <w:spacing w:after="0"/>
              <w:rPr>
                <w:sz w:val="20"/>
                <w:szCs w:val="20"/>
                <w:color w:val="auto"/>
              </w:rPr>
            </w:pPr>
            <w:r>
              <w:rPr>
                <w:rFonts w:ascii="Arial" w:cs="Arial" w:eastAsia="Arial" w:hAnsi="Arial"/>
                <w:sz w:val="18"/>
                <w:szCs w:val="18"/>
                <w:color w:val="auto"/>
              </w:rPr>
              <w:t>(0.8)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on idle funds and other income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281"/>
              <w:spacing w:after="0"/>
              <w:rPr>
                <w:sz w:val="20"/>
                <w:szCs w:val="20"/>
                <w:color w:val="auto"/>
              </w:rPr>
            </w:pPr>
            <w:r>
              <w:rPr>
                <w:rFonts w:ascii="Arial" w:cs="Arial" w:eastAsia="Arial" w:hAnsi="Arial"/>
                <w:sz w:val="16"/>
                <w:szCs w:val="16"/>
                <w:color w:val="auto"/>
                <w:w w:val="74"/>
              </w:rPr>
              <w:t>)</w:t>
            </w: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20.0</w:t>
            </w:r>
          </w:p>
        </w:tc>
        <w:tc>
          <w:tcPr>
            <w:tcW w:w="4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20.3</w:t>
            </w:r>
          </w:p>
        </w:tc>
        <w:tc>
          <w:tcPr>
            <w:tcW w:w="44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42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jc w:val="both"/>
        <w:ind w:left="120" w:right="760" w:firstLine="440"/>
        <w:spacing w:after="0" w:line="263" w:lineRule="auto"/>
        <w:rPr>
          <w:sz w:val="20"/>
          <w:szCs w:val="20"/>
          <w:color w:val="auto"/>
        </w:rPr>
      </w:pPr>
      <w:r>
        <w:rPr>
          <w:rFonts w:ascii="Arial" w:cs="Arial" w:eastAsia="Arial" w:hAnsi="Arial"/>
          <w:sz w:val="18"/>
          <w:szCs w:val="18"/>
          <w:color w:val="auto"/>
        </w:rPr>
        <w:t>For the three months ended March 31, 2020, total investment income was $20.0 million, a decrease of $(0.3) million or (1.7%), from the $20.3 million of total investment income for the three months ended March 31, 2019. As reflected in the table above, the decrease is primarily attributable to the following:</w:t>
      </w:r>
    </w:p>
    <w:p>
      <w:pPr>
        <w:spacing w:after="0" w:line="89" w:lineRule="exact"/>
        <w:rPr>
          <w:sz w:val="20"/>
          <w:szCs w:val="20"/>
          <w:color w:val="auto"/>
        </w:rPr>
      </w:pPr>
    </w:p>
    <w:p>
      <w:pPr>
        <w:ind w:left="1540" w:right="320" w:hanging="439"/>
        <w:spacing w:after="0" w:line="263"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$0.8 million increase in total interest income (including payment-in-kind interest income) resulting from higher average debt investment balances outstanding, partially offset by a small decrease in weighted average debt yield, during 2020 as compared to 2019.</w:t>
      </w:r>
    </w:p>
    <w:p>
      <w:pPr>
        <w:sectPr>
          <w:pgSz w:w="11900" w:h="16838" w:orient="portrait"/>
          <w:cols w:equalWidth="0" w:num="1">
            <w:col w:w="11140"/>
          </w:cols>
          <w:pgMar w:left="320" w:top="459" w:right="439" w:bottom="1440" w:gutter="0" w:footer="0" w:header="0"/>
        </w:sectPr>
      </w:pP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40"/>
          </w:cols>
          <w:pgMar w:left="320" w:top="459" w:right="4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line="277"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$(0.2) million decrease in dividend income, during 2020 as compared to 2019, due to decreased levels of distributions received from equity investments.</w:t>
      </w:r>
    </w:p>
    <w:p>
      <w:pPr>
        <w:spacing w:after="0" w:line="75" w:lineRule="exact"/>
        <w:rPr>
          <w:rFonts w:ascii="Arial" w:cs="Arial" w:eastAsia="Arial" w:hAnsi="Arial"/>
          <w:sz w:val="18"/>
          <w:szCs w:val="18"/>
          <w:color w:val="auto"/>
        </w:rPr>
      </w:pPr>
    </w:p>
    <w:p>
      <w:pPr>
        <w:jc w:val="both"/>
        <w:ind w:left="1540" w:right="280" w:hanging="439"/>
        <w:spacing w:after="0" w:line="263"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$(0.8) million decrease in fee income resulting from a decrease in prepayment fee income, a decrease in structuring fees due to a comparative decrease in new investments, partially offset by an increase in amendment fee income, during 2020 as compared to 2019.</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Below is a summary of the changes in total expenses, including income tax provision, for the three months ended March 31, 2020 as compared to the same period in 2019 (dollars in millions):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9"/>
              </w:rPr>
              <w:t>March 31,</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Change</w:t>
            </w:r>
          </w:p>
        </w:tc>
        <w:tc>
          <w:tcPr>
            <w:tcW w:w="440" w:type="dxa"/>
            <w:vAlign w:val="bottom"/>
            <w:vMerge w:val="restart"/>
          </w:tcPr>
          <w:p>
            <w:pPr>
              <w:spacing w:after="0"/>
              <w:rPr>
                <w:sz w:val="14"/>
                <w:szCs w:val="14"/>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Base management fee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61"/>
              <w:spacing w:after="0"/>
              <w:rPr>
                <w:sz w:val="20"/>
                <w:szCs w:val="20"/>
                <w:color w:val="auto"/>
              </w:rPr>
            </w:pPr>
            <w:r>
              <w:rPr>
                <w:rFonts w:ascii="Arial" w:cs="Arial" w:eastAsia="Arial" w:hAnsi="Arial"/>
                <w:sz w:val="18"/>
                <w:szCs w:val="18"/>
                <w:color w:val="auto"/>
              </w:rPr>
              <w:t>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(0.6)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Incentive fee - capital gains</w:t>
            </w: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01"/>
              <w:spacing w:after="0"/>
              <w:rPr>
                <w:sz w:val="20"/>
                <w:szCs w:val="20"/>
                <w:color w:val="auto"/>
              </w:rPr>
            </w:pPr>
            <w:r>
              <w:rPr>
                <w:rFonts w:ascii="Arial" w:cs="Arial" w:eastAsia="Arial" w:hAnsi="Arial"/>
                <w:sz w:val="18"/>
                <w:szCs w:val="18"/>
                <w:color w:val="auto"/>
              </w:rPr>
              <w:t>(9.3)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(2600.8%)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Total expenses, before income tax provision</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7"/>
              </w:rPr>
              <w:t>(8.1)</w:t>
            </w:r>
          </w:p>
        </w:tc>
        <w:tc>
          <w:tcPr>
            <w:tcW w:w="44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Total expenses, including income tax provision</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vMerge w:val="restart"/>
          </w:tcPr>
          <w:p>
            <w:pPr>
              <w:jc w:val="right"/>
              <w:ind w:right="301"/>
              <w:spacing w:after="0"/>
              <w:rPr>
                <w:sz w:val="20"/>
                <w:szCs w:val="20"/>
                <w:color w:val="auto"/>
              </w:rPr>
            </w:pPr>
            <w:r>
              <w:rPr>
                <w:rFonts w:ascii="Arial" w:cs="Arial" w:eastAsia="Arial" w:hAnsi="Arial"/>
                <w:sz w:val="16"/>
                <w:szCs w:val="16"/>
                <w:color w:val="auto"/>
                <w:w w:val="74"/>
              </w:rPr>
              <w:t>)</w:t>
            </w: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4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(8.1</w:t>
            </w:r>
          </w:p>
        </w:tc>
        <w:tc>
          <w:tcPr>
            <w:tcW w:w="44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For the three months ended March 31, 2020, total expenses, including income tax provision, were $2.6 million, a decrease of $(8.1) million or (76.1%), from the $10.7 million of total expenses for the three months ended March 31, 2019. As reflected in the table above, changes across periods were primarily attributable to the following:</w:t>
      </w:r>
    </w:p>
    <w:p>
      <w:pPr>
        <w:spacing w:after="0" w:line="89" w:lineRule="exact"/>
        <w:rPr>
          <w:sz w:val="20"/>
          <w:szCs w:val="20"/>
          <w:color w:val="auto"/>
        </w:rPr>
      </w:pPr>
    </w:p>
    <w:p>
      <w:pPr>
        <w:ind w:left="1540" w:right="340" w:hanging="439"/>
        <w:spacing w:after="0" w:line="277" w:lineRule="auto"/>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$1.2 million increase in interest and financing expenses due to an increase in average borrowings outstanding and an increase in weighted average interest rate on borrowings during 2020 as compared to 2019.</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$0.5 million increase in base management fee due to higher average total assets during 2020 as compared to 2019.</w:t>
      </w:r>
    </w:p>
    <w:p>
      <w:pPr>
        <w:spacing w:after="0" w:line="130" w:lineRule="exact"/>
        <w:rPr>
          <w:rFonts w:ascii="Arial" w:cs="Arial" w:eastAsia="Arial" w:hAnsi="Arial"/>
          <w:sz w:val="18"/>
          <w:szCs w:val="18"/>
          <w:color w:val="auto"/>
        </w:rPr>
      </w:pPr>
    </w:p>
    <w:p>
      <w:pPr>
        <w:ind w:left="1540" w:right="440" w:hanging="439"/>
        <w:spacing w:after="0" w:line="277" w:lineRule="auto"/>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$(0.6) million decrease in the income incentive fee due to a $(2.0) million decrease in pre-incentive fee net investment income during 2020, as compared to the same period in 2019.</w:t>
      </w:r>
    </w:p>
    <w:p>
      <w:pPr>
        <w:spacing w:after="0" w:line="75" w:lineRule="exact"/>
        <w:rPr>
          <w:rFonts w:ascii="Arial" w:cs="Arial" w:eastAsia="Arial" w:hAnsi="Arial"/>
          <w:sz w:val="18"/>
          <w:szCs w:val="18"/>
          <w:color w:val="auto"/>
        </w:rPr>
      </w:pPr>
    </w:p>
    <w:p>
      <w:pPr>
        <w:jc w:val="both"/>
        <w:ind w:left="1540" w:right="220" w:hanging="439"/>
        <w:spacing w:after="0" w:line="311" w:lineRule="auto"/>
        <w:tabs>
          <w:tab w:leader="none" w:pos="1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$(9.3) million decrease in the capital gains incentive fee due to a $(46.2) million decrease in net gain on investments (net realized gains (losses), plus net change in unrealized appreciation (depreciation) on investments, plus realized losses on extinguishment of debt) during 2020 due largely to economic uncertainty and impact of COVID-19, as compared to the same period in 2019.</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Investment Income</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Net investment income increased by $7.8 million, or 81.4%, to $17.4 million during the three months ended March 31, 2020 as compared to the same period in 2019, as a result of the $(8.1) million decrease in total expenses including income tax provision, partially offset by the $(0.3) decrease in total investment income.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Gain (Loss) on Investments</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For the three months ended March 31, 2020, the total net realized loss on investments, before income tax provision on realized gains, was $31.4 million. Income tax (provision) benefit from realized gains on investments was $(1.1) for the three months ended March 31, 2020. Significant realized gains (losses) for the three months ended March 31, 2020 are summarized below (dollars in millions):</w:t>
      </w:r>
    </w:p>
    <w:p>
      <w:pPr>
        <w:spacing w:after="0" w:line="17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4"/>
              </w:rPr>
              <w:t>Portfolio Company</w:t>
            </w:r>
          </w:p>
        </w:tc>
        <w:tc>
          <w:tcPr>
            <w:tcW w:w="406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20" w:type="dxa"/>
            <w:vAlign w:val="bottom"/>
          </w:tcPr>
          <w:p>
            <w:pPr>
              <w:spacing w:after="0"/>
              <w:rPr>
                <w:sz w:val="14"/>
                <w:szCs w:val="14"/>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Net Realized</w:t>
            </w:r>
          </w:p>
        </w:tc>
        <w:tc>
          <w:tcPr>
            <w:tcW w:w="0" w:type="dxa"/>
            <w:vAlign w:val="bottom"/>
          </w:tcPr>
          <w:p>
            <w:pPr>
              <w:spacing w:after="0"/>
              <w:rPr>
                <w:sz w:val="1"/>
                <w:szCs w:val="1"/>
                <w:color w:val="auto"/>
              </w:rPr>
            </w:pPr>
          </w:p>
        </w:tc>
      </w:tr>
      <w:tr>
        <w:trPr>
          <w:trHeight w:val="178"/>
        </w:trPr>
        <w:tc>
          <w:tcPr>
            <w:tcW w:w="1200" w:type="dxa"/>
            <w:vAlign w:val="bottom"/>
            <w:tcBorders>
              <w:bottom w:val="single" w:sz="8" w:color="auto"/>
            </w:tcBorders>
            <w:vMerge w:val="continue"/>
          </w:tcPr>
          <w:p>
            <w:pPr>
              <w:spacing w:after="0"/>
              <w:rPr>
                <w:sz w:val="15"/>
                <w:szCs w:val="15"/>
                <w:color w:val="auto"/>
              </w:rPr>
            </w:pPr>
          </w:p>
        </w:tc>
        <w:tc>
          <w:tcPr>
            <w:tcW w:w="4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2"/>
            <w:vMerge w:val="continue"/>
          </w:tcPr>
          <w:p>
            <w:pPr>
              <w:spacing w:after="0"/>
              <w:rPr>
                <w:sz w:val="15"/>
                <w:szCs w:val="15"/>
                <w:color w:val="auto"/>
              </w:rPr>
            </w:pPr>
          </w:p>
        </w:tc>
        <w:tc>
          <w:tcPr>
            <w:tcW w:w="102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w w:val="99"/>
              </w:rPr>
              <w:t>Gains (Losses)</w:t>
            </w:r>
          </w:p>
        </w:tc>
        <w:tc>
          <w:tcPr>
            <w:tcW w:w="0" w:type="dxa"/>
            <w:vAlign w:val="bottom"/>
          </w:tcPr>
          <w:p>
            <w:pPr>
              <w:spacing w:after="0"/>
              <w:rPr>
                <w:sz w:val="1"/>
                <w:szCs w:val="1"/>
                <w:color w:val="auto"/>
              </w:rPr>
            </w:pPr>
          </w:p>
        </w:tc>
      </w:tr>
      <w:tr>
        <w:trPr>
          <w:trHeight w:val="203"/>
        </w:trPr>
        <w:tc>
          <w:tcPr>
            <w:tcW w:w="5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Pfanstiehl, Inc.</w:t>
            </w:r>
          </w:p>
        </w:tc>
        <w:tc>
          <w:tcPr>
            <w:tcW w:w="34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Sold 50% of equity investment</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Fiber Materials, Inc.</w:t>
            </w:r>
          </w:p>
        </w:tc>
        <w:tc>
          <w:tcPr>
            <w:tcW w:w="2980" w:type="dxa"/>
            <w:vAlign w:val="bottom"/>
            <w:gridSpan w:val="3"/>
          </w:tcPr>
          <w:p>
            <w:pPr>
              <w:ind w:left="320"/>
              <w:spacing w:after="0"/>
              <w:rPr>
                <w:sz w:val="20"/>
                <w:szCs w:val="20"/>
                <w:color w:val="auto"/>
              </w:rPr>
            </w:pPr>
            <w:r>
              <w:rPr>
                <w:rFonts w:ascii="Arial" w:cs="Arial" w:eastAsia="Arial" w:hAnsi="Arial"/>
                <w:sz w:val="18"/>
                <w:szCs w:val="18"/>
                <w:color w:val="auto"/>
              </w:rPr>
              <w:t>Sale of portfolio company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Medsurant Holdings, LLC</w:t>
            </w:r>
          </w:p>
        </w:tc>
        <w:tc>
          <w:tcPr>
            <w:tcW w:w="2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Revenue Management Solutions, LLC</w:t>
            </w:r>
          </w:p>
        </w:tc>
        <w:tc>
          <w:tcPr>
            <w:tcW w:w="2980" w:type="dxa"/>
            <w:vAlign w:val="bottom"/>
            <w:gridSpan w:val="3"/>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Express Operations, LLC</w:t>
            </w:r>
          </w:p>
        </w:tc>
        <w:tc>
          <w:tcPr>
            <w:tcW w:w="2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Gurobi Optimization, LLC</w:t>
            </w:r>
          </w:p>
        </w:tc>
        <w:tc>
          <w:tcPr>
            <w:tcW w:w="2980" w:type="dxa"/>
            <w:vAlign w:val="bottom"/>
            <w:gridSpan w:val="3"/>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Hub Acquisition Sub, LLC (dba Hub Pen)</w:t>
            </w:r>
          </w:p>
        </w:tc>
        <w:tc>
          <w:tcPr>
            <w:tcW w:w="2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Midwest Transit Equipment, Inc.</w:t>
            </w:r>
          </w:p>
        </w:tc>
        <w:tc>
          <w:tcPr>
            <w:tcW w:w="2980" w:type="dxa"/>
            <w:vAlign w:val="bottom"/>
            <w:gridSpan w:val="3"/>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Pugh Lubricants, LLC</w:t>
            </w:r>
          </w:p>
        </w:tc>
        <w:tc>
          <w:tcPr>
            <w:tcW w:w="2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Microbiology Research Associates, Inc.</w:t>
            </w:r>
          </w:p>
        </w:tc>
        <w:tc>
          <w:tcPr>
            <w:tcW w:w="2980" w:type="dxa"/>
            <w:vAlign w:val="bottom"/>
            <w:gridSpan w:val="3"/>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ControlScan, Inc.</w:t>
            </w:r>
          </w:p>
        </w:tc>
        <w:tc>
          <w:tcPr>
            <w:tcW w:w="2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Alzheimer’s Research and Treatment Center, LLC</w:t>
            </w:r>
          </w:p>
        </w:tc>
        <w:tc>
          <w:tcPr>
            <w:tcW w:w="2980" w:type="dxa"/>
            <w:vAlign w:val="bottom"/>
            <w:gridSpan w:val="3"/>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BCM One Group Holdings, Inc.</w:t>
            </w:r>
          </w:p>
        </w:tc>
        <w:tc>
          <w:tcPr>
            <w:tcW w:w="2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Software Technology, LLC</w:t>
            </w:r>
          </w:p>
        </w:tc>
        <w:tc>
          <w:tcPr>
            <w:tcW w:w="2980" w:type="dxa"/>
            <w:vAlign w:val="bottom"/>
            <w:gridSpan w:val="3"/>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LNG Indy, LLC (dba Kinetrex Energy)</w:t>
            </w:r>
          </w:p>
        </w:tc>
        <w:tc>
          <w:tcPr>
            <w:tcW w:w="2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Wheel Pros, Inc.</w:t>
            </w:r>
          </w:p>
        </w:tc>
        <w:tc>
          <w:tcPr>
            <w:tcW w:w="2980" w:type="dxa"/>
            <w:vAlign w:val="bottom"/>
            <w:gridSpan w:val="3"/>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Allied 100 Group, Inc.</w:t>
            </w:r>
          </w:p>
        </w:tc>
        <w:tc>
          <w:tcPr>
            <w:tcW w:w="2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Restaurant Finance Co, LLC</w:t>
            </w:r>
          </w:p>
        </w:tc>
        <w:tc>
          <w:tcPr>
            <w:tcW w:w="2980" w:type="dxa"/>
            <w:vAlign w:val="bottom"/>
            <w:gridSpan w:val="3"/>
          </w:tcPr>
          <w:p>
            <w:pPr>
              <w:ind w:left="320"/>
              <w:spacing w:after="0"/>
              <w:rPr>
                <w:sz w:val="20"/>
                <w:szCs w:val="20"/>
                <w:color w:val="auto"/>
              </w:rPr>
            </w:pPr>
            <w:r>
              <w:rPr>
                <w:rFonts w:ascii="Arial" w:cs="Arial" w:eastAsia="Arial" w:hAnsi="Arial"/>
                <w:sz w:val="18"/>
                <w:szCs w:val="18"/>
                <w:color w:val="auto"/>
              </w:rPr>
              <w:t>Escrow distribution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Group International OpCo, LLC</w:t>
            </w:r>
          </w:p>
        </w:tc>
        <w:tc>
          <w:tcPr>
            <w:tcW w:w="2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New Era Technology, Inc.</w:t>
            </w:r>
          </w:p>
        </w:tc>
        <w:tc>
          <w:tcPr>
            <w:tcW w:w="2980" w:type="dxa"/>
            <w:vAlign w:val="bottom"/>
            <w:gridSpan w:val="3"/>
          </w:tcPr>
          <w:p>
            <w:pPr>
              <w:ind w:left="320"/>
              <w:spacing w:after="0"/>
              <w:rPr>
                <w:sz w:val="20"/>
                <w:szCs w:val="20"/>
                <w:color w:val="auto"/>
              </w:rPr>
            </w:pPr>
            <w:r>
              <w:rPr>
                <w:rFonts w:ascii="Arial" w:cs="Arial" w:eastAsia="Arial" w:hAnsi="Arial"/>
                <w:sz w:val="18"/>
                <w:szCs w:val="18"/>
                <w:color w:val="auto"/>
              </w:rPr>
              <w:t>Escrow distribution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Palisade Company, LLC</w:t>
            </w:r>
          </w:p>
        </w:tc>
        <w:tc>
          <w:tcPr>
            <w:tcW w:w="29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Sold 50% of equity investment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Net realized gain (loss) on investments</w:t>
            </w: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from realized gains on investments</w:t>
            </w:r>
          </w:p>
        </w:tc>
        <w:tc>
          <w:tcPr>
            <w:tcW w:w="3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w w:val="97"/>
              </w:rPr>
              <w:t>Net realized gain (loss), net of income tax provision, on investments</w:t>
            </w: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5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the three months ended March 31, 2019, the total net realized loss on investments, before income tax provision on realized gains, was $(1.6) million. Income tax (provision) from realized gains on investments was zero for the three months ended March 31, 2019. Significant realized gains (losses) for the three months ended March 31, 2019 are summarized below (dollars in millions):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4"/>
              </w:rPr>
              <w:t>Portfolio Company</w:t>
            </w:r>
          </w:p>
        </w:tc>
        <w:tc>
          <w:tcPr>
            <w:tcW w:w="4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Net Realized</w:t>
            </w:r>
          </w:p>
        </w:tc>
        <w:tc>
          <w:tcPr>
            <w:tcW w:w="0" w:type="dxa"/>
            <w:vAlign w:val="bottom"/>
          </w:tcPr>
          <w:p>
            <w:pPr>
              <w:spacing w:after="0"/>
              <w:rPr>
                <w:sz w:val="1"/>
                <w:szCs w:val="1"/>
                <w:color w:val="auto"/>
              </w:rPr>
            </w:pPr>
          </w:p>
        </w:tc>
      </w:tr>
      <w:tr>
        <w:trPr>
          <w:trHeight w:val="163"/>
        </w:trPr>
        <w:tc>
          <w:tcPr>
            <w:tcW w:w="1200" w:type="dxa"/>
            <w:vAlign w:val="bottom"/>
            <w:tcBorders>
              <w:bottom w:val="single" w:sz="8" w:color="auto"/>
            </w:tcBorders>
            <w:vMerge w:val="continue"/>
          </w:tcPr>
          <w:p>
            <w:pPr>
              <w:spacing w:after="0"/>
              <w:rPr>
                <w:sz w:val="13"/>
                <w:szCs w:val="13"/>
                <w:color w:val="auto"/>
              </w:rPr>
            </w:pPr>
          </w:p>
        </w:tc>
        <w:tc>
          <w:tcPr>
            <w:tcW w:w="41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0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7"/>
              </w:rPr>
              <w:t>Gains (Losses)</w:t>
            </w:r>
          </w:p>
        </w:tc>
        <w:tc>
          <w:tcPr>
            <w:tcW w:w="0" w:type="dxa"/>
            <w:vAlign w:val="bottom"/>
          </w:tcPr>
          <w:p>
            <w:pPr>
              <w:spacing w:after="0"/>
              <w:rPr>
                <w:sz w:val="1"/>
                <w:szCs w:val="1"/>
                <w:color w:val="auto"/>
              </w:rPr>
            </w:pPr>
          </w:p>
        </w:tc>
      </w:tr>
      <w:tr>
        <w:trPr>
          <w:trHeight w:val="20"/>
        </w:trPr>
        <w:tc>
          <w:tcPr>
            <w:tcW w:w="5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K2 Industrial Services, Inc.</w:t>
            </w:r>
          </w:p>
        </w:tc>
        <w:tc>
          <w:tcPr>
            <w:tcW w:w="380" w:type="dxa"/>
            <w:vAlign w:val="bottom"/>
            <w:vMerge w:val="restart"/>
            <w:shd w:val="clear" w:color="auto" w:fill="CCEEFF"/>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gridSpan w:val="2"/>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2220" w:type="dxa"/>
            <w:vAlign w:val="bottom"/>
            <w:shd w:val="clear" w:color="auto" w:fill="CCEEFF"/>
          </w:tcPr>
          <w:p>
            <w:pPr>
              <w:jc w:val="right"/>
              <w:ind w:right="279"/>
              <w:spacing w:after="0" w:line="203" w:lineRule="exact"/>
              <w:rPr>
                <w:sz w:val="20"/>
                <w:szCs w:val="20"/>
                <w:color w:val="auto"/>
              </w:rPr>
            </w:pPr>
            <w:r>
              <w:rPr>
                <w:rFonts w:ascii="Arial" w:cs="Arial" w:eastAsia="Arial" w:hAnsi="Arial"/>
                <w:sz w:val="18"/>
                <w:szCs w:val="18"/>
                <w:color w:val="auto"/>
                <w:w w:val="93"/>
              </w:rPr>
              <w:t>Exit of portfolio company</w:t>
            </w:r>
          </w:p>
        </w:tc>
        <w:tc>
          <w:tcPr>
            <w:tcW w:w="360" w:type="dxa"/>
            <w:vAlign w:val="bottom"/>
            <w:tcBorders>
              <w:right w:val="single" w:sz="8" w:color="CCEEFF"/>
            </w:tcBorders>
            <w:vMerge w:val="continue"/>
            <w:shd w:val="clear" w:color="auto" w:fill="CCEEFF"/>
          </w:tcPr>
          <w:p>
            <w:pPr>
              <w:spacing w:after="0"/>
              <w:rPr>
                <w:sz w:val="17"/>
                <w:szCs w:val="17"/>
                <w:color w:val="auto"/>
              </w:rPr>
            </w:pPr>
          </w:p>
        </w:tc>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Consolidated Infrastructure Group Holdings, LP</w:t>
            </w:r>
          </w:p>
        </w:tc>
        <w:tc>
          <w:tcPr>
            <w:tcW w:w="2960" w:type="dxa"/>
            <w:vAlign w:val="bottom"/>
            <w:gridSpan w:val="3"/>
          </w:tcPr>
          <w:p>
            <w:pPr>
              <w:jc w:val="right"/>
              <w:ind w:right="720"/>
              <w:spacing w:after="0"/>
              <w:rPr>
                <w:sz w:val="20"/>
                <w:szCs w:val="20"/>
                <w:color w:val="auto"/>
              </w:rPr>
            </w:pPr>
            <w:r>
              <w:rPr>
                <w:rFonts w:ascii="Arial" w:cs="Arial" w:eastAsia="Arial" w:hAnsi="Arial"/>
                <w:sz w:val="18"/>
                <w:szCs w:val="18"/>
                <w:color w:val="auto"/>
              </w:rPr>
              <w:t>Exit of portfolio company</w:t>
            </w:r>
          </w:p>
        </w:tc>
        <w:tc>
          <w:tcPr>
            <w:tcW w:w="3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Net realized gain (loss) on investments</w:t>
            </w:r>
          </w:p>
        </w:tc>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from realized gains on investments</w:t>
            </w:r>
          </w:p>
        </w:tc>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w w:val="97"/>
              </w:rPr>
              <w:t>Net realized gain (loss), net of income tax provision, on investments</w:t>
            </w:r>
          </w:p>
        </w:tc>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5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ectPr>
          <w:pgSz w:w="11900" w:h="16838" w:orient="portrait"/>
          <w:cols w:equalWidth="0" w:num="1">
            <w:col w:w="10960"/>
          </w:cols>
          <w:pgMar w:left="320" w:top="459" w:right="619" w:bottom="1440" w:gutter="0" w:footer="0" w:header="0"/>
        </w:sectPr>
      </w:pP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960"/>
          </w:cols>
          <w:pgMar w:left="320" w:top="459" w:right="61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During the three months ended March 31, 2020 and 2019, we recorded a net change in unrealized appreciation (depreciation) on investments attributable to the following (dollars in millions):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20" w:type="dxa"/>
            <w:vAlign w:val="bottom"/>
            <w:gridSpan w:val="2"/>
          </w:tcPr>
          <w:p>
            <w:pPr>
              <w:jc w:val="center"/>
              <w:ind w:left="339"/>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 Appreciation (Depreciation)</w:t>
            </w:r>
          </w:p>
        </w:tc>
        <w:tc>
          <w:tcPr>
            <w:tcW w:w="940" w:type="dxa"/>
            <w:vAlign w:val="bottom"/>
            <w:tcBorders>
              <w:bottom w:val="single" w:sz="8" w:color="auto"/>
            </w:tcBorders>
            <w:gridSpan w:val="3"/>
          </w:tcPr>
          <w:p>
            <w:pPr>
              <w:jc w:val="center"/>
              <w:ind w:left="199"/>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40" w:type="dxa"/>
            <w:vAlign w:val="bottom"/>
            <w:gridSpan w:val="2"/>
            <w:vMerge w:val="continue"/>
          </w:tcPr>
          <w:p>
            <w:pPr>
              <w:spacing w:after="0"/>
              <w:rPr>
                <w:sz w:val="11"/>
                <w:szCs w:val="11"/>
                <w:color w:val="auto"/>
              </w:rPr>
            </w:pPr>
          </w:p>
        </w:tc>
        <w:tc>
          <w:tcPr>
            <w:tcW w:w="50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shd w:val="clear" w:color="auto" w:fill="000000"/>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Exit, sale or restructuring of investments</w:t>
            </w:r>
          </w:p>
        </w:tc>
        <w:tc>
          <w:tcPr>
            <w:tcW w:w="5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$(30.0)</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Fair value adjustments to debt investments</w:t>
            </w:r>
          </w:p>
        </w:tc>
        <w:tc>
          <w:tcPr>
            <w:tcW w:w="820" w:type="dxa"/>
            <w:vAlign w:val="bottom"/>
            <w:gridSpan w:val="2"/>
          </w:tcPr>
          <w:p>
            <w:pPr>
              <w:jc w:val="right"/>
              <w:ind w:right="241"/>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(2.3)</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adjustments to equity investments</w:t>
            </w:r>
          </w:p>
        </w:tc>
        <w:tc>
          <w:tcPr>
            <w:tcW w:w="8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Net change in unrealized appreciation (depreciation)</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(74.6</w:t>
            </w:r>
          </w:p>
        </w:tc>
        <w:tc>
          <w:tcPr>
            <w:tcW w:w="320" w:type="dxa"/>
            <w:vAlign w:val="bottom"/>
          </w:tcPr>
          <w:p>
            <w:pPr>
              <w:jc w:val="right"/>
              <w:ind w:right="24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Net increase (decrease) in net assets resulting from operations during the three months ended March 31, 2020 and 2019 was $(27.0) million and $11.4 million, respectively, as a result of the events described above.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As of March 31, 2020, we had $27.2 million in cash and cash equivalents and our net assets totaled $375.5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three months ended March 31, 2020, we repaid $7.0 million of SBA debentures which would have matured during the period September 1, 2024 through September 1, 2028. Our remaining outstanding SBA debentures continue to mature in 2025 and subsequent years through 2030, which will require repayment on or before the respective maturity dates.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For the three months ended March 31, 2020, we experienced a net increase in cash and cash equivalents in the amount of $12.2 million. During that period, we used $13.1 million of cash for operating activities, which included the funding of $68.2 million of investments, which were offset by proceeds received from sales and repayments of investments of $73.8 million. During the same period, received net borrowings of $10.0 million under our Credit Facility, partially offset by cash dividends paid to stockholders of $9.5 million, net repayments of SBA debentures of $1.0 million, repurchases of common stock under the Stock Repurchase Program of $0.3 million, and the payment of deferred financing costs related to our debt financings of $0.1 million.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anticipate that we will continue to fund our investment activities on a long-term basis through a combination of additional debt and equity capital.</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SBA debentures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Funds are licensed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three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March 31, 2020, Fund II and Fund III had $143.0 million and $13.5 million of outstanding SBA debentures, respectively. Subject to SBA regulatory requirements and approval, Fund III may access up to $161.5 million of additional SBA debentures under the SBIC debenture program. For more information on the SBA debentures, please refer to Note 6 to our consolidated financial statements.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June 2014, we entered into the Credit Facility to provide additional funding for our investment and operational activities. On April 24, 2019, we entered into the Amended Credit Agreement, which amends, restates, and replaces the Credit Facility. The Credit Facility is secured by substantially all of our assets, excluding the assets of the Funds.</w:t>
      </w:r>
    </w:p>
    <w:p>
      <w:pPr>
        <w:spacing w:after="0" w:line="184"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Under the Amended Credit Agreement, (i) revolving commitments by lenders were increased from $90.0 million to $100.0 million, with an accordion feature that allows for an increase in total commitments up to $250.0 million,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1" w:lineRule="exact"/>
        <w:rPr>
          <w:sz w:val="20"/>
          <w:szCs w:val="20"/>
          <w:color w:val="auto"/>
        </w:rPr>
      </w:pPr>
    </w:p>
    <w:p>
      <w:pPr>
        <w:ind w:left="120" w:right="100" w:hanging="4"/>
        <w:spacing w:after="0" w:line="292" w:lineRule="auto"/>
        <w:tabs>
          <w:tab w:leader="none" w:pos="4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three month LIBOR plus 1.0%, and (D) zero. We pay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6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portfolio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57"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We have made customary representations and warranties and are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2020, we were in compliance with all covenants of the Credit Facility.</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Public Notes</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offering expenses of $0.4 million, were approximately $48.1 million.</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2023 Notes will mature on February 1, 2023 and bear interest at a rate of 5.875%. The 2023 Notes may be redeemed in whole or in part at any time or from time to time at our option on or after February 1, 2020. Interest on the 2023 Notes is payable quarterly on February 1, May 1, August 1 and November 1 of each year. The 2023 Notes are listed on the NASDAQ Global Select Market under the trading symbol “FDUSL.” As of March 31, 2020, the outstanding principal balance of the 2023 Notes was $50.0 million.</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February 8, 2019, we closed the public offering of approximately $60.0 million in aggregate principal amount of our 6.000% notes due 2024, or the “2024 Notes”. On February 19, 2019, the underwriters exercised their option to purchase an additional $9.0 million in aggregate principal of the 2024 Notes. The total net proceeds to us from the 2024 Notes, including the exercise of the underwriters’ option, after deducting underwriting discounts of approximately $2.1 million and offering expenses of $0.4 million, were approximately $66.5 million.</w:t>
      </w:r>
    </w:p>
    <w:p>
      <w:pPr>
        <w:spacing w:after="0" w:line="17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2024 Notes will mature on February 15, 2024 and bear interest at a rate of 6.000%. The 2024 Notes may be redeemed in whole or in part at any time or from time to time at our option on or after February 15, 2021. Interest on the 2024 Notes is payable quarterly on February 15, May 15, August 15 and November 15 of each year, beginning May 15, 2019. The 2024 Notes are listed on the NASDAQ Global Select Market under the trading symbol “FDUSZ.” As of March 31, 2020, the outstanding principal balance of the 2024 Notes was $69.0 million.</w:t>
      </w:r>
    </w:p>
    <w:p>
      <w:pPr>
        <w:spacing w:after="0" w:line="17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On October 16, 2019, we closed the public offering of approximately $55.0 million in aggregate principal amount of our 5.375% notes due 2024, or the “November 2024 Notes” (and collectively with the 2023 Notes and the February 2024 Notes, the “Public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offering expenses of $0.3 million, were approximately $61.1 million.</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November 2024 Notes will mature on November 1, 2024 and bear interest at a rate of 5.375%. The November 2024 Notes may be redeemed in whole or in part at any time or from time to time at our option on or after November 1, 2021. Interest on the November 2024 Notes is payable quarterly on February 1, May 1, August 1 and November 1 of each year, beginning February 1, 2020. The November 2024 Notes are listed on the NASDAQ Global Select Market under the trading symbol “FDUSG.” As of March 31, 2020, the outstanding principal balance of the November 2024 Notes was approximately $63.3 million.</w:t>
      </w:r>
    </w:p>
    <w:p>
      <w:pPr>
        <w:spacing w:after="0" w:line="18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Public Notes are unsecured obligations and rank pari passu with our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March 31, 2020, the weighted average stated interest rates for our SBA debentures, Public Notes, and the Credit Facility were 3.333%,</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5.749%, and 3.855% respectively. As of March 31, 2020, we had $65.0 million of unutilized commitment under our Credit Facility, and we were subject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a 0.500% fee on such amount. As of March 31, 2020, the weighted average stated interest rate on total debt outstanding was 4.560%.</w:t>
      </w:r>
    </w:p>
    <w:p>
      <w:pPr>
        <w:spacing w:after="0" w:line="211"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As a BDC, we are generally required to meet an asset coverage ratio of at least 200.0% (or 150.0% on and after April 29, 2020)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We have received exemptive relief from the U.S. Securities and Exchange Commission (“SEC”) to allow us to exclude any indebtedness guaranteed by the SBA and issued by the Funds from the 200.0% asset coverage requirements, which, in turn, will enable us to fund more investments with debt capital. Recent legislation, however, modifies the required minimum asset coverage ratio from 200.0% to 150.0%, if certain requirements are met. Under the legislation,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legislation allows the majority of our independent directors to approve an increase in our leverage capacity, and such approval would become effective after the one-year anniversary of such approval.</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April 29, 2019, our Board, including a majority of the non-interested directors, approved a minimum asset coverage ratio of 150% under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Sections 18(a)(1) and 18(a)(2) of the 1940 Act. As a result, we will become subject to the 150% asset coverage ratio effective as of April 29, 2020. 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present time, we do not intend to seek stockholder approval to reduce our asset coverage requirement. As of March 31, 2020, the aggregate amount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outstanding of the senior securities issued by the Company was $217.3 million, for which our asset coverage was 272.9%. The SBA-guaranteed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debentures are not subject to the asset coverage requirements of the 1940 Act as a result of exemptive relief granted to us by the SEC effective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27, 2012. The asset coverage ratio for a class of senior securities representing indebtedness is calculated as our consolidated total assets, less 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liabilities and indebtedness not represented by senior securities, divided by total senior securities representing indebtedness.</w:t>
      </w:r>
    </w:p>
    <w:p>
      <w:pPr>
        <w:spacing w:after="0" w:line="21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our board of directors, including Independent Directors, determines that such sale is in the best interests of us and our stockholders, and if our stockholders approve such sale. On June 19, 2019, our stockholders voted to allow us to sell or otherwise issue common stock at a price below net asset value per share for a period of one year ending on the earlier of June 19, 2020 or the date of our 2020 Annual Meeting of Stockholders. We expect to present to our stockholders a similar proposal at our 2020 Annual Meeting of Stockholders. Our stockholders specified that the cumulative number of shares sold in each offering during the one-year period ending on the earlier of June 19, 2020 or the date of our 2020 Annual Meeting of Stockholders may not exceed 25.0% of our outstanding common stock immediately prior to each such sale.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29, 2019, the Board extended the Stock Repurchase Program through December 31, 2020,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During the three months ended March 31, 2020, we repurchased 25,719 shares of common stock on the open market for $0.3 million. We did not make any repurchases of common stock during the three months ended March 31, 2019. Refer to Note 8 to our consolidated financial statements for additional information concerning stock repurchases.</w:t>
      </w:r>
    </w:p>
    <w:p>
      <w:pPr>
        <w:sectPr>
          <w:pgSz w:w="11900" w:h="16838" w:orient="portrait"/>
          <w:cols w:equalWidth="0" w:num="1">
            <w:col w:w="11120"/>
          </w:cols>
          <w:pgMar w:left="320" w:top="459" w:right="459" w:bottom="1440"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20"/>
          </w:cols>
          <w:pgMar w:left="320" w:top="459" w:right="4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affecting amounts reported in the financial statements. We have identified investment valuation and revenue recognition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6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76" w:lineRule="exact"/>
        <w:rPr>
          <w:sz w:val="20"/>
          <w:szCs w:val="20"/>
          <w:color w:val="auto"/>
        </w:rPr>
      </w:pPr>
    </w:p>
    <w:p>
      <w:pPr>
        <w:ind w:left="1540" w:right="700" w:hanging="439"/>
        <w:spacing w:after="0" w:line="277" w:lineRule="auto"/>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evaluated and rated by the investment professionals of our investment advisor responsible for the portfolio investment;</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the investment committee of our investment advisor;</w:t>
      </w:r>
    </w:p>
    <w:p>
      <w:pPr>
        <w:spacing w:after="0" w:line="153" w:lineRule="exact"/>
        <w:rPr>
          <w:rFonts w:ascii="Arial" w:cs="Arial" w:eastAsia="Arial" w:hAnsi="Arial"/>
          <w:sz w:val="16"/>
          <w:szCs w:val="16"/>
          <w:color w:val="auto"/>
        </w:rPr>
      </w:pPr>
    </w:p>
    <w:p>
      <w:pPr>
        <w:ind w:left="1540" w:right="20" w:hanging="439"/>
        <w:spacing w:after="0" w:line="269" w:lineRule="auto"/>
        <w:tabs>
          <w:tab w:leader="none" w:pos="1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16 and 13 of our portfolio company investments representing 24.2% and 30.9% of the total portfolio investments at fair value (exclusive of new portfolio company investments made during the three months ended March 31, 2020 and December 31, 2019, respectively) as of March 31, 2020 and December 31, 2019, respectively;</w:t>
      </w:r>
    </w:p>
    <w:p>
      <w:pPr>
        <w:spacing w:after="0" w:line="87" w:lineRule="exact"/>
        <w:rPr>
          <w:rFonts w:ascii="Arial" w:cs="Arial" w:eastAsia="Arial" w:hAnsi="Arial"/>
          <w:sz w:val="17"/>
          <w:szCs w:val="17"/>
          <w:color w:val="auto"/>
        </w:rPr>
      </w:pPr>
    </w:p>
    <w:p>
      <w:pPr>
        <w:ind w:left="1540" w:right="240" w:hanging="439"/>
        <w:spacing w:after="0" w:line="308" w:lineRule="auto"/>
        <w:tabs>
          <w:tab w:leader="none" w:pos="1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advisor and of the independent valuation firm(s) and responds and supplements the valuation recommendations to reflect any comments; and</w:t>
      </w:r>
    </w:p>
    <w:p>
      <w:pPr>
        <w:spacing w:after="0" w:line="51" w:lineRule="exact"/>
        <w:rPr>
          <w:rFonts w:ascii="Arial" w:cs="Arial" w:eastAsia="Arial" w:hAnsi="Arial"/>
          <w:sz w:val="17"/>
          <w:szCs w:val="17"/>
          <w:color w:val="auto"/>
        </w:rPr>
      </w:pPr>
    </w:p>
    <w:p>
      <w:pPr>
        <w:ind w:left="1540" w:right="120" w:hanging="439"/>
        <w:spacing w:after="0" w:line="277" w:lineRule="auto"/>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advisor, the independent valuation firm(s) and the audit committee.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Consistent with the policies and methodologies adopted by our board of directors,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6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ectPr>
          <w:pgSz w:w="11900" w:h="16838" w:orient="portrait"/>
          <w:cols w:equalWidth="0" w:num="1">
            <w:col w:w="11120"/>
          </w:cols>
          <w:pgMar w:left="320" w:top="459" w:right="459" w:bottom="1440"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20"/>
          </w:cols>
          <w:pgMar w:left="320" w:top="459" w:right="45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6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78"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The fair value of our royalty rights are calculated based on projected future cash flows and the specific provisions contained in the pertinent royalty agreement. The determination of the fair value of such royalty rights is not a significant component of our valuation process.</w:t>
      </w:r>
    </w:p>
    <w:p>
      <w:pPr>
        <w:spacing w:after="0" w:line="124"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Investments and related investment income. </w:t>
      </w:r>
      <w:r>
        <w:rPr>
          <w:rFonts w:ascii="Arial" w:cs="Arial" w:eastAsia="Arial" w:hAnsi="Arial"/>
          <w:sz w:val="18"/>
          <w:szCs w:val="18"/>
          <w:color w:val="auto"/>
        </w:rPr>
        <w:t>Realized gains or losses on investments are recorded upon the sale or disposition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our board of directors through the application of our valuation policy, as well as reclassifications of any prior period unrealized appreciation or depreciation on exited investments to realized gains or losses on investments.</w:t>
      </w:r>
    </w:p>
    <w:p>
      <w:pPr>
        <w:spacing w:after="0" w:line="192"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i w:val="1"/>
          <w:iCs w:val="1"/>
          <w:color w:val="auto"/>
        </w:rPr>
        <w:t>Interest and dividend income</w:t>
      </w:r>
      <w:r>
        <w:rPr>
          <w:rFonts w:ascii="Arial" w:cs="Arial" w:eastAsia="Arial" w:hAnsi="Arial"/>
          <w:sz w:val="17"/>
          <w:szCs w:val="17"/>
          <w:color w:val="auto"/>
        </w:rPr>
        <w:t>. Interest and dividend income are recorded on the accrual basis to the extent that we expect to collect such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i w:val="1"/>
          <w:iCs w:val="1"/>
          <w:color w:val="auto"/>
        </w:rPr>
        <w:t xml:space="preserve">PIK income. </w:t>
      </w:r>
      <w:r>
        <w:rPr>
          <w:rFonts w:ascii="Arial" w:cs="Arial" w:eastAsia="Arial" w:hAnsi="Arial"/>
          <w:sz w:val="17"/>
          <w:szCs w:val="17"/>
          <w:color w:val="auto"/>
        </w:rPr>
        <w:t>Certain of our investments contain a PIK income provision. The PIK income, computed at the contractual rate specified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ectPr>
          <w:pgSz w:w="11900" w:h="16838" w:orient="portrait"/>
          <w:cols w:equalWidth="0" w:num="1">
            <w:col w:w="11120"/>
          </w:cols>
          <w:pgMar w:left="320" w:top="459" w:right="459" w:bottom="1440"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20"/>
          </w:cols>
          <w:pgMar w:left="320" w:top="459" w:right="45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i w:val="1"/>
          <w:iCs w:val="1"/>
          <w:color w:val="auto"/>
        </w:rPr>
        <w:t xml:space="preserve">Non-accrual. </w:t>
      </w:r>
      <w:r>
        <w:rPr>
          <w:rFonts w:ascii="Arial" w:cs="Arial" w:eastAsia="Arial" w:hAnsi="Arial"/>
          <w:sz w:val="17"/>
          <w:szCs w:val="17"/>
          <w:color w:val="auto"/>
        </w:rPr>
        <w:t>Debt investments or preferred equity investments (for which we are accruing PIK dividends) are placed on non-accrual status when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our debt investments, we will sometimes receive warrants or other equity-related securities (Warrants).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All transaction fees earned in connection with our investments are recognized as fee income and are generally non-recurring.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 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which is intended to improve fair value disclosure requirements by removing disclosures that are not cost-beneficial, clarifying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specific requirements, and adding relevant disclosure requirements. The guidance is effective for annual and interim reporting periods beginning after December 15, 2019. We adopted the ASU effective January 1, 2020. No significant changes to the fair value disclosures were necessary in the notes to the consolidated financial statements in order to comply with ASU 2018-13.</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may be a party to financial instruments with off-balance sheet risk in the normal course of business to meet the financial needs of our portfolio companies. We had off-balance sheet arrangements consisting of outstanding commitments to fund various undrawn revolving loans, other debt investments and capital commitments totaling $4.8 million as of March 31, 2020 and December 31, 2019. Such outstanding commitments are summarized in the following table (dollars in millions):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6"/>
          </w:tcPr>
          <w:p>
            <w:pPr>
              <w:ind w:left="4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4"/>
                <w:szCs w:val="14"/>
                <w:color w:val="auto"/>
              </w:rPr>
            </w:pPr>
          </w:p>
        </w:tc>
        <w:tc>
          <w:tcPr>
            <w:tcW w:w="224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3"/>
              </w:rPr>
              <w:t>Portfolio Company - Investment</w:t>
            </w:r>
          </w:p>
        </w:tc>
        <w:tc>
          <w:tcPr>
            <w:tcW w:w="3900" w:type="dxa"/>
            <w:vAlign w:val="bottom"/>
            <w:vMerge w:val="restart"/>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Unfunded</w:t>
            </w:r>
          </w:p>
        </w:tc>
        <w:tc>
          <w:tcPr>
            <w:tcW w:w="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Unfunded</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00" w:type="dxa"/>
            <w:vAlign w:val="bottom"/>
            <w:tcBorders>
              <w:bottom w:val="single" w:sz="8" w:color="auto"/>
            </w:tcBorders>
            <w:vMerge w:val="continue"/>
          </w:tcPr>
          <w:p>
            <w:pPr>
              <w:spacing w:after="0"/>
              <w:rPr>
                <w:sz w:val="15"/>
                <w:szCs w:val="15"/>
                <w:color w:val="auto"/>
              </w:rPr>
            </w:pPr>
          </w:p>
        </w:tc>
        <w:tc>
          <w:tcPr>
            <w:tcW w:w="3900" w:type="dxa"/>
            <w:vAlign w:val="bottom"/>
            <w:vMerge w:val="continue"/>
          </w:tcPr>
          <w:p>
            <w:pPr>
              <w:spacing w:after="0"/>
              <w:rPr>
                <w:sz w:val="15"/>
                <w:szCs w:val="15"/>
                <w:color w:val="auto"/>
              </w:rPr>
            </w:pPr>
          </w:p>
        </w:tc>
        <w:tc>
          <w:tcPr>
            <w:tcW w:w="136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Commitment</w:t>
            </w:r>
          </w:p>
        </w:tc>
        <w:tc>
          <w:tcPr>
            <w:tcW w:w="13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Commitment</w:t>
            </w:r>
          </w:p>
        </w:tc>
        <w:tc>
          <w:tcPr>
            <w:tcW w:w="13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Commitment</w:t>
            </w: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3"/>
        </w:trPr>
        <w:tc>
          <w:tcPr>
            <w:tcW w:w="5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Combined Systems, Inc. - Revolving Loan</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87"/>
              </w:rPr>
              <w:t>4.0</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FDS Avionics Corp. (dba Flight Display Systems) - Revolving Loan</w:t>
            </w:r>
          </w:p>
        </w:tc>
        <w:tc>
          <w:tcPr>
            <w:tcW w:w="180" w:type="dxa"/>
            <w:vAlign w:val="bottom"/>
          </w:tcPr>
          <w:p>
            <w:pPr>
              <w:spacing w:after="0"/>
              <w:rPr>
                <w:sz w:val="18"/>
                <w:szCs w:val="18"/>
                <w:color w:val="auto"/>
              </w:rPr>
            </w:pPr>
          </w:p>
        </w:tc>
        <w:tc>
          <w:tcPr>
            <w:tcW w:w="680" w:type="dxa"/>
            <w:vAlign w:val="bottom"/>
            <w:gridSpan w:val="2"/>
          </w:tcPr>
          <w:p>
            <w:pPr>
              <w:ind w:left="420"/>
              <w:spacing w:after="0"/>
              <w:rPr>
                <w:sz w:val="20"/>
                <w:szCs w:val="20"/>
                <w:color w:val="auto"/>
              </w:rPr>
            </w:pPr>
            <w:r>
              <w:rPr>
                <w:rFonts w:ascii="Arial" w:cs="Arial" w:eastAsia="Arial" w:hAnsi="Arial"/>
                <w:sz w:val="18"/>
                <w:szCs w:val="18"/>
                <w:color w:val="auto"/>
                <w:w w:val="95"/>
              </w:rPr>
              <w:t>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ind w:left="4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French Transit, LLC - Revolving Loan</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Rhino Assembly Company, LLC - Delayed Draw Commitment</w:t>
            </w:r>
          </w:p>
        </w:tc>
        <w:tc>
          <w:tcPr>
            <w:tcW w:w="180" w:type="dxa"/>
            <w:vAlign w:val="bottom"/>
          </w:tcPr>
          <w:p>
            <w:pPr>
              <w:spacing w:after="0"/>
              <w:rPr>
                <w:sz w:val="18"/>
                <w:szCs w:val="18"/>
                <w:color w:val="auto"/>
              </w:rPr>
            </w:pPr>
          </w:p>
        </w:tc>
        <w:tc>
          <w:tcPr>
            <w:tcW w:w="680" w:type="dxa"/>
            <w:vAlign w:val="bottom"/>
            <w:gridSpan w:val="2"/>
          </w:tcPr>
          <w:p>
            <w:pPr>
              <w:ind w:left="420"/>
              <w:spacing w:after="0"/>
              <w:rPr>
                <w:sz w:val="20"/>
                <w:szCs w:val="20"/>
                <w:color w:val="auto"/>
              </w:rPr>
            </w:pPr>
            <w:r>
              <w:rPr>
                <w:rFonts w:ascii="Arial" w:cs="Arial" w:eastAsia="Arial" w:hAnsi="Arial"/>
                <w:sz w:val="18"/>
                <w:szCs w:val="18"/>
                <w:color w:val="auto"/>
                <w:w w:val="95"/>
              </w:rPr>
              <w:t>0.9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180" w:type="dxa"/>
            <w:vAlign w:val="bottom"/>
            <w:gridSpan w:val="2"/>
          </w:tcPr>
          <w:p>
            <w:pPr>
              <w:ind w:left="4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Safety Products Group, LLC - Common Equity (Units)</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7"/>
              </w:rPr>
              <w:t>9.0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79"/>
              </w:rPr>
              <w:t>4.8</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7"/>
              </w:rPr>
              <w:t>5.0</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79"/>
              </w:rPr>
              <w:t>4.8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20" w:hanging="424"/>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our maximum potential liability related to certain guaranteed obligations stemming from the prior sale of the portfolio company’s underlying operations.</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Additional detail for each of the commitments above is provided in our consolidated schedules of investments.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1540" w:hanging="439"/>
        <w:spacing w:after="0" w:line="259" w:lineRule="auto"/>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entered into the Investment Advisory Agreement with Fidus Investment Advisors, LLC, as our investment advisor. Pursuant to the agreement our investment advisor manages our day-to-day operating and investing activities. We pay our investment advisor a fee for its services under the Investment Advisory Agreement consisting of two components — a base management fee and an incentive fee. See Note 5 to our consolidated financial statements.</w:t>
      </w:r>
    </w:p>
    <w:p>
      <w:pPr>
        <w:spacing w:after="0" w:line="92" w:lineRule="exact"/>
        <w:rPr>
          <w:rFonts w:ascii="Arial" w:cs="Arial" w:eastAsia="Arial" w:hAnsi="Arial"/>
          <w:sz w:val="18"/>
          <w:szCs w:val="18"/>
          <w:color w:val="auto"/>
        </w:rPr>
      </w:pPr>
    </w:p>
    <w:p>
      <w:pPr>
        <w:ind w:left="1540" w:hanging="439"/>
        <w:spacing w:after="0" w:line="255" w:lineRule="auto"/>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Edward H. Ross, our Chairman and Chief Executive Officer, and Thomas C. Lauer, our President, are managers of Fidus Investment Advisors, LLC. In May 2015, Fidus Investment Advisors, LLC entered into a combination with Fidus Partners, LLC (the “Combination”), by which members of Fidus Investment Advisors LLC and Fidus Partners, LLC (“Partners”) contributed all of their respective membership interest in Fidus Investment Advisors LLC and Partners to a newly formed limited liability company, Fidus Group Holdings, LLC (“Holdings”). As a result, Fidus Investment Advisors LLC is a wholly-owned subsidiary of Holdings, which is a limited liability company organized under the laws of Delaware.</w:t>
      </w:r>
    </w:p>
    <w:p>
      <w:pPr>
        <w:spacing w:after="0" w:line="97" w:lineRule="exact"/>
        <w:rPr>
          <w:rFonts w:ascii="Arial" w:cs="Arial" w:eastAsia="Arial" w:hAnsi="Arial"/>
          <w:sz w:val="18"/>
          <w:szCs w:val="18"/>
          <w:color w:val="auto"/>
        </w:rPr>
      </w:pPr>
    </w:p>
    <w:p>
      <w:pPr>
        <w:ind w:left="1540" w:right="380" w:hanging="439"/>
        <w:spacing w:after="0" w:line="342" w:lineRule="auto"/>
        <w:tabs>
          <w:tab w:leader="none" w:pos="1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entered into the Administration Agreement with Fidus Investment Advisors, LLC to provide us with the office facilities and administrative services necessary to conduct day-to-day operations. See Note 5 to our consolidated financial statements.</w:t>
      </w:r>
    </w:p>
    <w:p>
      <w:pPr>
        <w:spacing w:after="0" w:line="29" w:lineRule="exact"/>
        <w:rPr>
          <w:rFonts w:ascii="Arial" w:cs="Arial" w:eastAsia="Arial" w:hAnsi="Arial"/>
          <w:sz w:val="16"/>
          <w:szCs w:val="16"/>
          <w:color w:val="auto"/>
        </w:rPr>
      </w:pPr>
    </w:p>
    <w:p>
      <w:pPr>
        <w:ind w:left="1540" w:right="1020" w:hanging="439"/>
        <w:spacing w:after="0" w:line="277" w:lineRule="auto"/>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entered into a license agreement with Fidus Partners, LLC, pursuant to which Fidus Partners, LLC has granted us a non-exclusive, royalty-free license to use the name “Fidus.”</w:t>
      </w:r>
    </w:p>
    <w:p>
      <w:pPr>
        <w:spacing w:after="0" w:line="75" w:lineRule="exact"/>
        <w:rPr>
          <w:rFonts w:ascii="Arial" w:cs="Arial" w:eastAsia="Arial" w:hAnsi="Arial"/>
          <w:sz w:val="18"/>
          <w:szCs w:val="18"/>
          <w:color w:val="auto"/>
        </w:rPr>
      </w:pPr>
    </w:p>
    <w:p>
      <w:pPr>
        <w:ind w:left="1540" w:right="40" w:hanging="439"/>
        <w:spacing w:after="0" w:line="255" w:lineRule="auto"/>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February 25, 2020, the Company entered into a Limited Partnership Agreement (the “Agreement”) with Fidus Equity Fund I, L.P. (“FEF I”). Pursuant to the Agreement, we will serve as the General Partner of FEF I. Owned by third-party investors, FEF I was formed to purchase 50% of select equity investments from us. On February 25, 2020, we sold 50% of our equity investments in 20 portfolio companies to FEF I and received net proceeds of $35.9 million, resulting in a realized gain, net of estimated taxes, of approximately $20.4 million. We will not receive any fees from FEF I for any services provided in our capacity as the General Partner of FEF I.</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separate exemptive relief from the SEC, any SBA debentures issued by Fund II and Fund III are not considered senior securities for purposes of the asset coverage requirements.</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While we may co-invest with investment entities managed by our investment advisor or its affiliates, to the extent permitted by the 1940 Act and the rules and regulations thereunder, the 1940 Act imposes significant limits on co-investment. The SEC staff has granted us relief sought in an exemptive application that expands our ability to co-invest in portfolio companies with other funds managed by our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w:t>
      </w:r>
    </w:p>
    <w:p>
      <w:pPr>
        <w:spacing w:after="0" w:line="166"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addition, we and our investment advisor have each adopted a joint code of ethics pursuant to Rule 17j-1 under the 1940 Act that governs the conduct of our and our investment advisor’s officers, directors and employees. Additionally, our investment advisor has adopted a code of ethics pursuant to rule 204A-1 under the Advisers Act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On April 29, 2020, our Board declared a regular quarterly dividend of $0.30 per share payable on June 26, 2020 to stockholders of record as of June 12, 2020.</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On April 30, 2020, we invested $12.5 million in subordinated debt and common equity of ECM Industries, LLC, a global manufacturer and supplier of electrical products through a wide range of premium brands.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the future, our investment income may also be affected by changes in various interest rates, including LIBOR and prime rates, to the extent of any debt investments that include floating interest rates. As of March 31, 2020 and December 31, 2019, 19 and 17 portfolio company’s debt investments, respectively, bore interest at a variable rate, which represented $207.3 million and $181.3 million of our portfolio on a fair value basis, respectively, and the remainder of our debt portfolio was comprised entirely of fixed rate investments. Our pooled SBA debentures and our Public Notes bear interest at fixed rates. Our Credit Facility bears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w:t>
      </w:r>
    </w:p>
    <w:p>
      <w:pPr>
        <w:sectPr>
          <w:pgSz w:w="11900" w:h="16838" w:orient="portrait"/>
          <w:cols w:equalWidth="0" w:num="1">
            <w:col w:w="11120"/>
          </w:cols>
          <w:pgMar w:left="320" w:top="459" w:right="459" w:bottom="0" w:gutter="0" w:footer="0" w:header="0"/>
        </w:sectPr>
      </w:pP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20"/>
          </w:cols>
          <w:pgMar w:left="320" w:top="459" w:right="459" w:bottom="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88"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following table shows the approximate annualized increase or decrease in the components of net investment income due to hypothetical base rate changes in interest rates, assuming no changes in our investments and borrowings as of March 31, 2020 (dollars in millions):</w:t>
      </w:r>
    </w:p>
    <w:p>
      <w:pPr>
        <w:spacing w:after="0" w:line="13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Interest</w:t>
            </w:r>
          </w:p>
        </w:tc>
        <w:tc>
          <w:tcPr>
            <w:tcW w:w="1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4"/>
                <w:szCs w:val="14"/>
                <w:color w:val="auto"/>
              </w:rPr>
            </w:pPr>
          </w:p>
        </w:tc>
        <w:tc>
          <w:tcPr>
            <w:tcW w:w="106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14"/>
                <w:szCs w:val="14"/>
                <w:color w:val="auto"/>
              </w:rPr>
            </w:pPr>
          </w:p>
        </w:tc>
        <w:tc>
          <w:tcPr>
            <w:tcW w:w="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Income</w:t>
            </w:r>
          </w:p>
        </w:tc>
        <w:tc>
          <w:tcPr>
            <w:tcW w:w="12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89"/>
              </w:rPr>
              <w:t>Basis Point Increase (Decrease)</w:t>
            </w:r>
          </w:p>
        </w:tc>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Increase</w:t>
            </w:r>
          </w:p>
        </w:tc>
        <w:tc>
          <w:tcPr>
            <w:tcW w:w="12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Increase</w:t>
            </w:r>
          </w:p>
        </w:tc>
        <w:tc>
          <w:tcPr>
            <w:tcW w:w="12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Increase</w:t>
            </w:r>
          </w:p>
        </w:tc>
        <w:tc>
          <w:tcPr>
            <w:tcW w:w="8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63"/>
        </w:trPr>
        <w:tc>
          <w:tcPr>
            <w:tcW w:w="1920" w:type="dxa"/>
            <w:vAlign w:val="bottom"/>
            <w:tcBorders>
              <w:bottom w:val="single" w:sz="8" w:color="auto"/>
            </w:tcBorders>
            <w:vMerge w:val="continue"/>
          </w:tcPr>
          <w:p>
            <w:pPr>
              <w:spacing w:after="0"/>
              <w:rPr>
                <w:sz w:val="13"/>
                <w:szCs w:val="13"/>
                <w:color w:val="auto"/>
              </w:rPr>
            </w:pPr>
          </w:p>
        </w:tc>
        <w:tc>
          <w:tcPr>
            <w:tcW w:w="3580" w:type="dxa"/>
            <w:vAlign w:val="bottom"/>
          </w:tcPr>
          <w:p>
            <w:pPr>
              <w:spacing w:after="0"/>
              <w:rPr>
                <w:sz w:val="13"/>
                <w:szCs w:val="13"/>
                <w:color w:val="auto"/>
              </w:rPr>
            </w:pPr>
          </w:p>
        </w:tc>
        <w:tc>
          <w:tcPr>
            <w:tcW w:w="1400" w:type="dxa"/>
            <w:vAlign w:val="bottom"/>
            <w:gridSpan w:val="3"/>
          </w:tcPr>
          <w:p>
            <w:pPr>
              <w:jc w:val="center"/>
              <w:ind w:right="540"/>
              <w:spacing w:after="0" w:line="158" w:lineRule="exact"/>
              <w:rPr>
                <w:sz w:val="20"/>
                <w:szCs w:val="20"/>
                <w:color w:val="auto"/>
              </w:rPr>
            </w:pPr>
            <w:r>
              <w:rPr>
                <w:rFonts w:ascii="Arial" w:cs="Arial" w:eastAsia="Arial" w:hAnsi="Arial"/>
                <w:sz w:val="14"/>
                <w:szCs w:val="14"/>
                <w:b w:val="1"/>
                <w:bCs w:val="1"/>
                <w:color w:val="auto"/>
                <w:w w:val="90"/>
              </w:rPr>
              <w:t xml:space="preserve">(Decrease) </w:t>
            </w:r>
            <w:r>
              <w:rPr>
                <w:rFonts w:ascii="Arial" w:cs="Arial" w:eastAsia="Arial" w:hAnsi="Arial"/>
                <w:sz w:val="12"/>
                <w:szCs w:val="12"/>
                <w:b w:val="1"/>
                <w:bCs w:val="1"/>
                <w:color w:val="auto"/>
                <w:w w:val="90"/>
              </w:rPr>
              <w:t>(1)</w:t>
            </w:r>
          </w:p>
        </w:tc>
        <w:tc>
          <w:tcPr>
            <w:tcW w:w="1220" w:type="dxa"/>
            <w:vAlign w:val="bottom"/>
            <w:gridSpan w:val="3"/>
          </w:tcPr>
          <w:p>
            <w:pPr>
              <w:jc w:val="center"/>
              <w:ind w:right="580"/>
              <w:spacing w:after="0" w:line="158" w:lineRule="exact"/>
              <w:rPr>
                <w:sz w:val="20"/>
                <w:szCs w:val="20"/>
                <w:color w:val="auto"/>
              </w:rPr>
            </w:pPr>
            <w:r>
              <w:rPr>
                <w:rFonts w:ascii="Arial" w:cs="Arial" w:eastAsia="Arial" w:hAnsi="Arial"/>
                <w:sz w:val="14"/>
                <w:szCs w:val="14"/>
                <w:b w:val="1"/>
                <w:bCs w:val="1"/>
                <w:color w:val="auto"/>
                <w:w w:val="89"/>
              </w:rPr>
              <w:t>(Decrease)</w:t>
            </w:r>
          </w:p>
        </w:tc>
        <w:tc>
          <w:tcPr>
            <w:tcW w:w="1200" w:type="dxa"/>
            <w:vAlign w:val="bottom"/>
            <w:gridSpan w:val="3"/>
          </w:tcPr>
          <w:p>
            <w:pPr>
              <w:jc w:val="center"/>
              <w:ind w:right="560"/>
              <w:spacing w:after="0" w:line="158" w:lineRule="exact"/>
              <w:rPr>
                <w:sz w:val="20"/>
                <w:szCs w:val="20"/>
                <w:color w:val="auto"/>
              </w:rPr>
            </w:pPr>
            <w:r>
              <w:rPr>
                <w:rFonts w:ascii="Arial" w:cs="Arial" w:eastAsia="Arial" w:hAnsi="Arial"/>
                <w:sz w:val="14"/>
                <w:szCs w:val="14"/>
                <w:b w:val="1"/>
                <w:bCs w:val="1"/>
                <w:color w:val="auto"/>
                <w:w w:val="89"/>
              </w:rPr>
              <w:t>(Decrease)</w:t>
            </w:r>
          </w:p>
        </w:tc>
        <w:tc>
          <w:tcPr>
            <w:tcW w:w="8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12"/>
                <w:szCs w:val="12"/>
                <w:b w:val="1"/>
                <w:bCs w:val="1"/>
                <w:color w:val="auto"/>
                <w:w w:val="94"/>
              </w:rPr>
              <w:t>(2)</w:t>
            </w:r>
          </w:p>
        </w:tc>
        <w:tc>
          <w:tcPr>
            <w:tcW w:w="0" w:type="dxa"/>
            <w:vAlign w:val="bottom"/>
          </w:tcPr>
          <w:p>
            <w:pPr>
              <w:spacing w:after="0"/>
              <w:rPr>
                <w:sz w:val="1"/>
                <w:szCs w:val="1"/>
                <w:color w:val="auto"/>
              </w:rPr>
            </w:pPr>
          </w:p>
        </w:tc>
      </w:tr>
      <w:tr>
        <w:trPr>
          <w:trHeight w:val="20"/>
        </w:trPr>
        <w:tc>
          <w:tcPr>
            <w:tcW w:w="1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(200)</w:t>
            </w:r>
          </w:p>
        </w:tc>
        <w:tc>
          <w:tcPr>
            <w:tcW w:w="35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20" w:type="dxa"/>
            <w:vAlign w:val="bottom"/>
            <w:vMerge w:val="continue"/>
            <w:shd w:val="clear" w:color="auto" w:fill="CCEEFF"/>
          </w:tcPr>
          <w:p>
            <w:pPr>
              <w:spacing w:after="0"/>
              <w:rPr>
                <w:sz w:val="17"/>
                <w:szCs w:val="17"/>
                <w:color w:val="auto"/>
              </w:rPr>
            </w:pPr>
          </w:p>
        </w:tc>
        <w:tc>
          <w:tcPr>
            <w:tcW w:w="3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jc w:val="right"/>
              <w:ind w:right="44"/>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(150)</w:t>
            </w: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(50)</w:t>
            </w: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100</w:t>
            </w: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150</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200</w:t>
            </w: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250</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300</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0"/>
                <w:szCs w:val="20"/>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Certain of our variable rate debt investments have a LIBOR interest rate floor, which lessens the impact of decreases in interest rates.</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the impact of income incentive fee at 20.0% on net increase (decrease) in net interest.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first quarter of 2020 that have materially affected, or are reasonably likely to materially affect, our internal control over financial reporting.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not, and our investment advisor is not, currently subject to any material legal proceedings.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addition to other information set forth in this report, including the risk factor below, you should carefully consider the “Risk Factors” discussed in our Form 10-K for the year ended December 31, 2019 and filed with the SEC on February 27, 2020, which are incorporated herein by reference. These Risk Factors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Legislation that took effect in 2018 would allow us to incur additional leverage.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1940 Act generally prohibits the Company from incurring indebtedness unless immediately after such borrowing we have an asset coverage for total borrowings of at least 200.0% (i.e., the amount of debt may not exceed 50.0% of the value of our assets). However, in March 2018, the Small Business Credit Availability Act (“the “SBCA”) modified the 1940 Act by allowing a BDC to increase the maximum amount of leverage it may incur from an asset coverage ratio of 200.0% to an asset coverage ratio of 150.0%, if certain requirements are met. Under the SBCA,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SBCA allows the “required majority” of our independent directors, as defined in Section 57(o) of the 1940 Act, to approve an increase in our leverage capacity, and such approval would become effective after the one-year anniversary of such proposal. In either case, we would be required to make certain disclosures on our website and in SEC filings regarding, among other things, the receipt of approval to increase our leverage, our leverage capacity and usage, and risks related to leverage.</w:t>
      </w:r>
    </w:p>
    <w:p>
      <w:pPr>
        <w:spacing w:after="0" w:line="18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On April 29, 2019, our Board, including a majority of the non-interested directors, approved a minimum asset coverage ratio of 150% under Sections 18(a)(1) and 18(a)(2) of the 1940 Act. As a result, we will become subject to the 150% asset coverage ratio effective as of April 29, 2020. At present time, we do not intend to seek stockholder approval to reduce our asset coverage requirement.</w:t>
      </w:r>
    </w:p>
    <w:p>
      <w:pPr>
        <w:spacing w:after="0" w:line="18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Leverage magnifies the potential for loss on investments in our indebtedness and on invested equity capital. As we use leverage to partially finance our investments, our stockholders will experience increased risks of investing in our securities. If the value of our assets increases, then leveraging would cause the NAV attributable to our common stock to increase more sharply than it would have had we not leveraged. Conversely, if the value of our assets decreases, leveraging would cause NAV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Increased leverage may also cause a downgrade of our credit rating. Leverage is generally considered a speculative investment technique.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Changes relating to the LIBOR calculation process may adversely affect the value of our portfolio of LIBOR-indexed, floating-rate debt securities.</w:t>
      </w:r>
    </w:p>
    <w:p>
      <w:pPr>
        <w:spacing w:after="0" w:line="15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the recent past, concerns have been publicized that some of the member banks surveyed by the British Bankers’ Association (“BBA”) in connection with the calculation of The London Inter-bank Offered Rate (“LIBOR”) across a range of maturities and currencies may have been under-reporting or otherwise manipulating the inter-bank lending rate applicable to them in order to profit on their derivative positions or to avoid an appearance of capital insufficiency or adverse reputational or other consequences that may have resulted from reporting inter-bank lending rates higher than those they actually submitted. A number of BBA member banks entered into settlements with their regulators and law enforcement agencies with respect to alleged manipulation of LIBOR, and investigations by regulators and governmental authorities in various jurisdictions are ongoing.</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Actions by ICE Benchmark Administration, regulators or law enforcement agencies as a result of these or future events, may result in changes to the manner in which LIBOR is determined. Potential changes, or uncertainty related to such potential changes may adversely affect the market for LIBOR-based securities, including our portfolio of LIBOR-indexed, floating-rate debt securities. In addition, any further changes or reforms to the determination or supervision of LIBOR may result in a sudden or prolonged increase or decrease in reported LIBOR, which could have an adverse impact on the market for LIBOR-based securities or the value of our portfolio of LIBOR-indexed, floating-rate debt securities, loans, and other financial obligations or extensions of credit held by or due to us.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On July 27, 2017, the U.K. Financial Conduct Authority, which regulates LIBOR, announced that it intends to stop persuading or compelling banks to submit LIBOR rates after 2021. It is unclear if at that time LIBOR will cease to exist or if new methods of calculating LIBOR will be established such that it continues to exist after 2021. We have exposure to LIBOR, including in financial instruments that mature after 2021. Our exposure arises from the value of our portfolio of LIBOR-indexed, floating-rate debt securities.</w:t>
      </w:r>
    </w:p>
    <w:p>
      <w:pPr>
        <w:spacing w:after="0" w:line="171"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In the United States, the Federal Reserve Board and the Federal Reserve Bank of New York, in conjunction with the Alternative Reference Rates Committee, a steering committee comprised of large U.S. financial institutions, is considering replacing U.S. dollar LIBOR with a new index calculated by short-term repurchase agreements, backed by Treasury securities called the Secured Overnight Financing Rate (“SOFR”). The Federal Reserve Bank of New York began publishing SOFR in 2018. Whether or not SOFR attains market traction as a LIBOR replacement remains a question and the future of LIBOR at this time is uncertain.</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elimination of LIBOR or any other changes or reforms to the determination or supervision of LIBOR could have an adverse impact on the market for or value of any LIBOR-indexed, floating-rate debt securities, loans, and other financial obligations or extensions of credit held by or due to us or on our overall financial condition or results of operations.</w:t>
      </w:r>
    </w:p>
    <w:p>
      <w:pPr>
        <w:spacing w:after="0" w:line="2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Events outside of our control, including public health crises such as the ongoing COVID-19 pandemic, may negatively affect our results of operations and financial performance.</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continuing spread of an infectious respiratory illness caused by a novel strain of coronavirus (known as COVID-19) has caused volatility, severe market dislocations and liquidity constraints in many markets, including securities the Company holds, and may adversely affect the Company’s investments and operations. The outbreak was first detected in December 2019 and subsequently spread globally. On March 11, 2020, the World Health Organization declared COVID-19 as a pandemic, and on March 13, 2020 the United States declared a national emergency with respect to COVID-19. The transmission of COVID-19 and efforts to contain its spread have resulted in travel restrictions and disruptions, closed international borders, enhanced health screenings at ports of entry and elsewhere, disruption of and delays in healthcare service preparation and delivery, quarantines, event and service cancellations or interruptions, disruptions to business operations (including staff reductions), supply chains and consumer activity, as well as general concern and uncertainty that has negatively affected the economic environment. These disruptions have led to instability in the market place, including stock market losses and overall volatility. The impact of COVID-19, and other infectious illness outbreaks, epidemics or pandemics that may arise in the future, could adversely affect the economies of many nations or the entire global economy, the financial performance of individual issuers, borrowers and sectors and the health of the markets generally in potentially significant and unforeseen ways. In addition, the impact of infectious illnesses, such as COVID-19, in emerging market countries may be greater due to generally less established healthcare systems. This crisis or other public health crises may exacerbate other pre-existing political, social and economic risks in certain countries or globally.</w:t>
      </w:r>
    </w:p>
    <w:p>
      <w:pPr>
        <w:spacing w:after="0" w:line="17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foregoing could lead to a significant economic downturn or recession, increased market volatility, a greater number of market closures, higher default rates and adverse effects on the values and liquidity of securities or other assets. Such impacts, which may vary across asset classes, may adversely affect the performance of the Company’s investments, the Company and your investment in the Company. In certain cases, an exchange or market may close or issue trading halts on either specific securities or even the entire market, which may result in the Company being, among other things, unable to buy or sell certain securities or financial instruments or to accurately price their investments.</w:t>
      </w:r>
    </w:p>
    <w:p>
      <w:pPr>
        <w:spacing w:after="0" w:line="17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Company and the Investment Advisor have taken steps reasonably designed to ensure that they maintain normal business operations, and that the Company, its portfolio and assets are protected. However, in the event of a pandemic or an outbreak, such as COVID-19, there can be no assurance that the Company, the Investment Advisor and service providers, or the Company’s portfolio companies, will be able to maintain normal business operations for an extended period of time or will not lose the services of key personnel on a temporary or long-term basis due to illness or other reasons. A pandemic or disease could also impair the information technology and other operational systems upon which the Investment Advisor relies and could otherwise disrupt the ability of the Company’s service providers to perform essential tasks.</w:t>
      </w:r>
    </w:p>
    <w:p>
      <w:pPr>
        <w:spacing w:after="0" w:line="178"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Governmental authorities and regulators throughout the world, such as the U.S. Federal Reserve, have in the past responded to major economic disruptions with changes to fiscal and monetary policy, including but not limited to, direct capital infusions, new monetary programs and dramatically lower interest rates. Certain of those policy changes, such as the passage of the Coronavirus Aid, Relief, and Economic Security (CARES) Act on March 27, 2020, are being implemented in response to the COVID-19 pandemic. Such policy changes may adversely affect the value, volatility and liquidity of dividend and interest paying securities. The effect of recent efforts undertaken by the U.S. Federal Reserve to address the economic impact of the COVID-19 pandemic, such as the reduction of the federal funds target rate, and other monetary and fiscal actions that may be taken by the U.S. federal government to stimulate the U.S. economy, are not yet fully known. The duration of the COVID-19 outbreak and its full impacts are unknown, resulting in a high degree of uncertainty for potentially extended periods of time.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If COVID-19 continues to spread in the United States, we expect to experience disruptions that could adversely impact our business. It is unknown how long these disruptions could continue, were they to occur. The outbreak of COVID-19 may also have a material adverse impact on the ability of our portfolio companies to fulfill their end customers’ orders due to supply chain delays, limited access to key commodities or technologies or other events that impact their manufacturers or their suppliers. Such events have affected, and may in the future affect our business, financial condition or results of operations. As the global outbreak of COVID-19 continues to rapidly evolve, the extent to which COVID-19 may impact our business will depend on future developments, which are highly uncertain and cannot be predicted.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choose to pay dividends in our own stock, in which case you may be required to pay tax in excess of the cash you receive.</w:t>
      </w:r>
    </w:p>
    <w:p>
      <w:pPr>
        <w:spacing w:after="0" w:line="129"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Under certain applicable provisions of the Code and the Treasury regulations and a revenue procedure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their distributions in cash, we must allocate the cash available for distribution among the shareholders electing to receive cash (with the balance of the distribution paid in shares of our common stock). If we decide to make any distributions consistent with this revenue procedure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w:t>
      </w:r>
    </w:p>
    <w:p>
      <w:pPr>
        <w:spacing w:after="0" w:line="172"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Furthermore, with respect to non-U.S. stockholders, we may be required to withhold U.S. tax with respect to such dividends, including in respect of all or a portion of such dividend that is payable in stock. If a significant number of our stockholders determine to sell shares of our stock in order to pay taxes owed on dividends, it may put downward pressure on the trading price of our stock.</w:t>
      </w:r>
    </w:p>
    <w:p>
      <w:pPr>
        <w:spacing w:after="0" w:line="29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 of our investment company taxable income (i.e., net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shareholders. We will be subject to a 4%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8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2020 until as late as December 31, 2021. If we choose to pay a spillover dividend, we will incur the 4% U.S. federal excise tax on some or all of the distribution.</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Due to the COVID-19 pandemic or other disruptions in the economy, we anticipate that we may take certain actions with respect to the timing and amounts of our distributions in order to preserve cash and maintain flexibility. For example, we anticipate that we will not be able to increase our dividends. In addition,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above under “We may choose to pay dividends in our own stock, in which case you may be required to pay tax in excess of the cash you receive.”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Public health threats may affect the market for the 2023 Notes, the February 2024 Notes and the November 2024 Notes, impact the businesses in which we invest and affect our business, operating results and financial condition.</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Public health threats, such as COVID-19 or any other illness, may disrupt the operations of the businesses in which we invest. Such threats can create economic and political uncertainties and can contribute to global economic instability. A public health threat poses the risk that our portfolio companies may have significantly reduced or be prevented from conducting business activities for an unknown period of time, including shutdowns that may be requested or mandated by governmental authorities. We cannot estimate the impact that a public health threat could have on our portfolio companies, but it could disrupt their businesses and their ability to make interest or dividend payments and decrease the overall value of our investments which adversely impact our business, financial condition or results of operations. Additionally, as a result of the volatile market conditions that may result from public health threats, such as COVID-19 or any other illness, we cannot provide any assurance that the 2023 Notes, the February 2024 Notes and the November 2024 Notes will trade at a favorable price.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of Unregistered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29, 2019, the Board extended the Stock Repurchase Program through December 31, 2020,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p>
    <w:p>
      <w:pPr>
        <w:spacing w:after="0" w:line="16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During the three months ended March 31, 2020, we repurchased 25,719 shares of common stock on the open market for $0.3 million under the Stock Repurchase Program. The following table provides information regarding such repurchases of our common stock (dollars in millions, except per share data):</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of Shares</w:t>
            </w:r>
          </w:p>
        </w:tc>
        <w:tc>
          <w:tcPr>
            <w:tcW w:w="1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4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9"/>
              </w:rPr>
              <w:t>Total</w:t>
            </w:r>
          </w:p>
        </w:tc>
        <w:tc>
          <w:tcPr>
            <w:tcW w:w="5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as Part of</w:t>
            </w:r>
          </w:p>
        </w:tc>
        <w:tc>
          <w:tcPr>
            <w:tcW w:w="12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Price</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Publicly</w:t>
            </w:r>
          </w:p>
        </w:tc>
        <w:tc>
          <w:tcPr>
            <w:tcW w:w="12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Paid</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Announced</w:t>
            </w:r>
          </w:p>
        </w:tc>
        <w:tc>
          <w:tcPr>
            <w:tcW w:w="12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Under the Stock</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820" w:type="dxa"/>
            <w:vAlign w:val="bottom"/>
            <w:vMerge w:val="restart"/>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Per</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Plans or</w:t>
            </w:r>
          </w:p>
        </w:tc>
        <w:tc>
          <w:tcPr>
            <w:tcW w:w="1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84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12"/>
                <w:szCs w:val="12"/>
                <w:b w:val="1"/>
                <w:bCs w:val="1"/>
                <w:color w:val="auto"/>
                <w:w w:val="90"/>
              </w:rPr>
              <w:t>(1)</w:t>
            </w:r>
          </w:p>
        </w:tc>
        <w:tc>
          <w:tcPr>
            <w:tcW w:w="500" w:type="dxa"/>
            <w:vAlign w:val="bottom"/>
          </w:tcPr>
          <w:p>
            <w:pPr>
              <w:spacing w:after="0"/>
              <w:rPr>
                <w:sz w:val="15"/>
                <w:szCs w:val="15"/>
                <w:color w:val="auto"/>
              </w:rPr>
            </w:pPr>
          </w:p>
        </w:tc>
        <w:tc>
          <w:tcPr>
            <w:tcW w:w="1060" w:type="dxa"/>
            <w:vAlign w:val="bottom"/>
            <w:gridSpan w:val="3"/>
          </w:tcPr>
          <w:p>
            <w:pPr>
              <w:jc w:val="center"/>
              <w:ind w:right="540"/>
              <w:spacing w:after="0" w:line="158" w:lineRule="exact"/>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1"/>
              </w:rPr>
              <w:t>Programs</w:t>
            </w:r>
          </w:p>
        </w:tc>
        <w:tc>
          <w:tcPr>
            <w:tcW w:w="140" w:type="dxa"/>
            <w:vAlign w:val="bottom"/>
          </w:tcPr>
          <w:p>
            <w:pPr>
              <w:spacing w:after="0"/>
              <w:rPr>
                <w:sz w:val="15"/>
                <w:szCs w:val="15"/>
                <w:color w:val="auto"/>
              </w:rPr>
            </w:pPr>
          </w:p>
        </w:tc>
        <w:tc>
          <w:tcPr>
            <w:tcW w:w="10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2020 through January 31, 2020</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February 1, 2020 through February 29, 2020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2020 through March 31, 2020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10.37</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25,719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25,719</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10.37</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25,719</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40" w:hanging="424"/>
        <w:spacing w:after="0" w:line="263"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shares purchased on the open market and reissued in order to satisfy the dividend reinvestment plan (“DRIP”) obligation to deliver shares of common stock in lieu of issuing new shares. During the three months ended March 31, 2020, we purchased and reissued shares of common stock to satisfy the DRIP obligation as follows: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00" w:type="dxa"/>
            <w:vAlign w:val="bottom"/>
          </w:tcPr>
          <w:p>
            <w:pPr>
              <w:spacing w:after="0"/>
              <w:rPr>
                <w:sz w:val="14"/>
                <w:szCs w:val="14"/>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3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1240" w:type="dxa"/>
            <w:vAlign w:val="bottom"/>
            <w:gridSpan w:val="3"/>
          </w:tcPr>
          <w:p>
            <w:pPr>
              <w:ind w:left="600"/>
              <w:spacing w:after="0" w:line="149" w:lineRule="exact"/>
              <w:rPr>
                <w:sz w:val="20"/>
                <w:szCs w:val="20"/>
                <w:color w:val="auto"/>
              </w:rPr>
            </w:pPr>
            <w:r>
              <w:rPr>
                <w:rFonts w:ascii="Arial" w:cs="Arial" w:eastAsia="Arial" w:hAnsi="Arial"/>
                <w:sz w:val="14"/>
                <w:szCs w:val="14"/>
                <w:b w:val="1"/>
                <w:bCs w:val="1"/>
                <w:color w:val="auto"/>
                <w:w w:val="91"/>
              </w:rPr>
              <w:t>Price Paid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2800" w:type="dxa"/>
            <w:vAlign w:val="bottom"/>
            <w:gridSpan w:val="2"/>
          </w:tcPr>
          <w:p>
            <w:pPr>
              <w:jc w:val="center"/>
              <w:ind w:left="1879"/>
              <w:spacing w:after="0" w:line="158" w:lineRule="exact"/>
              <w:rPr>
                <w:sz w:val="20"/>
                <w:szCs w:val="20"/>
                <w:color w:val="auto"/>
              </w:rPr>
            </w:pPr>
            <w:r>
              <w:rPr>
                <w:rFonts w:ascii="Arial" w:cs="Arial" w:eastAsia="Arial" w:hAnsi="Arial"/>
                <w:sz w:val="14"/>
                <w:szCs w:val="14"/>
                <w:b w:val="1"/>
                <w:bCs w:val="1"/>
                <w:color w:val="auto"/>
                <w:w w:val="87"/>
              </w:rPr>
              <w:t>and Reissued</w:t>
            </w:r>
          </w:p>
        </w:tc>
        <w:tc>
          <w:tcPr>
            <w:tcW w:w="600" w:type="dxa"/>
            <w:vAlign w:val="bottom"/>
          </w:tcPr>
          <w:p>
            <w:pPr>
              <w:spacing w:after="0"/>
              <w:rPr>
                <w:sz w:val="15"/>
                <w:szCs w:val="15"/>
                <w:color w:val="auto"/>
              </w:rPr>
            </w:pPr>
          </w:p>
        </w:tc>
        <w:tc>
          <w:tcPr>
            <w:tcW w:w="6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4"/>
              </w:rPr>
              <w:t>Per Share</w:t>
            </w:r>
          </w:p>
        </w:tc>
        <w:tc>
          <w:tcPr>
            <w:tcW w:w="1480" w:type="dxa"/>
            <w:vAlign w:val="bottom"/>
            <w:gridSpan w:val="4"/>
          </w:tcPr>
          <w:p>
            <w:pPr>
              <w:jc w:val="right"/>
              <w:ind w:right="60"/>
              <w:spacing w:after="0" w:line="158" w:lineRule="exact"/>
              <w:rPr>
                <w:sz w:val="20"/>
                <w:szCs w:val="20"/>
                <w:color w:val="auto"/>
              </w:rPr>
            </w:pPr>
            <w:r>
              <w:rPr>
                <w:rFonts w:ascii="Arial" w:cs="Arial" w:eastAsia="Arial" w:hAnsi="Arial"/>
                <w:sz w:val="14"/>
                <w:szCs w:val="14"/>
                <w:b w:val="1"/>
                <w:bCs w:val="1"/>
                <w:color w:val="auto"/>
              </w:rPr>
              <w:t>Amount Paid</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2020 through March 31, 2020</w:t>
            </w:r>
          </w:p>
        </w:tc>
        <w:tc>
          <w:tcPr>
            <w:tcW w:w="19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31,586</w:t>
            </w: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7.58</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31,586</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6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80" w:type="dxa"/>
            <w:vAlign w:val="bottom"/>
            <w:vMerge w:val="restart"/>
          </w:tcPr>
          <w:p>
            <w:pPr>
              <w:jc w:val="right"/>
              <w:ind w:right="919"/>
              <w:spacing w:after="0"/>
              <w:rPr>
                <w:sz w:val="20"/>
                <w:szCs w:val="20"/>
                <w:color w:val="auto"/>
              </w:rPr>
            </w:pPr>
            <w:r>
              <w:rPr>
                <w:rFonts w:ascii="Arial" w:cs="Arial" w:eastAsia="Arial" w:hAnsi="Arial"/>
                <w:sz w:val="18"/>
                <w:szCs w:val="18"/>
                <w:color w:val="auto"/>
              </w:rPr>
              <w:t>57</w:t>
            </w: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Refer to Note 8 to our consolidated financial statements for additional information concerning stock repurchases under our Stock Repurchase Program.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720"/>
          </w:cols>
          <w:pgMar w:left="320" w:top="459" w:right="8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20" w:type="dxa"/>
            <w:vAlign w:val="bottom"/>
            <w:tcBorders>
              <w:bottom w:val="single" w:sz="8" w:color="auto"/>
            </w:tcBorders>
            <w:gridSpan w:val="9"/>
          </w:tcPr>
          <w:p>
            <w:pPr>
              <w:ind w:left="1800"/>
              <w:spacing w:after="0"/>
              <w:rPr>
                <w:sz w:val="20"/>
                <w:szCs w:val="20"/>
                <w:color w:val="auto"/>
              </w:rPr>
            </w:pPr>
            <w:r>
              <w:rPr>
                <w:rFonts w:ascii="Arial" w:cs="Arial" w:eastAsia="Arial" w:hAnsi="Arial"/>
                <w:sz w:val="14"/>
                <w:szCs w:val="14"/>
                <w:b w:val="1"/>
                <w:bCs w:val="1"/>
                <w:color w:val="auto"/>
              </w:rPr>
              <w:t>Exhibit</w:t>
            </w: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2"/>
                <w:szCs w:val="22"/>
                <w:color w:val="auto"/>
              </w:rPr>
            </w:pPr>
          </w:p>
        </w:tc>
        <w:tc>
          <w:tcPr>
            <w:tcW w:w="9800" w:type="dxa"/>
            <w:vAlign w:val="bottom"/>
            <w:tcBorders>
              <w:bottom w:val="single" w:sz="8" w:color="0000EE"/>
            </w:tcBorders>
            <w:gridSpan w:val="13"/>
          </w:tcPr>
          <w:p>
            <w:pPr>
              <w:spacing w:after="0"/>
              <w:rPr>
                <w:rFonts w:ascii="Arial" w:cs="Arial" w:eastAsia="Arial" w:hAnsi="Arial"/>
                <w:sz w:val="18"/>
                <w:szCs w:val="18"/>
                <w:color w:val="0000EE"/>
                <w:w w:val="91"/>
              </w:rPr>
            </w:pPr>
            <w:hyperlink r:id="rId193">
              <w:r>
                <w:rPr>
                  <w:rFonts w:ascii="Arial" w:cs="Arial" w:eastAsia="Arial" w:hAnsi="Arial"/>
                  <w:sz w:val="18"/>
                  <w:szCs w:val="18"/>
                  <w:color w:val="0000EE"/>
                  <w:w w:val="91"/>
                </w:rPr>
                <w:t>Articles of Amendment and Restatement of the Registrant (Filed as Exhibit (a)(1) to Pre-Effective Amendment No. 2 to the Registrant’s</w:t>
              </w:r>
            </w:hyperlink>
          </w:p>
        </w:tc>
        <w:tc>
          <w:tcPr>
            <w:tcW w:w="180" w:type="dxa"/>
            <w:vAlign w:val="bottom"/>
            <w:gridSpan w:val="2"/>
          </w:tcPr>
          <w:p>
            <w:pPr>
              <w:spacing w:after="0"/>
              <w:rPr>
                <w:sz w:val="22"/>
                <w:szCs w:val="22"/>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Registration Statement on Form N-2 (File No. 333-172550) filed with the U.S. Securities and Exchange Commission on April 29, 2011</w:t>
              </w:r>
            </w:hyperlink>
          </w:p>
        </w:tc>
        <w:tc>
          <w:tcPr>
            <w:tcW w:w="240" w:type="dxa"/>
            <w:vAlign w:val="bottom"/>
            <w:gridSpan w:val="3"/>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and incorporated herein by reference).</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980" w:type="dxa"/>
            <w:vAlign w:val="bottom"/>
            <w:gridSpan w:val="15"/>
          </w:tcPr>
          <w:p>
            <w:pPr>
              <w:spacing w:after="0"/>
              <w:rPr>
                <w:rFonts w:ascii="Arial" w:cs="Arial" w:eastAsia="Arial" w:hAnsi="Arial"/>
                <w:sz w:val="18"/>
                <w:szCs w:val="18"/>
                <w:color w:val="0000EE"/>
                <w:w w:val="93"/>
              </w:rPr>
            </w:pPr>
            <w:hyperlink r:id="rId194">
              <w:r>
                <w:rPr>
                  <w:rFonts w:ascii="Arial" w:cs="Arial" w:eastAsia="Arial" w:hAnsi="Arial"/>
                  <w:sz w:val="18"/>
                  <w:szCs w:val="18"/>
                  <w:color w:val="0000EE"/>
                  <w:w w:val="93"/>
                </w:rPr>
                <w:t>Bylaws of the Registrant (Filed as Exhibit (b)(1) to Pre-Effective Amendment No. 2 to the Registrant’s Registration Statement on Form</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tcBorders>
              <w:top w:val="single" w:sz="8" w:color="0000EE"/>
            </w:tcBorders>
            <w:gridSpan w:val="13"/>
          </w:tcPr>
          <w:p>
            <w:pPr>
              <w:spacing w:after="0" w:line="196" w:lineRule="exact"/>
              <w:rPr>
                <w:rFonts w:ascii="Arial" w:cs="Arial" w:eastAsia="Arial" w:hAnsi="Arial"/>
                <w:sz w:val="18"/>
                <w:szCs w:val="18"/>
                <w:color w:val="0000EE"/>
                <w:w w:val="95"/>
              </w:rPr>
            </w:pPr>
            <w:hyperlink r:id="rId194">
              <w:r>
                <w:rPr>
                  <w:rFonts w:ascii="Arial" w:cs="Arial" w:eastAsia="Arial" w:hAnsi="Arial"/>
                  <w:sz w:val="18"/>
                  <w:szCs w:val="18"/>
                  <w:color w:val="0000EE"/>
                  <w:w w:val="95"/>
                </w:rPr>
                <w:t>N-2 (File No. 333-172550) filed with the U.S. Securities and Exchange Commission on April 29, 2011 and incorporated herein by</w:t>
              </w:r>
            </w:hyperlink>
          </w:p>
        </w:tc>
        <w:tc>
          <w:tcPr>
            <w:tcW w:w="18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reference).</w:t>
              </w:r>
            </w:hyperlink>
          </w:p>
        </w:tc>
        <w:tc>
          <w:tcPr>
            <w:tcW w:w="560" w:type="dxa"/>
            <w:vAlign w:val="bottom"/>
            <w:gridSpan w:val="7"/>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480" w:type="dxa"/>
            <w:vAlign w:val="bottom"/>
            <w:tcBorders>
              <w:bottom w:val="single" w:sz="8" w:color="0000EE"/>
            </w:tcBorders>
            <w:gridSpan w:val="9"/>
          </w:tcPr>
          <w:p>
            <w:pPr>
              <w:spacing w:after="0"/>
              <w:rPr>
                <w:rFonts w:ascii="Arial" w:cs="Arial" w:eastAsia="Arial" w:hAnsi="Arial"/>
                <w:sz w:val="18"/>
                <w:szCs w:val="18"/>
                <w:color w:val="0000EE"/>
                <w:w w:val="92"/>
              </w:rPr>
            </w:pPr>
            <w:hyperlink r:id="rId195">
              <w:r>
                <w:rPr>
                  <w:rFonts w:ascii="Arial" w:cs="Arial" w:eastAsia="Arial" w:hAnsi="Arial"/>
                  <w:sz w:val="18"/>
                  <w:szCs w:val="18"/>
                  <w:color w:val="0000EE"/>
                  <w:w w:val="92"/>
                </w:rPr>
                <w:t>Form of Stock Certificate of the Registrant (Filed as Exhibit (d) to Pre-Effective Amendment No. 2 to the Registrant’s Registration</w:t>
              </w:r>
            </w:hyperlink>
          </w:p>
        </w:tc>
        <w:tc>
          <w:tcPr>
            <w:tcW w:w="500" w:type="dxa"/>
            <w:vAlign w:val="bottom"/>
            <w:gridSpan w:val="6"/>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Statement on Form N-2 (File No. 333-172550) filed with the U.S. Securities and Exchange Commission on April 29, 2011 and</w:t>
              </w:r>
            </w:hyperlink>
          </w:p>
        </w:tc>
        <w:tc>
          <w:tcPr>
            <w:tcW w:w="800" w:type="dxa"/>
            <w:vAlign w:val="bottom"/>
            <w:gridSpan w:val="8"/>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incorporated herein by reference).</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96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Chief Executive Officer Certification Pursuant to Rule 13a-14 of the Securities Exchange Act of 1934, as adopted pursuant to Section</w:t>
              </w:r>
            </w:hyperlink>
          </w:p>
        </w:tc>
        <w:tc>
          <w:tcPr>
            <w:tcW w:w="300" w:type="dxa"/>
            <w:vAlign w:val="bottom"/>
            <w:gridSpan w:val="5"/>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302 of the Sarbanes-Oxley Act of 2002.*</w:t>
              </w:r>
            </w:hyperlink>
          </w:p>
        </w:tc>
        <w:tc>
          <w:tcPr>
            <w:tcW w:w="7020" w:type="dxa"/>
            <w:vAlign w:val="bottom"/>
            <w:gridSpan w:val="9"/>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99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Chief Financial Officer Certification Pursuant to Rule 13a-14 of the Securities Exchange Act of 1934, as adopted pursuant to Section 302</w:t>
              </w:r>
            </w:hyperlink>
          </w:p>
        </w:tc>
        <w:tc>
          <w:tcPr>
            <w:tcW w:w="4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of the Sarbanes-Oxley Act of 2002.*</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08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9980" w:type="dxa"/>
            <w:vAlign w:val="bottom"/>
            <w:gridSpan w:val="15"/>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Certification pursuant to Section 1350, Chapter 63 of Title 18, United States Code, as adopted pursuant to Section 906 of the Sarbanes-</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Oxley Act of 2002.*</w:t>
              </w:r>
            </w:hyperlink>
          </w:p>
        </w:tc>
        <w:tc>
          <w:tcPr>
            <w:tcW w:w="8240" w:type="dxa"/>
            <w:vAlign w:val="bottom"/>
            <w:tcBorders>
              <w:top w:val="single" w:sz="8" w:color="0000EE"/>
            </w:tcBorders>
            <w:gridSpan w:val="9"/>
          </w:tcPr>
          <w:p>
            <w:pPr>
              <w:spacing w:after="0"/>
              <w:rPr>
                <w:sz w:val="17"/>
                <w:szCs w:val="17"/>
                <w:color w:val="auto"/>
              </w:rPr>
            </w:pPr>
          </w:p>
        </w:tc>
        <w:tc>
          <w:tcPr>
            <w:tcW w:w="260" w:type="dxa"/>
            <w:vAlign w:val="bottom"/>
            <w:gridSpan w:val="4"/>
          </w:tcPr>
          <w:p>
            <w:pPr>
              <w:spacing w:after="0"/>
              <w:rPr>
                <w:sz w:val="17"/>
                <w:szCs w:val="17"/>
                <w:color w:val="auto"/>
              </w:rPr>
            </w:pPr>
          </w:p>
        </w:tc>
      </w:tr>
    </w:tbl>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FIDUS INVESTMENT CORPORATION</w:t>
      </w:r>
    </w:p>
    <w:p>
      <w:pPr>
        <w:spacing w:after="0" w:line="229" w:lineRule="exact"/>
        <w:rPr>
          <w:sz w:val="20"/>
          <w:szCs w:val="20"/>
          <w:color w:val="auto"/>
        </w:rPr>
      </w:pPr>
    </w:p>
    <w:p>
      <w:pPr>
        <w:ind w:left="120"/>
        <w:spacing w:after="0"/>
        <w:tabs>
          <w:tab w:leader="none" w:pos="6040" w:val="left"/>
        </w:tabs>
        <w:rPr>
          <w:sz w:val="20"/>
          <w:szCs w:val="20"/>
          <w:color w:val="auto"/>
        </w:rPr>
      </w:pPr>
      <w:r>
        <w:rPr>
          <w:rFonts w:ascii="Arial" w:cs="Arial" w:eastAsia="Arial" w:hAnsi="Arial"/>
          <w:sz w:val="18"/>
          <w:szCs w:val="18"/>
          <w:color w:val="auto"/>
        </w:rPr>
        <w:t>Date: April 30, 2020</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143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120"/>
        <w:spacing w:after="0"/>
        <w:tabs>
          <w:tab w:leader="none" w:pos="6040" w:val="left"/>
        </w:tabs>
        <w:rPr>
          <w:sz w:val="20"/>
          <w:szCs w:val="20"/>
          <w:color w:val="auto"/>
        </w:rPr>
      </w:pPr>
      <w:r>
        <w:rPr>
          <w:rFonts w:ascii="Arial" w:cs="Arial" w:eastAsia="Arial" w:hAnsi="Arial"/>
          <w:sz w:val="18"/>
          <w:szCs w:val="18"/>
          <w:color w:val="auto"/>
        </w:rPr>
        <w:t>Date: April 30, 2020</w:t>
      </w:r>
      <w:r>
        <w:rPr>
          <w:sz w:val="20"/>
          <w:szCs w:val="20"/>
          <w:color w:val="auto"/>
        </w:rPr>
        <w:tab/>
      </w:r>
      <w:r>
        <w:rPr>
          <w:rFonts w:ascii="Arial" w:cs="Arial" w:eastAsia="Arial" w:hAnsi="Arial"/>
          <w:sz w:val="17"/>
          <w:szCs w:val="17"/>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143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380"/>
          </w:cols>
          <w:pgMar w:left="320" w:top="459" w:right="11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Fidus Investment Corporation Chief Executive Officer 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Edward H. Ross, as Chief Executive Officer of Fidus Investment Corporation, certify that:</w:t>
      </w:r>
    </w:p>
    <w:p>
      <w:pPr>
        <w:spacing w:after="0" w:line="131" w:lineRule="exact"/>
        <w:rPr>
          <w:sz w:val="20"/>
          <w:szCs w:val="20"/>
          <w:color w:val="auto"/>
        </w:rPr>
      </w:pPr>
    </w:p>
    <w:p>
      <w:pPr>
        <w:ind w:left="424" w:hanging="424"/>
        <w:spacing w:after="0"/>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91"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April 30, 2020</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Fidus Investment Corporation Chief Financial Officer 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Shelby E. Sherard, as Chief Financial Officer of Fidus Investment Corporation, certify that:</w:t>
      </w:r>
    </w:p>
    <w:p>
      <w:pPr>
        <w:spacing w:after="0" w:line="131" w:lineRule="exact"/>
        <w:rPr>
          <w:sz w:val="20"/>
          <w:szCs w:val="20"/>
          <w:color w:val="auto"/>
        </w:rPr>
      </w:pP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91" w:lineRule="auto"/>
        <w:tabs>
          <w:tab w:leader="none" w:pos="4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April 30, 2020</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4"/>
          </w:cols>
          <w:pgMar w:left="436" w:top="121" w:right="4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Quarterly Report on Form 10-Q of Fidus Investment Corporation (the “Company”) for the quarterly period ended March 31, 2020,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92" w:lineRule="exact"/>
        <w:rPr>
          <w:sz w:val="20"/>
          <w:szCs w:val="20"/>
          <w:color w:val="auto"/>
        </w:rPr>
      </w:pPr>
    </w:p>
    <w:p>
      <w:pPr>
        <w:ind w:left="960" w:hanging="53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April 30, 2020</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Edward H. Ross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12"/>
    </w:lvl>
  </w:abstractNum>
  <w:abstractNum w:abstractNumId="4">
    <w:nsid w:val="4353D0CD"/>
    <w:multiLevelType w:val="hybridMultilevel"/>
    <w:lvl w:ilvl="0">
      <w:lvlJc w:val="left"/>
      <w:lvlText w:val="(%1)"/>
      <w:numFmt w:val="lowerLetter"/>
      <w:start w:val="27"/>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25"/>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lowerRoman"/>
      <w:start w:val="1"/>
    </w:lvl>
  </w:abstractNum>
  <w:abstractNum w:abstractNumId="17">
    <w:nsid w:val="6CEAF087"/>
    <w:multiLevelType w:val="hybridMultilevel"/>
    <w:lvl w:ilvl="0">
      <w:lvlJc w:val="left"/>
      <w:lvlText w:val="(%1)"/>
      <w:numFmt w:val="upperLetter"/>
      <w:start w:val="3"/>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upperLetter"/>
      <w:start w:val="3"/>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193" Type="http://schemas.openxmlformats.org/officeDocument/2006/relationships/hyperlink" Target="http://www.sec.gov/Archives/edgar/data/1513363/000095012311041885/w81466a2exv99wxayx1y.htm" TargetMode="External"/><Relationship Id="rId194" Type="http://schemas.openxmlformats.org/officeDocument/2006/relationships/hyperlink" Target="http://www.sec.gov/Archives/edgar/data/1513363/000095012311041885/w81466a2exv99wxbyx1y.htm" TargetMode="External"/><Relationship Id="rId195" Type="http://schemas.openxmlformats.org/officeDocument/2006/relationships/hyperlink" Target="http://www.sec.gov/Archives/edgar/data/1513363/000095012311041885/w81466a2exv99wxd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2020-04-30T15:34:24Z</dcterms:created>
  <dcterms:modified xsi:type="dcterms:W3CDTF">2020-04-30T15:34:24Z</dcterms:modified>
</cp:coreProperties>
</file>