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8"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6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6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814-00861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Fidus Investment Corporation</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40" w:type="dxa"/>
        <w:tblCellMar>
          <w:top w:w="0" w:type="dxa"/>
          <w:left w:w="0" w:type="dxa"/>
          <w:bottom w:w="0" w:type="dxa"/>
          <w:right w:w="0" w:type="dxa"/>
        </w:tblCellMar>
      </w:tblPr>
      <w:tr>
        <w:trPr>
          <w:trHeight w:val="212"/>
        </w:trPr>
        <w:tc>
          <w:tcPr>
            <w:tcW w:w="6020" w:type="dxa"/>
            <w:vAlign w:val="bottom"/>
          </w:tcPr>
          <w:p>
            <w:pPr>
              <w:jc w:val="center"/>
              <w:ind w:right="3239"/>
              <w:spacing w:after="0"/>
              <w:rPr>
                <w:sz w:val="20"/>
                <w:szCs w:val="20"/>
                <w:color w:val="auto"/>
              </w:rPr>
            </w:pPr>
            <w:r>
              <w:rPr>
                <w:rFonts w:ascii="Arial" w:cs="Arial" w:eastAsia="Arial" w:hAnsi="Arial"/>
                <w:sz w:val="18"/>
                <w:szCs w:val="18"/>
                <w:b w:val="1"/>
                <w:bCs w:val="1"/>
                <w:color w:val="auto"/>
                <w:w w:val="98"/>
              </w:rPr>
              <w:t>Maryland</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27-5017321</w:t>
            </w:r>
          </w:p>
        </w:tc>
      </w:tr>
      <w:tr>
        <w:trPr>
          <w:trHeight w:val="149"/>
        </w:trPr>
        <w:tc>
          <w:tcPr>
            <w:tcW w:w="6020" w:type="dxa"/>
            <w:vAlign w:val="bottom"/>
          </w:tcPr>
          <w:p>
            <w:pPr>
              <w:jc w:val="center"/>
              <w:ind w:right="32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6020" w:type="dxa"/>
            <w:vAlign w:val="bottom"/>
          </w:tcPr>
          <w:p>
            <w:pPr>
              <w:jc w:val="center"/>
              <w:ind w:right="3239"/>
              <w:spacing w:after="0"/>
              <w:rPr>
                <w:sz w:val="20"/>
                <w:szCs w:val="20"/>
                <w:color w:val="auto"/>
              </w:rPr>
            </w:pPr>
            <w:r>
              <w:rPr>
                <w:rFonts w:ascii="Arial" w:cs="Arial" w:eastAsia="Arial" w:hAnsi="Arial"/>
                <w:sz w:val="14"/>
                <w:szCs w:val="14"/>
                <w:b w:val="1"/>
                <w:bCs w:val="1"/>
                <w:color w:val="auto"/>
                <w:w w:val="95"/>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020" w:type="dxa"/>
            <w:vAlign w:val="bottom"/>
          </w:tcPr>
          <w:p>
            <w:pPr>
              <w:jc w:val="center"/>
              <w:ind w:right="3239"/>
              <w:spacing w:after="0"/>
              <w:rPr>
                <w:sz w:val="20"/>
                <w:szCs w:val="20"/>
                <w:color w:val="auto"/>
              </w:rPr>
            </w:pPr>
            <w:r>
              <w:rPr>
                <w:rFonts w:ascii="Arial" w:cs="Arial" w:eastAsia="Arial" w:hAnsi="Arial"/>
                <w:sz w:val="18"/>
                <w:szCs w:val="18"/>
                <w:b w:val="1"/>
                <w:bCs w:val="1"/>
                <w:color w:val="auto"/>
                <w:w w:val="90"/>
              </w:rPr>
              <w:t>1603 Orrington Avenue, Suite 1005</w:t>
            </w:r>
          </w:p>
        </w:tc>
        <w:tc>
          <w:tcPr>
            <w:tcW w:w="1460" w:type="dxa"/>
            <w:vAlign w:val="bottom"/>
          </w:tcPr>
          <w:p>
            <w:pPr>
              <w:spacing w:after="0"/>
              <w:rPr>
                <w:sz w:val="24"/>
                <w:szCs w:val="24"/>
                <w:color w:val="auto"/>
              </w:rPr>
            </w:pPr>
          </w:p>
        </w:tc>
      </w:tr>
      <w:tr>
        <w:trPr>
          <w:trHeight w:val="225"/>
        </w:trPr>
        <w:tc>
          <w:tcPr>
            <w:tcW w:w="6020" w:type="dxa"/>
            <w:vAlign w:val="bottom"/>
          </w:tcPr>
          <w:p>
            <w:pPr>
              <w:jc w:val="center"/>
              <w:ind w:right="3239"/>
              <w:spacing w:after="0"/>
              <w:rPr>
                <w:sz w:val="20"/>
                <w:szCs w:val="20"/>
                <w:color w:val="auto"/>
              </w:rPr>
            </w:pPr>
            <w:r>
              <w:rPr>
                <w:rFonts w:ascii="Arial" w:cs="Arial" w:eastAsia="Arial" w:hAnsi="Arial"/>
                <w:sz w:val="18"/>
                <w:szCs w:val="18"/>
                <w:b w:val="1"/>
                <w:bCs w:val="1"/>
                <w:color w:val="auto"/>
                <w:w w:val="90"/>
              </w:rPr>
              <w:t>Evanston, Illinois</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60201</w:t>
            </w:r>
          </w:p>
        </w:tc>
      </w:tr>
      <w:tr>
        <w:trPr>
          <w:trHeight w:val="186"/>
        </w:trPr>
        <w:tc>
          <w:tcPr>
            <w:tcW w:w="6020" w:type="dxa"/>
            <w:vAlign w:val="bottom"/>
          </w:tcPr>
          <w:p>
            <w:pPr>
              <w:jc w:val="center"/>
              <w:ind w:right="32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20" w:type="dxa"/>
            <w:vAlign w:val="bottom"/>
          </w:tcPr>
          <w:p>
            <w:pPr>
              <w:jc w:val="right"/>
              <w:ind w:right="1299"/>
              <w:spacing w:after="0"/>
              <w:rPr>
                <w:sz w:val="20"/>
                <w:szCs w:val="20"/>
                <w:color w:val="auto"/>
              </w:rPr>
            </w:pPr>
            <w:r>
              <w:rPr>
                <w:rFonts w:ascii="Arial" w:cs="Arial" w:eastAsia="Arial" w:hAnsi="Arial"/>
                <w:sz w:val="18"/>
                <w:szCs w:val="18"/>
                <w:b w:val="1"/>
                <w:bCs w:val="1"/>
                <w:color w:val="auto"/>
              </w:rPr>
              <w:t>(847) 859-3940</w:t>
            </w:r>
          </w:p>
        </w:tc>
        <w:tc>
          <w:tcPr>
            <w:tcW w:w="1460" w:type="dxa"/>
            <w:vAlign w:val="bottom"/>
          </w:tcPr>
          <w:p>
            <w:pPr>
              <w:spacing w:after="0"/>
              <w:rPr>
                <w:sz w:val="24"/>
                <w:szCs w:val="24"/>
                <w:color w:val="auto"/>
              </w:rPr>
            </w:pPr>
          </w:p>
        </w:tc>
      </w:tr>
      <w:tr>
        <w:trPr>
          <w:trHeight w:val="186"/>
        </w:trPr>
        <w:tc>
          <w:tcPr>
            <w:tcW w:w="6020" w:type="dxa"/>
            <w:vAlign w:val="bottom"/>
          </w:tcPr>
          <w:p>
            <w:pPr>
              <w:jc w:val="center"/>
              <w:ind w:left="20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213360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36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ind w:left="2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00"/>
        <w:spacing w:after="0" w:line="207" w:lineRule="exact"/>
        <w:tabs>
          <w:tab w:leader="none" w:pos="8540" w:val="left"/>
          <w:tab w:leader="none" w:pos="92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00"/>
          </w:cols>
          <w:pgMar w:left="240" w:top="230" w:right="459" w:bottom="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FDUS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The 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5.875% Notes due 2023</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FDUSL</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6.000% Notes due 2024</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FDUSZ</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Global Select Market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July 30, 2019, the Registrant had outstanding 24,463,119 shares of 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1"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740" w:type="dxa"/>
            <w:vAlign w:val="bottom"/>
            <w:gridSpan w:val="2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80" w:type="dxa"/>
            <w:vAlign w:val="bottom"/>
            <w:gridSpan w:val="13"/>
          </w:tcPr>
          <w:p>
            <w:pPr>
              <w:jc w:val="center"/>
              <w:ind w:right="3360"/>
              <w:spacing w:after="0"/>
              <w:rPr>
                <w:sz w:val="20"/>
                <w:szCs w:val="20"/>
                <w:color w:val="auto"/>
              </w:rPr>
            </w:pPr>
            <w:r>
              <w:rPr>
                <w:rFonts w:ascii="Arial" w:cs="Arial" w:eastAsia="Arial" w:hAnsi="Arial"/>
                <w:sz w:val="18"/>
                <w:szCs w:val="18"/>
                <w:b w:val="1"/>
                <w:bCs w:val="1"/>
                <w:color w:val="auto"/>
              </w:rPr>
              <w:t>FIDUS INVESTMENT CORPORATION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20" w:type="dxa"/>
            <w:vAlign w:val="bottom"/>
            <w:gridSpan w:val="12"/>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80" w:type="dxa"/>
            <w:vAlign w:val="bottom"/>
            <w:gridSpan w:val="13"/>
          </w:tcPr>
          <w:p>
            <w:pPr>
              <w:jc w:val="center"/>
              <w:ind w:right="3380"/>
              <w:spacing w:after="0"/>
              <w:rPr>
                <w:sz w:val="20"/>
                <w:szCs w:val="20"/>
                <w:color w:val="auto"/>
              </w:rPr>
            </w:pPr>
            <w:r>
              <w:rPr>
                <w:rFonts w:ascii="Arial" w:cs="Arial" w:eastAsia="Arial" w:hAnsi="Arial"/>
                <w:sz w:val="18"/>
                <w:szCs w:val="18"/>
                <w:b w:val="1"/>
                <w:bCs w:val="1"/>
                <w:color w:val="auto"/>
                <w:w w:val="99"/>
              </w:rPr>
              <w:t>QUARTERLY REPORT ON FORM 10-Q</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6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342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828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Assets and Liabilities — June 30, 2019 (unaudited) and December 31, 2018</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 Three and Six Months Ended June 30, 2019 (unaudited) and 2018 (unaudited)</w:t>
              </w:r>
            </w:hyperlink>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Consolidated Statements of Changes in Net Assets — Three and Six Months Ended June 30, 2019 (unaudited) and 2018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 Six Months Ended June 30, 2019 (unaudited) and 2018 (unaudited)</w:t>
              </w:r>
            </w:hyperlink>
          </w:p>
        </w:tc>
        <w:tc>
          <w:tcPr>
            <w:tcW w:w="2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Schedules of Investments — June 30, 2019 (unaudited) and December 31, 2018</w:t>
              </w:r>
            </w:hyperlink>
          </w:p>
        </w:tc>
        <w:tc>
          <w:tcPr>
            <w:tcW w:w="176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Notes to Consolidated Financial Statements (unaudited)</w:t>
              </w:r>
            </w:hyperlink>
          </w:p>
        </w:tc>
        <w:tc>
          <w:tcPr>
            <w:tcW w:w="2760" w:type="dxa"/>
            <w:vAlign w:val="bottom"/>
            <w:tcBorders>
              <w:top w:val="single" w:sz="8" w:color="0000EE"/>
            </w:tcBorders>
            <w:gridSpan w:val="6"/>
          </w:tcPr>
          <w:p>
            <w:pPr>
              <w:spacing w:after="0"/>
              <w:rPr>
                <w:sz w:val="17"/>
                <w:szCs w:val="17"/>
                <w:color w:val="auto"/>
              </w:rPr>
            </w:pPr>
          </w:p>
        </w:tc>
        <w:tc>
          <w:tcPr>
            <w:tcW w:w="300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9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Item 2.</w:t>
            </w:r>
          </w:p>
        </w:tc>
        <w:tc>
          <w:tcPr>
            <w:tcW w:w="9780" w:type="dxa"/>
            <w:vAlign w:val="bottom"/>
            <w:gridSpan w:val="2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9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3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9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Item 4.</w:t>
            </w:r>
          </w:p>
        </w:tc>
        <w:tc>
          <w:tcPr>
            <w:tcW w:w="9780" w:type="dxa"/>
            <w:vAlign w:val="bottom"/>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80" w:type="dxa"/>
            <w:vAlign w:val="bottom"/>
            <w:gridSpan w:val="13"/>
          </w:tcPr>
          <w:p>
            <w:pPr>
              <w:jc w:val="center"/>
              <w:ind w:right="3420"/>
              <w:spacing w:after="0" w:line="196"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 — OTHER INFORMATION</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Item 1.</w:t>
            </w:r>
          </w:p>
        </w:tc>
        <w:tc>
          <w:tcPr>
            <w:tcW w:w="3260" w:type="dxa"/>
            <w:vAlign w:val="bottom"/>
            <w:gridSpan w:val="1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Legal Proceedings</w:t>
              </w:r>
            </w:hyperlink>
          </w:p>
        </w:tc>
        <w:tc>
          <w:tcPr>
            <w:tcW w:w="2940" w:type="dxa"/>
            <w:vAlign w:val="bottom"/>
            <w:tcBorders>
              <w:top w:val="single" w:sz="8" w:color="0000EE"/>
            </w:tcBorders>
            <w:gridSpan w:val="4"/>
          </w:tcPr>
          <w:p>
            <w:pPr>
              <w:spacing w:after="0"/>
              <w:rPr>
                <w:sz w:val="17"/>
                <w:szCs w:val="17"/>
                <w:color w:val="auto"/>
              </w:rPr>
            </w:pPr>
          </w:p>
        </w:tc>
        <w:tc>
          <w:tcPr>
            <w:tcW w:w="358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9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46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9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Unregistered Sales of Equity Securities and Use of Proceeds</w:t>
              </w:r>
            </w:hyperlink>
          </w:p>
        </w:tc>
        <w:tc>
          <w:tcPr>
            <w:tcW w:w="544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9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Defaults Upon Senior Securities</w:t>
              </w:r>
            </w:hyperlink>
          </w:p>
        </w:tc>
        <w:tc>
          <w:tcPr>
            <w:tcW w:w="746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9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Mine Safety Disclosures</w:t>
              </w:r>
            </w:hyperlink>
          </w:p>
        </w:tc>
        <w:tc>
          <w:tcPr>
            <w:tcW w:w="802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9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Item 5.</w:t>
            </w:r>
          </w:p>
        </w:tc>
        <w:tc>
          <w:tcPr>
            <w:tcW w:w="9780" w:type="dxa"/>
            <w:vAlign w:val="bottom"/>
            <w:gridSpan w:val="2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9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Exhibits</w:t>
              </w:r>
            </w:hyperlink>
          </w:p>
        </w:tc>
        <w:tc>
          <w:tcPr>
            <w:tcW w:w="848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200" w:type="dxa"/>
            <w:vAlign w:val="bottom"/>
            <w:gridSpan w:val="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540" w:type="dxa"/>
            <w:vAlign w:val="bottom"/>
            <w:gridSpan w:val="2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85"/>
        </w:trPr>
        <w:tc>
          <w:tcPr>
            <w:tcW w:w="20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200" w:type="dxa"/>
            <w:vAlign w:val="bottom"/>
            <w:gridSpan w:val="14"/>
          </w:tcPr>
          <w:p>
            <w:pPr>
              <w:jc w:val="center"/>
              <w:ind w:left="3210"/>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07"/>
        </w:trPr>
        <w:tc>
          <w:tcPr>
            <w:tcW w:w="91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780" w:type="dxa"/>
            <w:vAlign w:val="bottom"/>
          </w:tcPr>
          <w:p>
            <w:pPr>
              <w:jc w:val="center"/>
              <w:ind w:left="850"/>
              <w:spacing w:after="0"/>
              <w:rPr>
                <w:sz w:val="20"/>
                <w:szCs w:val="20"/>
                <w:color w:val="auto"/>
              </w:rPr>
            </w:pPr>
            <w:r>
              <w:rPr>
                <w:rFonts w:ascii="Arial" w:cs="Arial" w:eastAsia="Arial" w:hAnsi="Arial"/>
                <w:sz w:val="18"/>
                <w:szCs w:val="18"/>
                <w:b w:val="1"/>
                <w:bCs w:val="1"/>
                <w:color w:val="auto"/>
              </w:rPr>
              <w:t>PART I — FINANCIAL INFORMATION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1.</w:t>
            </w:r>
          </w:p>
        </w:tc>
        <w:tc>
          <w:tcPr>
            <w:tcW w:w="800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80" w:type="dxa"/>
            <w:vAlign w:val="bottom"/>
          </w:tcPr>
          <w:p>
            <w:pPr>
              <w:jc w:val="center"/>
              <w:ind w:left="850"/>
              <w:spacing w:after="0"/>
              <w:rPr>
                <w:sz w:val="20"/>
                <w:szCs w:val="20"/>
                <w:color w:val="auto"/>
              </w:rPr>
            </w:pPr>
            <w:r>
              <w:rPr>
                <w:rFonts w:ascii="Arial" w:cs="Arial" w:eastAsia="Arial" w:hAnsi="Arial"/>
                <w:sz w:val="18"/>
                <w:szCs w:val="18"/>
                <w:b w:val="1"/>
                <w:bCs w:val="1"/>
                <w:color w:val="auto"/>
              </w:rPr>
              <w:t>FIDUS INVESTMENT CORPORATION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80" w:type="dxa"/>
            <w:vAlign w:val="bottom"/>
          </w:tcPr>
          <w:p>
            <w:pPr>
              <w:jc w:val="center"/>
              <w:ind w:left="83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80" w:type="dxa"/>
            <w:vAlign w:val="bottom"/>
          </w:tcPr>
          <w:p>
            <w:pPr>
              <w:jc w:val="center"/>
              <w:ind w:left="830"/>
              <w:spacing w:after="0"/>
              <w:rPr>
                <w:sz w:val="20"/>
                <w:szCs w:val="20"/>
                <w:color w:val="auto"/>
              </w:rPr>
            </w:pPr>
            <w:r>
              <w:rPr>
                <w:rFonts w:ascii="Arial" w:cs="Arial" w:eastAsia="Arial" w:hAnsi="Arial"/>
                <w:sz w:val="18"/>
                <w:szCs w:val="18"/>
                <w:b w:val="1"/>
                <w:bCs w:val="1"/>
                <w:color w:val="auto"/>
                <w:w w:val="88"/>
              </w:rPr>
              <w:t>(in thousands, except shares and per share data)</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June 30, 2019</w:t>
            </w:r>
          </w:p>
        </w:tc>
        <w:tc>
          <w:tcPr>
            <w:tcW w:w="1260" w:type="dxa"/>
            <w:vAlign w:val="bottom"/>
            <w:gridSpan w:val="4"/>
          </w:tcPr>
          <w:p>
            <w:pPr>
              <w:ind w:left="3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Control investments (cost: $7,522 and $22,697, respectively)</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Affiliate investments (cost: $60,057 and $70,924,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117,470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Non-control/non-affiliate investments (cost: $587,945 and $505,129, respectively)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574,584</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gridSpan w:val="4"/>
          </w:tcPr>
          <w:p>
            <w:pPr>
              <w:ind w:left="200"/>
              <w:spacing w:after="0"/>
              <w:rPr>
                <w:sz w:val="20"/>
                <w:szCs w:val="20"/>
                <w:color w:val="auto"/>
              </w:rPr>
            </w:pPr>
            <w:r>
              <w:rPr>
                <w:rFonts w:ascii="Arial" w:cs="Arial" w:eastAsia="Arial" w:hAnsi="Arial"/>
                <w:sz w:val="18"/>
                <w:szCs w:val="18"/>
                <w:color w:val="auto"/>
              </w:rPr>
              <w:t>Total investments, at fair value (cost: $655,524 and $598,750, respectively)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697,272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642,982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5,898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w w:val="88"/>
              </w:rPr>
              <w:t>Total assets</w:t>
            </w:r>
          </w:p>
        </w:tc>
        <w:tc>
          <w:tcPr>
            <w:tcW w:w="2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725,871</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SBA debentures, net of deferred financing costs (Note 6)</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167,232</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Notes, net of deferred financing costs (Note 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115,314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Borrowings under Credit Facility, net of deferred financing costs (Note 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28,232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and fees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Base management fee payable – due to affiliate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incentive fee payable – due to affiliate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Capital gains incentive fee payable – due to affiliate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8,481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Administration fee payable and other – due to affiliate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and other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40" w:type="dxa"/>
            <w:vAlign w:val="bottom"/>
            <w:gridSpan w:val="4"/>
          </w:tcPr>
          <w:p>
            <w:pPr>
              <w:ind w:left="2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327,393</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89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$0.001 par value (100,000,000 shares authorized, 24,463,119 shares issued and outstanding at June 30,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8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2019 and December 31, 2018,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366,278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distributable earnings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32,176</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40" w:type="dxa"/>
            <w:vAlign w:val="bottom"/>
            <w:gridSpan w:val="4"/>
          </w:tcPr>
          <w:p>
            <w:pPr>
              <w:ind w:left="200"/>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398,478</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725,871</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4"/>
            <w:vMerge w:val="restart"/>
          </w:tcPr>
          <w:p>
            <w:pPr>
              <w:ind w:left="200"/>
              <w:spacing w:after="0"/>
              <w:rPr>
                <w:sz w:val="20"/>
                <w:szCs w:val="20"/>
                <w:color w:val="auto"/>
              </w:rPr>
            </w:pPr>
            <w:r>
              <w:rPr>
                <w:rFonts w:ascii="Arial" w:cs="Arial" w:eastAsia="Arial" w:hAnsi="Arial"/>
                <w:sz w:val="18"/>
                <w:szCs w:val="18"/>
                <w:b w:val="1"/>
                <w:bCs w:val="1"/>
                <w:color w:val="auto"/>
              </w:rPr>
              <w:t>Net asset value per common share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46"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Control investments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Affiliate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Non-control/non-affiliate investments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060"/>
              <w:spacing w:after="0"/>
              <w:rPr>
                <w:sz w:val="20"/>
                <w:szCs w:val="20"/>
                <w:color w:val="auto"/>
              </w:rPr>
            </w:pPr>
            <w:r>
              <w:rPr>
                <w:rFonts w:ascii="Arial" w:cs="Arial" w:eastAsia="Arial" w:hAnsi="Arial"/>
                <w:sz w:val="18"/>
                <w:szCs w:val="18"/>
                <w:color w:val="auto"/>
              </w:rPr>
              <w:t>Total interest income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15,685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Payment-in-kind interest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payment-in-kind interest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Dividend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Control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Affiliate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Non-control/non-affiliate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060"/>
              <w:spacing w:after="0"/>
              <w:rPr>
                <w:sz w:val="20"/>
                <w:szCs w:val="20"/>
                <w:color w:val="auto"/>
              </w:rPr>
            </w:pPr>
            <w:r>
              <w:rPr>
                <w:rFonts w:ascii="Arial" w:cs="Arial" w:eastAsia="Arial" w:hAnsi="Arial"/>
                <w:sz w:val="18"/>
                <w:szCs w:val="18"/>
                <w:color w:val="auto"/>
              </w:rPr>
              <w:t>Total dividend income</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fee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Interest on idle funds and other income</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financing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Base management fee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Incentive fee -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Incentive fee - capital gains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gains (losses) on investments: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gains (losses):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(8,956)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realized gain (loss) on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vMerge w:val="restart"/>
          </w:tcPr>
          <w:p>
            <w:pPr>
              <w:ind w:left="340"/>
              <w:spacing w:after="0"/>
              <w:rPr>
                <w:sz w:val="20"/>
                <w:szCs w:val="20"/>
                <w:color w:val="auto"/>
              </w:rPr>
            </w:pPr>
            <w:r>
              <w:rPr>
                <w:rFonts w:ascii="Arial" w:cs="Arial" w:eastAsia="Arial" w:hAnsi="Arial"/>
                <w:sz w:val="18"/>
                <w:szCs w:val="18"/>
                <w:color w:val="auto"/>
              </w:rPr>
              <w:t>Income tax (provision) benefit from realized gains on investments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w:t>
            </w:r>
          </w:p>
        </w:tc>
        <w:tc>
          <w:tcPr>
            <w:tcW w:w="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appreciation (depreciation):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(8,492)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(9,343)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Total net change in unrealized appreciation (depreciation) on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Net gain (loss) on investments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losses on extinguishment of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common share data: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investment income per share-basic and diluted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Net increase in net assets resulting from operations per share — basic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share</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24,463,119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24,463,119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24,463,119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24,480,484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ectPr>
          <w:pgSz w:w="11900" w:h="16838" w:orient="portrait"/>
          <w:cols w:equalWidth="0" w:num="1">
            <w:col w:w="11240"/>
          </w:cols>
          <w:pgMar w:left="240" w:top="459" w:right="419" w:bottom="381" w:gutter="0" w:footer="0" w:header="0"/>
        </w:sect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459" w:right="419" w:bottom="381"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4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10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0"/>
                <w:szCs w:val="10"/>
                <w:color w:val="auto"/>
              </w:rPr>
            </w:pPr>
          </w:p>
        </w:tc>
        <w:tc>
          <w:tcPr>
            <w:tcW w:w="3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Par</w:t>
            </w:r>
          </w:p>
        </w:tc>
        <w:tc>
          <w:tcPr>
            <w:tcW w:w="160" w:type="dxa"/>
            <w:vAlign w:val="bottom"/>
          </w:tcPr>
          <w:p>
            <w:pPr>
              <w:spacing w:after="0"/>
              <w:rPr>
                <w:sz w:val="10"/>
                <w:szCs w:val="10"/>
                <w:color w:val="auto"/>
              </w:rPr>
            </w:pPr>
          </w:p>
        </w:tc>
        <w:tc>
          <w:tcPr>
            <w:tcW w:w="8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distributable</w:t>
            </w:r>
          </w:p>
        </w:tc>
        <w:tc>
          <w:tcPr>
            <w:tcW w:w="100" w:type="dxa"/>
            <w:vAlign w:val="bottom"/>
          </w:tcPr>
          <w:p>
            <w:pPr>
              <w:spacing w:after="0"/>
              <w:rPr>
                <w:sz w:val="10"/>
                <w:szCs w:val="10"/>
                <w:color w:val="auto"/>
              </w:rPr>
            </w:pPr>
          </w:p>
        </w:tc>
        <w:tc>
          <w:tcPr>
            <w:tcW w:w="8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Total 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earnings</w:t>
            </w: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24,507,940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$370,796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$393,273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Repurchases of common stock under Stock Repurchase Program (Note 8)</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(44,821)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Realized losses on extinguishment of debt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(9,558)</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(9,558)</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Balances at March 31, 2018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24,463,119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370,214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398,158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(15,197)</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Realized losses on extinguishment of debt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30, 2018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24,463,119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370,214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396,261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24,463,119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$366,278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9,599</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9,599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3,545</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Dividends declared</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(9,541)</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24,463,119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366,278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404,816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(6,029)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Dividends declared</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(9,540)</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(9,540)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24,463,119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366,278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398,478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14,574</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Adjustments to reconcile net increase in net assets resulting from operations to net cash provided by (used for)</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activities:</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loss on investments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Interest and dividend income paid-in-kind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of original issue discount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Accretion of loan origination fees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 of investments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(128,460)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(103,989)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Proceeds from sales and repayments of investments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75,320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loan origination fees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Realized losses on extinguishment of debt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deferred financing costs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receivable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interest and fees payable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60"/>
              <w:spacing w:after="0"/>
              <w:rPr>
                <w:sz w:val="20"/>
                <w:szCs w:val="20"/>
                <w:color w:val="auto"/>
              </w:rPr>
            </w:pPr>
            <w:r>
              <w:rPr>
                <w:rFonts w:ascii="Arial" w:cs="Arial" w:eastAsia="Arial" w:hAnsi="Arial"/>
                <w:sz w:val="18"/>
                <w:szCs w:val="18"/>
                <w:color w:val="auto"/>
              </w:rPr>
              <w:t>Base management fee payable – due to affiliate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incentive fee payable – due to affiliate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60"/>
              <w:spacing w:after="0"/>
              <w:rPr>
                <w:sz w:val="20"/>
                <w:szCs w:val="20"/>
                <w:color w:val="auto"/>
              </w:rPr>
            </w:pPr>
            <w:r>
              <w:rPr>
                <w:rFonts w:ascii="Arial" w:cs="Arial" w:eastAsia="Arial" w:hAnsi="Arial"/>
                <w:sz w:val="18"/>
                <w:szCs w:val="18"/>
                <w:color w:val="auto"/>
              </w:rPr>
              <w:t>Capital gains incentive fee payable – due to affiliate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Administration fee payable and other – due to affiliate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60"/>
              <w:spacing w:after="0"/>
              <w:rPr>
                <w:sz w:val="20"/>
                <w:szCs w:val="20"/>
                <w:color w:val="auto"/>
              </w:rPr>
            </w:pPr>
            <w:r>
              <w:rPr>
                <w:rFonts w:ascii="Arial" w:cs="Arial" w:eastAsia="Arial" w:hAnsi="Arial"/>
                <w:sz w:val="18"/>
                <w:szCs w:val="18"/>
                <w:color w:val="auto"/>
              </w:rPr>
              <w:t>Taxes payable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other liabilities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420"/>
              <w:spacing w:after="0"/>
              <w:rPr>
                <w:sz w:val="20"/>
                <w:szCs w:val="20"/>
                <w:color w:val="auto"/>
              </w:rPr>
            </w:pPr>
            <w:r>
              <w:rPr>
                <w:rFonts w:ascii="Arial" w:cs="Arial" w:eastAsia="Arial" w:hAnsi="Arial"/>
                <w:sz w:val="18"/>
                <w:szCs w:val="18"/>
                <w:b w:val="1"/>
                <w:bCs w:val="1"/>
                <w:color w:val="auto"/>
              </w:rPr>
              <w:t>Net cash provided by (used for) operating activities</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(39,295)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(23,942)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Proceeds received from SBA debentures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SBA debentures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Proceeds received from issuance of Public Notes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received from (repayments of) borrowings under Credit Facility, net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Payment of deferred financing costs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 to stockholders, including expenses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Repurchases of common stock under Stock Repurchase Program</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4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(20,130)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Beginning of period</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r>
              <w:rPr>
                <w:rFonts w:ascii="Arial" w:cs="Arial" w:eastAsia="Arial" w:hAnsi="Arial"/>
                <w:sz w:val="18"/>
                <w:szCs w:val="18"/>
                <w:color w:val="auto"/>
              </w:rPr>
              <w:t>:</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payments for interest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Cash payments for taxes, net of tax refunds received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500" w:type="dxa"/>
            <w:vAlign w:val="bottom"/>
            <w:gridSpan w:val="5"/>
          </w:tcPr>
          <w:p>
            <w:pPr>
              <w:spacing w:after="0"/>
              <w:rPr>
                <w:sz w:val="20"/>
                <w:szCs w:val="20"/>
                <w:color w:val="auto"/>
              </w:rPr>
            </w:pPr>
            <w:r>
              <w:rPr>
                <w:rFonts w:ascii="Arial" w:cs="Arial" w:eastAsia="Arial" w:hAnsi="Arial"/>
                <w:sz w:val="14"/>
                <w:szCs w:val="14"/>
                <w:b w:val="1"/>
                <w:bCs w:val="1"/>
                <w:color w:val="auto"/>
              </w:rPr>
              <w:t>Portfolio Company (a)(b)</w:t>
            </w:r>
          </w:p>
        </w:tc>
        <w:tc>
          <w:tcPr>
            <w:tcW w:w="1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Rate (d)</w:t>
            </w:r>
          </w:p>
        </w:tc>
        <w:tc>
          <w:tcPr>
            <w:tcW w:w="860" w:type="dxa"/>
            <w:vAlign w:val="bottom"/>
          </w:tcPr>
          <w:p>
            <w:pPr>
              <w:spacing w:after="0"/>
              <w:rPr>
                <w:sz w:val="14"/>
                <w:szCs w:val="14"/>
                <w:color w:val="auto"/>
              </w:rPr>
            </w:pPr>
          </w:p>
        </w:tc>
        <w:tc>
          <w:tcPr>
            <w:tcW w:w="740" w:type="dxa"/>
            <w:vAlign w:val="bottom"/>
            <w:gridSpan w:val="3"/>
          </w:tcPr>
          <w:p>
            <w:pPr>
              <w:ind w:left="16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1"/>
        </w:trPr>
        <w:tc>
          <w:tcPr>
            <w:tcW w:w="2500" w:type="dxa"/>
            <w:vAlign w:val="bottom"/>
            <w:gridSpan w:val="5"/>
          </w:tcPr>
          <w:p>
            <w:pPr>
              <w:spacing w:after="0"/>
              <w:rPr>
                <w:sz w:val="20"/>
                <w:szCs w:val="20"/>
                <w:color w:val="auto"/>
              </w:rPr>
            </w:pPr>
            <w:r>
              <w:rPr>
                <w:rFonts w:ascii="Arial" w:cs="Arial" w:eastAsia="Arial" w:hAnsi="Arial"/>
                <w:sz w:val="14"/>
                <w:szCs w:val="14"/>
                <w:b w:val="1"/>
                <w:bCs w:val="1"/>
                <w:color w:val="auto"/>
              </w:rPr>
              <w:t>Investment Type (c)</w:t>
            </w:r>
          </w:p>
        </w:tc>
        <w:tc>
          <w:tcPr>
            <w:tcW w:w="100" w:type="dxa"/>
            <w:vAlign w:val="bottom"/>
          </w:tcPr>
          <w:p>
            <w:pPr>
              <w:spacing w:after="0"/>
              <w:rPr>
                <w:sz w:val="14"/>
                <w:szCs w:val="14"/>
                <w:color w:val="auto"/>
              </w:rPr>
            </w:pPr>
          </w:p>
        </w:tc>
        <w:tc>
          <w:tcPr>
            <w:tcW w:w="2980" w:type="dxa"/>
            <w:vAlign w:val="bottom"/>
            <w:gridSpan w:val="2"/>
          </w:tcPr>
          <w:p>
            <w:pPr>
              <w:ind w:left="1180"/>
              <w:spacing w:after="0"/>
              <w:rPr>
                <w:sz w:val="20"/>
                <w:szCs w:val="20"/>
                <w:color w:val="auto"/>
              </w:rPr>
            </w:pPr>
            <w:r>
              <w:rPr>
                <w:rFonts w:ascii="Arial" w:cs="Arial" w:eastAsia="Arial" w:hAnsi="Arial"/>
                <w:sz w:val="14"/>
                <w:szCs w:val="14"/>
                <w:b w:val="1"/>
                <w:bCs w:val="1"/>
                <w:color w:val="auto"/>
              </w:rPr>
              <w:t>Industry</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Cash/PIK</w:t>
            </w: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 (e)</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4"/>
            <w:shd w:val="clear" w:color="auto" w:fill="CCEEFF"/>
          </w:tcPr>
          <w:p>
            <w:pPr>
              <w:spacing w:after="0" w:line="150" w:lineRule="exact"/>
              <w:rPr>
                <w:sz w:val="20"/>
                <w:szCs w:val="20"/>
                <w:color w:val="auto"/>
              </w:rPr>
            </w:pPr>
            <w:r>
              <w:rPr>
                <w:rFonts w:ascii="Arial" w:cs="Arial" w:eastAsia="Arial" w:hAnsi="Arial"/>
                <w:sz w:val="17"/>
                <w:szCs w:val="17"/>
                <w:b w:val="1"/>
                <w:bCs w:val="1"/>
                <w:color w:val="auto"/>
              </w:rPr>
              <w:t>Control Investments (t)</w:t>
            </w:r>
          </w:p>
        </w:tc>
        <w:tc>
          <w:tcPr>
            <w:tcW w:w="10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5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80" w:type="dxa"/>
            <w:vAlign w:val="bottom"/>
            <w:gridSpan w:val="4"/>
          </w:tcPr>
          <w:p>
            <w:pPr>
              <w:spacing w:after="0" w:line="201" w:lineRule="exact"/>
              <w:rPr>
                <w:sz w:val="20"/>
                <w:szCs w:val="20"/>
                <w:color w:val="auto"/>
              </w:rPr>
            </w:pPr>
            <w:r>
              <w:rPr>
                <w:rFonts w:ascii="Arial" w:cs="Arial" w:eastAsia="Arial" w:hAnsi="Arial"/>
                <w:sz w:val="18"/>
                <w:szCs w:val="18"/>
                <w:i w:val="1"/>
                <w:iCs w:val="1"/>
                <w:color w:val="auto"/>
                <w:w w:val="99"/>
              </w:rPr>
              <w:t>FDS Avionics Corp. (dba Flight</w:t>
            </w: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4"/>
          </w:tcPr>
          <w:p>
            <w:pPr>
              <w:ind w:left="160"/>
              <w:spacing w:after="0"/>
              <w:rPr>
                <w:sz w:val="20"/>
                <w:szCs w:val="20"/>
                <w:color w:val="auto"/>
              </w:rPr>
            </w:pPr>
            <w:r>
              <w:rPr>
                <w:rFonts w:ascii="Arial" w:cs="Arial" w:eastAsia="Arial" w:hAnsi="Arial"/>
                <w:sz w:val="18"/>
                <w:szCs w:val="18"/>
                <w:i w:val="1"/>
                <w:iCs w:val="1"/>
                <w:color w:val="auto"/>
              </w:rPr>
              <w:t>Display Systems)</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Aerospace &amp; Defense Manufacturing</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Second Lien Debt</w:t>
            </w: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4.00%/11.00%</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4/1/2020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Revolving Loan ($50</w:t>
            </w: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4"/>
          </w:tcPr>
          <w:p>
            <w:pPr>
              <w:ind w:left="520"/>
              <w:spacing w:after="0"/>
              <w:rPr>
                <w:sz w:val="20"/>
                <w:szCs w:val="20"/>
                <w:color w:val="auto"/>
              </w:rPr>
            </w:pPr>
            <w:r>
              <w:rPr>
                <w:rFonts w:ascii="Arial" w:cs="Arial" w:eastAsia="Arial" w:hAnsi="Arial"/>
                <w:sz w:val="18"/>
                <w:szCs w:val="18"/>
                <w:color w:val="auto"/>
              </w:rPr>
              <w:t>commitment)</w:t>
            </w: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4.00%/11.00%</w:t>
            </w:r>
          </w:p>
        </w:tc>
        <w:tc>
          <w:tcPr>
            <w:tcW w:w="860" w:type="dxa"/>
            <w:vAlign w:val="bottom"/>
          </w:tcPr>
          <w:p>
            <w:pPr>
              <w:ind w:left="40"/>
              <w:spacing w:after="0"/>
              <w:rPr>
                <w:sz w:val="20"/>
                <w:szCs w:val="20"/>
                <w:color w:val="auto"/>
              </w:rPr>
            </w:pPr>
            <w:r>
              <w:rPr>
                <w:rFonts w:ascii="Arial" w:cs="Arial" w:eastAsia="Arial" w:hAnsi="Arial"/>
                <w:sz w:val="18"/>
                <w:szCs w:val="18"/>
                <w:color w:val="auto"/>
              </w:rPr>
              <w:t>4/1/2020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(7,478</w:t>
            </w:r>
          </w:p>
        </w:tc>
        <w:tc>
          <w:tcPr>
            <w:tcW w:w="10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shares) (j)</w:t>
            </w:r>
          </w:p>
        </w:tc>
        <w:tc>
          <w:tcPr>
            <w:tcW w:w="10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Control Investments</w:t>
            </w: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5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Affiliate Investments (l)</w:t>
            </w: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FAR Research Inc. (n)</w:t>
            </w:r>
          </w:p>
        </w:tc>
        <w:tc>
          <w:tcPr>
            <w:tcW w:w="3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Specialty Chemicals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Common Equity (1,396</w:t>
            </w: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4"/>
          </w:tcPr>
          <w:p>
            <w:pPr>
              <w:ind w:left="52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Fiber Materials, Inc.</w:t>
            </w:r>
          </w:p>
        </w:tc>
        <w:tc>
          <w:tcPr>
            <w:tcW w:w="3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Aerospace &amp; Defense Manufacturing</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4"/>
          </w:tcPr>
          <w:p>
            <w:pPr>
              <w:ind w:left="340"/>
              <w:spacing w:after="0"/>
              <w:rPr>
                <w:sz w:val="20"/>
                <w:szCs w:val="20"/>
                <w:color w:val="auto"/>
              </w:rPr>
            </w:pPr>
            <w:r>
              <w:rPr>
                <w:rFonts w:ascii="Arial" w:cs="Arial" w:eastAsia="Arial" w:hAnsi="Arial"/>
                <w:sz w:val="18"/>
                <w:szCs w:val="18"/>
                <w:color w:val="auto"/>
              </w:rPr>
              <w:t>Common Equity (10 units)</w:t>
            </w: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Medsurant Holdings, LLC</w:t>
            </w:r>
          </w:p>
        </w:tc>
        <w:tc>
          <w:tcPr>
            <w:tcW w:w="3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Healthcare Services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4"/>
          </w:tcPr>
          <w:p>
            <w:pPr>
              <w:ind w:left="340"/>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13.00%/0.00%</w:t>
            </w:r>
          </w:p>
        </w:tc>
        <w:tc>
          <w:tcPr>
            <w:tcW w:w="860" w:type="dxa"/>
            <w:vAlign w:val="bottom"/>
          </w:tcPr>
          <w:p>
            <w:pPr>
              <w:ind w:left="40"/>
              <w:spacing w:after="0"/>
              <w:rPr>
                <w:sz w:val="20"/>
                <w:szCs w:val="20"/>
                <w:color w:val="auto"/>
              </w:rPr>
            </w:pPr>
            <w:r>
              <w:rPr>
                <w:rFonts w:ascii="Arial" w:cs="Arial" w:eastAsia="Arial" w:hAnsi="Arial"/>
                <w:sz w:val="18"/>
                <w:szCs w:val="18"/>
                <w:color w:val="auto"/>
                <w:w w:val="99"/>
              </w:rPr>
              <w:t>6/30/2020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8,823</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Equity (126,662</w:t>
            </w:r>
          </w:p>
        </w:tc>
        <w:tc>
          <w:tcPr>
            <w:tcW w:w="10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units) (h)</w:t>
            </w:r>
          </w:p>
        </w:tc>
        <w:tc>
          <w:tcPr>
            <w:tcW w:w="10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8"/>
              </w:rPr>
              <w:t>Warrant (505,176 units) (h)</w:t>
            </w: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4"/>
          </w:tcPr>
          <w:p>
            <w:pPr>
              <w:ind w:left="520"/>
              <w:spacing w:after="0"/>
              <w:rPr>
                <w:sz w:val="20"/>
                <w:szCs w:val="20"/>
                <w:color w:val="auto"/>
              </w:rPr>
            </w:pPr>
            <w:r>
              <w:rPr>
                <w:rFonts w:ascii="Arial" w:cs="Arial" w:eastAsia="Arial" w:hAnsi="Arial"/>
                <w:sz w:val="18"/>
                <w:szCs w:val="18"/>
                <w:color w:val="auto"/>
              </w:rPr>
              <w:t>(m)</w:t>
            </w: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6,992</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4"/>
          </w:tcPr>
          <w:p>
            <w:pPr>
              <w:spacing w:after="0" w:line="201" w:lineRule="exact"/>
              <w:rPr>
                <w:sz w:val="20"/>
                <w:szCs w:val="20"/>
                <w:color w:val="auto"/>
              </w:rPr>
            </w:pPr>
            <w:r>
              <w:rPr>
                <w:rFonts w:ascii="Arial" w:cs="Arial" w:eastAsia="Arial" w:hAnsi="Arial"/>
                <w:sz w:val="18"/>
                <w:szCs w:val="18"/>
                <w:i w:val="1"/>
                <w:iCs w:val="1"/>
                <w:color w:val="auto"/>
              </w:rPr>
              <w:t>Microbiology Research</w:t>
            </w: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4"/>
          </w:tcPr>
          <w:p>
            <w:pPr>
              <w:ind w:left="160"/>
              <w:spacing w:after="0"/>
              <w:rPr>
                <w:sz w:val="20"/>
                <w:szCs w:val="20"/>
                <w:color w:val="auto"/>
              </w:rPr>
            </w:pPr>
            <w:r>
              <w:rPr>
                <w:rFonts w:ascii="Arial" w:cs="Arial" w:eastAsia="Arial" w:hAnsi="Arial"/>
                <w:sz w:val="18"/>
                <w:szCs w:val="18"/>
                <w:i w:val="1"/>
                <w:iCs w:val="1"/>
                <w:color w:val="auto"/>
              </w:rPr>
              <w:t>Associates, Inc.</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Healthcare Services</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Subordinated Debt</w:t>
            </w: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11.00%/1.50%</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3/13/2022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6"/>
              </w:rPr>
              <w:t>Common Equity (1,625,731</w:t>
            </w: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4"/>
          </w:tcPr>
          <w:p>
            <w:pPr>
              <w:ind w:left="520"/>
              <w:spacing w:after="0"/>
              <w:rPr>
                <w:sz w:val="20"/>
                <w:szCs w:val="20"/>
                <w:color w:val="auto"/>
              </w:rPr>
            </w:pPr>
            <w:r>
              <w:rPr>
                <w:rFonts w:ascii="Arial" w:cs="Arial" w:eastAsia="Arial" w:hAnsi="Arial"/>
                <w:sz w:val="18"/>
                <w:szCs w:val="18"/>
                <w:color w:val="auto"/>
              </w:rPr>
              <w:t>units) (j)</w:t>
            </w: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4"/>
          </w:tcPr>
          <w:p>
            <w:pPr>
              <w:spacing w:after="0"/>
              <w:rPr>
                <w:sz w:val="20"/>
                <w:szCs w:val="20"/>
                <w:color w:val="auto"/>
              </w:rPr>
            </w:pPr>
            <w:r>
              <w:rPr>
                <w:rFonts w:ascii="Arial" w:cs="Arial" w:eastAsia="Arial" w:hAnsi="Arial"/>
                <w:sz w:val="18"/>
                <w:szCs w:val="18"/>
                <w:i w:val="1"/>
                <w:iCs w:val="1"/>
                <w:color w:val="auto"/>
              </w:rPr>
              <w:t>Mirage Trailers LLC</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Utility Equipment Manufacturing</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Second Lien Debt (f)(k)</w:t>
            </w: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13.93%/1.50%</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11/25/2020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6"/>
              </w:rPr>
              <w:t>Common Equity (2,500,000</w:t>
            </w: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4"/>
          </w:tcPr>
          <w:p>
            <w:pPr>
              <w:ind w:left="520"/>
              <w:spacing w:after="0"/>
              <w:rPr>
                <w:sz w:val="20"/>
                <w:szCs w:val="20"/>
                <w:color w:val="auto"/>
              </w:rPr>
            </w:pPr>
            <w:r>
              <w:rPr>
                <w:rFonts w:ascii="Arial" w:cs="Arial" w:eastAsia="Arial" w:hAnsi="Arial"/>
                <w:sz w:val="18"/>
                <w:szCs w:val="18"/>
                <w:color w:val="auto"/>
              </w:rPr>
              <w:t>shares) (g)</w:t>
            </w: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4"/>
          </w:tcPr>
          <w:p>
            <w:pPr>
              <w:spacing w:after="0"/>
              <w:rPr>
                <w:sz w:val="20"/>
                <w:szCs w:val="20"/>
                <w:color w:val="auto"/>
              </w:rPr>
            </w:pPr>
            <w:r>
              <w:rPr>
                <w:rFonts w:ascii="Arial" w:cs="Arial" w:eastAsia="Arial" w:hAnsi="Arial"/>
                <w:sz w:val="18"/>
                <w:szCs w:val="18"/>
                <w:i w:val="1"/>
                <w:iCs w:val="1"/>
                <w:color w:val="auto"/>
              </w:rPr>
              <w:t>Pfanstiehl, Inc.</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Healthcare Products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Subordinated Debt</w:t>
            </w: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10.50%/0.00%</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9/29/2022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Common Equity (8,500</w:t>
            </w: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4"/>
          </w:tcPr>
          <w:p>
            <w:pPr>
              <w:ind w:left="520"/>
              <w:spacing w:after="0"/>
              <w:rPr>
                <w:sz w:val="20"/>
                <w:szCs w:val="20"/>
                <w:color w:val="auto"/>
              </w:rPr>
            </w:pPr>
            <w:r>
              <w:rPr>
                <w:rFonts w:ascii="Arial" w:cs="Arial" w:eastAsia="Arial" w:hAnsi="Arial"/>
                <w:sz w:val="18"/>
                <w:szCs w:val="18"/>
                <w:color w:val="auto"/>
              </w:rPr>
              <w:t>units) (j)</w:t>
            </w: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17,377</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4"/>
          </w:tcPr>
          <w:p>
            <w:pPr>
              <w:spacing w:after="0"/>
              <w:rPr>
                <w:sz w:val="20"/>
                <w:szCs w:val="20"/>
                <w:color w:val="auto"/>
              </w:rPr>
            </w:pPr>
            <w:r>
              <w:rPr>
                <w:rFonts w:ascii="Arial" w:cs="Arial" w:eastAsia="Arial" w:hAnsi="Arial"/>
                <w:sz w:val="18"/>
                <w:szCs w:val="18"/>
                <w:i w:val="1"/>
                <w:iCs w:val="1"/>
                <w:color w:val="auto"/>
              </w:rPr>
              <w:t>Pinnergy, Ltd.</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Oil &amp; Gas Services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Second Lien Debt (k)</w:t>
            </w: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12.00%/0.00%</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1/24/2020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5"/>
              </w:rPr>
              <w:t>Common Equity - Class A-2</w:t>
            </w: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4"/>
          </w:tcPr>
          <w:p>
            <w:pPr>
              <w:ind w:left="520"/>
              <w:spacing w:after="0"/>
              <w:rPr>
                <w:sz w:val="20"/>
                <w:szCs w:val="20"/>
                <w:color w:val="auto"/>
              </w:rPr>
            </w:pPr>
            <w:r>
              <w:rPr>
                <w:rFonts w:ascii="Arial" w:cs="Arial" w:eastAsia="Arial" w:hAnsi="Arial"/>
                <w:sz w:val="18"/>
                <w:szCs w:val="18"/>
                <w:color w:val="auto"/>
              </w:rPr>
              <w:t>(42,500 units) (k)</w:t>
            </w: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36,392</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 Class B</w:t>
            </w:r>
          </w:p>
        </w:tc>
        <w:tc>
          <w:tcPr>
            <w:tcW w:w="10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(1,000 units) (k)</w:t>
            </w:r>
          </w:p>
        </w:tc>
        <w:tc>
          <w:tcPr>
            <w:tcW w:w="10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43,392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Steward Holding LLC (dba</w:t>
            </w:r>
          </w:p>
        </w:tc>
        <w:tc>
          <w:tcPr>
            <w:tcW w:w="10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7"/>
            <w:shd w:val="clear" w:color="auto" w:fill="CCEEFF"/>
          </w:tcPr>
          <w:p>
            <w:pPr>
              <w:ind w:left="160"/>
              <w:spacing w:after="0"/>
              <w:rPr>
                <w:sz w:val="20"/>
                <w:szCs w:val="20"/>
                <w:color w:val="auto"/>
              </w:rPr>
            </w:pPr>
            <w:r>
              <w:rPr>
                <w:rFonts w:ascii="Arial" w:cs="Arial" w:eastAsia="Arial" w:hAnsi="Arial"/>
                <w:sz w:val="18"/>
                <w:szCs w:val="18"/>
                <w:i w:val="1"/>
                <w:iCs w:val="1"/>
                <w:color w:val="auto"/>
                <w:w w:val="98"/>
              </w:rPr>
              <w:t xml:space="preserve">Steward Advanced Materials)   </w:t>
            </w:r>
            <w:r>
              <w:rPr>
                <w:rFonts w:ascii="Arial" w:cs="Arial" w:eastAsia="Arial" w:hAnsi="Arial"/>
                <w:sz w:val="18"/>
                <w:szCs w:val="18"/>
                <w:color w:val="auto"/>
                <w:w w:val="98"/>
              </w:rPr>
              <w:t>Aerospace &amp; Defense Manufacturing</w:t>
            </w: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4"/>
          </w:tcPr>
          <w:p>
            <w:pPr>
              <w:ind w:left="340"/>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12.00%/1.50%</w:t>
            </w:r>
          </w:p>
        </w:tc>
        <w:tc>
          <w:tcPr>
            <w:tcW w:w="860" w:type="dxa"/>
            <w:vAlign w:val="bottom"/>
          </w:tcPr>
          <w:p>
            <w:pPr>
              <w:ind w:left="40"/>
              <w:spacing w:after="0"/>
              <w:rPr>
                <w:sz w:val="20"/>
                <w:szCs w:val="20"/>
                <w:color w:val="auto"/>
              </w:rPr>
            </w:pPr>
            <w:r>
              <w:rPr>
                <w:rFonts w:ascii="Arial" w:cs="Arial" w:eastAsia="Arial" w:hAnsi="Arial"/>
                <w:sz w:val="18"/>
                <w:szCs w:val="18"/>
                <w:color w:val="auto"/>
                <w:w w:val="99"/>
              </w:rPr>
              <w:t>5/12/2021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7,610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7,610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Common Equity (1,000,000</w:t>
            </w:r>
          </w:p>
        </w:tc>
        <w:tc>
          <w:tcPr>
            <w:tcW w:w="10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8,598</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9,129</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Affiliate Investments</w:t>
            </w: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117,470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240" w:top="459" w:right="419" w:bottom="1440" w:gutter="0" w:footer="0" w:header="0"/>
        </w:sectPr>
      </w:pPr>
    </w:p>
    <w:p>
      <w:pPr>
        <w:jc w:val="center"/>
        <w:ind w:right="-1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00" w:type="dxa"/>
            <w:vAlign w:val="bottom"/>
            <w:gridSpan w:val="6"/>
          </w:tcPr>
          <w:p>
            <w:pPr>
              <w:spacing w:after="0"/>
              <w:rPr>
                <w:sz w:val="20"/>
                <w:szCs w:val="20"/>
                <w:color w:val="auto"/>
              </w:rPr>
            </w:pPr>
            <w:r>
              <w:rPr>
                <w:rFonts w:ascii="Arial" w:cs="Arial" w:eastAsia="Arial" w:hAnsi="Arial"/>
                <w:sz w:val="14"/>
                <w:szCs w:val="14"/>
                <w:b w:val="1"/>
                <w:bCs w:val="1"/>
                <w:color w:val="auto"/>
              </w:rPr>
              <w:t>Portfolio Company (a)(b)</w:t>
            </w:r>
          </w:p>
        </w:tc>
        <w:tc>
          <w:tcPr>
            <w:tcW w:w="60" w:type="dxa"/>
            <w:vAlign w:val="bottom"/>
          </w:tcPr>
          <w:p>
            <w:pPr>
              <w:spacing w:after="0"/>
              <w:rPr>
                <w:sz w:val="14"/>
                <w:szCs w:val="14"/>
                <w:color w:val="auto"/>
              </w:rPr>
            </w:pPr>
          </w:p>
        </w:tc>
        <w:tc>
          <w:tcPr>
            <w:tcW w:w="264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Industry</w:t>
            </w: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Rate (d)</w:t>
            </w:r>
          </w:p>
        </w:tc>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2"/>
        </w:trPr>
        <w:tc>
          <w:tcPr>
            <w:tcW w:w="2900" w:type="dxa"/>
            <w:vAlign w:val="bottom"/>
            <w:gridSpan w:val="6"/>
          </w:tcPr>
          <w:p>
            <w:pPr>
              <w:spacing w:after="0"/>
              <w:rPr>
                <w:sz w:val="20"/>
                <w:szCs w:val="20"/>
                <w:color w:val="auto"/>
              </w:rPr>
            </w:pPr>
            <w:r>
              <w:rPr>
                <w:rFonts w:ascii="Arial" w:cs="Arial" w:eastAsia="Arial" w:hAnsi="Arial"/>
                <w:sz w:val="14"/>
                <w:szCs w:val="14"/>
                <w:b w:val="1"/>
                <w:bCs w:val="1"/>
                <w:color w:val="auto"/>
              </w:rPr>
              <w:t>Investment Type (c)</w:t>
            </w:r>
          </w:p>
        </w:tc>
        <w:tc>
          <w:tcPr>
            <w:tcW w:w="6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Cash/PIK</w:t>
            </w: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Value (e)</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6"/>
              </w:rPr>
              <w:t>Non-control/Non-affiliate</w:t>
            </w:r>
          </w:p>
        </w:tc>
        <w:tc>
          <w:tcPr>
            <w:tcW w:w="9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Investments</w:t>
            </w:r>
          </w:p>
        </w:tc>
        <w:tc>
          <w:tcPr>
            <w:tcW w:w="1780" w:type="dxa"/>
            <w:vAlign w:val="bottom"/>
            <w:tcBorders>
              <w:bottom w:val="single" w:sz="8" w:color="CCEEFF"/>
            </w:tcBorders>
            <w:gridSpan w:val="3"/>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Arial" w:cs="Arial" w:eastAsia="Arial" w:hAnsi="Arial"/>
                <w:sz w:val="18"/>
                <w:szCs w:val="18"/>
                <w:i w:val="1"/>
                <w:iCs w:val="1"/>
                <w:color w:val="auto"/>
              </w:rPr>
              <w:t>Accent Food Services, LLC</w:t>
            </w:r>
          </w:p>
        </w:tc>
        <w:tc>
          <w:tcPr>
            <w:tcW w:w="2700" w:type="dxa"/>
            <w:vAlign w:val="bottom"/>
            <w:gridSpan w:val="3"/>
          </w:tcPr>
          <w:p>
            <w:pPr>
              <w:ind w:left="40"/>
              <w:spacing w:after="0"/>
              <w:rPr>
                <w:sz w:val="20"/>
                <w:szCs w:val="20"/>
                <w:color w:val="auto"/>
              </w:rPr>
            </w:pPr>
            <w:r>
              <w:rPr>
                <w:rFonts w:ascii="Arial" w:cs="Arial" w:eastAsia="Arial" w:hAnsi="Arial"/>
                <w:sz w:val="18"/>
                <w:szCs w:val="18"/>
                <w:color w:val="auto"/>
                <w:w w:val="95"/>
              </w:rPr>
              <w:t>Vending Equipment Manufacturing</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Second Lien Debt (k)(z)</w:t>
            </w: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10.00%/5.00%</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5/30/2022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$32,518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$30,823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4"/>
          </w:tcPr>
          <w:p>
            <w:pPr>
              <w:ind w:left="180"/>
              <w:spacing w:after="0"/>
              <w:rPr>
                <w:sz w:val="20"/>
                <w:szCs w:val="20"/>
                <w:color w:val="auto"/>
              </w:rPr>
            </w:pPr>
            <w:r>
              <w:rPr>
                <w:rFonts w:ascii="Arial" w:cs="Arial" w:eastAsia="Arial" w:hAnsi="Arial"/>
                <w:sz w:val="18"/>
                <w:szCs w:val="18"/>
                <w:color w:val="auto"/>
              </w:rPr>
              <w:t>Subordinated Debt (j)</w:t>
            </w: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0.00%/17.00%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5/30/2022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1,502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1,502</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1,502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72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Equity (7,885 units) (h)</w:t>
            </w:r>
          </w:p>
        </w:tc>
        <w:tc>
          <w:tcPr>
            <w:tcW w:w="6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7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(j)</w:t>
            </w:r>
          </w:p>
        </w:tc>
        <w:tc>
          <w:tcPr>
            <w:tcW w:w="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32,718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Allied 100 Group, Inc.</w:t>
            </w:r>
          </w:p>
        </w:tc>
        <w:tc>
          <w:tcPr>
            <w:tcW w:w="2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Healthcare Products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Common Equity (1,250,000</w:t>
            </w:r>
          </w:p>
        </w:tc>
        <w:tc>
          <w:tcPr>
            <w:tcW w:w="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4"/>
          </w:tcPr>
          <w:p>
            <w:pPr>
              <w:ind w:left="360"/>
              <w:spacing w:after="0"/>
              <w:rPr>
                <w:sz w:val="20"/>
                <w:szCs w:val="20"/>
                <w:color w:val="auto"/>
              </w:rPr>
            </w:pPr>
            <w:r>
              <w:rPr>
                <w:rFonts w:ascii="Arial" w:cs="Arial" w:eastAsia="Arial" w:hAnsi="Arial"/>
                <w:sz w:val="18"/>
                <w:szCs w:val="18"/>
                <w:color w:val="auto"/>
              </w:rPr>
              <w:t>units) (j)</w:t>
            </w:r>
          </w:p>
        </w:tc>
        <w:tc>
          <w:tcPr>
            <w:tcW w:w="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1,484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6"/>
              </w:rPr>
              <w:t>Alzheimer’s Research and Treatment</w:t>
            </w:r>
          </w:p>
        </w:tc>
        <w:tc>
          <w:tcPr>
            <w:tcW w:w="6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5"/>
            <w:shd w:val="clear" w:color="auto" w:fill="CCEEFF"/>
          </w:tcPr>
          <w:p>
            <w:pPr>
              <w:ind w:left="160"/>
              <w:spacing w:after="0"/>
              <w:rPr>
                <w:sz w:val="20"/>
                <w:szCs w:val="20"/>
                <w:color w:val="auto"/>
              </w:rPr>
            </w:pPr>
            <w:r>
              <w:rPr>
                <w:rFonts w:ascii="Arial" w:cs="Arial" w:eastAsia="Arial" w:hAnsi="Arial"/>
                <w:sz w:val="18"/>
                <w:szCs w:val="18"/>
                <w:i w:val="1"/>
                <w:iCs w:val="1"/>
                <w:color w:val="auto"/>
              </w:rPr>
              <w:t>Center, LLC</w:t>
            </w:r>
          </w:p>
        </w:tc>
        <w:tc>
          <w:tcPr>
            <w:tcW w:w="2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Healthcare Services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4"/>
          </w:tcPr>
          <w:p>
            <w:pPr>
              <w:ind w:left="180"/>
              <w:spacing w:after="0"/>
              <w:rPr>
                <w:sz w:val="20"/>
                <w:szCs w:val="20"/>
                <w:color w:val="auto"/>
              </w:rPr>
            </w:pPr>
            <w:r>
              <w:rPr>
                <w:rFonts w:ascii="Arial" w:cs="Arial" w:eastAsia="Arial" w:hAnsi="Arial"/>
                <w:sz w:val="18"/>
                <w:szCs w:val="18"/>
                <w:color w:val="auto"/>
              </w:rPr>
              <w:t>First Lien Debt (j)(x)</w:t>
            </w: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8.34%/0.00%</w:t>
            </w:r>
          </w:p>
        </w:tc>
        <w:tc>
          <w:tcPr>
            <w:tcW w:w="880" w:type="dxa"/>
            <w:vAlign w:val="bottom"/>
          </w:tcPr>
          <w:p>
            <w:pPr>
              <w:ind w:left="60"/>
              <w:spacing w:after="0"/>
              <w:rPr>
                <w:sz w:val="20"/>
                <w:szCs w:val="20"/>
                <w:color w:val="auto"/>
              </w:rPr>
            </w:pPr>
            <w:r>
              <w:rPr>
                <w:rFonts w:ascii="Arial" w:cs="Arial" w:eastAsia="Arial" w:hAnsi="Arial"/>
                <w:sz w:val="18"/>
                <w:szCs w:val="18"/>
                <w:color w:val="auto"/>
                <w:w w:val="88"/>
              </w:rPr>
              <w:t>10/23/2023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6,456</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72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Equity (1,000 units) (h)</w:t>
            </w:r>
          </w:p>
        </w:tc>
        <w:tc>
          <w:tcPr>
            <w:tcW w:w="6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7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(j)</w:t>
            </w:r>
          </w:p>
        </w:tc>
        <w:tc>
          <w:tcPr>
            <w:tcW w:w="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7,767</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American AllWaste LLC (dba</w:t>
            </w:r>
          </w:p>
        </w:tc>
        <w:tc>
          <w:tcPr>
            <w:tcW w:w="6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5"/>
            <w:shd w:val="clear" w:color="auto" w:fill="CCEEFF"/>
          </w:tcPr>
          <w:p>
            <w:pPr>
              <w:ind w:left="160"/>
              <w:spacing w:after="0"/>
              <w:rPr>
                <w:sz w:val="20"/>
                <w:szCs w:val="20"/>
                <w:color w:val="auto"/>
              </w:rPr>
            </w:pPr>
            <w:r>
              <w:rPr>
                <w:rFonts w:ascii="Arial" w:cs="Arial" w:eastAsia="Arial" w:hAnsi="Arial"/>
                <w:sz w:val="18"/>
                <w:szCs w:val="18"/>
                <w:i w:val="1"/>
                <w:iCs w:val="1"/>
                <w:color w:val="auto"/>
              </w:rPr>
              <w:t>WasteWater Transport Services)</w:t>
            </w:r>
          </w:p>
        </w:tc>
        <w:tc>
          <w:tcPr>
            <w:tcW w:w="2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Environmental Industries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4"/>
          </w:tcPr>
          <w:p>
            <w:pPr>
              <w:ind w:left="180"/>
              <w:spacing w:after="0"/>
              <w:rPr>
                <w:sz w:val="20"/>
                <w:szCs w:val="20"/>
                <w:color w:val="auto"/>
              </w:rPr>
            </w:pPr>
            <w:r>
              <w:rPr>
                <w:rFonts w:ascii="Arial" w:cs="Arial" w:eastAsia="Arial" w:hAnsi="Arial"/>
                <w:sz w:val="18"/>
                <w:szCs w:val="18"/>
                <w:color w:val="auto"/>
              </w:rPr>
              <w:t>Second Lien Debt (j)</w:t>
            </w: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11.00%/1.50%</w:t>
            </w:r>
          </w:p>
        </w:tc>
        <w:tc>
          <w:tcPr>
            <w:tcW w:w="880" w:type="dxa"/>
            <w:vAlign w:val="bottom"/>
          </w:tcPr>
          <w:p>
            <w:pPr>
              <w:ind w:left="60"/>
              <w:spacing w:after="0"/>
              <w:rPr>
                <w:sz w:val="20"/>
                <w:szCs w:val="20"/>
                <w:color w:val="auto"/>
              </w:rPr>
            </w:pPr>
            <w:r>
              <w:rPr>
                <w:rFonts w:ascii="Arial" w:cs="Arial" w:eastAsia="Arial" w:hAnsi="Arial"/>
                <w:sz w:val="18"/>
                <w:szCs w:val="18"/>
                <w:color w:val="auto"/>
                <w:w w:val="88"/>
              </w:rPr>
              <w:t>11/30/2023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12,458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12,400</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12,458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72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Delayed Draw Commitment</w:t>
            </w:r>
          </w:p>
        </w:tc>
        <w:tc>
          <w:tcPr>
            <w:tcW w:w="6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7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($1,736 commitment) (i)(j)</w:t>
            </w:r>
          </w:p>
        </w:tc>
        <w:tc>
          <w:tcPr>
            <w:tcW w:w="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11.00%/1.50%</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11/30/2019</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4"/>
          </w:tcPr>
          <w:p>
            <w:pPr>
              <w:ind w:left="180"/>
              <w:spacing w:after="0"/>
              <w:rPr>
                <w:sz w:val="20"/>
                <w:szCs w:val="20"/>
                <w:color w:val="auto"/>
              </w:rPr>
            </w:pPr>
            <w:r>
              <w:rPr>
                <w:rFonts w:ascii="Arial" w:cs="Arial" w:eastAsia="Arial" w:hAnsi="Arial"/>
                <w:sz w:val="18"/>
                <w:szCs w:val="18"/>
                <w:color w:val="auto"/>
              </w:rPr>
              <w:t>Preferred Equity (500 units) (j)</w:t>
            </w:r>
          </w:p>
        </w:tc>
        <w:tc>
          <w:tcPr>
            <w:tcW w:w="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Arial" w:cs="Arial" w:eastAsia="Arial" w:hAnsi="Arial"/>
                <w:sz w:val="18"/>
                <w:szCs w:val="18"/>
                <w:i w:val="1"/>
                <w:iCs w:val="1"/>
                <w:color w:val="auto"/>
              </w:rPr>
              <w:t>Argo Turboserve Corporation</w:t>
            </w:r>
          </w:p>
        </w:tc>
        <w:tc>
          <w:tcPr>
            <w:tcW w:w="2700" w:type="dxa"/>
            <w:vAlign w:val="bottom"/>
            <w:gridSpan w:val="3"/>
          </w:tcPr>
          <w:p>
            <w:pPr>
              <w:ind w:left="40"/>
              <w:spacing w:after="0"/>
              <w:rPr>
                <w:sz w:val="20"/>
                <w:szCs w:val="20"/>
                <w:color w:val="auto"/>
              </w:rPr>
            </w:pPr>
            <w:r>
              <w:rPr>
                <w:rFonts w:ascii="Arial" w:cs="Arial" w:eastAsia="Arial" w:hAnsi="Arial"/>
                <w:sz w:val="18"/>
                <w:szCs w:val="18"/>
                <w:color w:val="auto"/>
              </w:rPr>
              <w:t>Business Services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Second Lien Debt (j)(y)</w:t>
            </w: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12.35%/0.00%</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6/28/2023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2900" w:type="dxa"/>
            <w:vAlign w:val="bottom"/>
            <w:gridSpan w:val="6"/>
          </w:tcPr>
          <w:p>
            <w:pPr>
              <w:spacing w:after="0"/>
              <w:rPr>
                <w:sz w:val="20"/>
                <w:szCs w:val="20"/>
                <w:color w:val="auto"/>
              </w:rPr>
            </w:pPr>
            <w:r>
              <w:rPr>
                <w:rFonts w:ascii="Arial" w:cs="Arial" w:eastAsia="Arial" w:hAnsi="Arial"/>
                <w:sz w:val="18"/>
                <w:szCs w:val="18"/>
                <w:i w:val="1"/>
                <w:iCs w:val="1"/>
                <w:color w:val="auto"/>
              </w:rPr>
              <w:t>AVC Investors, LLC (dba Auveco)</w:t>
            </w:r>
          </w:p>
        </w:tc>
        <w:tc>
          <w:tcPr>
            <w:tcW w:w="2700" w:type="dxa"/>
            <w:vAlign w:val="bottom"/>
            <w:gridSpan w:val="3"/>
          </w:tcPr>
          <w:p>
            <w:pPr>
              <w:ind w:left="40"/>
              <w:spacing w:after="0"/>
              <w:rPr>
                <w:sz w:val="20"/>
                <w:szCs w:val="20"/>
                <w:color w:val="auto"/>
              </w:rPr>
            </w:pPr>
            <w:r>
              <w:rPr>
                <w:rFonts w:ascii="Arial" w:cs="Arial" w:eastAsia="Arial" w:hAnsi="Arial"/>
                <w:sz w:val="18"/>
                <w:szCs w:val="18"/>
                <w:color w:val="auto"/>
              </w:rPr>
              <w:t>Specialty Distribution</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Second Lien Debt (k)</w:t>
            </w: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11.50%/0.00%</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7/3/2023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Common Equity (5,000</w:t>
            </w:r>
          </w:p>
        </w:tc>
        <w:tc>
          <w:tcPr>
            <w:tcW w:w="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4"/>
          </w:tcPr>
          <w:p>
            <w:pPr>
              <w:ind w:left="360"/>
              <w:spacing w:after="0"/>
              <w:rPr>
                <w:sz w:val="20"/>
                <w:szCs w:val="20"/>
                <w:color w:val="auto"/>
              </w:rPr>
            </w:pPr>
            <w:r>
              <w:rPr>
                <w:rFonts w:ascii="Arial" w:cs="Arial" w:eastAsia="Arial" w:hAnsi="Arial"/>
                <w:sz w:val="18"/>
                <w:szCs w:val="18"/>
                <w:color w:val="auto"/>
              </w:rPr>
              <w:t>units) (j)</w:t>
            </w:r>
          </w:p>
        </w:tc>
        <w:tc>
          <w:tcPr>
            <w:tcW w:w="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22,917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5"/>
          </w:tcPr>
          <w:p>
            <w:pPr>
              <w:spacing w:after="0" w:line="201" w:lineRule="exact"/>
              <w:rPr>
                <w:sz w:val="20"/>
                <w:szCs w:val="20"/>
                <w:color w:val="auto"/>
              </w:rPr>
            </w:pPr>
            <w:r>
              <w:rPr>
                <w:rFonts w:ascii="Arial" w:cs="Arial" w:eastAsia="Arial" w:hAnsi="Arial"/>
                <w:sz w:val="18"/>
                <w:szCs w:val="18"/>
                <w:i w:val="1"/>
                <w:iCs w:val="1"/>
                <w:color w:val="auto"/>
                <w:w w:val="93"/>
              </w:rPr>
              <w:t>B&amp;B Roadway and Security Solutions,</w:t>
            </w:r>
          </w:p>
        </w:tc>
        <w:tc>
          <w:tcPr>
            <w:tcW w:w="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5"/>
          </w:tcPr>
          <w:p>
            <w:pPr>
              <w:ind w:left="160"/>
              <w:spacing w:after="0"/>
              <w:rPr>
                <w:sz w:val="20"/>
                <w:szCs w:val="20"/>
                <w:color w:val="auto"/>
              </w:rPr>
            </w:pPr>
            <w:r>
              <w:rPr>
                <w:rFonts w:ascii="Arial" w:cs="Arial" w:eastAsia="Arial" w:hAnsi="Arial"/>
                <w:sz w:val="18"/>
                <w:szCs w:val="18"/>
                <w:i w:val="1"/>
                <w:iCs w:val="1"/>
                <w:color w:val="auto"/>
              </w:rPr>
              <w:t>LLC</w:t>
            </w:r>
          </w:p>
        </w:tc>
        <w:tc>
          <w:tcPr>
            <w:tcW w:w="2700" w:type="dxa"/>
            <w:vAlign w:val="bottom"/>
            <w:gridSpan w:val="3"/>
          </w:tcPr>
          <w:p>
            <w:pPr>
              <w:ind w:left="40"/>
              <w:spacing w:after="0"/>
              <w:rPr>
                <w:sz w:val="20"/>
                <w:szCs w:val="20"/>
                <w:color w:val="auto"/>
              </w:rPr>
            </w:pPr>
            <w:r>
              <w:rPr>
                <w:rFonts w:ascii="Arial" w:cs="Arial" w:eastAsia="Arial" w:hAnsi="Arial"/>
                <w:sz w:val="18"/>
                <w:szCs w:val="18"/>
                <w:color w:val="auto"/>
              </w:rPr>
              <w:t>Component Manufacturing</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Second Lien Debt</w:t>
            </w: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10.50%/3.50%</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8/27/2023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Common Equity (50,000</w:t>
            </w:r>
          </w:p>
        </w:tc>
        <w:tc>
          <w:tcPr>
            <w:tcW w:w="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4"/>
          </w:tcPr>
          <w:p>
            <w:pPr>
              <w:ind w:left="360"/>
              <w:spacing w:after="0"/>
              <w:rPr>
                <w:sz w:val="20"/>
                <w:szCs w:val="20"/>
                <w:color w:val="auto"/>
              </w:rPr>
            </w:pPr>
            <w:r>
              <w:rPr>
                <w:rFonts w:ascii="Arial" w:cs="Arial" w:eastAsia="Arial" w:hAnsi="Arial"/>
                <w:sz w:val="18"/>
                <w:szCs w:val="18"/>
                <w:color w:val="auto"/>
              </w:rPr>
              <w:t>units) (h)(j)</w:t>
            </w:r>
          </w:p>
        </w:tc>
        <w:tc>
          <w:tcPr>
            <w:tcW w:w="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Arial" w:cs="Arial" w:eastAsia="Arial" w:hAnsi="Arial"/>
                <w:sz w:val="18"/>
                <w:szCs w:val="18"/>
                <w:i w:val="1"/>
                <w:iCs w:val="1"/>
                <w:color w:val="auto"/>
              </w:rPr>
              <w:t>BCC Group Holdings, Inc.</w:t>
            </w:r>
          </w:p>
        </w:tc>
        <w:tc>
          <w:tcPr>
            <w:tcW w:w="2700" w:type="dxa"/>
            <w:vAlign w:val="bottom"/>
            <w:gridSpan w:val="3"/>
          </w:tcPr>
          <w:p>
            <w:pPr>
              <w:ind w:left="40"/>
              <w:spacing w:after="0"/>
              <w:rPr>
                <w:sz w:val="20"/>
                <w:szCs w:val="20"/>
                <w:color w:val="auto"/>
              </w:rPr>
            </w:pPr>
            <w:r>
              <w:rPr>
                <w:rFonts w:ascii="Arial" w:cs="Arial" w:eastAsia="Arial" w:hAnsi="Arial"/>
                <w:sz w:val="18"/>
                <w:szCs w:val="18"/>
                <w:color w:val="auto"/>
              </w:rPr>
              <w:t>Information Technology Services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Subordinated Debt</w:t>
            </w: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11.00%/1.00%</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4/11/2023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4"/>
          </w:tcPr>
          <w:p>
            <w:pPr>
              <w:ind w:left="180"/>
              <w:spacing w:after="0"/>
              <w:rPr>
                <w:sz w:val="20"/>
                <w:szCs w:val="20"/>
                <w:color w:val="auto"/>
              </w:rPr>
            </w:pPr>
            <w:r>
              <w:rPr>
                <w:rFonts w:ascii="Arial" w:cs="Arial" w:eastAsia="Arial" w:hAnsi="Arial"/>
                <w:sz w:val="18"/>
                <w:szCs w:val="18"/>
                <w:color w:val="auto"/>
              </w:rPr>
              <w:t>Common Equity (451 shares)</w:t>
            </w: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Preferred Equity (37 shares)</w:t>
            </w: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BCM One Group Holdings, Inc.</w:t>
            </w:r>
          </w:p>
        </w:tc>
        <w:tc>
          <w:tcPr>
            <w:tcW w:w="2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Information Technology Services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4"/>
          </w:tcPr>
          <w:p>
            <w:pPr>
              <w:ind w:left="180"/>
              <w:spacing w:after="0"/>
              <w:rPr>
                <w:sz w:val="20"/>
                <w:szCs w:val="20"/>
                <w:color w:val="auto"/>
              </w:rPr>
            </w:pPr>
            <w:r>
              <w:rPr>
                <w:rFonts w:ascii="Arial" w:cs="Arial" w:eastAsia="Arial" w:hAnsi="Arial"/>
                <w:sz w:val="18"/>
                <w:szCs w:val="18"/>
                <w:color w:val="auto"/>
              </w:rPr>
              <w:t>Subordinated Debt (k)</w:t>
            </w: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11.00%/0.00%</w:t>
            </w:r>
          </w:p>
        </w:tc>
        <w:tc>
          <w:tcPr>
            <w:tcW w:w="880" w:type="dxa"/>
            <w:vAlign w:val="bottom"/>
          </w:tcPr>
          <w:p>
            <w:pPr>
              <w:ind w:left="60"/>
              <w:spacing w:after="0"/>
              <w:rPr>
                <w:sz w:val="20"/>
                <w:szCs w:val="20"/>
                <w:color w:val="auto"/>
              </w:rPr>
            </w:pPr>
            <w:r>
              <w:rPr>
                <w:rFonts w:ascii="Arial" w:cs="Arial" w:eastAsia="Arial" w:hAnsi="Arial"/>
                <w:sz w:val="18"/>
                <w:szCs w:val="18"/>
                <w:color w:val="auto"/>
              </w:rPr>
              <w:t>7/3/2024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26,876</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26,876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Common Equity (2,286 shares)</w:t>
            </w: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4"/>
          </w:tcPr>
          <w:p>
            <w:pPr>
              <w:ind w:left="180"/>
              <w:spacing w:after="0"/>
              <w:rPr>
                <w:sz w:val="20"/>
                <w:szCs w:val="20"/>
                <w:color w:val="auto"/>
              </w:rPr>
            </w:pPr>
            <w:r>
              <w:rPr>
                <w:rFonts w:ascii="Arial" w:cs="Arial" w:eastAsia="Arial" w:hAnsi="Arial"/>
                <w:sz w:val="18"/>
                <w:szCs w:val="18"/>
                <w:color w:val="auto"/>
              </w:rPr>
              <w:t>Preferred Equity (133 shares)</w:t>
            </w:r>
          </w:p>
        </w:tc>
        <w:tc>
          <w:tcPr>
            <w:tcW w:w="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28,208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28,208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Arial" w:cs="Arial" w:eastAsia="Arial" w:hAnsi="Arial"/>
                <w:sz w:val="18"/>
                <w:szCs w:val="18"/>
                <w:i w:val="1"/>
                <w:iCs w:val="1"/>
                <w:color w:val="auto"/>
              </w:rPr>
              <w:t>Bedford Precision Parts LLC</w:t>
            </w:r>
          </w:p>
        </w:tc>
        <w:tc>
          <w:tcPr>
            <w:tcW w:w="2700" w:type="dxa"/>
            <w:vAlign w:val="bottom"/>
            <w:gridSpan w:val="3"/>
          </w:tcPr>
          <w:p>
            <w:pPr>
              <w:ind w:left="40"/>
              <w:spacing w:after="0"/>
              <w:rPr>
                <w:sz w:val="20"/>
                <w:szCs w:val="20"/>
                <w:color w:val="auto"/>
              </w:rPr>
            </w:pPr>
            <w:r>
              <w:rPr>
                <w:rFonts w:ascii="Arial" w:cs="Arial" w:eastAsia="Arial" w:hAnsi="Arial"/>
                <w:sz w:val="18"/>
                <w:szCs w:val="18"/>
                <w:color w:val="auto"/>
              </w:rPr>
              <w:t>Specialty Distribution</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First Lien Debt (j)(s)</w:t>
            </w: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8.69%/0.00%</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3/12/2024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Common Equity (500,000</w:t>
            </w:r>
          </w:p>
        </w:tc>
        <w:tc>
          <w:tcPr>
            <w:tcW w:w="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4"/>
          </w:tcPr>
          <w:p>
            <w:pPr>
              <w:ind w:left="360"/>
              <w:spacing w:after="0"/>
              <w:rPr>
                <w:sz w:val="20"/>
                <w:szCs w:val="20"/>
                <w:color w:val="auto"/>
              </w:rPr>
            </w:pPr>
            <w:r>
              <w:rPr>
                <w:rFonts w:ascii="Arial" w:cs="Arial" w:eastAsia="Arial" w:hAnsi="Arial"/>
                <w:sz w:val="18"/>
                <w:szCs w:val="18"/>
                <w:color w:val="auto"/>
              </w:rPr>
              <w:t>units) (h)(j)</w:t>
            </w:r>
          </w:p>
        </w:tc>
        <w:tc>
          <w:tcPr>
            <w:tcW w:w="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5"/>
          </w:tcPr>
          <w:p>
            <w:pPr>
              <w:spacing w:after="0" w:line="201" w:lineRule="exact"/>
              <w:rPr>
                <w:sz w:val="20"/>
                <w:szCs w:val="20"/>
                <w:color w:val="auto"/>
              </w:rPr>
            </w:pPr>
            <w:r>
              <w:rPr>
                <w:rFonts w:ascii="Arial" w:cs="Arial" w:eastAsia="Arial" w:hAnsi="Arial"/>
                <w:sz w:val="18"/>
                <w:szCs w:val="18"/>
                <w:i w:val="1"/>
                <w:iCs w:val="1"/>
                <w:color w:val="auto"/>
              </w:rPr>
              <w:t>Cardboard Box LLC (dba Anthony’s</w:t>
            </w:r>
          </w:p>
        </w:tc>
        <w:tc>
          <w:tcPr>
            <w:tcW w:w="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5"/>
          </w:tcPr>
          <w:p>
            <w:pPr>
              <w:ind w:left="160"/>
              <w:spacing w:after="0"/>
              <w:rPr>
                <w:sz w:val="20"/>
                <w:szCs w:val="20"/>
                <w:color w:val="auto"/>
              </w:rPr>
            </w:pPr>
            <w:r>
              <w:rPr>
                <w:rFonts w:ascii="Arial" w:cs="Arial" w:eastAsia="Arial" w:hAnsi="Arial"/>
                <w:sz w:val="18"/>
                <w:szCs w:val="18"/>
                <w:i w:val="1"/>
                <w:iCs w:val="1"/>
                <w:color w:val="auto"/>
              </w:rPr>
              <w:t>Coal Fired Pizza)</w:t>
            </w:r>
          </w:p>
        </w:tc>
        <w:tc>
          <w:tcPr>
            <w:tcW w:w="2700" w:type="dxa"/>
            <w:vAlign w:val="bottom"/>
            <w:gridSpan w:val="3"/>
          </w:tcPr>
          <w:p>
            <w:pPr>
              <w:ind w:left="40"/>
              <w:spacing w:after="0"/>
              <w:rPr>
                <w:sz w:val="20"/>
                <w:szCs w:val="20"/>
                <w:color w:val="auto"/>
              </w:rPr>
            </w:pPr>
            <w:r>
              <w:rPr>
                <w:rFonts w:ascii="Arial" w:cs="Arial" w:eastAsia="Arial" w:hAnsi="Arial"/>
                <w:sz w:val="18"/>
                <w:szCs w:val="18"/>
                <w:color w:val="auto"/>
              </w:rPr>
              <w:t>Restaurants</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72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Common Equity (521,021 units)</w:t>
            </w:r>
          </w:p>
        </w:tc>
        <w:tc>
          <w:tcPr>
            <w:tcW w:w="6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7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(j)</w:t>
            </w:r>
          </w:p>
        </w:tc>
        <w:tc>
          <w:tcPr>
            <w:tcW w:w="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4"/>
        </w:trPr>
        <w:tc>
          <w:tcPr>
            <w:tcW w:w="2900" w:type="dxa"/>
            <w:vAlign w:val="bottom"/>
            <w:gridSpan w:val="6"/>
          </w:tcPr>
          <w:p>
            <w:pPr>
              <w:spacing w:after="0"/>
              <w:rPr>
                <w:sz w:val="20"/>
                <w:szCs w:val="20"/>
                <w:color w:val="auto"/>
              </w:rPr>
            </w:pPr>
            <w:r>
              <w:rPr>
                <w:rFonts w:ascii="Arial" w:cs="Arial" w:eastAsia="Arial" w:hAnsi="Arial"/>
                <w:sz w:val="18"/>
                <w:szCs w:val="18"/>
                <w:i w:val="1"/>
                <w:iCs w:val="1"/>
                <w:color w:val="auto"/>
              </w:rPr>
              <w:t>ControlScan, Inc.</w:t>
            </w:r>
          </w:p>
        </w:tc>
        <w:tc>
          <w:tcPr>
            <w:tcW w:w="2700" w:type="dxa"/>
            <w:vAlign w:val="bottom"/>
            <w:gridSpan w:val="3"/>
          </w:tcPr>
          <w:p>
            <w:pPr>
              <w:ind w:left="40"/>
              <w:spacing w:after="0"/>
              <w:rPr>
                <w:sz w:val="20"/>
                <w:szCs w:val="20"/>
                <w:color w:val="auto"/>
              </w:rPr>
            </w:pPr>
            <w:r>
              <w:rPr>
                <w:rFonts w:ascii="Arial" w:cs="Arial" w:eastAsia="Arial" w:hAnsi="Arial"/>
                <w:sz w:val="18"/>
                <w:szCs w:val="18"/>
                <w:color w:val="auto"/>
              </w:rPr>
              <w:t>Information Technology Services</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Subordinated Debt (j)</w:t>
            </w: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11.00%/0.00%</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1/28/2023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4"/>
          </w:tcPr>
          <w:p>
            <w:pPr>
              <w:ind w:left="180"/>
              <w:spacing w:after="0"/>
              <w:rPr>
                <w:sz w:val="20"/>
                <w:szCs w:val="20"/>
                <w:color w:val="auto"/>
              </w:rPr>
            </w:pPr>
            <w:r>
              <w:rPr>
                <w:rFonts w:ascii="Arial" w:cs="Arial" w:eastAsia="Arial" w:hAnsi="Arial"/>
                <w:sz w:val="18"/>
                <w:szCs w:val="18"/>
                <w:color w:val="auto"/>
                <w:w w:val="93"/>
              </w:rPr>
              <w:t>Common Equity (3,704 shares) (j)</w:t>
            </w: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8"/>
              </w:rPr>
              <w:t>Preferred Equity (100 shares) (j)</w:t>
            </w: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CRS Solutions Holdings, LLC (dba</w:t>
            </w:r>
          </w:p>
        </w:tc>
        <w:tc>
          <w:tcPr>
            <w:tcW w:w="6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5"/>
            <w:shd w:val="clear" w:color="auto" w:fill="CCEEFF"/>
          </w:tcPr>
          <w:p>
            <w:pPr>
              <w:ind w:left="160"/>
              <w:spacing w:after="0"/>
              <w:rPr>
                <w:sz w:val="20"/>
                <w:szCs w:val="20"/>
                <w:color w:val="auto"/>
              </w:rPr>
            </w:pPr>
            <w:r>
              <w:rPr>
                <w:rFonts w:ascii="Arial" w:cs="Arial" w:eastAsia="Arial" w:hAnsi="Arial"/>
                <w:sz w:val="18"/>
                <w:szCs w:val="18"/>
                <w:i w:val="1"/>
                <w:iCs w:val="1"/>
                <w:color w:val="auto"/>
              </w:rPr>
              <w:t>CRS Texas)</w:t>
            </w:r>
          </w:p>
        </w:tc>
        <w:tc>
          <w:tcPr>
            <w:tcW w:w="2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Business Services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Second Lien Debt</w:t>
            </w:r>
          </w:p>
        </w:tc>
        <w:tc>
          <w:tcPr>
            <w:tcW w:w="3960" w:type="dxa"/>
            <w:vAlign w:val="bottom"/>
          </w:tcPr>
          <w:p>
            <w:pPr>
              <w:jc w:val="right"/>
              <w:ind w:right="10"/>
              <w:spacing w:after="0"/>
              <w:rPr>
                <w:sz w:val="20"/>
                <w:szCs w:val="20"/>
                <w:color w:val="auto"/>
              </w:rPr>
            </w:pPr>
            <w:r>
              <w:rPr>
                <w:rFonts w:ascii="Arial" w:cs="Arial" w:eastAsia="Arial" w:hAnsi="Arial"/>
                <w:sz w:val="18"/>
                <w:szCs w:val="18"/>
                <w:color w:val="auto"/>
              </w:rPr>
              <w:t>10.50%/1.00%</w:t>
            </w:r>
          </w:p>
        </w:tc>
        <w:tc>
          <w:tcPr>
            <w:tcW w:w="1000" w:type="dxa"/>
            <w:vAlign w:val="bottom"/>
          </w:tcPr>
          <w:p>
            <w:pPr>
              <w:ind w:left="100"/>
              <w:spacing w:after="0"/>
              <w:rPr>
                <w:sz w:val="20"/>
                <w:szCs w:val="20"/>
                <w:color w:val="auto"/>
              </w:rPr>
            </w:pPr>
            <w:r>
              <w:rPr>
                <w:rFonts w:ascii="Arial" w:cs="Arial" w:eastAsia="Arial" w:hAnsi="Arial"/>
                <w:sz w:val="18"/>
                <w:szCs w:val="18"/>
                <w:color w:val="auto"/>
              </w:rPr>
              <w:t>9/14/2023</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9,119</w:t>
            </w:r>
          </w:p>
        </w:tc>
        <w:tc>
          <w:tcPr>
            <w:tcW w:w="580" w:type="dxa"/>
            <w:vAlign w:val="bottom"/>
          </w:tcPr>
          <w:p>
            <w:pPr>
              <w:jc w:val="right"/>
              <w:spacing w:after="0"/>
              <w:rPr>
                <w:sz w:val="20"/>
                <w:szCs w:val="20"/>
                <w:color w:val="auto"/>
              </w:rPr>
            </w:pPr>
            <w:r>
              <w:rPr>
                <w:rFonts w:ascii="Arial" w:cs="Arial" w:eastAsia="Arial" w:hAnsi="Arial"/>
                <w:sz w:val="18"/>
                <w:szCs w:val="18"/>
                <w:color w:val="auto"/>
              </w:rPr>
              <w:t>9,085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9,119</w:t>
            </w:r>
          </w:p>
        </w:tc>
        <w:tc>
          <w:tcPr>
            <w:tcW w:w="10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Common Equity (750,000 units)</w:t>
            </w:r>
          </w:p>
        </w:tc>
        <w:tc>
          <w:tcPr>
            <w:tcW w:w="3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(j)</w:t>
            </w:r>
          </w:p>
        </w:tc>
        <w:tc>
          <w:tcPr>
            <w:tcW w:w="39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9,835</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10,009</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Diversified Search LLC</w:t>
            </w:r>
          </w:p>
        </w:tc>
        <w:tc>
          <w:tcPr>
            <w:tcW w:w="3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Business Services</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First Lien Debt (k)(r)</w:t>
            </w:r>
          </w:p>
        </w:tc>
        <w:tc>
          <w:tcPr>
            <w:tcW w:w="3960" w:type="dxa"/>
            <w:vAlign w:val="bottom"/>
          </w:tcPr>
          <w:p>
            <w:pPr>
              <w:jc w:val="right"/>
              <w:ind w:right="10"/>
              <w:spacing w:after="0"/>
              <w:rPr>
                <w:sz w:val="20"/>
                <w:szCs w:val="20"/>
                <w:color w:val="auto"/>
              </w:rPr>
            </w:pPr>
            <w:r>
              <w:rPr>
                <w:rFonts w:ascii="Arial" w:cs="Arial" w:eastAsia="Arial" w:hAnsi="Arial"/>
                <w:sz w:val="18"/>
                <w:szCs w:val="18"/>
                <w:color w:val="auto"/>
              </w:rPr>
              <w:t>8.32%/0.00%</w:t>
            </w:r>
          </w:p>
        </w:tc>
        <w:tc>
          <w:tcPr>
            <w:tcW w:w="1000" w:type="dxa"/>
            <w:vAlign w:val="bottom"/>
          </w:tcPr>
          <w:p>
            <w:pPr>
              <w:ind w:left="100"/>
              <w:spacing w:after="0"/>
              <w:rPr>
                <w:sz w:val="20"/>
                <w:szCs w:val="20"/>
                <w:color w:val="auto"/>
              </w:rPr>
            </w:pPr>
            <w:r>
              <w:rPr>
                <w:rFonts w:ascii="Arial" w:cs="Arial" w:eastAsia="Arial" w:hAnsi="Arial"/>
                <w:sz w:val="18"/>
                <w:szCs w:val="18"/>
                <w:color w:val="auto"/>
              </w:rPr>
              <w:t>2/7/2024</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11,800</w:t>
            </w:r>
          </w:p>
        </w:tc>
        <w:tc>
          <w:tcPr>
            <w:tcW w:w="580" w:type="dxa"/>
            <w:vAlign w:val="bottom"/>
          </w:tcPr>
          <w:p>
            <w:pPr>
              <w:jc w:val="right"/>
              <w:spacing w:after="0"/>
              <w:rPr>
                <w:sz w:val="20"/>
                <w:szCs w:val="20"/>
                <w:color w:val="auto"/>
              </w:rPr>
            </w:pPr>
            <w:r>
              <w:rPr>
                <w:rFonts w:ascii="Arial" w:cs="Arial" w:eastAsia="Arial" w:hAnsi="Arial"/>
                <w:sz w:val="18"/>
                <w:szCs w:val="18"/>
                <w:color w:val="auto"/>
              </w:rPr>
              <w:t>11,591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11,591</w:t>
            </w: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Common Equity (573 units) (h)(j)</w:t>
            </w:r>
          </w:p>
        </w:tc>
        <w:tc>
          <w:tcPr>
            <w:tcW w:w="3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12,184</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12,184</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EBL, LLC (EbLens)</w:t>
            </w:r>
          </w:p>
        </w:tc>
        <w:tc>
          <w:tcPr>
            <w:tcW w:w="3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Retail</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Second Lien Debt (j)</w:t>
            </w:r>
          </w:p>
        </w:tc>
        <w:tc>
          <w:tcPr>
            <w:tcW w:w="3960" w:type="dxa"/>
            <w:vAlign w:val="bottom"/>
          </w:tcPr>
          <w:p>
            <w:pPr>
              <w:jc w:val="right"/>
              <w:ind w:right="10"/>
              <w:spacing w:after="0"/>
              <w:rPr>
                <w:sz w:val="20"/>
                <w:szCs w:val="20"/>
                <w:color w:val="auto"/>
              </w:rPr>
            </w:pPr>
            <w:r>
              <w:rPr>
                <w:rFonts w:ascii="Arial" w:cs="Arial" w:eastAsia="Arial" w:hAnsi="Arial"/>
                <w:sz w:val="18"/>
                <w:szCs w:val="18"/>
                <w:color w:val="auto"/>
              </w:rPr>
              <w:t>12.00%/1.00%</w:t>
            </w:r>
          </w:p>
        </w:tc>
        <w:tc>
          <w:tcPr>
            <w:tcW w:w="1000" w:type="dxa"/>
            <w:vAlign w:val="bottom"/>
          </w:tcPr>
          <w:p>
            <w:pPr>
              <w:ind w:left="100"/>
              <w:spacing w:after="0"/>
              <w:rPr>
                <w:sz w:val="20"/>
                <w:szCs w:val="20"/>
                <w:color w:val="auto"/>
              </w:rPr>
            </w:pPr>
            <w:r>
              <w:rPr>
                <w:rFonts w:ascii="Arial" w:cs="Arial" w:eastAsia="Arial" w:hAnsi="Arial"/>
                <w:sz w:val="18"/>
                <w:szCs w:val="18"/>
                <w:color w:val="auto"/>
              </w:rPr>
              <w:t>1/13/2023</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9,436</w:t>
            </w:r>
          </w:p>
        </w:tc>
        <w:tc>
          <w:tcPr>
            <w:tcW w:w="580" w:type="dxa"/>
            <w:vAlign w:val="bottom"/>
          </w:tcPr>
          <w:p>
            <w:pPr>
              <w:jc w:val="right"/>
              <w:spacing w:after="0"/>
              <w:rPr>
                <w:sz w:val="20"/>
                <w:szCs w:val="20"/>
                <w:color w:val="auto"/>
              </w:rPr>
            </w:pPr>
            <w:r>
              <w:rPr>
                <w:rFonts w:ascii="Arial" w:cs="Arial" w:eastAsia="Arial" w:hAnsi="Arial"/>
                <w:sz w:val="18"/>
                <w:szCs w:val="18"/>
                <w:color w:val="auto"/>
              </w:rPr>
              <w:t>9,377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9,436</w:t>
            </w: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Common Equity (75,000 units) (j)</w:t>
            </w:r>
          </w:p>
        </w:tc>
        <w:tc>
          <w:tcPr>
            <w:tcW w:w="3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10,127</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10,086</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6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960" w:type="dxa"/>
            <w:vAlign w:val="bottom"/>
          </w:tcPr>
          <w:p>
            <w:pPr>
              <w:jc w:val="right"/>
              <w:ind w:right="1190"/>
              <w:spacing w:after="0"/>
              <w:rPr>
                <w:sz w:val="20"/>
                <w:szCs w:val="20"/>
                <w:color w:val="auto"/>
              </w:rPr>
            </w:pPr>
            <w:r>
              <w:rPr>
                <w:rFonts w:ascii="Arial" w:cs="Arial" w:eastAsia="Arial" w:hAnsi="Arial"/>
                <w:sz w:val="18"/>
                <w:szCs w:val="18"/>
                <w:color w:val="auto"/>
              </w:rPr>
              <w:t>8</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040"/>
          </w:cols>
          <w:pgMar w:left="440" w:top="125" w:right="419" w:bottom="1440" w:gutter="0" w:footer="0" w:header="0"/>
        </w:sectPr>
      </w:pPr>
    </w:p>
    <w:bookmarkStart w:id="10" w:name="page11"/>
    <w:bookmarkEnd w:id="1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(a)(b)</w:t>
            </w:r>
          </w:p>
        </w:tc>
        <w:tc>
          <w:tcPr>
            <w:tcW w:w="40" w:type="dxa"/>
            <w:vAlign w:val="bottom"/>
          </w:tcPr>
          <w:p>
            <w:pPr>
              <w:spacing w:after="0"/>
              <w:rPr>
                <w:sz w:val="14"/>
                <w:szCs w:val="14"/>
                <w:color w:val="auto"/>
              </w:rPr>
            </w:pPr>
          </w:p>
        </w:tc>
        <w:tc>
          <w:tcPr>
            <w:tcW w:w="28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Industry</w:t>
            </w: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Rate (d)</w:t>
            </w:r>
          </w:p>
        </w:tc>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82"/>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Investment Type (c)</w:t>
            </w:r>
          </w:p>
        </w:tc>
        <w:tc>
          <w:tcPr>
            <w:tcW w:w="40" w:type="dxa"/>
            <w:vAlign w:val="bottom"/>
          </w:tcPr>
          <w:p>
            <w:pPr>
              <w:spacing w:after="0"/>
              <w:rPr>
                <w:sz w:val="15"/>
                <w:szCs w:val="15"/>
                <w:color w:val="auto"/>
              </w:rPr>
            </w:pPr>
          </w:p>
        </w:tc>
        <w:tc>
          <w:tcPr>
            <w:tcW w:w="2800" w:type="dxa"/>
            <w:vAlign w:val="bottom"/>
            <w:gridSpan w:val="2"/>
            <w:vMerge w:val="continue"/>
          </w:tcPr>
          <w:p>
            <w:pPr>
              <w:spacing w:after="0"/>
              <w:rPr>
                <w:sz w:val="15"/>
                <w:szCs w:val="15"/>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Cash/PIK</w:t>
            </w: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Value (e)</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i w:val="1"/>
                <w:iCs w:val="1"/>
                <w:color w:val="auto"/>
                <w:w w:val="93"/>
              </w:rPr>
              <w:t>French Transit, LLC</w:t>
            </w:r>
          </w:p>
        </w:tc>
        <w:tc>
          <w:tcPr>
            <w:tcW w:w="1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Consumer Products</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First Lien Debt (j)(aa)</w:t>
            </w: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11.39%/0.00%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6/21/2024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$ 8,000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$ 7,960</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$ 7,960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Revolving Loan ($500</w:t>
            </w:r>
          </w:p>
        </w:tc>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commitment) (j)(u)(aa)</w:t>
            </w:r>
          </w:p>
        </w:tc>
        <w:tc>
          <w:tcPr>
            <w:tcW w:w="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11.39%/0.00%</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6/21/2024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Global Plasma Solutions, Inc.</w:t>
            </w: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Component Manufacturing</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First Lien Debt (j)(v)</w:t>
            </w: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7.60%/0.00%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9/21/2023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7,452</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7,518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2"/>
              </w:rPr>
              <w:t>Preferred Equity (947 shares) (j)</w:t>
            </w: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w w:val="93"/>
              </w:rPr>
              <w:t>Common Equity (947 shares) (j)</w:t>
            </w:r>
          </w:p>
        </w:tc>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i w:val="1"/>
                <w:iCs w:val="1"/>
                <w:color w:val="auto"/>
              </w:rPr>
              <w:t>Gurobi Optimization, LLC</w:t>
            </w:r>
          </w:p>
        </w:tc>
        <w:tc>
          <w:tcPr>
            <w:tcW w:w="2840" w:type="dxa"/>
            <w:vAlign w:val="bottom"/>
            <w:gridSpan w:val="3"/>
          </w:tcPr>
          <w:p>
            <w:pPr>
              <w:ind w:left="40"/>
              <w:spacing w:after="0"/>
              <w:rPr>
                <w:sz w:val="20"/>
                <w:szCs w:val="20"/>
                <w:color w:val="auto"/>
              </w:rPr>
            </w:pPr>
            <w:r>
              <w:rPr>
                <w:rFonts w:ascii="Arial" w:cs="Arial" w:eastAsia="Arial" w:hAnsi="Arial"/>
                <w:sz w:val="18"/>
                <w:szCs w:val="18"/>
                <w:color w:val="auto"/>
              </w:rPr>
              <w:t>Information Technology Services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Equity (5 shares)</w:t>
            </w: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2760" w:type="dxa"/>
            <w:vAlign w:val="bottom"/>
            <w:gridSpan w:val="3"/>
          </w:tcPr>
          <w:p>
            <w:pPr>
              <w:spacing w:after="0"/>
              <w:rPr>
                <w:sz w:val="20"/>
                <w:szCs w:val="20"/>
                <w:color w:val="auto"/>
              </w:rPr>
            </w:pPr>
            <w:r>
              <w:rPr>
                <w:rFonts w:ascii="Arial" w:cs="Arial" w:eastAsia="Arial" w:hAnsi="Arial"/>
                <w:sz w:val="18"/>
                <w:szCs w:val="18"/>
                <w:i w:val="1"/>
                <w:iCs w:val="1"/>
                <w:color w:val="auto"/>
              </w:rPr>
              <w:t>Hilco Plastics Holdings, LLC (dba</w:t>
            </w:r>
          </w:p>
        </w:tc>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i w:val="1"/>
                <w:iCs w:val="1"/>
                <w:color w:val="auto"/>
              </w:rPr>
              <w:t>Hilco Technologies)</w:t>
            </w:r>
          </w:p>
        </w:tc>
        <w:tc>
          <w:tcPr>
            <w:tcW w:w="2840" w:type="dxa"/>
            <w:vAlign w:val="bottom"/>
            <w:gridSpan w:val="3"/>
          </w:tcPr>
          <w:p>
            <w:pPr>
              <w:ind w:left="40"/>
              <w:spacing w:after="0"/>
              <w:rPr>
                <w:sz w:val="20"/>
                <w:szCs w:val="20"/>
                <w:color w:val="auto"/>
              </w:rPr>
            </w:pPr>
            <w:r>
              <w:rPr>
                <w:rFonts w:ascii="Arial" w:cs="Arial" w:eastAsia="Arial" w:hAnsi="Arial"/>
                <w:sz w:val="18"/>
                <w:szCs w:val="18"/>
                <w:color w:val="auto"/>
              </w:rPr>
              <w:t>Component Manufacturing</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Second Lien Debt</w:t>
            </w: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11.50%/1.50%</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12/31/2019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Preferred Equity (1,000,000</w:t>
            </w:r>
          </w:p>
        </w:tc>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520"/>
              <w:spacing w:after="0"/>
              <w:rPr>
                <w:sz w:val="20"/>
                <w:szCs w:val="20"/>
                <w:color w:val="auto"/>
              </w:rPr>
            </w:pPr>
            <w:r>
              <w:rPr>
                <w:rFonts w:ascii="Arial" w:cs="Arial" w:eastAsia="Arial" w:hAnsi="Arial"/>
                <w:sz w:val="18"/>
                <w:szCs w:val="18"/>
                <w:color w:val="auto"/>
              </w:rPr>
              <w:t>units) (h)(j)</w:t>
            </w:r>
          </w:p>
        </w:tc>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(72,507</w:t>
            </w:r>
          </w:p>
        </w:tc>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units) (h)(j)</w:t>
            </w:r>
          </w:p>
        </w:tc>
        <w:tc>
          <w:tcPr>
            <w:tcW w:w="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Hoonuit, LLC</w:t>
            </w: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Information Technology Services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First Lien Debt (ab)</w:t>
            </w: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11.72%/0.00%</w:t>
            </w:r>
          </w:p>
        </w:tc>
        <w:tc>
          <w:tcPr>
            <w:tcW w:w="880" w:type="dxa"/>
            <w:vAlign w:val="bottom"/>
          </w:tcPr>
          <w:p>
            <w:pPr>
              <w:ind w:left="60"/>
              <w:spacing w:after="0"/>
              <w:rPr>
                <w:sz w:val="20"/>
                <w:szCs w:val="20"/>
                <w:color w:val="auto"/>
              </w:rPr>
            </w:pPr>
            <w:r>
              <w:rPr>
                <w:rFonts w:ascii="Arial" w:cs="Arial" w:eastAsia="Arial" w:hAnsi="Arial"/>
                <w:sz w:val="18"/>
                <w:szCs w:val="18"/>
                <w:color w:val="auto"/>
              </w:rPr>
              <w:t>6/7/2024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7,165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7,130</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7,130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Preferred Equity (610 units) (h)</w:t>
            </w:r>
          </w:p>
        </w:tc>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(j)</w:t>
            </w:r>
          </w:p>
        </w:tc>
        <w:tc>
          <w:tcPr>
            <w:tcW w:w="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1/1/2022</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5"/>
              </w:rPr>
              <w:t>Hub Acquisition Sub, LLC (dba Hub</w:t>
            </w:r>
          </w:p>
        </w:tc>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Pen)</w:t>
            </w: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Promotional products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Second Lien Debt (k)</w:t>
            </w: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12.25%/0.00%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9/23/2021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24,932</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Equity (7,500 units)</w:t>
            </w: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26,440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98"/>
              </w:rPr>
              <w:t>Hunter Defense Technologies, Inc.</w:t>
            </w: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4"/>
              </w:rPr>
              <w:t>Aerospace &amp; Defense Manufacturing</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First Lien Debt (j)(w)</w:t>
            </w:r>
          </w:p>
        </w:tc>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9.33%/0.00%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3/29/2023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9,620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9,537</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9,620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IBH Holdings, LLC (fka Inflexxion,</w:t>
            </w:r>
          </w:p>
        </w:tc>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Inc.)</w:t>
            </w: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Business Services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w w:val="94"/>
              </w:rPr>
              <w:t>Common Equity (150,000 units)</w:t>
            </w:r>
          </w:p>
        </w:tc>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inthinc Technology Solutions, Inc.</w:t>
            </w:r>
          </w:p>
        </w:tc>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(n)</w:t>
            </w: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Information Technology Services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Royalty Rights</w:t>
            </w:r>
          </w:p>
        </w:tc>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w w:val="99"/>
              </w:rPr>
              <w:t>4/24/2020</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9"/>
              </w:rPr>
              <w:t>K2 Merger Agreement Agent, LLC</w:t>
            </w:r>
          </w:p>
        </w:tc>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(fka K2 Industrial Services, Inc.)</w:t>
            </w: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(n)</w:t>
            </w: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Industrial Cleaning &amp; Coatings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Second Lien Debt</w:t>
            </w:r>
          </w:p>
        </w:tc>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0.00%/10.00%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1/28/2021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2,566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2,566</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2,566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The Kyjen Company, LLC (dba</w:t>
            </w:r>
          </w:p>
        </w:tc>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Outward Hound)</w:t>
            </w: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Consumer Products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Second Lien Debt (k)</w:t>
            </w: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12.00%/0.00%</w:t>
            </w:r>
          </w:p>
        </w:tc>
        <w:tc>
          <w:tcPr>
            <w:tcW w:w="880" w:type="dxa"/>
            <w:vAlign w:val="bottom"/>
          </w:tcPr>
          <w:p>
            <w:pPr>
              <w:ind w:left="60"/>
              <w:spacing w:after="0"/>
              <w:rPr>
                <w:sz w:val="20"/>
                <w:szCs w:val="20"/>
                <w:color w:val="auto"/>
              </w:rPr>
            </w:pPr>
            <w:r>
              <w:rPr>
                <w:rFonts w:ascii="Arial" w:cs="Arial" w:eastAsia="Arial" w:hAnsi="Arial"/>
                <w:sz w:val="18"/>
                <w:szCs w:val="18"/>
                <w:color w:val="auto"/>
              </w:rPr>
              <w:t>6/8/2024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14,942</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14,309</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Common Equity (765 shares) (j)</w:t>
            </w: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15,052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LNG Indy, LLC (dba Kinetrex</w:t>
            </w:r>
          </w:p>
        </w:tc>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Energy)</w:t>
            </w: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Oil &amp; Gas Distribution</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Second Lien Debt (k)</w:t>
            </w: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11.50%/0.00%</w:t>
            </w:r>
          </w:p>
        </w:tc>
        <w:tc>
          <w:tcPr>
            <w:tcW w:w="880" w:type="dxa"/>
            <w:vAlign w:val="bottom"/>
          </w:tcPr>
          <w:p>
            <w:pPr>
              <w:ind w:left="60"/>
              <w:spacing w:after="0"/>
              <w:rPr>
                <w:sz w:val="20"/>
                <w:szCs w:val="20"/>
                <w:color w:val="auto"/>
              </w:rPr>
            </w:pPr>
            <w:r>
              <w:rPr>
                <w:rFonts w:ascii="Arial" w:cs="Arial" w:eastAsia="Arial" w:hAnsi="Arial"/>
                <w:sz w:val="18"/>
                <w:szCs w:val="18"/>
                <w:color w:val="auto"/>
                <w:w w:val="88"/>
              </w:rPr>
              <w:t>11/12/2021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4,988</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Equity (1,000 units)</w:t>
            </w: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Marco Group International OpCo,</w:t>
            </w:r>
          </w:p>
        </w:tc>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LLC</w:t>
            </w: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Industrial Cleaning &amp; Coatings</w:t>
            </w: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Second Lien Debt</w:t>
            </w: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10.50%/0.75%</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1/21/2023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12,179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12,140</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12,179</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(960,482</w:t>
            </w:r>
          </w:p>
        </w:tc>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units) (h)(j)</w:t>
            </w:r>
          </w:p>
        </w:tc>
        <w:tc>
          <w:tcPr>
            <w:tcW w:w="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Mesa Line Services, LLC</w:t>
            </w: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Utilities: Services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Second Lien Debt (j)</w:t>
            </w: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10.50%/1.00%</w:t>
            </w:r>
          </w:p>
        </w:tc>
        <w:tc>
          <w:tcPr>
            <w:tcW w:w="880" w:type="dxa"/>
            <w:vAlign w:val="bottom"/>
          </w:tcPr>
          <w:p>
            <w:pPr>
              <w:ind w:left="60"/>
              <w:spacing w:after="0"/>
              <w:rPr>
                <w:sz w:val="20"/>
                <w:szCs w:val="20"/>
                <w:color w:val="auto"/>
              </w:rPr>
            </w:pPr>
            <w:r>
              <w:rPr>
                <w:rFonts w:ascii="Arial" w:cs="Arial" w:eastAsia="Arial" w:hAnsi="Arial"/>
                <w:sz w:val="18"/>
                <w:szCs w:val="18"/>
                <w:color w:val="auto"/>
              </w:rPr>
              <w:t>8/1/2024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17,089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16,992</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17,089</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Delayed Draw Commitment</w:t>
            </w:r>
          </w:p>
        </w:tc>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($2,160 commitment) (i)(j)</w:t>
            </w:r>
          </w:p>
        </w:tc>
        <w:tc>
          <w:tcPr>
            <w:tcW w:w="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10.50%/1.00%</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12/31/2019</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w w:val="93"/>
              </w:rPr>
              <w:t>Common Equity (833 shares) (j)</w:t>
            </w: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240" w:top="459" w:right="41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i w:val="1"/>
                <w:iCs w:val="1"/>
                <w:color w:val="auto"/>
              </w:rPr>
              <w:t>Midwest Transit Equipment, Inc.</w:t>
            </w:r>
          </w:p>
        </w:tc>
        <w:tc>
          <w:tcPr>
            <w:tcW w:w="6480" w:type="dxa"/>
            <w:vAlign w:val="bottom"/>
            <w:gridSpan w:val="2"/>
          </w:tcPr>
          <w:p>
            <w:pPr>
              <w:ind w:left="40"/>
              <w:spacing w:after="0"/>
              <w:rPr>
                <w:sz w:val="20"/>
                <w:szCs w:val="20"/>
                <w:color w:val="auto"/>
              </w:rPr>
            </w:pPr>
            <w:r>
              <w:rPr>
                <w:rFonts w:ascii="Arial" w:cs="Arial" w:eastAsia="Arial" w:hAnsi="Arial"/>
                <w:sz w:val="18"/>
                <w:szCs w:val="18"/>
                <w:color w:val="auto"/>
              </w:rPr>
              <w:t>Transportation services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Warrant (14,384 shares) (j)(m)</w:t>
            </w:r>
          </w:p>
        </w:tc>
        <w:tc>
          <w:tcPr>
            <w:tcW w:w="6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340"/>
              <w:spacing w:after="0" w:line="201" w:lineRule="exact"/>
              <w:rPr>
                <w:sz w:val="20"/>
                <w:szCs w:val="20"/>
                <w:color w:val="auto"/>
              </w:rPr>
            </w:pPr>
            <w:r>
              <w:rPr>
                <w:rFonts w:ascii="Arial" w:cs="Arial" w:eastAsia="Arial" w:hAnsi="Arial"/>
                <w:sz w:val="18"/>
                <w:szCs w:val="18"/>
                <w:color w:val="auto"/>
              </w:rPr>
              <w:t>Warrant (9.59% of Junior</w:t>
            </w:r>
          </w:p>
        </w:tc>
        <w:tc>
          <w:tcPr>
            <w:tcW w:w="5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740" w:type="dxa"/>
            <w:vAlign w:val="bottom"/>
          </w:tcPr>
          <w:p>
            <w:pPr>
              <w:ind w:left="520"/>
              <w:spacing w:after="0"/>
              <w:rPr>
                <w:sz w:val="20"/>
                <w:szCs w:val="20"/>
                <w:color w:val="auto"/>
              </w:rPr>
            </w:pPr>
            <w:r>
              <w:rPr>
                <w:rFonts w:ascii="Arial" w:cs="Arial" w:eastAsia="Arial" w:hAnsi="Arial"/>
                <w:sz w:val="18"/>
                <w:szCs w:val="18"/>
                <w:color w:val="auto"/>
              </w:rPr>
              <w:t>Subordinated Notes) (j)(q)</w:t>
            </w:r>
          </w:p>
        </w:tc>
        <w:tc>
          <w:tcPr>
            <w:tcW w:w="59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i w:val="1"/>
                <w:iCs w:val="1"/>
                <w:color w:val="auto"/>
              </w:rPr>
              <w:t>New Era Technology, Inc.</w:t>
            </w:r>
          </w:p>
        </w:tc>
        <w:tc>
          <w:tcPr>
            <w:tcW w:w="6480" w:type="dxa"/>
            <w:vAlign w:val="bottom"/>
            <w:gridSpan w:val="2"/>
          </w:tcPr>
          <w:p>
            <w:pPr>
              <w:ind w:left="40"/>
              <w:spacing w:after="0"/>
              <w:rPr>
                <w:sz w:val="20"/>
                <w:szCs w:val="20"/>
                <w:color w:val="auto"/>
              </w:rPr>
            </w:pPr>
            <w:r>
              <w:rPr>
                <w:rFonts w:ascii="Arial" w:cs="Arial" w:eastAsia="Arial" w:hAnsi="Arial"/>
                <w:sz w:val="18"/>
                <w:szCs w:val="18"/>
                <w:color w:val="auto"/>
              </w:rPr>
              <w:t>Information Technology Services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(197,369</w:t>
            </w:r>
          </w:p>
        </w:tc>
        <w:tc>
          <w:tcPr>
            <w:tcW w:w="5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(j)</w:t>
            </w:r>
          </w:p>
        </w:tc>
        <w:tc>
          <w:tcPr>
            <w:tcW w:w="6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w w:val="92"/>
              </w:rPr>
              <w:t>Preferred Equity (632 shares) (j)</w:t>
            </w:r>
          </w:p>
        </w:tc>
        <w:tc>
          <w:tcPr>
            <w:tcW w:w="59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36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900" w:type="dxa"/>
            <w:vAlign w:val="bottom"/>
          </w:tcPr>
          <w:p>
            <w:pPr>
              <w:jc w:val="right"/>
              <w:ind w:right="301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p>
    <w:p>
      <w:pPr>
        <w:sectPr>
          <w:pgSz w:w="11900" w:h="16838" w:orient="portrait"/>
          <w:cols w:equalWidth="0" w:num="1">
            <w:col w:w="11040"/>
          </w:cols>
          <w:pgMar w:left="440" w:top="153"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(a)(b)</w:t>
            </w:r>
          </w:p>
        </w:tc>
        <w:tc>
          <w:tcPr>
            <w:tcW w:w="60" w:type="dxa"/>
            <w:vAlign w:val="bottom"/>
          </w:tcPr>
          <w:p>
            <w:pPr>
              <w:spacing w:after="0"/>
              <w:rPr>
                <w:sz w:val="14"/>
                <w:szCs w:val="14"/>
                <w:color w:val="auto"/>
              </w:rPr>
            </w:pPr>
          </w:p>
        </w:tc>
        <w:tc>
          <w:tcPr>
            <w:tcW w:w="300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Industry</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Rate (d)</w:t>
            </w:r>
          </w:p>
        </w:tc>
        <w:tc>
          <w:tcPr>
            <w:tcW w:w="80" w:type="dxa"/>
            <w:vAlign w:val="bottom"/>
          </w:tcPr>
          <w:p>
            <w:pPr>
              <w:spacing w:after="0"/>
              <w:rPr>
                <w:sz w:val="14"/>
                <w:szCs w:val="14"/>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6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2"/>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Investment Type (c)</w:t>
            </w:r>
          </w:p>
        </w:tc>
        <w:tc>
          <w:tcPr>
            <w:tcW w:w="60" w:type="dxa"/>
            <w:vAlign w:val="bottom"/>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Cash/PIK</w:t>
            </w: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Value (e)</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CCEEFF"/>
            </w:tcBorders>
            <w:shd w:val="clear" w:color="auto" w:fill="000000"/>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NGT Acquisition Holdings, LLC</w:t>
            </w:r>
          </w:p>
        </w:tc>
        <w:tc>
          <w:tcPr>
            <w:tcW w:w="6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(dba Techniks Industries)</w:t>
            </w:r>
          </w:p>
        </w:tc>
        <w:tc>
          <w:tcPr>
            <w:tcW w:w="3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Component Manufacturing</w:t>
            </w: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Subordinated Debt</w:t>
            </w:r>
          </w:p>
        </w:tc>
        <w:tc>
          <w:tcPr>
            <w:tcW w:w="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12.50%/2.00%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3/21/2022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$ 5,331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$ 5,300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$ 5,331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Common Equity (378 units) (j)</w:t>
            </w:r>
          </w:p>
        </w:tc>
        <w:tc>
          <w:tcPr>
            <w:tcW w:w="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6"/>
              </w:rPr>
              <w:t>Oaktree Medical Centre, P.C. (dba</w:t>
            </w: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Pain Management Associates)</w:t>
            </w:r>
          </w:p>
        </w:tc>
        <w:tc>
          <w:tcPr>
            <w:tcW w:w="3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Healthcare Services</w:t>
            </w: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First Lien Debt (j)(p)</w:t>
            </w:r>
          </w:p>
        </w:tc>
        <w:tc>
          <w:tcPr>
            <w:tcW w:w="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11.50%/3.00%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5/31/2019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First Lien Debt (j)(p)</w:t>
            </w:r>
          </w:p>
        </w:tc>
        <w:tc>
          <w:tcPr>
            <w:tcW w:w="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7.00%/15.00%</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5/31/2019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Subordinated Debt (j)(p)</w:t>
            </w:r>
          </w:p>
        </w:tc>
        <w:tc>
          <w:tcPr>
            <w:tcW w:w="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7.00%/0.00%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1/1/2020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Revolving Loan (j)(p)</w:t>
            </w:r>
          </w:p>
        </w:tc>
        <w:tc>
          <w:tcPr>
            <w:tcW w:w="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11.50%/3.00%</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5/31/2019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Revolving Loan (j)(p)</w:t>
            </w:r>
          </w:p>
        </w:tc>
        <w:tc>
          <w:tcPr>
            <w:tcW w:w="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11.50%/3.00%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5/31/2019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Revolving Loan (j)(p)</w:t>
            </w:r>
          </w:p>
        </w:tc>
        <w:tc>
          <w:tcPr>
            <w:tcW w:w="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11.50%/3.00%</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5/31/2019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13,368</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OMC Investors, LLC (dba Ohio</w:t>
            </w: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Medical Corporation)</w:t>
            </w:r>
          </w:p>
        </w:tc>
        <w:tc>
          <w:tcPr>
            <w:tcW w:w="3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Healthcare Products</w:t>
            </w: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Second Lien Debt</w:t>
            </w:r>
          </w:p>
        </w:tc>
        <w:tc>
          <w:tcPr>
            <w:tcW w:w="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12.00%/0.00%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7/15/2021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Common Equity (5,000 units)</w:t>
            </w:r>
          </w:p>
        </w:tc>
        <w:tc>
          <w:tcPr>
            <w:tcW w:w="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10,463</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Palisade Company, LLC</w:t>
            </w:r>
          </w:p>
        </w:tc>
        <w:tc>
          <w:tcPr>
            <w:tcW w:w="3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Information Technology Services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Subordinated Debt (j)</w:t>
            </w:r>
          </w:p>
        </w:tc>
        <w:tc>
          <w:tcPr>
            <w:tcW w:w="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11.75%/0.00%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5/15/2024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Common Equity (100 shares)</w:t>
            </w: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(j)</w:t>
            </w:r>
          </w:p>
        </w:tc>
        <w:tc>
          <w:tcPr>
            <w:tcW w:w="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7,471</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Palmetto Moon, LLC</w:t>
            </w:r>
          </w:p>
        </w:tc>
        <w:tc>
          <w:tcPr>
            <w:tcW w:w="3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First Lien Debt</w:t>
            </w:r>
          </w:p>
        </w:tc>
        <w:tc>
          <w:tcPr>
            <w:tcW w:w="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11.50%/2.50%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90"/>
              </w:rPr>
              <w:t>10/31/2021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5,039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5,058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Common Equity (499 units) (j)</w:t>
            </w:r>
          </w:p>
        </w:tc>
        <w:tc>
          <w:tcPr>
            <w:tcW w:w="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Power Grid Components, Inc.</w:t>
            </w:r>
          </w:p>
        </w:tc>
        <w:tc>
          <w:tcPr>
            <w:tcW w:w="3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Specialty Distribution</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Second Lien Debt (k)</w:t>
            </w:r>
          </w:p>
        </w:tc>
        <w:tc>
          <w:tcPr>
            <w:tcW w:w="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11.00%/1.00%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5/20/2023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11,339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11,297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11,339</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Preferred Equity (392 shares)</w:t>
            </w: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(j)</w:t>
            </w:r>
          </w:p>
        </w:tc>
        <w:tc>
          <w:tcPr>
            <w:tcW w:w="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3"/>
              </w:rPr>
              <w:t>Common Equity (9,695 shares)</w:t>
            </w: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80" w:type="dxa"/>
            <w:vAlign w:val="bottom"/>
            <w:gridSpan w:val="2"/>
          </w:tcPr>
          <w:p>
            <w:pPr>
              <w:ind w:left="520"/>
              <w:spacing w:after="0"/>
              <w:rPr>
                <w:sz w:val="20"/>
                <w:szCs w:val="20"/>
                <w:color w:val="auto"/>
              </w:rPr>
            </w:pPr>
            <w:r>
              <w:rPr>
                <w:rFonts w:ascii="Arial" w:cs="Arial" w:eastAsia="Arial" w:hAnsi="Arial"/>
                <w:sz w:val="18"/>
                <w:szCs w:val="18"/>
                <w:color w:val="auto"/>
              </w:rPr>
              <w:t>(j)</w:t>
            </w:r>
          </w:p>
        </w:tc>
        <w:tc>
          <w:tcPr>
            <w:tcW w:w="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Pugh Lubricants, LLC</w:t>
            </w:r>
          </w:p>
        </w:tc>
        <w:tc>
          <w:tcPr>
            <w:tcW w:w="3060" w:type="dxa"/>
            <w:vAlign w:val="bottom"/>
            <w:gridSpan w:val="3"/>
          </w:tcPr>
          <w:p>
            <w:pPr>
              <w:ind w:left="40"/>
              <w:spacing w:after="0"/>
              <w:rPr>
                <w:sz w:val="20"/>
                <w:szCs w:val="20"/>
                <w:color w:val="auto"/>
              </w:rPr>
            </w:pPr>
            <w:r>
              <w:rPr>
                <w:rFonts w:ascii="Arial" w:cs="Arial" w:eastAsia="Arial" w:hAnsi="Arial"/>
                <w:sz w:val="18"/>
                <w:szCs w:val="18"/>
                <w:color w:val="auto"/>
              </w:rPr>
              <w:t>Specialty Distribution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Second Lien Debt (k)</w:t>
            </w:r>
          </w:p>
        </w:tc>
        <w:tc>
          <w:tcPr>
            <w:tcW w:w="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12.25%/0.00%</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5/10/2022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23,581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23,581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9"/>
              </w:rPr>
              <w:t>Common Equity (6,125 units)</w:t>
            </w: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80" w:type="dxa"/>
            <w:vAlign w:val="bottom"/>
            <w:gridSpan w:val="2"/>
          </w:tcPr>
          <w:p>
            <w:pPr>
              <w:ind w:left="520"/>
              <w:spacing w:after="0"/>
              <w:rPr>
                <w:sz w:val="20"/>
                <w:szCs w:val="20"/>
                <w:color w:val="auto"/>
              </w:rPr>
            </w:pPr>
            <w:r>
              <w:rPr>
                <w:rFonts w:ascii="Arial" w:cs="Arial" w:eastAsia="Arial" w:hAnsi="Arial"/>
                <w:sz w:val="18"/>
                <w:szCs w:val="18"/>
                <w:color w:val="auto"/>
              </w:rPr>
              <w:t>(h)(j)</w:t>
            </w:r>
          </w:p>
        </w:tc>
        <w:tc>
          <w:tcPr>
            <w:tcW w:w="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w w:val="99"/>
              </w:rPr>
              <w:t>Revenue Management Solutions,</w:t>
            </w: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ind w:left="160"/>
              <w:spacing w:after="0"/>
              <w:rPr>
                <w:sz w:val="20"/>
                <w:szCs w:val="20"/>
                <w:color w:val="auto"/>
              </w:rPr>
            </w:pPr>
            <w:r>
              <w:rPr>
                <w:rFonts w:ascii="Arial" w:cs="Arial" w:eastAsia="Arial" w:hAnsi="Arial"/>
                <w:sz w:val="18"/>
                <w:szCs w:val="18"/>
                <w:i w:val="1"/>
                <w:iCs w:val="1"/>
                <w:color w:val="auto"/>
              </w:rPr>
              <w:t>LLC</w:t>
            </w:r>
          </w:p>
        </w:tc>
        <w:tc>
          <w:tcPr>
            <w:tcW w:w="3060" w:type="dxa"/>
            <w:vAlign w:val="bottom"/>
            <w:gridSpan w:val="3"/>
          </w:tcPr>
          <w:p>
            <w:pPr>
              <w:ind w:left="40"/>
              <w:spacing w:after="0"/>
              <w:rPr>
                <w:sz w:val="20"/>
                <w:szCs w:val="20"/>
                <w:color w:val="auto"/>
              </w:rPr>
            </w:pPr>
            <w:r>
              <w:rPr>
                <w:rFonts w:ascii="Arial" w:cs="Arial" w:eastAsia="Arial" w:hAnsi="Arial"/>
                <w:sz w:val="18"/>
                <w:szCs w:val="18"/>
                <w:color w:val="auto"/>
              </w:rPr>
              <w:t>Information Technology Services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(2,250,000</w:t>
            </w: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shares)</w:t>
            </w:r>
          </w:p>
        </w:tc>
        <w:tc>
          <w:tcPr>
            <w:tcW w:w="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2700" w:type="dxa"/>
            <w:vAlign w:val="bottom"/>
            <w:gridSpan w:val="3"/>
          </w:tcPr>
          <w:p>
            <w:pPr>
              <w:spacing w:after="0"/>
              <w:rPr>
                <w:sz w:val="20"/>
                <w:szCs w:val="20"/>
                <w:color w:val="auto"/>
              </w:rPr>
            </w:pPr>
            <w:r>
              <w:rPr>
                <w:rFonts w:ascii="Arial" w:cs="Arial" w:eastAsia="Arial" w:hAnsi="Arial"/>
                <w:sz w:val="18"/>
                <w:szCs w:val="18"/>
                <w:i w:val="1"/>
                <w:iCs w:val="1"/>
                <w:color w:val="auto"/>
              </w:rPr>
              <w:t>Rhino Assembly Company, LLC</w:t>
            </w:r>
          </w:p>
        </w:tc>
        <w:tc>
          <w:tcPr>
            <w:tcW w:w="3060" w:type="dxa"/>
            <w:vAlign w:val="bottom"/>
            <w:gridSpan w:val="3"/>
          </w:tcPr>
          <w:p>
            <w:pPr>
              <w:ind w:left="40"/>
              <w:spacing w:after="0"/>
              <w:rPr>
                <w:sz w:val="20"/>
                <w:szCs w:val="20"/>
                <w:color w:val="auto"/>
              </w:rPr>
            </w:pPr>
            <w:r>
              <w:rPr>
                <w:rFonts w:ascii="Arial" w:cs="Arial" w:eastAsia="Arial" w:hAnsi="Arial"/>
                <w:sz w:val="18"/>
                <w:szCs w:val="18"/>
                <w:color w:val="auto"/>
              </w:rPr>
              <w:t>Specialty Distribution</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Second Lien Debt (k)</w:t>
            </w:r>
          </w:p>
        </w:tc>
        <w:tc>
          <w:tcPr>
            <w:tcW w:w="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12.00%/1.00%</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2/11/2023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Delayed Draw Commitment</w:t>
            </w: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ind w:left="520"/>
              <w:spacing w:after="0"/>
              <w:rPr>
                <w:sz w:val="20"/>
                <w:szCs w:val="20"/>
                <w:color w:val="auto"/>
              </w:rPr>
            </w:pPr>
            <w:r>
              <w:rPr>
                <w:rFonts w:ascii="Arial" w:cs="Arial" w:eastAsia="Arial" w:hAnsi="Arial"/>
                <w:sz w:val="18"/>
                <w:szCs w:val="18"/>
                <w:color w:val="auto"/>
              </w:rPr>
              <w:t>($875 commitment) (i)(j)</w:t>
            </w:r>
          </w:p>
        </w:tc>
        <w:tc>
          <w:tcPr>
            <w:tcW w:w="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12.00%/1.00%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5/17/2022</w:t>
            </w:r>
          </w:p>
        </w:tc>
        <w:tc>
          <w:tcPr>
            <w:tcW w:w="80" w:type="dxa"/>
            <w:vAlign w:val="bottom"/>
          </w:tcPr>
          <w:p>
            <w:pPr>
              <w:spacing w:after="0"/>
              <w:rPr>
                <w:sz w:val="20"/>
                <w:szCs w:val="20"/>
                <w:color w:val="auto"/>
              </w:rPr>
            </w:pPr>
          </w:p>
        </w:tc>
        <w:tc>
          <w:tcPr>
            <w:tcW w:w="6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Preferred Equity (8,864 units)</w:t>
            </w: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(h)(j)</w:t>
            </w:r>
          </w:p>
        </w:tc>
        <w:tc>
          <w:tcPr>
            <w:tcW w:w="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12,283</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Road Safety Services, Inc.</w:t>
            </w:r>
          </w:p>
        </w:tc>
        <w:tc>
          <w:tcPr>
            <w:tcW w:w="3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Business Services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Second Lien Debt</w:t>
            </w:r>
          </w:p>
        </w:tc>
        <w:tc>
          <w:tcPr>
            <w:tcW w:w="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11.25%/1.50%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3/18/2024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10,144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9,398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Equity (655 units)</w:t>
            </w:r>
          </w:p>
        </w:tc>
        <w:tc>
          <w:tcPr>
            <w:tcW w:w="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10,724</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9,929</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Rohrer Corporation</w:t>
            </w:r>
          </w:p>
        </w:tc>
        <w:tc>
          <w:tcPr>
            <w:tcW w:w="3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Subordinated Debt (j)</w:t>
            </w:r>
          </w:p>
        </w:tc>
        <w:tc>
          <w:tcPr>
            <w:tcW w:w="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10.50%/1.00%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4/1/2024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13,804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13,745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13,572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Common Equity (400 shares)</w:t>
            </w:r>
          </w:p>
        </w:tc>
        <w:tc>
          <w:tcPr>
            <w:tcW w:w="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14,525</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89"/>
              </w:rPr>
              <w:t>SES Investors, LLC (dba SES Foam)</w:t>
            </w:r>
          </w:p>
        </w:tc>
        <w:tc>
          <w:tcPr>
            <w:tcW w:w="3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Products Manufacturing</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Second Lien Debt</w:t>
            </w:r>
          </w:p>
        </w:tc>
        <w:tc>
          <w:tcPr>
            <w:tcW w:w="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15.00%/0.00%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90"/>
              </w:rPr>
              <w:t>12/29/2020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3,095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3,075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2,786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Common Equity (6,000 units)</w:t>
            </w: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(h)(j)</w:t>
            </w:r>
          </w:p>
        </w:tc>
        <w:tc>
          <w:tcPr>
            <w:tcW w:w="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Simplex Manufacturing Co.</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Aerospace &amp; Defense Manufacturing</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340"/>
              <w:spacing w:after="0"/>
              <w:rPr>
                <w:sz w:val="20"/>
                <w:szCs w:val="20"/>
                <w:color w:val="auto"/>
              </w:rPr>
            </w:pPr>
            <w:r>
              <w:rPr>
                <w:rFonts w:ascii="Arial" w:cs="Arial" w:eastAsia="Arial" w:hAnsi="Arial"/>
                <w:sz w:val="18"/>
                <w:szCs w:val="18"/>
                <w:color w:val="auto"/>
              </w:rPr>
              <w:t>Subordinated Debt</w:t>
            </w:r>
          </w:p>
        </w:tc>
        <w:tc>
          <w:tcPr>
            <w:tcW w:w="4380" w:type="dxa"/>
            <w:vAlign w:val="bottom"/>
          </w:tcPr>
          <w:p>
            <w:pPr>
              <w:jc w:val="right"/>
              <w:spacing w:after="0"/>
              <w:rPr>
                <w:sz w:val="20"/>
                <w:szCs w:val="20"/>
                <w:color w:val="auto"/>
              </w:rPr>
            </w:pPr>
            <w:r>
              <w:rPr>
                <w:rFonts w:ascii="Arial" w:cs="Arial" w:eastAsia="Arial" w:hAnsi="Arial"/>
                <w:sz w:val="18"/>
                <w:szCs w:val="18"/>
                <w:color w:val="auto"/>
              </w:rPr>
              <w:t>14.00%/0.00%</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9"/>
              </w:rPr>
              <w:t>7/31/2019</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4,050</w:t>
            </w:r>
          </w:p>
        </w:tc>
        <w:tc>
          <w:tcPr>
            <w:tcW w:w="600" w:type="dxa"/>
            <w:vAlign w:val="bottom"/>
          </w:tcPr>
          <w:p>
            <w:pPr>
              <w:jc w:val="right"/>
              <w:spacing w:after="0"/>
              <w:rPr>
                <w:sz w:val="20"/>
                <w:szCs w:val="20"/>
                <w:color w:val="auto"/>
              </w:rPr>
            </w:pPr>
            <w:r>
              <w:rPr>
                <w:rFonts w:ascii="Arial" w:cs="Arial" w:eastAsia="Arial" w:hAnsi="Arial"/>
                <w:sz w:val="18"/>
                <w:szCs w:val="18"/>
                <w:color w:val="auto"/>
              </w:rPr>
              <w:t>4,050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4,050</w:t>
            </w: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(29 shares) (m)</w:t>
            </w:r>
          </w:p>
        </w:tc>
        <w:tc>
          <w:tcPr>
            <w:tcW w:w="4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0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5,205</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7,812</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Software Technology, LLC</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Information Technology Services</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340"/>
              <w:spacing w:after="0"/>
              <w:rPr>
                <w:sz w:val="20"/>
                <w:szCs w:val="20"/>
                <w:color w:val="auto"/>
              </w:rPr>
            </w:pPr>
            <w:r>
              <w:rPr>
                <w:rFonts w:ascii="Arial" w:cs="Arial" w:eastAsia="Arial" w:hAnsi="Arial"/>
                <w:sz w:val="18"/>
                <w:szCs w:val="18"/>
                <w:color w:val="auto"/>
              </w:rPr>
              <w:t>Subordinated Debt (k)</w:t>
            </w:r>
          </w:p>
        </w:tc>
        <w:tc>
          <w:tcPr>
            <w:tcW w:w="4380" w:type="dxa"/>
            <w:vAlign w:val="bottom"/>
          </w:tcPr>
          <w:p>
            <w:pPr>
              <w:jc w:val="right"/>
              <w:spacing w:after="0"/>
              <w:rPr>
                <w:sz w:val="20"/>
                <w:szCs w:val="20"/>
                <w:color w:val="auto"/>
              </w:rPr>
            </w:pPr>
            <w:r>
              <w:rPr>
                <w:rFonts w:ascii="Arial" w:cs="Arial" w:eastAsia="Arial" w:hAnsi="Arial"/>
                <w:sz w:val="18"/>
                <w:szCs w:val="18"/>
                <w:color w:val="auto"/>
              </w:rPr>
              <w:t>11.00%/0.00%</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9"/>
              </w:rPr>
              <w:t>6/23/2023</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10,000</w:t>
            </w:r>
          </w:p>
        </w:tc>
        <w:tc>
          <w:tcPr>
            <w:tcW w:w="600" w:type="dxa"/>
            <w:vAlign w:val="bottom"/>
          </w:tcPr>
          <w:p>
            <w:pPr>
              <w:jc w:val="right"/>
              <w:spacing w:after="0"/>
              <w:rPr>
                <w:sz w:val="20"/>
                <w:szCs w:val="20"/>
                <w:color w:val="auto"/>
              </w:rPr>
            </w:pPr>
            <w:r>
              <w:rPr>
                <w:rFonts w:ascii="Arial" w:cs="Arial" w:eastAsia="Arial" w:hAnsi="Arial"/>
                <w:sz w:val="18"/>
                <w:szCs w:val="18"/>
                <w:color w:val="auto"/>
              </w:rPr>
              <w:t>9,968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Common Equity (12 shares)</w:t>
            </w:r>
          </w:p>
        </w:tc>
        <w:tc>
          <w:tcPr>
            <w:tcW w:w="4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11,258</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11,496</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64"/>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380" w:type="dxa"/>
            <w:vAlign w:val="bottom"/>
          </w:tcPr>
          <w:p>
            <w:pPr>
              <w:jc w:val="right"/>
              <w:ind w:right="1270"/>
              <w:spacing w:after="0"/>
              <w:rPr>
                <w:sz w:val="20"/>
                <w:szCs w:val="20"/>
                <w:color w:val="auto"/>
              </w:rPr>
            </w:pPr>
            <w:r>
              <w:rPr>
                <w:rFonts w:ascii="Arial" w:cs="Arial" w:eastAsia="Arial" w:hAnsi="Arial"/>
                <w:sz w:val="18"/>
                <w:szCs w:val="18"/>
                <w:color w:val="auto"/>
              </w:rPr>
              <w:t>10</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040"/>
          </w:cols>
          <w:pgMar w:left="440" w:top="140"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Consolidated Schedule of Investments (unaudited)</w:t>
      </w:r>
    </w:p>
    <w:p>
      <w:pPr>
        <w:spacing w:after="0" w:line="3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80"/>
          </w:cols>
          <w:pgMar w:left="240" w:top="459" w:right="479" w:bottom="0" w:gutter="0" w:footer="0" w:header="0"/>
        </w:sectPr>
      </w:pP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(a)(b)</w:t>
            </w:r>
          </w:p>
        </w:tc>
        <w:tc>
          <w:tcPr>
            <w:tcW w:w="120" w:type="dxa"/>
            <w:vAlign w:val="bottom"/>
          </w:tcPr>
          <w:p>
            <w:pPr>
              <w:spacing w:after="0"/>
              <w:rPr>
                <w:sz w:val="14"/>
                <w:szCs w:val="14"/>
                <w:color w:val="auto"/>
              </w:rPr>
            </w:pPr>
          </w:p>
        </w:tc>
        <w:tc>
          <w:tcPr>
            <w:tcW w:w="22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191"/>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Investment Type (c)</w:t>
            </w:r>
          </w:p>
        </w:tc>
        <w:tc>
          <w:tcPr>
            <w:tcW w:w="120" w:type="dxa"/>
            <w:vAlign w:val="bottom"/>
          </w:tcPr>
          <w:p>
            <w:pPr>
              <w:spacing w:after="0"/>
              <w:rPr>
                <w:sz w:val="16"/>
                <w:szCs w:val="16"/>
                <w:color w:val="auto"/>
              </w:rPr>
            </w:pP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i w:val="1"/>
                <w:iCs w:val="1"/>
                <w:color w:val="auto"/>
                <w:w w:val="91"/>
              </w:rPr>
              <w:t>Specialized Elevator</w:t>
            </w:r>
          </w:p>
        </w:tc>
        <w:tc>
          <w:tcPr>
            <w:tcW w:w="1500" w:type="dxa"/>
            <w:vAlign w:val="bottom"/>
          </w:tcPr>
          <w:p>
            <w:pPr>
              <w:ind w:left="20"/>
              <w:spacing w:after="0" w:line="176" w:lineRule="exact"/>
              <w:rPr>
                <w:sz w:val="20"/>
                <w:szCs w:val="20"/>
                <w:color w:val="auto"/>
              </w:rPr>
            </w:pPr>
            <w:r>
              <w:rPr>
                <w:rFonts w:ascii="Arial" w:cs="Arial" w:eastAsia="Arial" w:hAnsi="Arial"/>
                <w:sz w:val="18"/>
                <w:szCs w:val="18"/>
                <w:i w:val="1"/>
                <w:iCs w:val="1"/>
                <w:color w:val="auto"/>
                <w:w w:val="97"/>
              </w:rPr>
              <w:t>Services Holdings,</w:t>
            </w:r>
          </w:p>
        </w:tc>
        <w:tc>
          <w:tcPr>
            <w:tcW w:w="120" w:type="dxa"/>
            <w:vAlign w:val="bottom"/>
          </w:tcPr>
          <w:p>
            <w:pPr>
              <w:spacing w:after="0"/>
              <w:rPr>
                <w:sz w:val="15"/>
                <w:szCs w:val="15"/>
                <w:color w:val="auto"/>
              </w:rPr>
            </w:pPr>
          </w:p>
        </w:tc>
        <w:tc>
          <w:tcPr>
            <w:tcW w:w="2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i w:val="1"/>
                <w:iCs w:val="1"/>
                <w:color w:val="auto"/>
              </w:rPr>
              <w:t>LLC</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Business Services</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First Lien Debt (j)(ac)</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(500 units) (j)</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SpendMend LLC</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Business Services</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Second Lien Debt (k)</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w w:val="98"/>
              </w:rPr>
              <w:t>Common Equity (1,000,000 units)</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w w:val="95"/>
              </w:rPr>
              <w:t>Thermoforming Technology Group LLC</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i w:val="1"/>
                <w:iCs w:val="1"/>
                <w:color w:val="auto"/>
              </w:rPr>
              <w:t>(dba Brown Machine</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Capital Equipment</w:t>
            </w:r>
          </w:p>
        </w:tc>
        <w:tc>
          <w:tcPr>
            <w:tcW w:w="0" w:type="dxa"/>
            <w:vAlign w:val="bottom"/>
          </w:tcPr>
          <w:p>
            <w:pPr>
              <w:spacing w:after="0"/>
              <w:rPr>
                <w:sz w:val="1"/>
                <w:szCs w:val="1"/>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i w:val="1"/>
                <w:iCs w:val="1"/>
                <w:color w:val="auto"/>
              </w:rPr>
              <w:t>Group) (n)</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(3,760</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540"/>
              <w:spacing w:after="0"/>
              <w:rPr>
                <w:sz w:val="20"/>
                <w:szCs w:val="20"/>
                <w:color w:val="auto"/>
              </w:rPr>
            </w:pPr>
            <w:r>
              <w:rPr>
                <w:rFonts w:ascii="Arial" w:cs="Arial" w:eastAsia="Arial" w:hAnsi="Arial"/>
                <w:sz w:val="18"/>
                <w:szCs w:val="18"/>
                <w:color w:val="auto"/>
              </w:rPr>
              <w:t>units) (h)(j)</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TransGo, LLC</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Component Manufacturing</w:t>
            </w: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(1,000 units)</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The Tranzonic Companies</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Specialty Distribution</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Subordinated Debt (j)</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Preferred Equity (5,653 units) (j)</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(1 units) (j)</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UBEO, LLC</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Business Services</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Subordinated Debt (j)</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w w:val="97"/>
              </w:rPr>
              <w:t>Delayed Draw Commitment ($793</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540"/>
              <w:spacing w:after="0"/>
              <w:rPr>
                <w:sz w:val="20"/>
                <w:szCs w:val="20"/>
                <w:color w:val="auto"/>
              </w:rPr>
            </w:pPr>
            <w:r>
              <w:rPr>
                <w:rFonts w:ascii="Arial" w:cs="Arial" w:eastAsia="Arial" w:hAnsi="Arial"/>
                <w:sz w:val="18"/>
                <w:szCs w:val="18"/>
                <w:color w:val="auto"/>
              </w:rPr>
              <w:t>commitment) (i)(j)</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(705,000</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540"/>
              <w:spacing w:after="0"/>
              <w:rPr>
                <w:sz w:val="20"/>
                <w:szCs w:val="20"/>
                <w:color w:val="auto"/>
              </w:rPr>
            </w:pPr>
            <w:r>
              <w:rPr>
                <w:rFonts w:ascii="Arial" w:cs="Arial" w:eastAsia="Arial" w:hAnsi="Arial"/>
                <w:sz w:val="18"/>
                <w:szCs w:val="18"/>
                <w:color w:val="auto"/>
              </w:rPr>
              <w:t>units) (j)</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United Biologics, LLC</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Healthcare Services</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Preferred Equity (98,377</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540"/>
              <w:spacing w:after="0"/>
              <w:rPr>
                <w:sz w:val="20"/>
                <w:szCs w:val="20"/>
                <w:color w:val="auto"/>
              </w:rPr>
            </w:pPr>
            <w:r>
              <w:rPr>
                <w:rFonts w:ascii="Arial" w:cs="Arial" w:eastAsia="Arial" w:hAnsi="Arial"/>
                <w:sz w:val="18"/>
                <w:szCs w:val="18"/>
                <w:color w:val="auto"/>
              </w:rPr>
              <w:t>units) (h)(j)</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Warrant (57,469 units) (m)</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US GreenFiber, LLC</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Building Products</w:t>
            </w:r>
          </w:p>
        </w:tc>
        <w:tc>
          <w:tcPr>
            <w:tcW w:w="0" w:type="dxa"/>
            <w:vAlign w:val="bottom"/>
          </w:tcPr>
          <w:p>
            <w:pPr>
              <w:spacing w:after="0"/>
              <w:rPr>
                <w:sz w:val="1"/>
                <w:szCs w:val="1"/>
                <w:color w:val="auto"/>
              </w:rPr>
            </w:pPr>
          </w:p>
        </w:tc>
      </w:tr>
      <w:tr>
        <w:trPr>
          <w:trHeight w:val="230"/>
        </w:trPr>
        <w:tc>
          <w:tcPr>
            <w:tcW w:w="3020" w:type="dxa"/>
            <w:vAlign w:val="bottom"/>
            <w:gridSpan w:val="2"/>
            <w:vMerge w:val="restart"/>
          </w:tcPr>
          <w:p>
            <w:pPr>
              <w:ind w:left="360"/>
              <w:spacing w:after="0"/>
              <w:rPr>
                <w:sz w:val="20"/>
                <w:szCs w:val="20"/>
                <w:color w:val="auto"/>
              </w:rPr>
            </w:pPr>
            <w:r>
              <w:rPr>
                <w:rFonts w:ascii="Arial" w:cs="Arial" w:eastAsia="Arial" w:hAnsi="Arial"/>
                <w:sz w:val="18"/>
                <w:szCs w:val="18"/>
                <w:color w:val="auto"/>
              </w:rPr>
              <w:t>Second Lien Debt (k)(p)</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02"/>
        </w:trPr>
        <w:tc>
          <w:tcPr>
            <w:tcW w:w="3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Second Lien Debt (k)(p)</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(2,522</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540"/>
              <w:spacing w:after="0"/>
              <w:rPr>
                <w:sz w:val="20"/>
                <w:szCs w:val="20"/>
                <w:color w:val="auto"/>
              </w:rPr>
            </w:pPr>
            <w:r>
              <w:rPr>
                <w:rFonts w:ascii="Arial" w:cs="Arial" w:eastAsia="Arial" w:hAnsi="Arial"/>
                <w:sz w:val="18"/>
                <w:szCs w:val="18"/>
                <w:color w:val="auto"/>
              </w:rPr>
              <w:t>units) (h)(j)</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US Pack Logistics LLC</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Transportation services</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Second Lien Debt (k)</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Preferred Equity (9,458</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540"/>
              <w:spacing w:after="0"/>
              <w:rPr>
                <w:sz w:val="20"/>
                <w:szCs w:val="20"/>
                <w:color w:val="auto"/>
              </w:rPr>
            </w:pPr>
            <w:r>
              <w:rPr>
                <w:rFonts w:ascii="Arial" w:cs="Arial" w:eastAsia="Arial" w:hAnsi="Arial"/>
                <w:sz w:val="18"/>
                <w:szCs w:val="18"/>
                <w:color w:val="auto"/>
              </w:rPr>
              <w:t>units) (h)(j)</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(5,833</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540"/>
              <w:spacing w:after="0"/>
              <w:rPr>
                <w:sz w:val="20"/>
                <w:szCs w:val="20"/>
                <w:color w:val="auto"/>
              </w:rPr>
            </w:pPr>
            <w:r>
              <w:rPr>
                <w:rFonts w:ascii="Arial" w:cs="Arial" w:eastAsia="Arial" w:hAnsi="Arial"/>
                <w:sz w:val="18"/>
                <w:szCs w:val="18"/>
                <w:color w:val="auto"/>
              </w:rPr>
              <w:t>units) (h)(j)</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Vanguard Dealer Services, L.L.C.</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Business Services</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540"/>
              <w:spacing w:after="0"/>
              <w:rPr>
                <w:sz w:val="20"/>
                <w:szCs w:val="20"/>
                <w:color w:val="auto"/>
              </w:rPr>
            </w:pPr>
            <w:r>
              <w:rPr>
                <w:rFonts w:ascii="Arial" w:cs="Arial" w:eastAsia="Arial" w:hAnsi="Arial"/>
                <w:sz w:val="18"/>
                <w:szCs w:val="18"/>
                <w:color w:val="auto"/>
              </w:rPr>
              <w:t>(6,000 units)</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(2,380 units) (j)</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Virginia Tile Company, LLC</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Specialty Distribution</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Second Lien Debt (k)</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(17 units)</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Wheel Pros, Inc.</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Specialty Distribution</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Second Lien Debt (j)(ad)</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Preferred Equity (694,444</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540"/>
              <w:spacing w:after="0"/>
              <w:rPr>
                <w:sz w:val="20"/>
                <w:szCs w:val="20"/>
                <w:color w:val="auto"/>
              </w:rPr>
            </w:pPr>
            <w:r>
              <w:rPr>
                <w:rFonts w:ascii="Arial" w:cs="Arial" w:eastAsia="Arial" w:hAnsi="Arial"/>
                <w:sz w:val="18"/>
                <w:szCs w:val="18"/>
                <w:color w:val="auto"/>
              </w:rPr>
              <w:t>units) (j)</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The Wolf Organization, LLC</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Building Products</w:t>
            </w:r>
          </w:p>
        </w:tc>
        <w:tc>
          <w:tcPr>
            <w:tcW w:w="0" w:type="dxa"/>
            <w:vAlign w:val="bottom"/>
          </w:tcPr>
          <w:p>
            <w:pPr>
              <w:spacing w:after="0"/>
              <w:rPr>
                <w:sz w:val="1"/>
                <w:szCs w:val="1"/>
                <w:color w:val="auto"/>
              </w:rPr>
            </w:pPr>
          </w:p>
        </w:tc>
      </w:tr>
      <w:tr>
        <w:trPr>
          <w:trHeight w:val="230"/>
        </w:trPr>
        <w:tc>
          <w:tcPr>
            <w:tcW w:w="3020" w:type="dxa"/>
            <w:vAlign w:val="bottom"/>
            <w:gridSpan w:val="2"/>
            <w:vMerge w:val="restart"/>
          </w:tcPr>
          <w:p>
            <w:pPr>
              <w:ind w:left="360"/>
              <w:spacing w:after="0"/>
              <w:rPr>
                <w:sz w:val="20"/>
                <w:szCs w:val="20"/>
                <w:color w:val="auto"/>
              </w:rPr>
            </w:pPr>
            <w:r>
              <w:rPr>
                <w:rFonts w:ascii="Arial" w:cs="Arial" w:eastAsia="Arial" w:hAnsi="Arial"/>
                <w:sz w:val="18"/>
                <w:szCs w:val="18"/>
                <w:color w:val="auto"/>
              </w:rPr>
              <w:t>Common Equity (175 shares)</w:t>
            </w: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Rate (d)</w:t>
            </w: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Principal</w:t>
            </w:r>
          </w:p>
        </w:tc>
        <w:tc>
          <w:tcPr>
            <w:tcW w:w="7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00" w:type="dxa"/>
            <w:vAlign w:val="bottom"/>
            <w:vMerge w:val="restart"/>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620" w:type="dxa"/>
            <w:vAlign w:val="bottom"/>
          </w:tcPr>
          <w:p>
            <w:pPr>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Cash/PIK</w:t>
            </w:r>
          </w:p>
        </w:tc>
        <w:tc>
          <w:tcPr>
            <w:tcW w:w="3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Value (e)</w:t>
            </w: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-8255</wp:posOffset>
            </wp:positionV>
            <wp:extent cx="699770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274320"/>
                    </a:xfrm>
                    <a:prstGeom prst="rect">
                      <a:avLst/>
                    </a:prstGeom>
                    <a:noFill/>
                  </pic:spPr>
                </pic:pic>
              </a:graphicData>
            </a:graphic>
          </wp:anchor>
        </w:drawing>
      </w: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40" w:type="dxa"/>
            <w:vAlign w:val="bottom"/>
          </w:tcPr>
          <w:p>
            <w:pPr>
              <w:jc w:val="right"/>
              <w:spacing w:after="0"/>
              <w:rPr>
                <w:sz w:val="20"/>
                <w:szCs w:val="20"/>
                <w:color w:val="auto"/>
              </w:rPr>
            </w:pPr>
            <w:r>
              <w:rPr>
                <w:rFonts w:ascii="Arial" w:cs="Arial" w:eastAsia="Arial" w:hAnsi="Arial"/>
                <w:sz w:val="18"/>
                <w:szCs w:val="18"/>
                <w:color w:val="auto"/>
                <w:w w:val="97"/>
              </w:rPr>
              <w:t>7.58%/0.00%</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99"/>
              </w:rPr>
              <w:t>5/3/2024</w:t>
            </w:r>
          </w:p>
        </w:tc>
        <w:tc>
          <w:tcPr>
            <w:tcW w:w="800" w:type="dxa"/>
            <w:vAlign w:val="bottom"/>
          </w:tcPr>
          <w:p>
            <w:pPr>
              <w:jc w:val="right"/>
              <w:spacing w:after="0"/>
              <w:rPr>
                <w:sz w:val="20"/>
                <w:szCs w:val="20"/>
                <w:color w:val="auto"/>
              </w:rPr>
            </w:pPr>
            <w:r>
              <w:rPr>
                <w:rFonts w:ascii="Arial" w:cs="Arial" w:eastAsia="Arial" w:hAnsi="Arial"/>
                <w:sz w:val="18"/>
                <w:szCs w:val="18"/>
                <w:color w:val="auto"/>
              </w:rPr>
              <w:t>$ 5,000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4,912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4,912</w:t>
            </w:r>
          </w:p>
        </w:tc>
        <w:tc>
          <w:tcPr>
            <w:tcW w:w="94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940" w:type="dxa"/>
            <w:vAlign w:val="bottom"/>
          </w:tcPr>
          <w:p>
            <w:pPr>
              <w:spacing w:after="0"/>
              <w:rPr>
                <w:sz w:val="20"/>
                <w:szCs w:val="20"/>
                <w:color w:val="auto"/>
              </w:rPr>
            </w:pPr>
          </w:p>
        </w:tc>
      </w:tr>
      <w:tr>
        <w:trPr>
          <w:trHeight w:val="224"/>
        </w:trPr>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5,412</w:t>
            </w: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5,412</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7"/>
        </w:trPr>
        <w:tc>
          <w:tcPr>
            <w:tcW w:w="1140" w:type="dxa"/>
            <w:vAlign w:val="bottom"/>
          </w:tcPr>
          <w:p>
            <w:pPr>
              <w:jc w:val="right"/>
              <w:spacing w:after="0"/>
              <w:rPr>
                <w:sz w:val="20"/>
                <w:szCs w:val="20"/>
                <w:color w:val="auto"/>
              </w:rPr>
            </w:pPr>
            <w:r>
              <w:rPr>
                <w:rFonts w:ascii="Arial" w:cs="Arial" w:eastAsia="Arial" w:hAnsi="Arial"/>
                <w:sz w:val="18"/>
                <w:szCs w:val="18"/>
                <w:color w:val="auto"/>
                <w:w w:val="88"/>
              </w:rPr>
              <w:t>11.00%/0.75%</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99"/>
              </w:rPr>
              <w:t>7/8/2023</w:t>
            </w:r>
          </w:p>
        </w:tc>
        <w:tc>
          <w:tcPr>
            <w:tcW w:w="800" w:type="dxa"/>
            <w:vAlign w:val="bottom"/>
          </w:tcPr>
          <w:p>
            <w:pPr>
              <w:jc w:val="right"/>
              <w:spacing w:after="0"/>
              <w:rPr>
                <w:sz w:val="20"/>
                <w:szCs w:val="20"/>
                <w:color w:val="auto"/>
              </w:rPr>
            </w:pPr>
            <w:r>
              <w:rPr>
                <w:rFonts w:ascii="Arial" w:cs="Arial" w:eastAsia="Arial" w:hAnsi="Arial"/>
                <w:sz w:val="18"/>
                <w:szCs w:val="18"/>
                <w:color w:val="auto"/>
              </w:rPr>
              <w:t>10,449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10,409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10,449</w:t>
            </w:r>
          </w:p>
        </w:tc>
        <w:tc>
          <w:tcPr>
            <w:tcW w:w="9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1,381</w:t>
            </w:r>
          </w:p>
        </w:tc>
        <w:tc>
          <w:tcPr>
            <w:tcW w:w="940" w:type="dxa"/>
            <w:vAlign w:val="bottom"/>
          </w:tcPr>
          <w:p>
            <w:pPr>
              <w:spacing w:after="0"/>
              <w:rPr>
                <w:sz w:val="20"/>
                <w:szCs w:val="20"/>
                <w:color w:val="auto"/>
              </w:rPr>
            </w:pPr>
          </w:p>
        </w:tc>
      </w:tr>
      <w:tr>
        <w:trPr>
          <w:trHeight w:val="224"/>
        </w:trPr>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11,409</w:t>
            </w: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11,830</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-857250</wp:posOffset>
            </wp:positionV>
            <wp:extent cx="699770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-565785</wp:posOffset>
            </wp:positionV>
            <wp:extent cx="699770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-291465</wp:posOffset>
            </wp:positionV>
            <wp:extent cx="699770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0</wp:posOffset>
            </wp:positionV>
            <wp:extent cx="699770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40"/>
        </w:trPr>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897</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26"/>
        </w:trPr>
        <w:tc>
          <w:tcPr>
            <w:tcW w:w="1140" w:type="dxa"/>
            <w:vAlign w:val="bottom"/>
          </w:tcPr>
          <w:p>
            <w:pPr>
              <w:jc w:val="right"/>
              <w:spacing w:after="0"/>
              <w:rPr>
                <w:sz w:val="20"/>
                <w:szCs w:val="20"/>
                <w:color w:val="auto"/>
              </w:rPr>
            </w:pPr>
            <w:r>
              <w:rPr>
                <w:rFonts w:ascii="Arial" w:cs="Arial" w:eastAsia="Arial" w:hAnsi="Arial"/>
                <w:sz w:val="18"/>
                <w:szCs w:val="18"/>
                <w:color w:val="auto"/>
                <w:w w:val="88"/>
              </w:rPr>
              <w:t>10.00%/1.50%</w:t>
            </w:r>
          </w:p>
        </w:tc>
        <w:tc>
          <w:tcPr>
            <w:tcW w:w="1000" w:type="dxa"/>
            <w:vAlign w:val="bottom"/>
          </w:tcPr>
          <w:p>
            <w:pPr>
              <w:ind w:left="80"/>
              <w:spacing w:after="0"/>
              <w:rPr>
                <w:sz w:val="20"/>
                <w:szCs w:val="20"/>
                <w:color w:val="auto"/>
              </w:rPr>
            </w:pPr>
            <w:r>
              <w:rPr>
                <w:rFonts w:ascii="Arial" w:cs="Arial" w:eastAsia="Arial" w:hAnsi="Arial"/>
                <w:sz w:val="18"/>
                <w:szCs w:val="18"/>
                <w:color w:val="auto"/>
              </w:rPr>
              <w:t>3/27/2025</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6,870</w:t>
            </w:r>
          </w:p>
        </w:tc>
        <w:tc>
          <w:tcPr>
            <w:tcW w:w="700" w:type="dxa"/>
            <w:vAlign w:val="bottom"/>
          </w:tcPr>
          <w:p>
            <w:pPr>
              <w:jc w:val="right"/>
              <w:spacing w:after="0"/>
              <w:rPr>
                <w:sz w:val="20"/>
                <w:szCs w:val="20"/>
                <w:color w:val="auto"/>
              </w:rPr>
            </w:pPr>
            <w:r>
              <w:rPr>
                <w:rFonts w:ascii="Arial" w:cs="Arial" w:eastAsia="Arial" w:hAnsi="Arial"/>
                <w:sz w:val="18"/>
                <w:szCs w:val="18"/>
                <w:color w:val="auto"/>
              </w:rPr>
              <w:t>6,813</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6,870</w:t>
            </w:r>
          </w:p>
        </w:tc>
        <w:tc>
          <w:tcPr>
            <w:tcW w:w="94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w:t>
            </w:r>
          </w:p>
        </w:tc>
        <w:tc>
          <w:tcPr>
            <w:tcW w:w="94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r>
      <w:tr>
        <w:trPr>
          <w:trHeight w:val="224"/>
        </w:trPr>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7,378</w:t>
            </w: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1"/>
        </w:trPr>
        <w:tc>
          <w:tcPr>
            <w:tcW w:w="1140" w:type="dxa"/>
            <w:vAlign w:val="bottom"/>
          </w:tcPr>
          <w:p>
            <w:pPr>
              <w:jc w:val="right"/>
              <w:spacing w:after="0"/>
              <w:rPr>
                <w:sz w:val="20"/>
                <w:szCs w:val="20"/>
                <w:color w:val="auto"/>
              </w:rPr>
            </w:pPr>
            <w:r>
              <w:rPr>
                <w:rFonts w:ascii="Arial" w:cs="Arial" w:eastAsia="Arial" w:hAnsi="Arial"/>
                <w:sz w:val="18"/>
                <w:szCs w:val="18"/>
                <w:color w:val="auto"/>
                <w:w w:val="88"/>
              </w:rPr>
              <w:t>11.00%/0.00%</w:t>
            </w:r>
          </w:p>
        </w:tc>
        <w:tc>
          <w:tcPr>
            <w:tcW w:w="1000" w:type="dxa"/>
            <w:vAlign w:val="bottom"/>
          </w:tcPr>
          <w:p>
            <w:pPr>
              <w:ind w:left="80"/>
              <w:spacing w:after="0"/>
              <w:rPr>
                <w:sz w:val="20"/>
                <w:szCs w:val="20"/>
                <w:color w:val="auto"/>
              </w:rPr>
            </w:pPr>
            <w:r>
              <w:rPr>
                <w:rFonts w:ascii="Arial" w:cs="Arial" w:eastAsia="Arial" w:hAnsi="Arial"/>
                <w:sz w:val="18"/>
                <w:szCs w:val="18"/>
                <w:color w:val="auto"/>
              </w:rPr>
              <w:t>10/3/2024</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13,100</w:t>
            </w:r>
          </w:p>
        </w:tc>
        <w:tc>
          <w:tcPr>
            <w:tcW w:w="700" w:type="dxa"/>
            <w:vAlign w:val="bottom"/>
          </w:tcPr>
          <w:p>
            <w:pPr>
              <w:jc w:val="right"/>
              <w:spacing w:after="0"/>
              <w:rPr>
                <w:sz w:val="20"/>
                <w:szCs w:val="20"/>
                <w:color w:val="auto"/>
              </w:rPr>
            </w:pPr>
            <w:r>
              <w:rPr>
                <w:rFonts w:ascii="Arial" w:cs="Arial" w:eastAsia="Arial" w:hAnsi="Arial"/>
                <w:sz w:val="18"/>
                <w:szCs w:val="18"/>
                <w:color w:val="auto"/>
              </w:rPr>
              <w:t>12,989</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12,982</w:t>
            </w:r>
          </w:p>
        </w:tc>
        <w:tc>
          <w:tcPr>
            <w:tcW w:w="940" w:type="dxa"/>
            <w:vAlign w:val="bottom"/>
          </w:tcPr>
          <w:p>
            <w:pPr>
              <w:spacing w:after="0"/>
              <w:rPr>
                <w:sz w:val="24"/>
                <w:szCs w:val="24"/>
                <w:color w:val="auto"/>
              </w:rPr>
            </w:pPr>
          </w:p>
        </w:tc>
      </w:tr>
      <w:tr>
        <w:trPr>
          <w:trHeight w:val="432"/>
        </w:trPr>
        <w:tc>
          <w:tcPr>
            <w:tcW w:w="1140" w:type="dxa"/>
            <w:vAlign w:val="bottom"/>
          </w:tcPr>
          <w:p>
            <w:pPr>
              <w:jc w:val="right"/>
              <w:spacing w:after="0"/>
              <w:rPr>
                <w:sz w:val="20"/>
                <w:szCs w:val="20"/>
                <w:color w:val="auto"/>
              </w:rPr>
            </w:pPr>
            <w:r>
              <w:rPr>
                <w:rFonts w:ascii="Arial" w:cs="Arial" w:eastAsia="Arial" w:hAnsi="Arial"/>
                <w:sz w:val="18"/>
                <w:szCs w:val="18"/>
                <w:color w:val="auto"/>
                <w:w w:val="88"/>
              </w:rPr>
              <w:t>11.00%/0.00%</w:t>
            </w:r>
          </w:p>
        </w:tc>
        <w:tc>
          <w:tcPr>
            <w:tcW w:w="1000" w:type="dxa"/>
            <w:vAlign w:val="bottom"/>
          </w:tcPr>
          <w:p>
            <w:pPr>
              <w:ind w:left="80"/>
              <w:spacing w:after="0"/>
              <w:rPr>
                <w:sz w:val="20"/>
                <w:szCs w:val="20"/>
                <w:color w:val="auto"/>
              </w:rPr>
            </w:pPr>
            <w:r>
              <w:rPr>
                <w:rFonts w:ascii="Arial" w:cs="Arial" w:eastAsia="Arial" w:hAnsi="Arial"/>
                <w:sz w:val="18"/>
                <w:szCs w:val="18"/>
                <w:color w:val="auto"/>
              </w:rPr>
              <w:t>8/7/2019</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940" w:type="dxa"/>
            <w:vAlign w:val="bottom"/>
          </w:tcPr>
          <w:p>
            <w:pPr>
              <w:spacing w:after="0"/>
              <w:rPr>
                <w:sz w:val="24"/>
                <w:szCs w:val="24"/>
                <w:color w:val="auto"/>
              </w:rPr>
            </w:pPr>
          </w:p>
        </w:tc>
      </w:tr>
      <w:tr>
        <w:trPr>
          <w:trHeight w:val="224"/>
        </w:trPr>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13,692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13,619</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633"/>
        </w:trPr>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9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940" w:type="dxa"/>
            <w:vAlign w:val="bottom"/>
          </w:tcPr>
          <w:p>
            <w:pPr>
              <w:spacing w:after="0"/>
              <w:rPr>
                <w:sz w:val="20"/>
                <w:szCs w:val="20"/>
                <w:color w:val="auto"/>
              </w:rPr>
            </w:pPr>
          </w:p>
        </w:tc>
      </w:tr>
      <w:tr>
        <w:trPr>
          <w:trHeight w:val="224"/>
        </w:trPr>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33"/>
        </w:trPr>
        <w:tc>
          <w:tcPr>
            <w:tcW w:w="1140" w:type="dxa"/>
            <w:vAlign w:val="bottom"/>
          </w:tcPr>
          <w:p>
            <w:pPr>
              <w:jc w:val="right"/>
              <w:spacing w:after="0"/>
              <w:rPr>
                <w:sz w:val="20"/>
                <w:szCs w:val="20"/>
                <w:color w:val="auto"/>
              </w:rPr>
            </w:pPr>
            <w:r>
              <w:rPr>
                <w:rFonts w:ascii="Arial" w:cs="Arial" w:eastAsia="Arial" w:hAnsi="Arial"/>
                <w:sz w:val="18"/>
                <w:szCs w:val="18"/>
                <w:color w:val="auto"/>
                <w:w w:val="88"/>
              </w:rPr>
              <w:t>12.00%/2.00%</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10/15/2019</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14,363</w:t>
            </w:r>
          </w:p>
        </w:tc>
        <w:tc>
          <w:tcPr>
            <w:tcW w:w="700" w:type="dxa"/>
            <w:vAlign w:val="bottom"/>
          </w:tcPr>
          <w:p>
            <w:pPr>
              <w:jc w:val="right"/>
              <w:spacing w:after="0"/>
              <w:rPr>
                <w:sz w:val="20"/>
                <w:szCs w:val="20"/>
                <w:color w:val="auto"/>
              </w:rPr>
            </w:pPr>
            <w:r>
              <w:rPr>
                <w:rFonts w:ascii="Arial" w:cs="Arial" w:eastAsia="Arial" w:hAnsi="Arial"/>
                <w:sz w:val="18"/>
                <w:szCs w:val="18"/>
                <w:color w:val="auto"/>
              </w:rPr>
              <w:t>14,359</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4,520</w:t>
            </w:r>
          </w:p>
        </w:tc>
        <w:tc>
          <w:tcPr>
            <w:tcW w:w="940" w:type="dxa"/>
            <w:vAlign w:val="bottom"/>
          </w:tcPr>
          <w:p>
            <w:pPr>
              <w:spacing w:after="0"/>
              <w:rPr>
                <w:sz w:val="24"/>
                <w:szCs w:val="24"/>
                <w:color w:val="auto"/>
              </w:rPr>
            </w:pPr>
          </w:p>
        </w:tc>
      </w:t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w w:val="88"/>
              </w:rPr>
              <w:t>0.00%/16.00%</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10/15/2019</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1,800</w:t>
            </w:r>
          </w:p>
        </w:tc>
        <w:tc>
          <w:tcPr>
            <w:tcW w:w="700" w:type="dxa"/>
            <w:vAlign w:val="bottom"/>
          </w:tcPr>
          <w:p>
            <w:pPr>
              <w:jc w:val="right"/>
              <w:spacing w:after="0"/>
              <w:rPr>
                <w:sz w:val="20"/>
                <w:szCs w:val="20"/>
                <w:color w:val="auto"/>
              </w:rPr>
            </w:pPr>
            <w:r>
              <w:rPr>
                <w:rFonts w:ascii="Arial" w:cs="Arial" w:eastAsia="Arial" w:hAnsi="Arial"/>
                <w:sz w:val="18"/>
                <w:szCs w:val="18"/>
                <w:color w:val="auto"/>
              </w:rPr>
              <w:t>1,800</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1,647</w:t>
            </w:r>
          </w:p>
        </w:tc>
        <w:tc>
          <w:tcPr>
            <w:tcW w:w="94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24"/>
                <w:szCs w:val="24"/>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r>
      <w:tr>
        <w:trPr>
          <w:trHeight w:val="224"/>
        </w:trPr>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16,745</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6,167</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1"/>
        </w:trPr>
        <w:tc>
          <w:tcPr>
            <w:tcW w:w="1140" w:type="dxa"/>
            <w:vAlign w:val="bottom"/>
          </w:tcPr>
          <w:p>
            <w:pPr>
              <w:jc w:val="right"/>
              <w:spacing w:after="0"/>
              <w:rPr>
                <w:sz w:val="20"/>
                <w:szCs w:val="20"/>
                <w:color w:val="auto"/>
              </w:rPr>
            </w:pPr>
            <w:r>
              <w:rPr>
                <w:rFonts w:ascii="Arial" w:cs="Arial" w:eastAsia="Arial" w:hAnsi="Arial"/>
                <w:sz w:val="18"/>
                <w:szCs w:val="18"/>
                <w:color w:val="auto"/>
                <w:w w:val="88"/>
              </w:rPr>
              <w:t>12.00%/3.75%</w:t>
            </w:r>
          </w:p>
        </w:tc>
        <w:tc>
          <w:tcPr>
            <w:tcW w:w="1000" w:type="dxa"/>
            <w:vAlign w:val="bottom"/>
          </w:tcPr>
          <w:p>
            <w:pPr>
              <w:ind w:left="80"/>
              <w:spacing w:after="0"/>
              <w:rPr>
                <w:sz w:val="20"/>
                <w:szCs w:val="20"/>
                <w:color w:val="auto"/>
              </w:rPr>
            </w:pPr>
            <w:r>
              <w:rPr>
                <w:rFonts w:ascii="Arial" w:cs="Arial" w:eastAsia="Arial" w:hAnsi="Arial"/>
                <w:sz w:val="18"/>
                <w:szCs w:val="18"/>
                <w:color w:val="auto"/>
              </w:rPr>
              <w:t>3/28/2023</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7,514</w:t>
            </w:r>
          </w:p>
        </w:tc>
        <w:tc>
          <w:tcPr>
            <w:tcW w:w="700" w:type="dxa"/>
            <w:vAlign w:val="bottom"/>
          </w:tcPr>
          <w:p>
            <w:pPr>
              <w:jc w:val="right"/>
              <w:spacing w:after="0"/>
              <w:rPr>
                <w:sz w:val="20"/>
                <w:szCs w:val="20"/>
                <w:color w:val="auto"/>
              </w:rPr>
            </w:pPr>
            <w:r>
              <w:rPr>
                <w:rFonts w:ascii="Arial" w:cs="Arial" w:eastAsia="Arial" w:hAnsi="Arial"/>
                <w:sz w:val="18"/>
                <w:szCs w:val="18"/>
                <w:color w:val="auto"/>
              </w:rPr>
              <w:t>7,503</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7,514</w:t>
            </w:r>
          </w:p>
        </w:tc>
        <w:tc>
          <w:tcPr>
            <w:tcW w:w="9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927</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744</w:t>
            </w:r>
          </w:p>
        </w:tc>
        <w:tc>
          <w:tcPr>
            <w:tcW w:w="9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24"/>
                <w:szCs w:val="24"/>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r>
      <w:tr>
        <w:trPr>
          <w:trHeight w:val="224"/>
        </w:trPr>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8,985</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8,258</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633"/>
        </w:trPr>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2,106</w:t>
            </w:r>
          </w:p>
        </w:tc>
        <w:tc>
          <w:tcPr>
            <w:tcW w:w="9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940" w:type="dxa"/>
            <w:vAlign w:val="bottom"/>
          </w:tcPr>
          <w:p>
            <w:pPr>
              <w:spacing w:after="0"/>
              <w:rPr>
                <w:sz w:val="20"/>
                <w:szCs w:val="20"/>
                <w:color w:val="auto"/>
              </w:rPr>
            </w:pPr>
          </w:p>
        </w:tc>
      </w:tr>
      <w:tr>
        <w:trPr>
          <w:trHeight w:val="224"/>
        </w:trPr>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2,942</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7"/>
        </w:trPr>
        <w:tc>
          <w:tcPr>
            <w:tcW w:w="1140" w:type="dxa"/>
            <w:vAlign w:val="bottom"/>
          </w:tcPr>
          <w:p>
            <w:pPr>
              <w:jc w:val="right"/>
              <w:spacing w:after="0"/>
              <w:rPr>
                <w:sz w:val="20"/>
                <w:szCs w:val="20"/>
                <w:color w:val="auto"/>
              </w:rPr>
            </w:pPr>
            <w:r>
              <w:rPr>
                <w:rFonts w:ascii="Arial" w:cs="Arial" w:eastAsia="Arial" w:hAnsi="Arial"/>
                <w:sz w:val="18"/>
                <w:szCs w:val="18"/>
                <w:color w:val="auto"/>
                <w:w w:val="88"/>
              </w:rPr>
              <w:t>12.25%/0.00%</w:t>
            </w:r>
          </w:p>
        </w:tc>
        <w:tc>
          <w:tcPr>
            <w:tcW w:w="1000" w:type="dxa"/>
            <w:vAlign w:val="bottom"/>
          </w:tcPr>
          <w:p>
            <w:pPr>
              <w:ind w:left="80"/>
              <w:spacing w:after="0"/>
              <w:rPr>
                <w:sz w:val="20"/>
                <w:szCs w:val="20"/>
                <w:color w:val="auto"/>
              </w:rPr>
            </w:pPr>
            <w:r>
              <w:rPr>
                <w:rFonts w:ascii="Arial" w:cs="Arial" w:eastAsia="Arial" w:hAnsi="Arial"/>
                <w:sz w:val="18"/>
                <w:szCs w:val="18"/>
                <w:color w:val="auto"/>
              </w:rPr>
              <w:t>4/7/2022</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12,000</w:t>
            </w:r>
          </w:p>
        </w:tc>
        <w:tc>
          <w:tcPr>
            <w:tcW w:w="700" w:type="dxa"/>
            <w:vAlign w:val="bottom"/>
          </w:tcPr>
          <w:p>
            <w:pPr>
              <w:jc w:val="right"/>
              <w:spacing w:after="0"/>
              <w:rPr>
                <w:sz w:val="20"/>
                <w:szCs w:val="20"/>
                <w:color w:val="auto"/>
              </w:rPr>
            </w:pPr>
            <w:r>
              <w:rPr>
                <w:rFonts w:ascii="Arial" w:cs="Arial" w:eastAsia="Arial" w:hAnsi="Arial"/>
                <w:sz w:val="18"/>
                <w:szCs w:val="18"/>
                <w:color w:val="auto"/>
              </w:rPr>
              <w:t>11,984</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12,000</w:t>
            </w:r>
          </w:p>
        </w:tc>
        <w:tc>
          <w:tcPr>
            <w:tcW w:w="9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940" w:type="dxa"/>
            <w:vAlign w:val="bottom"/>
          </w:tcPr>
          <w:p>
            <w:pPr>
              <w:spacing w:after="0"/>
              <w:rPr>
                <w:sz w:val="20"/>
                <w:szCs w:val="20"/>
                <w:color w:val="auto"/>
              </w:rPr>
            </w:pPr>
          </w:p>
        </w:tc>
      </w:tr>
      <w:tr>
        <w:trPr>
          <w:trHeight w:val="224"/>
        </w:trPr>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12,326</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13,096</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1"/>
        </w:trPr>
        <w:tc>
          <w:tcPr>
            <w:tcW w:w="1140" w:type="dxa"/>
            <w:vAlign w:val="bottom"/>
          </w:tcPr>
          <w:p>
            <w:pPr>
              <w:jc w:val="right"/>
              <w:spacing w:after="0"/>
              <w:rPr>
                <w:sz w:val="20"/>
                <w:szCs w:val="20"/>
                <w:color w:val="auto"/>
              </w:rPr>
            </w:pPr>
            <w:r>
              <w:rPr>
                <w:rFonts w:ascii="Arial" w:cs="Arial" w:eastAsia="Arial" w:hAnsi="Arial"/>
                <w:sz w:val="18"/>
                <w:szCs w:val="18"/>
                <w:color w:val="auto"/>
                <w:w w:val="88"/>
              </w:rPr>
              <w:t>10.89%/0.00%</w:t>
            </w:r>
          </w:p>
        </w:tc>
        <w:tc>
          <w:tcPr>
            <w:tcW w:w="1000" w:type="dxa"/>
            <w:vAlign w:val="bottom"/>
          </w:tcPr>
          <w:p>
            <w:pPr>
              <w:ind w:left="80"/>
              <w:spacing w:after="0"/>
              <w:rPr>
                <w:sz w:val="20"/>
                <w:szCs w:val="20"/>
                <w:color w:val="auto"/>
              </w:rPr>
            </w:pPr>
            <w:r>
              <w:rPr>
                <w:rFonts w:ascii="Arial" w:cs="Arial" w:eastAsia="Arial" w:hAnsi="Arial"/>
                <w:sz w:val="18"/>
                <w:szCs w:val="18"/>
                <w:color w:val="auto"/>
              </w:rPr>
              <w:t>4/4/2026</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20,000</w:t>
            </w:r>
          </w:p>
        </w:tc>
        <w:tc>
          <w:tcPr>
            <w:tcW w:w="700" w:type="dxa"/>
            <w:vAlign w:val="bottom"/>
          </w:tcPr>
          <w:p>
            <w:pPr>
              <w:jc w:val="right"/>
              <w:spacing w:after="0"/>
              <w:rPr>
                <w:sz w:val="20"/>
                <w:szCs w:val="20"/>
                <w:color w:val="auto"/>
              </w:rPr>
            </w:pPr>
            <w:r>
              <w:rPr>
                <w:rFonts w:ascii="Arial" w:cs="Arial" w:eastAsia="Arial" w:hAnsi="Arial"/>
                <w:sz w:val="18"/>
                <w:szCs w:val="18"/>
                <w:color w:val="auto"/>
              </w:rPr>
              <w:t>19,804</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19,804</w:t>
            </w:r>
          </w:p>
        </w:tc>
        <w:tc>
          <w:tcPr>
            <w:tcW w:w="9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940" w:type="dxa"/>
            <w:vAlign w:val="bottom"/>
          </w:tcPr>
          <w:p>
            <w:pPr>
              <w:spacing w:after="0"/>
              <w:rPr>
                <w:sz w:val="24"/>
                <w:szCs w:val="24"/>
                <w:color w:val="auto"/>
              </w:rPr>
            </w:pPr>
          </w:p>
        </w:tc>
      </w:tr>
      <w:tr>
        <w:trPr>
          <w:trHeight w:val="224"/>
        </w:trPr>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21,304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21,304</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647"/>
        </w:trPr>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4,055</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-7065645</wp:posOffset>
            </wp:positionV>
            <wp:extent cx="699770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-6722745</wp:posOffset>
            </wp:positionV>
            <wp:extent cx="699770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-6448425</wp:posOffset>
            </wp:positionV>
            <wp:extent cx="699770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-6156960</wp:posOffset>
            </wp:positionV>
            <wp:extent cx="699770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-5882640</wp:posOffset>
            </wp:positionV>
            <wp:extent cx="699770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-5470525</wp:posOffset>
            </wp:positionV>
            <wp:extent cx="699770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-5041900</wp:posOffset>
            </wp:positionV>
            <wp:extent cx="699770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-4630420</wp:posOffset>
            </wp:positionV>
            <wp:extent cx="699770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-4338955</wp:posOffset>
            </wp:positionV>
            <wp:extent cx="699770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-3926840</wp:posOffset>
            </wp:positionV>
            <wp:extent cx="699770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-3498215</wp:posOffset>
            </wp:positionV>
            <wp:extent cx="699770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-3223895</wp:posOffset>
            </wp:positionV>
            <wp:extent cx="699770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-2812415</wp:posOffset>
            </wp:positionV>
            <wp:extent cx="699770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-2383155</wp:posOffset>
            </wp:positionV>
            <wp:extent cx="699770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-1971675</wp:posOffset>
            </wp:positionV>
            <wp:extent cx="699770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-1680210</wp:posOffset>
            </wp:positionV>
            <wp:extent cx="699770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-1405890</wp:posOffset>
            </wp:positionV>
            <wp:extent cx="699770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-1114425</wp:posOffset>
            </wp:positionV>
            <wp:extent cx="699770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-839470</wp:posOffset>
            </wp:positionV>
            <wp:extent cx="699770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-410845</wp:posOffset>
            </wp:positionV>
            <wp:extent cx="699770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274320"/>
                    </a:xfrm>
                    <a:prstGeom prst="rect">
                      <a:avLst/>
                    </a:prstGeom>
                    <a:noFill/>
                  </pic:spPr>
                </pic:pic>
              </a:graphicData>
            </a:graphic>
          </wp:anchor>
        </w:drawing>
      </w:r>
    </w:p>
    <w:p>
      <w:pPr>
        <w:sectPr>
          <w:pgSz w:w="11900" w:h="16838" w:orient="portrait"/>
          <w:cols w:equalWidth="0" w:num="2">
            <w:col w:w="5620" w:space="100"/>
            <w:col w:w="5460"/>
          </w:cols>
          <w:pgMar w:left="240" w:top="459" w:right="47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8"/>
              </w:rPr>
              <w:t>Worldwide Express Operations, LLC</w:t>
            </w:r>
          </w:p>
        </w:tc>
        <w:tc>
          <w:tcPr>
            <w:tcW w:w="4720" w:type="dxa"/>
            <w:vAlign w:val="bottom"/>
            <w:shd w:val="clear" w:color="auto" w:fill="CCEEFF"/>
          </w:tcPr>
          <w:p>
            <w:pPr>
              <w:jc w:val="right"/>
              <w:ind w:right="2710"/>
              <w:spacing w:after="0"/>
              <w:rPr>
                <w:sz w:val="20"/>
                <w:szCs w:val="20"/>
                <w:color w:val="auto"/>
              </w:rPr>
            </w:pPr>
            <w:r>
              <w:rPr>
                <w:rFonts w:ascii="Arial" w:cs="Arial" w:eastAsia="Arial" w:hAnsi="Arial"/>
                <w:sz w:val="18"/>
                <w:szCs w:val="18"/>
                <w:color w:val="auto"/>
              </w:rPr>
              <w:t>Transportation services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340"/>
              <w:spacing w:after="0"/>
              <w:rPr>
                <w:sz w:val="20"/>
                <w:szCs w:val="20"/>
                <w:color w:val="auto"/>
              </w:rPr>
            </w:pPr>
            <w:r>
              <w:rPr>
                <w:rFonts w:ascii="Arial" w:cs="Arial" w:eastAsia="Arial" w:hAnsi="Arial"/>
                <w:sz w:val="18"/>
                <w:szCs w:val="18"/>
                <w:color w:val="auto"/>
              </w:rPr>
              <w:t>Second Lien Debt (j)(o)</w:t>
            </w:r>
          </w:p>
        </w:tc>
        <w:tc>
          <w:tcPr>
            <w:tcW w:w="4720" w:type="dxa"/>
            <w:vAlign w:val="bottom"/>
          </w:tcPr>
          <w:p>
            <w:pPr>
              <w:jc w:val="right"/>
              <w:ind w:right="90"/>
              <w:spacing w:after="0"/>
              <w:rPr>
                <w:sz w:val="20"/>
                <w:szCs w:val="20"/>
                <w:color w:val="auto"/>
              </w:rPr>
            </w:pPr>
            <w:r>
              <w:rPr>
                <w:rFonts w:ascii="Arial" w:cs="Arial" w:eastAsia="Arial" w:hAnsi="Arial"/>
                <w:sz w:val="18"/>
                <w:szCs w:val="18"/>
                <w:color w:val="auto"/>
              </w:rPr>
              <w:t>10.52%/0.00%  2/3/2025</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19,715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(4,000</w:t>
            </w:r>
          </w:p>
        </w:tc>
        <w:tc>
          <w:tcPr>
            <w:tcW w:w="4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units) (h)(j)</w:t>
            </w:r>
          </w:p>
        </w:tc>
        <w:tc>
          <w:tcPr>
            <w:tcW w:w="47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22,671</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23,934</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Non-control/Non-affiliate</w:t>
            </w:r>
          </w:p>
        </w:tc>
        <w:tc>
          <w:tcPr>
            <w:tcW w:w="4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w:t>
            </w:r>
          </w:p>
        </w:tc>
        <w:tc>
          <w:tcPr>
            <w:tcW w:w="47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587,945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574,584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4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line="20" w:lineRule="exact"/>
              <w:rPr>
                <w:sz w:val="1"/>
                <w:szCs w:val="1"/>
                <w:color w:val="auto"/>
              </w:rPr>
            </w:pPr>
          </w:p>
        </w:tc>
      </w:tr>
      <w:tr>
        <w:trPr>
          <w:trHeight w:val="210"/>
        </w:trPr>
        <w:tc>
          <w:tcPr>
            <w:tcW w:w="2900" w:type="dxa"/>
            <w:vAlign w:val="bottom"/>
            <w:gridSpan w:val="2"/>
            <w:vMerge w:val="continue"/>
          </w:tcPr>
          <w:p>
            <w:pPr>
              <w:spacing w:after="0"/>
              <w:rPr>
                <w:sz w:val="18"/>
                <w:szCs w:val="18"/>
                <w:color w:val="auto"/>
              </w:rPr>
            </w:pPr>
          </w:p>
        </w:tc>
        <w:tc>
          <w:tcPr>
            <w:tcW w:w="4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655,524</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697,272</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632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90" w:lineRule="exact"/>
        <w:rPr>
          <w:sz w:val="20"/>
          <w:szCs w:val="20"/>
          <w:color w:val="auto"/>
        </w:rPr>
      </w:pPr>
    </w:p>
    <w:p>
      <w:pPr>
        <w:ind w:left="5420" w:right="3320" w:hanging="5416"/>
        <w:spacing w:after="0" w:line="449" w:lineRule="auto"/>
        <w:tabs>
          <w:tab w:leader="none" w:pos="429"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 11</w:t>
      </w:r>
    </w:p>
    <w:p>
      <w:pPr>
        <w:sectPr>
          <w:pgSz w:w="11900" w:h="16838" w:orient="portrait"/>
          <w:cols w:equalWidth="0" w:num="1">
            <w:col w:w="11040"/>
          </w:cols>
          <w:pgMar w:left="440" w:top="167"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w:t>
      </w:r>
    </w:p>
    <w:p>
      <w:pPr>
        <w:spacing w:after="0" w:line="143" w:lineRule="exact"/>
        <w:rPr>
          <w:sz w:val="20"/>
          <w:szCs w:val="20"/>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indicated. Equity investments are non-income producing unless otherwise noted.</w:t>
      </w:r>
    </w:p>
    <w:p>
      <w:pPr>
        <w:spacing w:after="0" w:line="32" w:lineRule="exact"/>
        <w:rPr>
          <w:rFonts w:ascii="Arial" w:cs="Arial" w:eastAsia="Arial" w:hAnsi="Arial"/>
          <w:sz w:val="16"/>
          <w:szCs w:val="16"/>
          <w:color w:val="auto"/>
        </w:rPr>
      </w:pPr>
    </w:p>
    <w:p>
      <w:pPr>
        <w:ind w:left="640" w:right="12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June 30, 2019. Generally, payment-in-kind interest can be paid-in-kind or all in cash.</w:t>
      </w:r>
    </w:p>
    <w:p>
      <w:pPr>
        <w:ind w:left="640" w:right="8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bears cash interest at a variable rate that is determined by reference to one-month LIBOR, which is reset monthly. The cash interest rate is set as one-month LIBOR + 11.50% and is subject to a 1.00% LIBOR interest rate floor. The Company has provided the interest rate in effect as of June 30, 2019.</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producing. Maturity date, if any, represents mandatory redemption date.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is held by a Taxable Subsidiary of the Company.</w:t>
      </w:r>
    </w:p>
    <w:p>
      <w:pPr>
        <w:spacing w:after="0" w:line="9" w:lineRule="exact"/>
        <w:rPr>
          <w:rFonts w:ascii="Arial" w:cs="Arial" w:eastAsia="Arial" w:hAnsi="Arial"/>
          <w:sz w:val="18"/>
          <w:szCs w:val="18"/>
          <w:color w:val="auto"/>
        </w:rPr>
      </w:pPr>
    </w:p>
    <w:p>
      <w:pPr>
        <w:ind w:left="640" w:right="40" w:hanging="436"/>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disclosed commitment represents the unfunded amount as of June 30, 2019. The Company is earning 0.50% interest on the unfunded balance of the commitment. The interest rate disclosed represents the rate which will be earned if the commitment is funded.</w:t>
      </w:r>
    </w:p>
    <w:p>
      <w:pPr>
        <w:ind w:left="640" w:right="140" w:hanging="436"/>
        <w:spacing w:after="0" w:line="28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6"/>
          <w:szCs w:val="16"/>
          <w:color w:val="auto"/>
        </w:rPr>
      </w:pPr>
    </w:p>
    <w:p>
      <w:pPr>
        <w:ind w:left="640" w:right="6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8"/>
          <w:szCs w:val="18"/>
          <w:color w:val="auto"/>
        </w:rPr>
      </w:pPr>
    </w:p>
    <w:p>
      <w:pPr>
        <w:ind w:left="640" w:right="300" w:hanging="436"/>
        <w:spacing w:after="0" w:line="28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2" w:lineRule="exact"/>
        <w:rPr>
          <w:rFonts w:ascii="Arial" w:cs="Arial" w:eastAsia="Arial" w:hAnsi="Arial"/>
          <w:sz w:val="16"/>
          <w:szCs w:val="16"/>
          <w:color w:val="auto"/>
        </w:rPr>
      </w:pPr>
    </w:p>
    <w:p>
      <w:pPr>
        <w:ind w:left="640" w:right="420" w:hanging="436"/>
        <w:spacing w:after="0" w:line="28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 w:lineRule="exact"/>
        <w:rPr>
          <w:rFonts w:ascii="Arial" w:cs="Arial" w:eastAsia="Arial" w:hAnsi="Arial"/>
          <w:sz w:val="16"/>
          <w:szCs w:val="16"/>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9" w:lineRule="exact"/>
        <w:rPr>
          <w:rFonts w:ascii="Arial" w:cs="Arial" w:eastAsia="Arial" w:hAnsi="Arial"/>
          <w:sz w:val="18"/>
          <w:szCs w:val="18"/>
          <w:color w:val="auto"/>
        </w:rPr>
      </w:pPr>
    </w:p>
    <w:p>
      <w:pPr>
        <w:jc w:val="both"/>
        <w:ind w:left="640" w:right="2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bears interest at a variable rate that is determined by reference to three-month LIBOR, which is reset quarterly. The interest rate is set as three-month LIBOR + 8.00% and is subject to a 1.00% LIBOR interest rate floor. The Company has provided the interest rate in effect as of June 30, 2019.</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Investment was on non-accrual status as of June 30, 2019, meaning the Company has ceased recognizing interest income on the investment.</w:t>
      </w:r>
    </w:p>
    <w:p>
      <w:pPr>
        <w:spacing w:after="0" w:line="32" w:lineRule="exact"/>
        <w:rPr>
          <w:rFonts w:ascii="Arial" w:cs="Arial" w:eastAsia="Arial" w:hAnsi="Arial"/>
          <w:sz w:val="16"/>
          <w:szCs w:val="16"/>
          <w:color w:val="auto"/>
        </w:rPr>
      </w:pPr>
    </w:p>
    <w:p>
      <w:pPr>
        <w:ind w:left="640" w:right="20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 entitles the Company to purchase 9.59% of the outstanding principal of Junior Subordinated Notes prior to exercise, and is non-income producing.</w:t>
      </w:r>
    </w:p>
    <w:p>
      <w:pPr>
        <w:ind w:left="640" w:hanging="436"/>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investment bears interest at a variable rate that is determined by reference to three-month LIBOR. The interest rate is set as three-month LIBOR + 5.75% and is subject to a 1.75% LIBOR interest rate floor. In addition to the interest earned based on the stated interest rate of this security, the Company is entitled to receive an additional interest amount of 5.21%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7"/>
          <w:szCs w:val="17"/>
          <w:color w:val="auto"/>
        </w:rPr>
      </w:pPr>
    </w:p>
    <w:p>
      <w:pPr>
        <w:ind w:left="640" w:hanging="436"/>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investment bears interest at a variable rate that is determined by reference to three-month LIBOR. The interest rate is set as three-month LIBOR + 6.25% and is subject to a 2.00% LIBOR interest rate floor. In addition to the interest earned based on the stated interest rate of this security, the Company is entitled to receive an additional interest amount of 4.06%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7"/>
          <w:szCs w:val="17"/>
          <w:color w:val="auto"/>
        </w:rPr>
      </w:pPr>
    </w:p>
    <w:p>
      <w:pPr>
        <w:jc w:val="both"/>
        <w:ind w:left="640" w:right="18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 w:lineRule="exact"/>
        <w:rPr>
          <w:rFonts w:ascii="Arial" w:cs="Arial" w:eastAsia="Arial" w:hAnsi="Arial"/>
          <w:sz w:val="18"/>
          <w:szCs w:val="18"/>
          <w:color w:val="auto"/>
        </w:rPr>
      </w:pPr>
    </w:p>
    <w:p>
      <w:pPr>
        <w:ind w:left="640" w:right="40" w:hanging="436"/>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disclosed commitment represents the unfunded amount as of June 30, 2019. The Company is earning 0.75% interest on the unfunded balance of the commitment. The interest rate disclosed represents the rate earned on the outstanding, funded balance of the commitment.</w:t>
      </w:r>
    </w:p>
    <w:p>
      <w:pPr>
        <w:ind w:left="640" w:hanging="436"/>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investment bears interest at a variable rate that is determined by reference to three-month LIBOR. The interest rate is set as three-month LIBOR + 5.00% and is subject to a 2.00% LIBOR interest rate floor. In addition to the interest earned based on the stated interest rate of this security, the Company is entitled to receive an additional interest amount of 3.44%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7"/>
          <w:szCs w:val="17"/>
          <w:color w:val="auto"/>
        </w:rPr>
      </w:pPr>
    </w:p>
    <w:p>
      <w:pPr>
        <w:jc w:val="both"/>
        <w:ind w:left="640" w:right="2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bears interest at a variable rate that is determined by reference to three-month LIBOR, which is reset quarterly. The interest rate is set as three-month LIBOR + 7.00% and is subject to a 1.00% LIBOR interest rate floor. The Company has provided the interest rate in effect as of June 30, 2019.</w:t>
      </w:r>
    </w:p>
    <w:p>
      <w:pPr>
        <w:spacing w:after="0" w:line="1" w:lineRule="exact"/>
        <w:rPr>
          <w:rFonts w:ascii="Arial" w:cs="Arial" w:eastAsia="Arial" w:hAnsi="Arial"/>
          <w:sz w:val="18"/>
          <w:szCs w:val="18"/>
          <w:color w:val="auto"/>
        </w:rPr>
      </w:pPr>
    </w:p>
    <w:p>
      <w:pPr>
        <w:ind w:left="640" w:hanging="436"/>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investment bears interest at a variable rate that is determined by reference to three-month LIBOR. The interest rate is set as three-month LIBOR + 5.75% and is subject to a 2.00% LIBOR interest rate floor.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7"/>
          <w:szCs w:val="17"/>
          <w:color w:val="auto"/>
        </w:rPr>
      </w:pPr>
    </w:p>
    <w:p>
      <w:pPr>
        <w:jc w:val="both"/>
        <w:ind w:left="640" w:right="2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bears interest at a variable rate that is determined by reference to three-month LIBOR, which is reset quarterly. The interest rate is set as three-month LIBOR + 9.75% and is subject to a 2.00% LIBOR interest rate floor. The Company has provided the interest rate in effect as of June 30, 2019.</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six months ended June 30, 2019, all interest was treated as PIK interest and capitalized to the principal balance of the investment.</w:t>
      </w:r>
    </w:p>
    <w:p>
      <w:pPr>
        <w:sectPr>
          <w:pgSz w:w="11900" w:h="16838" w:orient="portrait"/>
          <w:cols w:equalWidth="0" w:num="1">
            <w:col w:w="11180"/>
          </w:cols>
          <w:pgMar w:left="240" w:top="459" w:right="479" w:bottom="123" w:gutter="0" w:footer="0" w:header="0"/>
        </w:sectPr>
      </w:pPr>
    </w:p>
    <w:p>
      <w:pPr>
        <w:spacing w:after="0" w:line="15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80"/>
          </w:cols>
          <w:pgMar w:left="240" w:top="459" w:right="479" w:bottom="123"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w:t>
      </w:r>
    </w:p>
    <w:p>
      <w:pPr>
        <w:spacing w:after="0" w:line="143" w:lineRule="exact"/>
        <w:rPr>
          <w:sz w:val="20"/>
          <w:szCs w:val="20"/>
          <w:color w:val="auto"/>
        </w:rPr>
      </w:pPr>
    </w:p>
    <w:p>
      <w:pPr>
        <w:jc w:val="both"/>
        <w:ind w:left="640" w:right="20" w:hanging="436"/>
        <w:spacing w:after="0" w:line="25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bears interest at a variable rate that is determined by reference to three-month LIBOR, which is reset quarterly. The interest rate is set as three-month LIBOR + 9.00% and is subject to a 2.25% LIBOR interest rate floor. The Company has provided the interest rate in effect as of June 30, 2019.</w:t>
      </w:r>
    </w:p>
    <w:p>
      <w:pPr>
        <w:sectPr>
          <w:pgSz w:w="11900" w:h="16838" w:orient="portrait"/>
          <w:cols w:equalWidth="0" w:num="1">
            <w:col w:w="11180"/>
          </w:cols>
          <w:pgMar w:left="240" w:top="459" w:right="479" w:bottom="1440" w:gutter="0" w:footer="0" w:header="0"/>
        </w:sectPr>
      </w:pPr>
    </w:p>
    <w:p>
      <w:pPr>
        <w:ind w:left="200"/>
        <w:spacing w:after="0"/>
        <w:rPr>
          <w:sz w:val="20"/>
          <w:szCs w:val="20"/>
          <w:color w:val="auto"/>
        </w:rPr>
      </w:pPr>
      <w:r>
        <w:rPr>
          <w:rFonts w:ascii="Arial" w:cs="Arial" w:eastAsia="Arial" w:hAnsi="Arial"/>
          <w:sz w:val="16"/>
          <w:szCs w:val="16"/>
          <w:color w:val="auto"/>
        </w:rPr>
        <w:t>(ab)</w:t>
      </w: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investment bears interest at a variable rate that is determined by reference to three-month LIBOR, which is reset quarterly. The interest rate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 as three-month LIBOR + 9.25% and is subject to a 2.25% LIBOR interest rate floor. The Company has provided the interest rate in effect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investment bears interest at a variable rate that is determined by reference to three-month LIBOR. The interest rate is set as three-month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LIBOR + 5.25% and is subject to a 2.00% LIBOR interest rate floor. In addition to the interest earned based on the stated interest rate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security, the Company is entitled to receive an additional interest amount of 3.75% on its “last out” tranche of the portfolio company’s senior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which was previously syndicated into “first out” and “last out” tranches, whereby the “first out” tranche will have priority as to the “last out”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tranche with respect to payments of principal, interest and any other amounts due thereunder.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investment bears interest at a variable rate that is determined by reference to one-month LIBOR, which is reset monthly. The interest rate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set as one-month LIBOR + 8.50%. The Company has provided the interest rate in effect as of June 30, 2019.</w:t>
      </w:r>
    </w:p>
    <w:p>
      <w:pPr>
        <w:spacing w:after="0" w:line="200" w:lineRule="exact"/>
        <w:rPr>
          <w:sz w:val="20"/>
          <w:szCs w:val="20"/>
          <w:color w:val="auto"/>
        </w:rPr>
      </w:pPr>
    </w:p>
    <w:p>
      <w:pPr>
        <w:sectPr>
          <w:pgSz w:w="11900" w:h="16838" w:orient="portrait"/>
          <w:cols w:equalWidth="0" w:num="2">
            <w:col w:w="500" w:space="140"/>
            <w:col w:w="10540"/>
          </w:cols>
          <w:pgMar w:left="240" w:top="459" w:right="479" w:bottom="1440" w:gutter="0" w:footer="0" w:header="0"/>
          <w:type w:val="continuous"/>
        </w:sectPr>
      </w:pPr>
    </w:p>
    <w:p>
      <w:pPr>
        <w:spacing w:after="0" w:line="11" w:lineRule="exact"/>
        <w:rPr>
          <w:sz w:val="20"/>
          <w:szCs w:val="20"/>
          <w:color w:val="auto"/>
        </w:rPr>
      </w:pPr>
    </w:p>
    <w:p>
      <w:pPr>
        <w:jc w:val="center"/>
        <w:ind w:right="-259"/>
        <w:spacing w:after="0"/>
        <w:rPr>
          <w:sz w:val="20"/>
          <w:szCs w:val="20"/>
          <w:color w:val="auto"/>
        </w:rPr>
      </w:pPr>
      <w:r>
        <w:rPr>
          <w:rFonts w:ascii="Arial" w:cs="Arial" w:eastAsia="Arial" w:hAnsi="Arial"/>
          <w:sz w:val="16"/>
          <w:szCs w:val="16"/>
          <w:i w:val="1"/>
          <w:iCs w:val="1"/>
          <w:color w:val="auto"/>
        </w:rPr>
        <w:t>See Notes to Consolidated Financial Statements (unaudited).</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00" w:type="dxa"/>
            <w:vAlign w:val="bottom"/>
            <w:gridSpan w:val="5"/>
          </w:tcPr>
          <w:p>
            <w:pPr>
              <w:spacing w:after="0"/>
              <w:rPr>
                <w:sz w:val="20"/>
                <w:szCs w:val="20"/>
                <w:color w:val="auto"/>
              </w:rPr>
            </w:pPr>
            <w:r>
              <w:rPr>
                <w:rFonts w:ascii="Arial" w:cs="Arial" w:eastAsia="Arial" w:hAnsi="Arial"/>
                <w:sz w:val="14"/>
                <w:szCs w:val="14"/>
                <w:b w:val="1"/>
                <w:bCs w:val="1"/>
                <w:color w:val="auto"/>
              </w:rPr>
              <w:t>Portfolio Company (a)(b)</w:t>
            </w:r>
          </w:p>
        </w:tc>
        <w:tc>
          <w:tcPr>
            <w:tcW w:w="60" w:type="dxa"/>
            <w:vAlign w:val="bottom"/>
          </w:tcPr>
          <w:p>
            <w:pPr>
              <w:spacing w:after="0"/>
              <w:rPr>
                <w:sz w:val="14"/>
                <w:szCs w:val="14"/>
                <w:color w:val="auto"/>
              </w:rPr>
            </w:pPr>
          </w:p>
        </w:tc>
        <w:tc>
          <w:tcPr>
            <w:tcW w:w="300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Industry</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Rate (d)</w:t>
            </w:r>
          </w:p>
        </w:tc>
        <w:tc>
          <w:tcPr>
            <w:tcW w:w="8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2"/>
        </w:trPr>
        <w:tc>
          <w:tcPr>
            <w:tcW w:w="2600" w:type="dxa"/>
            <w:vAlign w:val="bottom"/>
            <w:gridSpan w:val="5"/>
          </w:tcPr>
          <w:p>
            <w:pPr>
              <w:spacing w:after="0"/>
              <w:rPr>
                <w:sz w:val="20"/>
                <w:szCs w:val="20"/>
                <w:color w:val="auto"/>
              </w:rPr>
            </w:pPr>
            <w:r>
              <w:rPr>
                <w:rFonts w:ascii="Arial" w:cs="Arial" w:eastAsia="Arial" w:hAnsi="Arial"/>
                <w:sz w:val="14"/>
                <w:szCs w:val="14"/>
                <w:b w:val="1"/>
                <w:bCs w:val="1"/>
                <w:color w:val="auto"/>
              </w:rPr>
              <w:t>Investment Type (c)</w:t>
            </w:r>
          </w:p>
        </w:tc>
        <w:tc>
          <w:tcPr>
            <w:tcW w:w="60" w:type="dxa"/>
            <w:vAlign w:val="bottom"/>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Cash/PIK</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Value (e)</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4"/>
            <w:shd w:val="clear" w:color="auto" w:fill="CCEEFF"/>
          </w:tcPr>
          <w:p>
            <w:pPr>
              <w:spacing w:after="0" w:line="150" w:lineRule="exact"/>
              <w:rPr>
                <w:sz w:val="20"/>
                <w:szCs w:val="20"/>
                <w:color w:val="auto"/>
              </w:rPr>
            </w:pPr>
            <w:r>
              <w:rPr>
                <w:rFonts w:ascii="Arial" w:cs="Arial" w:eastAsia="Arial" w:hAnsi="Arial"/>
                <w:sz w:val="17"/>
                <w:szCs w:val="17"/>
                <w:b w:val="1"/>
                <w:bCs w:val="1"/>
                <w:color w:val="auto"/>
              </w:rPr>
              <w:t>Control Investments (t)</w:t>
            </w:r>
          </w:p>
        </w:tc>
        <w:tc>
          <w:tcPr>
            <w:tcW w:w="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5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80" w:type="dxa"/>
            <w:vAlign w:val="bottom"/>
            <w:gridSpan w:val="4"/>
          </w:tcPr>
          <w:p>
            <w:pPr>
              <w:spacing w:after="0" w:line="201" w:lineRule="exact"/>
              <w:rPr>
                <w:sz w:val="20"/>
                <w:szCs w:val="20"/>
                <w:color w:val="auto"/>
              </w:rPr>
            </w:pPr>
            <w:r>
              <w:rPr>
                <w:rFonts w:ascii="Arial" w:cs="Arial" w:eastAsia="Arial" w:hAnsi="Arial"/>
                <w:sz w:val="18"/>
                <w:szCs w:val="18"/>
                <w:i w:val="1"/>
                <w:iCs w:val="1"/>
                <w:color w:val="auto"/>
              </w:rPr>
              <w:t>FDS Avionics Corp. (dba Flight</w:t>
            </w: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4"/>
          </w:tcPr>
          <w:p>
            <w:pPr>
              <w:ind w:left="160"/>
              <w:spacing w:after="0"/>
              <w:rPr>
                <w:sz w:val="20"/>
                <w:szCs w:val="20"/>
                <w:color w:val="auto"/>
              </w:rPr>
            </w:pPr>
            <w:r>
              <w:rPr>
                <w:rFonts w:ascii="Arial" w:cs="Arial" w:eastAsia="Arial" w:hAnsi="Arial"/>
                <w:sz w:val="18"/>
                <w:szCs w:val="18"/>
                <w:i w:val="1"/>
                <w:iCs w:val="1"/>
                <w:color w:val="auto"/>
              </w:rPr>
              <w:t>Display Systems)</w:t>
            </w:r>
          </w:p>
        </w:tc>
        <w:tc>
          <w:tcPr>
            <w:tcW w:w="3060" w:type="dxa"/>
            <w:vAlign w:val="bottom"/>
            <w:gridSpan w:val="3"/>
          </w:tcPr>
          <w:p>
            <w:pPr>
              <w:ind w:left="60"/>
              <w:spacing w:after="0"/>
              <w:rPr>
                <w:sz w:val="20"/>
                <w:szCs w:val="20"/>
                <w:color w:val="auto"/>
              </w:rPr>
            </w:pPr>
            <w:r>
              <w:rPr>
                <w:rFonts w:ascii="Arial" w:cs="Arial" w:eastAsia="Arial" w:hAnsi="Arial"/>
                <w:sz w:val="18"/>
                <w:szCs w:val="18"/>
                <w:color w:val="auto"/>
              </w:rPr>
              <w:t>Aerospace &amp; Defense Manufacturing</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Second Lien Debt</w:t>
            </w:r>
          </w:p>
        </w:tc>
        <w:tc>
          <w:tcPr>
            <w:tcW w:w="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4.00%/11.00%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4/1/2020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Revolving Loan ($50</w:t>
            </w: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4"/>
          </w:tcPr>
          <w:p>
            <w:pPr>
              <w:ind w:left="520"/>
              <w:spacing w:after="0"/>
              <w:rPr>
                <w:sz w:val="20"/>
                <w:szCs w:val="20"/>
                <w:color w:val="auto"/>
              </w:rPr>
            </w:pPr>
            <w:r>
              <w:rPr>
                <w:rFonts w:ascii="Arial" w:cs="Arial" w:eastAsia="Arial" w:hAnsi="Arial"/>
                <w:sz w:val="18"/>
                <w:szCs w:val="18"/>
                <w:color w:val="auto"/>
              </w:rPr>
              <w:t>commitment)</w:t>
            </w: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4.00%/11.00%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4/1/2020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(7,478</w:t>
            </w:r>
          </w:p>
        </w:tc>
        <w:tc>
          <w:tcPr>
            <w:tcW w:w="6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shares) (j)</w:t>
            </w:r>
          </w:p>
        </w:tc>
        <w:tc>
          <w:tcPr>
            <w:tcW w:w="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7,159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5,612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K2 Industrial Services, Inc.</w:t>
            </w:r>
          </w:p>
        </w:tc>
        <w:tc>
          <w:tcPr>
            <w:tcW w:w="30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Industrial Cleaning &amp; Coatings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ind w:left="340"/>
              <w:spacing w:after="0"/>
              <w:rPr>
                <w:sz w:val="20"/>
                <w:szCs w:val="20"/>
                <w:color w:val="auto"/>
              </w:rPr>
            </w:pPr>
            <w:r>
              <w:rPr>
                <w:rFonts w:ascii="Arial" w:cs="Arial" w:eastAsia="Arial" w:hAnsi="Arial"/>
                <w:sz w:val="18"/>
                <w:szCs w:val="18"/>
                <w:color w:val="auto"/>
              </w:rPr>
              <w:t>Second Lien Debt (p)</w:t>
            </w:r>
          </w:p>
        </w:tc>
        <w:tc>
          <w:tcPr>
            <w:tcW w:w="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0.00%/15.00%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6/25/2020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10,453</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Second Lien Debt (p)</w:t>
            </w:r>
          </w:p>
        </w:tc>
        <w:tc>
          <w:tcPr>
            <w:tcW w:w="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0.00%/12.00%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6/25/2020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ind w:left="340"/>
              <w:spacing w:after="0"/>
              <w:rPr>
                <w:sz w:val="20"/>
                <w:szCs w:val="20"/>
                <w:color w:val="auto"/>
              </w:rPr>
            </w:pPr>
            <w:r>
              <w:rPr>
                <w:rFonts w:ascii="Arial" w:cs="Arial" w:eastAsia="Arial" w:hAnsi="Arial"/>
                <w:sz w:val="18"/>
                <w:szCs w:val="18"/>
                <w:color w:val="auto"/>
              </w:rPr>
              <w:t>Second Lien Debt (p)</w:t>
            </w:r>
          </w:p>
        </w:tc>
        <w:tc>
          <w:tcPr>
            <w:tcW w:w="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0.00%/19.00%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6/25/2020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(1,673</w:t>
            </w:r>
          </w:p>
        </w:tc>
        <w:tc>
          <w:tcPr>
            <w:tcW w:w="6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shares)</w:t>
            </w:r>
          </w:p>
        </w:tc>
        <w:tc>
          <w:tcPr>
            <w:tcW w:w="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15,538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13,208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Control Investments</w:t>
            </w:r>
          </w:p>
        </w:tc>
        <w:tc>
          <w:tcPr>
            <w:tcW w:w="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18,820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6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Affiliate Investments (l)</w:t>
            </w: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0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FAR Research Inc. (n)</w:t>
            </w:r>
          </w:p>
        </w:tc>
        <w:tc>
          <w:tcPr>
            <w:tcW w:w="30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Specialty Chemicals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4"/>
          </w:tcPr>
          <w:p>
            <w:pPr>
              <w:ind w:left="340"/>
              <w:spacing w:after="0"/>
              <w:rPr>
                <w:sz w:val="20"/>
                <w:szCs w:val="20"/>
                <w:color w:val="auto"/>
              </w:rPr>
            </w:pPr>
            <w:r>
              <w:rPr>
                <w:rFonts w:ascii="Arial" w:cs="Arial" w:eastAsia="Arial" w:hAnsi="Arial"/>
                <w:sz w:val="18"/>
                <w:szCs w:val="18"/>
                <w:color w:val="auto"/>
                <w:w w:val="95"/>
              </w:rPr>
              <w:t>Common Equity (1,396 units)</w:t>
            </w: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Fiber Materials, Inc.</w:t>
            </w:r>
          </w:p>
        </w:tc>
        <w:tc>
          <w:tcPr>
            <w:tcW w:w="30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Aerospace &amp; Defense Manufacturing</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ind w:left="340"/>
              <w:spacing w:after="0"/>
              <w:rPr>
                <w:sz w:val="20"/>
                <w:szCs w:val="20"/>
                <w:color w:val="auto"/>
              </w:rPr>
            </w:pPr>
            <w:r>
              <w:rPr>
                <w:rFonts w:ascii="Arial" w:cs="Arial" w:eastAsia="Arial" w:hAnsi="Arial"/>
                <w:sz w:val="18"/>
                <w:szCs w:val="18"/>
                <w:color w:val="auto"/>
              </w:rPr>
              <w:t>Second Lien Debt</w:t>
            </w:r>
          </w:p>
        </w:tc>
        <w:tc>
          <w:tcPr>
            <w:tcW w:w="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12.00%/0.00%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5/30/2022</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4,044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Common Equity (10 units)</w:t>
            </w:r>
          </w:p>
        </w:tc>
        <w:tc>
          <w:tcPr>
            <w:tcW w:w="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5,032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6,148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Medsurant Holdings, LLC</w:t>
            </w:r>
          </w:p>
        </w:tc>
        <w:tc>
          <w:tcPr>
            <w:tcW w:w="30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Healthcare Services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ind w:left="340"/>
              <w:spacing w:after="0"/>
              <w:rPr>
                <w:sz w:val="20"/>
                <w:szCs w:val="20"/>
                <w:color w:val="auto"/>
              </w:rPr>
            </w:pPr>
            <w:r>
              <w:rPr>
                <w:rFonts w:ascii="Arial" w:cs="Arial" w:eastAsia="Arial" w:hAnsi="Arial"/>
                <w:sz w:val="18"/>
                <w:szCs w:val="18"/>
                <w:color w:val="auto"/>
              </w:rPr>
              <w:t>Second Lien Debt</w:t>
            </w:r>
          </w:p>
        </w:tc>
        <w:tc>
          <w:tcPr>
            <w:tcW w:w="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13.00%/0.00%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6/30/2020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8,823</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Equity (126,662</w:t>
            </w:r>
          </w:p>
        </w:tc>
        <w:tc>
          <w:tcPr>
            <w:tcW w:w="6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units) (h)</w:t>
            </w:r>
          </w:p>
        </w:tc>
        <w:tc>
          <w:tcPr>
            <w:tcW w:w="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Warrant (505,176 units) (h)</w:t>
            </w: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gridSpan w:val="4"/>
          </w:tcPr>
          <w:p>
            <w:pPr>
              <w:ind w:left="520"/>
              <w:spacing w:after="0"/>
              <w:rPr>
                <w:sz w:val="20"/>
                <w:szCs w:val="20"/>
                <w:color w:val="auto"/>
              </w:rPr>
            </w:pPr>
            <w:r>
              <w:rPr>
                <w:rFonts w:ascii="Arial" w:cs="Arial" w:eastAsia="Arial" w:hAnsi="Arial"/>
                <w:sz w:val="18"/>
                <w:szCs w:val="18"/>
                <w:color w:val="auto"/>
              </w:rPr>
              <w:t>(m)</w:t>
            </w: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21,346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tcPr>
          <w:p>
            <w:pPr>
              <w:spacing w:after="0" w:line="201" w:lineRule="exact"/>
              <w:rPr>
                <w:sz w:val="20"/>
                <w:szCs w:val="20"/>
                <w:color w:val="auto"/>
              </w:rPr>
            </w:pPr>
            <w:r>
              <w:rPr>
                <w:rFonts w:ascii="Arial" w:cs="Arial" w:eastAsia="Arial" w:hAnsi="Arial"/>
                <w:sz w:val="18"/>
                <w:szCs w:val="18"/>
                <w:i w:val="1"/>
                <w:iCs w:val="1"/>
                <w:color w:val="auto"/>
                <w:w w:val="91"/>
              </w:rPr>
              <w:t>Microbiology Research Associates,</w:t>
            </w: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4"/>
          </w:tcPr>
          <w:p>
            <w:pPr>
              <w:ind w:left="160"/>
              <w:spacing w:after="0"/>
              <w:rPr>
                <w:sz w:val="20"/>
                <w:szCs w:val="20"/>
                <w:color w:val="auto"/>
              </w:rPr>
            </w:pPr>
            <w:r>
              <w:rPr>
                <w:rFonts w:ascii="Arial" w:cs="Arial" w:eastAsia="Arial" w:hAnsi="Arial"/>
                <w:sz w:val="18"/>
                <w:szCs w:val="18"/>
                <w:i w:val="1"/>
                <w:iCs w:val="1"/>
                <w:color w:val="auto"/>
              </w:rPr>
              <w:t>Inc.</w:t>
            </w:r>
          </w:p>
        </w:tc>
        <w:tc>
          <w:tcPr>
            <w:tcW w:w="3060" w:type="dxa"/>
            <w:vAlign w:val="bottom"/>
            <w:gridSpan w:val="3"/>
          </w:tcPr>
          <w:p>
            <w:pPr>
              <w:ind w:left="60"/>
              <w:spacing w:after="0"/>
              <w:rPr>
                <w:sz w:val="20"/>
                <w:szCs w:val="20"/>
                <w:color w:val="auto"/>
              </w:rPr>
            </w:pPr>
            <w:r>
              <w:rPr>
                <w:rFonts w:ascii="Arial" w:cs="Arial" w:eastAsia="Arial" w:hAnsi="Arial"/>
                <w:sz w:val="18"/>
                <w:szCs w:val="18"/>
                <w:color w:val="auto"/>
              </w:rPr>
              <w:t>Healthcare Services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Subordinated Debt</w:t>
            </w:r>
          </w:p>
        </w:tc>
        <w:tc>
          <w:tcPr>
            <w:tcW w:w="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11.00%/1.50%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3/13/2022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Common Equity (1,625,731</w:t>
            </w: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gridSpan w:val="4"/>
          </w:tcPr>
          <w:p>
            <w:pPr>
              <w:ind w:left="520"/>
              <w:spacing w:after="0"/>
              <w:rPr>
                <w:sz w:val="20"/>
                <w:szCs w:val="20"/>
                <w:color w:val="auto"/>
              </w:rPr>
            </w:pPr>
            <w:r>
              <w:rPr>
                <w:rFonts w:ascii="Arial" w:cs="Arial" w:eastAsia="Arial" w:hAnsi="Arial"/>
                <w:sz w:val="18"/>
                <w:szCs w:val="18"/>
                <w:color w:val="auto"/>
              </w:rPr>
              <w:t>units) (j)</w:t>
            </w: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10,046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spacing w:after="0"/>
              <w:rPr>
                <w:sz w:val="20"/>
                <w:szCs w:val="20"/>
                <w:color w:val="auto"/>
              </w:rPr>
            </w:pPr>
            <w:r>
              <w:rPr>
                <w:rFonts w:ascii="Arial" w:cs="Arial" w:eastAsia="Arial" w:hAnsi="Arial"/>
                <w:sz w:val="18"/>
                <w:szCs w:val="18"/>
                <w:i w:val="1"/>
                <w:iCs w:val="1"/>
                <w:color w:val="auto"/>
              </w:rPr>
              <w:t>Mirage Trailers LLC</w:t>
            </w:r>
          </w:p>
        </w:tc>
        <w:tc>
          <w:tcPr>
            <w:tcW w:w="3060" w:type="dxa"/>
            <w:vAlign w:val="bottom"/>
            <w:gridSpan w:val="3"/>
          </w:tcPr>
          <w:p>
            <w:pPr>
              <w:ind w:left="60"/>
              <w:spacing w:after="0"/>
              <w:rPr>
                <w:sz w:val="20"/>
                <w:szCs w:val="20"/>
                <w:color w:val="auto"/>
              </w:rPr>
            </w:pPr>
            <w:r>
              <w:rPr>
                <w:rFonts w:ascii="Arial" w:cs="Arial" w:eastAsia="Arial" w:hAnsi="Arial"/>
                <w:sz w:val="18"/>
                <w:szCs w:val="18"/>
                <w:color w:val="auto"/>
              </w:rPr>
              <w:t>Utility Equipment Manufacturing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Second Lien Debt (k)(f)</w:t>
            </w:r>
          </w:p>
        </w:tc>
        <w:tc>
          <w:tcPr>
            <w:tcW w:w="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13.85%/1.50%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11/25/2020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Common Equity (2,500,000</w:t>
            </w: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gridSpan w:val="4"/>
          </w:tcPr>
          <w:p>
            <w:pPr>
              <w:ind w:left="520"/>
              <w:spacing w:after="0"/>
              <w:rPr>
                <w:sz w:val="20"/>
                <w:szCs w:val="20"/>
                <w:color w:val="auto"/>
              </w:rPr>
            </w:pPr>
            <w:r>
              <w:rPr>
                <w:rFonts w:ascii="Arial" w:cs="Arial" w:eastAsia="Arial" w:hAnsi="Arial"/>
                <w:sz w:val="18"/>
                <w:szCs w:val="18"/>
                <w:color w:val="auto"/>
              </w:rPr>
              <w:t>shares) (g)</w:t>
            </w: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spacing w:after="0"/>
              <w:rPr>
                <w:sz w:val="20"/>
                <w:szCs w:val="20"/>
                <w:color w:val="auto"/>
              </w:rPr>
            </w:pPr>
            <w:r>
              <w:rPr>
                <w:rFonts w:ascii="Arial" w:cs="Arial" w:eastAsia="Arial" w:hAnsi="Arial"/>
                <w:sz w:val="18"/>
                <w:szCs w:val="18"/>
                <w:i w:val="1"/>
                <w:iCs w:val="1"/>
                <w:color w:val="auto"/>
              </w:rPr>
              <w:t>Pfanstiehl, Inc.</w:t>
            </w:r>
          </w:p>
        </w:tc>
        <w:tc>
          <w:tcPr>
            <w:tcW w:w="3060" w:type="dxa"/>
            <w:vAlign w:val="bottom"/>
            <w:gridSpan w:val="3"/>
          </w:tcPr>
          <w:p>
            <w:pPr>
              <w:ind w:left="60"/>
              <w:spacing w:after="0"/>
              <w:rPr>
                <w:sz w:val="20"/>
                <w:szCs w:val="20"/>
                <w:color w:val="auto"/>
              </w:rPr>
            </w:pPr>
            <w:r>
              <w:rPr>
                <w:rFonts w:ascii="Arial" w:cs="Arial" w:eastAsia="Arial" w:hAnsi="Arial"/>
                <w:sz w:val="18"/>
                <w:szCs w:val="18"/>
                <w:color w:val="auto"/>
              </w:rPr>
              <w:t>Healthcare Products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Subordinated Debt</w:t>
            </w:r>
          </w:p>
        </w:tc>
        <w:tc>
          <w:tcPr>
            <w:tcW w:w="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10.50%/0.00%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9/29/2022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5"/>
              </w:rPr>
              <w:t>Common Equity (8,500 units)</w:t>
            </w: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gridSpan w:val="4"/>
          </w:tcPr>
          <w:p>
            <w:pPr>
              <w:ind w:left="520"/>
              <w:spacing w:after="0"/>
              <w:rPr>
                <w:sz w:val="20"/>
                <w:szCs w:val="20"/>
                <w:color w:val="auto"/>
              </w:rPr>
            </w:pPr>
            <w:r>
              <w:rPr>
                <w:rFonts w:ascii="Arial" w:cs="Arial" w:eastAsia="Arial" w:hAnsi="Arial"/>
                <w:sz w:val="18"/>
                <w:szCs w:val="18"/>
                <w:color w:val="auto"/>
              </w:rPr>
              <w:t>(j)</w:t>
            </w: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13,815</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20,023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spacing w:after="0"/>
              <w:rPr>
                <w:sz w:val="20"/>
                <w:szCs w:val="20"/>
                <w:color w:val="auto"/>
              </w:rPr>
            </w:pPr>
            <w:r>
              <w:rPr>
                <w:rFonts w:ascii="Arial" w:cs="Arial" w:eastAsia="Arial" w:hAnsi="Arial"/>
                <w:sz w:val="18"/>
                <w:szCs w:val="18"/>
                <w:i w:val="1"/>
                <w:iCs w:val="1"/>
                <w:color w:val="auto"/>
              </w:rPr>
              <w:t>Pinnergy, Ltd.</w:t>
            </w:r>
          </w:p>
        </w:tc>
        <w:tc>
          <w:tcPr>
            <w:tcW w:w="3060" w:type="dxa"/>
            <w:vAlign w:val="bottom"/>
            <w:gridSpan w:val="3"/>
          </w:tcPr>
          <w:p>
            <w:pPr>
              <w:ind w:left="60"/>
              <w:spacing w:after="0"/>
              <w:rPr>
                <w:sz w:val="20"/>
                <w:szCs w:val="20"/>
                <w:color w:val="auto"/>
              </w:rPr>
            </w:pPr>
            <w:r>
              <w:rPr>
                <w:rFonts w:ascii="Arial" w:cs="Arial" w:eastAsia="Arial" w:hAnsi="Arial"/>
                <w:sz w:val="18"/>
                <w:szCs w:val="18"/>
                <w:color w:val="auto"/>
              </w:rPr>
              <w:t>Oil &amp; Gas Services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Second Lien Debt (k)</w:t>
            </w:r>
          </w:p>
        </w:tc>
        <w:tc>
          <w:tcPr>
            <w:tcW w:w="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12.00%/0.00%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1/24/2020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9"/>
              </w:rPr>
              <w:t>Common Equity - Class A-2</w:t>
            </w: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4"/>
          </w:tcPr>
          <w:p>
            <w:pPr>
              <w:ind w:left="520"/>
              <w:spacing w:after="0"/>
              <w:rPr>
                <w:sz w:val="20"/>
                <w:szCs w:val="20"/>
                <w:color w:val="auto"/>
              </w:rPr>
            </w:pPr>
            <w:r>
              <w:rPr>
                <w:rFonts w:ascii="Arial" w:cs="Arial" w:eastAsia="Arial" w:hAnsi="Arial"/>
                <w:sz w:val="18"/>
                <w:szCs w:val="18"/>
                <w:color w:val="auto"/>
              </w:rPr>
              <w:t>(42,500 units) (k)</w:t>
            </w: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33,878</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 Class B</w:t>
            </w:r>
          </w:p>
        </w:tc>
        <w:tc>
          <w:tcPr>
            <w:tcW w:w="6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(1,000 units) (k)</w:t>
            </w:r>
          </w:p>
        </w:tc>
        <w:tc>
          <w:tcPr>
            <w:tcW w:w="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9,993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40,878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Steward Holding LLC (dba</w:t>
            </w:r>
          </w:p>
        </w:tc>
        <w:tc>
          <w:tcPr>
            <w:tcW w:w="6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Steward Advanced Materials)</w:t>
            </w:r>
          </w:p>
        </w:tc>
        <w:tc>
          <w:tcPr>
            <w:tcW w:w="30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Aerospace &amp; Defense Manufacturing</w:t>
            </w: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ind w:left="340"/>
              <w:spacing w:after="0"/>
              <w:rPr>
                <w:sz w:val="20"/>
                <w:szCs w:val="20"/>
                <w:color w:val="auto"/>
              </w:rPr>
            </w:pPr>
            <w:r>
              <w:rPr>
                <w:rFonts w:ascii="Arial" w:cs="Arial" w:eastAsia="Arial" w:hAnsi="Arial"/>
                <w:sz w:val="18"/>
                <w:szCs w:val="18"/>
                <w:color w:val="auto"/>
              </w:rPr>
              <w:t>Second Lien Debt</w:t>
            </w:r>
          </w:p>
        </w:tc>
        <w:tc>
          <w:tcPr>
            <w:tcW w:w="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12.00%/1.50%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5/12/2021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7,553</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(1,000,000</w:t>
            </w:r>
          </w:p>
        </w:tc>
        <w:tc>
          <w:tcPr>
            <w:tcW w:w="6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units)</w:t>
            </w:r>
          </w:p>
        </w:tc>
        <w:tc>
          <w:tcPr>
            <w:tcW w:w="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8,910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w w:val="98"/>
              </w:rPr>
              <w:t>Trantech Radiator Products, Inc.</w:t>
            </w:r>
          </w:p>
        </w:tc>
        <w:tc>
          <w:tcPr>
            <w:tcW w:w="30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Utility Equipment Manufacturing</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ind w:left="340"/>
              <w:spacing w:after="0"/>
              <w:rPr>
                <w:sz w:val="20"/>
                <w:szCs w:val="20"/>
                <w:color w:val="auto"/>
              </w:rPr>
            </w:pPr>
            <w:r>
              <w:rPr>
                <w:rFonts w:ascii="Arial" w:cs="Arial" w:eastAsia="Arial" w:hAnsi="Arial"/>
                <w:sz w:val="18"/>
                <w:szCs w:val="18"/>
                <w:color w:val="auto"/>
              </w:rPr>
              <w:t>Second Lien Debt (j)</w:t>
            </w:r>
          </w:p>
        </w:tc>
        <w:tc>
          <w:tcPr>
            <w:tcW w:w="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13.75%/0.00%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w w:val="90"/>
              </w:rPr>
              <w:t>12/31/2019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5,994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(6,875</w:t>
            </w:r>
          </w:p>
        </w:tc>
        <w:tc>
          <w:tcPr>
            <w:tcW w:w="6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shares) (j)</w:t>
            </w:r>
          </w:p>
        </w:tc>
        <w:tc>
          <w:tcPr>
            <w:tcW w:w="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1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Affiliate Investments</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70,924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123,051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880" w:type="dxa"/>
            <w:vAlign w:val="bottom"/>
            <w:vMerge w:val="restart"/>
          </w:tcPr>
          <w:p>
            <w:pPr>
              <w:jc w:val="right"/>
              <w:ind w:right="2930"/>
              <w:spacing w:after="0"/>
              <w:rPr>
                <w:sz w:val="20"/>
                <w:szCs w:val="20"/>
                <w:color w:val="auto"/>
              </w:rPr>
            </w:pPr>
            <w:r>
              <w:rPr>
                <w:rFonts w:ascii="Arial" w:cs="Arial" w:eastAsia="Arial" w:hAnsi="Arial"/>
                <w:sz w:val="18"/>
                <w:szCs w:val="18"/>
                <w:color w:val="auto"/>
              </w:rPr>
              <w:t>14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125"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80"/>
          </w:cols>
          <w:pgMar w:left="240" w:top="459" w:right="479" w:bottom="0" w:gutter="0" w:footer="0" w:header="0"/>
        </w:sectPr>
      </w:pP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(a)(b)</w:t>
            </w:r>
          </w:p>
        </w:tc>
        <w:tc>
          <w:tcPr>
            <w:tcW w:w="160" w:type="dxa"/>
            <w:vAlign w:val="bottom"/>
          </w:tcPr>
          <w:p>
            <w:pPr>
              <w:spacing w:after="0"/>
              <w:rPr>
                <w:sz w:val="14"/>
                <w:szCs w:val="14"/>
                <w:color w:val="auto"/>
              </w:rPr>
            </w:pPr>
          </w:p>
        </w:tc>
        <w:tc>
          <w:tcPr>
            <w:tcW w:w="25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19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 Type (c)</w:t>
            </w: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20" w:type="dxa"/>
            <w:vAlign w:val="bottom"/>
            <w:tcBorders>
              <w:bottom w:val="single" w:sz="8" w:color="auto"/>
            </w:tcBorders>
            <w:gridSpan w:val="2"/>
          </w:tcPr>
          <w:p>
            <w:pPr>
              <w:spacing w:after="0" w:line="150" w:lineRule="exact"/>
              <w:rPr>
                <w:sz w:val="20"/>
                <w:szCs w:val="20"/>
                <w:color w:val="auto"/>
              </w:rPr>
            </w:pPr>
            <w:r>
              <w:rPr>
                <w:rFonts w:ascii="Arial" w:cs="Arial" w:eastAsia="Arial" w:hAnsi="Arial"/>
                <w:sz w:val="17"/>
                <w:szCs w:val="17"/>
                <w:b w:val="1"/>
                <w:bCs w:val="1"/>
                <w:color w:val="auto"/>
                <w:w w:val="95"/>
              </w:rPr>
              <w:t>Non-control/Non-affiliate Investments</w:t>
            </w:r>
          </w:p>
        </w:tc>
        <w:tc>
          <w:tcPr>
            <w:tcW w:w="1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Accent Food Services, LLC</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Vending Equipment</w:t>
            </w:r>
          </w:p>
        </w:tc>
        <w:tc>
          <w:tcPr>
            <w:tcW w:w="0" w:type="dxa"/>
            <w:vAlign w:val="bottom"/>
          </w:tcPr>
          <w:p>
            <w:pPr>
              <w:spacing w:after="0"/>
              <w:rPr>
                <w:sz w:val="1"/>
                <w:szCs w:val="1"/>
                <w:color w:val="auto"/>
              </w:rPr>
            </w:pPr>
          </w:p>
        </w:tc>
      </w:tr>
      <w:tr>
        <w:trPr>
          <w:trHeight w:val="230"/>
        </w:trPr>
        <w:tc>
          <w:tcPr>
            <w:tcW w:w="2920" w:type="dxa"/>
            <w:vAlign w:val="bottom"/>
            <w:gridSpan w:val="2"/>
            <w:vMerge w:val="restart"/>
          </w:tcPr>
          <w:p>
            <w:pPr>
              <w:ind w:left="360"/>
              <w:spacing w:after="0"/>
              <w:rPr>
                <w:sz w:val="20"/>
                <w:szCs w:val="20"/>
                <w:color w:val="auto"/>
              </w:rPr>
            </w:pPr>
            <w:r>
              <w:rPr>
                <w:rFonts w:ascii="Arial" w:cs="Arial" w:eastAsia="Arial" w:hAnsi="Arial"/>
                <w:sz w:val="18"/>
                <w:szCs w:val="18"/>
                <w:color w:val="auto"/>
              </w:rPr>
              <w:t>Second Lien Debt (k)</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02"/>
        </w:trPr>
        <w:tc>
          <w:tcPr>
            <w:tcW w:w="2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Common Equity (7,885</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540"/>
              <w:spacing w:after="0"/>
              <w:rPr>
                <w:sz w:val="20"/>
                <w:szCs w:val="20"/>
                <w:color w:val="auto"/>
              </w:rPr>
            </w:pPr>
            <w:r>
              <w:rPr>
                <w:rFonts w:ascii="Arial" w:cs="Arial" w:eastAsia="Arial" w:hAnsi="Arial"/>
                <w:sz w:val="18"/>
                <w:szCs w:val="18"/>
                <w:color w:val="auto"/>
              </w:rPr>
              <w:t>units) (h)(j)</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Allied 100 Group, Inc.</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Healthcare Products</w:t>
            </w: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Common Equity (1,250,000</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540"/>
              <w:spacing w:after="0"/>
              <w:rPr>
                <w:sz w:val="20"/>
                <w:szCs w:val="20"/>
                <w:color w:val="auto"/>
              </w:rPr>
            </w:pPr>
            <w:r>
              <w:rPr>
                <w:rFonts w:ascii="Arial" w:cs="Arial" w:eastAsia="Arial" w:hAnsi="Arial"/>
                <w:sz w:val="18"/>
                <w:szCs w:val="18"/>
                <w:color w:val="auto"/>
              </w:rPr>
              <w:t>units) (j)</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w w:val="97"/>
              </w:rPr>
              <w:t>Alzheimer’s Research and Treatment</w:t>
            </w: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180"/>
              <w:spacing w:after="0"/>
              <w:rPr>
                <w:sz w:val="20"/>
                <w:szCs w:val="20"/>
                <w:color w:val="auto"/>
              </w:rPr>
            </w:pPr>
            <w:r>
              <w:rPr>
                <w:rFonts w:ascii="Arial" w:cs="Arial" w:eastAsia="Arial" w:hAnsi="Arial"/>
                <w:sz w:val="18"/>
                <w:szCs w:val="18"/>
                <w:i w:val="1"/>
                <w:iCs w:val="1"/>
                <w:color w:val="auto"/>
              </w:rPr>
              <w:t>Center</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Healthcare Services</w:t>
            </w: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First Lien Debt (j)(x)</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Common Equity (1,000</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540"/>
              <w:spacing w:after="0"/>
              <w:rPr>
                <w:sz w:val="20"/>
                <w:szCs w:val="20"/>
                <w:color w:val="auto"/>
              </w:rPr>
            </w:pPr>
            <w:r>
              <w:rPr>
                <w:rFonts w:ascii="Arial" w:cs="Arial" w:eastAsia="Arial" w:hAnsi="Arial"/>
                <w:sz w:val="18"/>
                <w:szCs w:val="18"/>
                <w:color w:val="auto"/>
              </w:rPr>
              <w:t>units) (h)(j)</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American AllWaste LLC (dba</w:t>
            </w: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180"/>
              <w:spacing w:after="0"/>
              <w:rPr>
                <w:sz w:val="20"/>
                <w:szCs w:val="20"/>
                <w:color w:val="auto"/>
              </w:rPr>
            </w:pPr>
            <w:r>
              <w:rPr>
                <w:rFonts w:ascii="Arial" w:cs="Arial" w:eastAsia="Arial" w:hAnsi="Arial"/>
                <w:sz w:val="18"/>
                <w:szCs w:val="18"/>
                <w:i w:val="1"/>
                <w:iCs w:val="1"/>
                <w:color w:val="auto"/>
              </w:rPr>
              <w:t>WasteWater Transport Services)</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Environmental Industries</w:t>
            </w: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Second Lien Debt (j)</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Delayed Draw Commitment</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540"/>
              <w:spacing w:after="0"/>
              <w:rPr>
                <w:sz w:val="20"/>
                <w:szCs w:val="20"/>
                <w:color w:val="auto"/>
              </w:rPr>
            </w:pPr>
            <w:r>
              <w:rPr>
                <w:rFonts w:ascii="Arial" w:cs="Arial" w:eastAsia="Arial" w:hAnsi="Arial"/>
                <w:sz w:val="18"/>
                <w:szCs w:val="18"/>
                <w:color w:val="auto"/>
              </w:rPr>
              <w:t>($2,276 commitment) (i)(j)</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Preferred Equity (500 units) (j)</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Argo Turboserve Corporation</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Business Services</w:t>
            </w:r>
          </w:p>
        </w:tc>
        <w:tc>
          <w:tcPr>
            <w:tcW w:w="0" w:type="dxa"/>
            <w:vAlign w:val="bottom"/>
          </w:tcPr>
          <w:p>
            <w:pPr>
              <w:spacing w:after="0"/>
              <w:rPr>
                <w:sz w:val="1"/>
                <w:szCs w:val="1"/>
                <w:color w:val="auto"/>
              </w:rPr>
            </w:pPr>
          </w:p>
        </w:tc>
      </w:tr>
      <w:tr>
        <w:trPr>
          <w:trHeight w:val="230"/>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Second Lien Debt (j)(y)</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AVC Investors, LLC (dba Auveco)</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Specialty Distribution</w:t>
            </w: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Second Lien Debt (k)</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360"/>
              <w:spacing w:after="0"/>
              <w:rPr>
                <w:sz w:val="20"/>
                <w:szCs w:val="20"/>
                <w:color w:val="auto"/>
              </w:rPr>
            </w:pPr>
            <w:r>
              <w:rPr>
                <w:rFonts w:ascii="Arial" w:cs="Arial" w:eastAsia="Arial" w:hAnsi="Arial"/>
                <w:sz w:val="18"/>
                <w:szCs w:val="18"/>
                <w:color w:val="auto"/>
                <w:w w:val="99"/>
              </w:rPr>
              <w:t>Common Equity (5,000 units) (j)</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w w:val="95"/>
              </w:rPr>
              <w:t>B&amp;B Roadway and Security Solutions,</w:t>
            </w: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180"/>
              <w:spacing w:after="0"/>
              <w:rPr>
                <w:sz w:val="20"/>
                <w:szCs w:val="20"/>
                <w:color w:val="auto"/>
              </w:rPr>
            </w:pPr>
            <w:r>
              <w:rPr>
                <w:rFonts w:ascii="Arial" w:cs="Arial" w:eastAsia="Arial" w:hAnsi="Arial"/>
                <w:sz w:val="18"/>
                <w:szCs w:val="18"/>
                <w:i w:val="1"/>
                <w:iCs w:val="1"/>
                <w:color w:val="auto"/>
              </w:rPr>
              <w:t>LLC</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Component Manufacturing</w:t>
            </w: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Second Lien Debt</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Common Equity (50,000 units)</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540"/>
              <w:spacing w:after="0"/>
              <w:rPr>
                <w:sz w:val="20"/>
                <w:szCs w:val="20"/>
                <w:color w:val="auto"/>
              </w:rPr>
            </w:pPr>
            <w:r>
              <w:rPr>
                <w:rFonts w:ascii="Arial" w:cs="Arial" w:eastAsia="Arial" w:hAnsi="Arial"/>
                <w:sz w:val="18"/>
                <w:szCs w:val="18"/>
                <w:color w:val="auto"/>
              </w:rPr>
              <w:t>($133 commitment) (h)(j)</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Cardboard Box LLC (dba Anthony’s</w:t>
            </w: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180"/>
              <w:spacing w:after="0"/>
              <w:rPr>
                <w:sz w:val="20"/>
                <w:szCs w:val="20"/>
                <w:color w:val="auto"/>
              </w:rPr>
            </w:pPr>
            <w:r>
              <w:rPr>
                <w:rFonts w:ascii="Arial" w:cs="Arial" w:eastAsia="Arial" w:hAnsi="Arial"/>
                <w:sz w:val="18"/>
                <w:szCs w:val="18"/>
                <w:i w:val="1"/>
                <w:iCs w:val="1"/>
                <w:color w:val="auto"/>
              </w:rPr>
              <w:t>Coal Fired Pizza)</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230"/>
        </w:trPr>
        <w:tc>
          <w:tcPr>
            <w:tcW w:w="2920" w:type="dxa"/>
            <w:vAlign w:val="bottom"/>
            <w:gridSpan w:val="2"/>
          </w:tcPr>
          <w:p>
            <w:pPr>
              <w:ind w:left="360"/>
              <w:spacing w:after="0"/>
              <w:rPr>
                <w:sz w:val="20"/>
                <w:szCs w:val="20"/>
                <w:color w:val="auto"/>
              </w:rPr>
            </w:pPr>
            <w:r>
              <w:rPr>
                <w:rFonts w:ascii="Arial" w:cs="Arial" w:eastAsia="Arial" w:hAnsi="Arial"/>
                <w:sz w:val="18"/>
                <w:szCs w:val="18"/>
                <w:color w:val="auto"/>
                <w:w w:val="92"/>
              </w:rPr>
              <w:t>Common Equity (521,021 units) (j)</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Consolidated Infrastructure Group</w:t>
            </w: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180"/>
              <w:spacing w:after="0"/>
              <w:rPr>
                <w:sz w:val="20"/>
                <w:szCs w:val="20"/>
                <w:color w:val="auto"/>
              </w:rPr>
            </w:pPr>
            <w:r>
              <w:rPr>
                <w:rFonts w:ascii="Arial" w:cs="Arial" w:eastAsia="Arial" w:hAnsi="Arial"/>
                <w:sz w:val="18"/>
                <w:szCs w:val="18"/>
                <w:i w:val="1"/>
                <w:iCs w:val="1"/>
                <w:color w:val="auto"/>
              </w:rPr>
              <w:t>Holdings, LP</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Business Services</w:t>
            </w:r>
          </w:p>
        </w:tc>
        <w:tc>
          <w:tcPr>
            <w:tcW w:w="0" w:type="dxa"/>
            <w:vAlign w:val="bottom"/>
          </w:tcPr>
          <w:p>
            <w:pPr>
              <w:spacing w:after="0"/>
              <w:rPr>
                <w:sz w:val="1"/>
                <w:szCs w:val="1"/>
                <w:color w:val="auto"/>
              </w:rPr>
            </w:pPr>
          </w:p>
        </w:tc>
      </w:tr>
      <w:tr>
        <w:trPr>
          <w:trHeight w:val="230"/>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Common Equity (298 units)</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ControlScan, Inc.</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w w:val="96"/>
              </w:rPr>
              <w:t>Information Technology Services</w:t>
            </w: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Subordinated Debt (j)</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w w:val="94"/>
              </w:rPr>
              <w:t>Common Equity (3,704 shares) (j)</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360"/>
              <w:spacing w:after="0"/>
              <w:rPr>
                <w:sz w:val="20"/>
                <w:szCs w:val="20"/>
                <w:color w:val="auto"/>
              </w:rPr>
            </w:pPr>
            <w:r>
              <w:rPr>
                <w:rFonts w:ascii="Arial" w:cs="Arial" w:eastAsia="Arial" w:hAnsi="Arial"/>
                <w:sz w:val="18"/>
                <w:szCs w:val="18"/>
                <w:color w:val="auto"/>
                <w:w w:val="98"/>
              </w:rPr>
              <w:t>Preferred Equity (100 shares) (j)</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w w:val="90"/>
              </w:rPr>
              <w:t>CRS Solutions Holdings, LLC (dba CRS</w:t>
            </w: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180"/>
              <w:spacing w:after="0"/>
              <w:rPr>
                <w:sz w:val="20"/>
                <w:szCs w:val="20"/>
                <w:color w:val="auto"/>
              </w:rPr>
            </w:pPr>
            <w:r>
              <w:rPr>
                <w:rFonts w:ascii="Arial" w:cs="Arial" w:eastAsia="Arial" w:hAnsi="Arial"/>
                <w:sz w:val="18"/>
                <w:szCs w:val="18"/>
                <w:i w:val="1"/>
                <w:iCs w:val="1"/>
                <w:color w:val="auto"/>
              </w:rPr>
              <w:t>Texas)</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Business Services</w:t>
            </w: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Second Lien Debt</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360"/>
              <w:spacing w:after="0"/>
              <w:rPr>
                <w:sz w:val="20"/>
                <w:szCs w:val="20"/>
                <w:color w:val="auto"/>
              </w:rPr>
            </w:pPr>
            <w:r>
              <w:rPr>
                <w:rFonts w:ascii="Arial" w:cs="Arial" w:eastAsia="Arial" w:hAnsi="Arial"/>
                <w:sz w:val="18"/>
                <w:szCs w:val="18"/>
                <w:color w:val="auto"/>
                <w:w w:val="92"/>
              </w:rPr>
              <w:t>Common Equity (750,000 units) (j)</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EBL, LLC (EbLens)</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Retail</w:t>
            </w: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Second Lien Debt (j)</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360"/>
              <w:spacing w:after="0"/>
              <w:rPr>
                <w:sz w:val="20"/>
                <w:szCs w:val="20"/>
                <w:color w:val="auto"/>
              </w:rPr>
            </w:pPr>
            <w:r>
              <w:rPr>
                <w:rFonts w:ascii="Arial" w:cs="Arial" w:eastAsia="Arial" w:hAnsi="Arial"/>
                <w:sz w:val="18"/>
                <w:szCs w:val="18"/>
                <w:color w:val="auto"/>
                <w:w w:val="96"/>
              </w:rPr>
              <w:t>Common Equity (75,000 units) (j)</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Global Plasma Solutions, Inc.</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Component Manufacturing</w:t>
            </w: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First Lien Debt (j)(v)</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w w:val="98"/>
              </w:rPr>
              <w:t>Preferred Equity (947 shares) (j)</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360"/>
              <w:spacing w:after="0"/>
              <w:rPr>
                <w:sz w:val="20"/>
                <w:szCs w:val="20"/>
                <w:color w:val="auto"/>
              </w:rPr>
            </w:pPr>
            <w:r>
              <w:rPr>
                <w:rFonts w:ascii="Arial" w:cs="Arial" w:eastAsia="Arial" w:hAnsi="Arial"/>
                <w:sz w:val="18"/>
                <w:szCs w:val="18"/>
                <w:color w:val="auto"/>
                <w:w w:val="99"/>
              </w:rPr>
              <w:t>Common Equity (947 shares) (j)</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Gurobi Optimization, LLC</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w w:val="96"/>
              </w:rPr>
              <w:t>Information Technology Services</w:t>
            </w:r>
          </w:p>
        </w:tc>
        <w:tc>
          <w:tcPr>
            <w:tcW w:w="0" w:type="dxa"/>
            <w:vAlign w:val="bottom"/>
          </w:tcPr>
          <w:p>
            <w:pPr>
              <w:spacing w:after="0"/>
              <w:rPr>
                <w:sz w:val="1"/>
                <w:szCs w:val="1"/>
                <w:color w:val="auto"/>
              </w:rPr>
            </w:pPr>
          </w:p>
        </w:tc>
      </w:tr>
      <w:tr>
        <w:trPr>
          <w:trHeight w:val="216"/>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Subordinated Debt (k)</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Common Equity (5 shares)</w:t>
            </w: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-9072880</wp:posOffset>
            </wp:positionV>
            <wp:extent cx="699770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-8660765</wp:posOffset>
            </wp:positionV>
            <wp:extent cx="699770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-8232140</wp:posOffset>
            </wp:positionV>
            <wp:extent cx="699770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-7957820</wp:posOffset>
            </wp:positionV>
            <wp:extent cx="699770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-7339965</wp:posOffset>
            </wp:positionV>
            <wp:extent cx="699770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-6911340</wp:posOffset>
            </wp:positionV>
            <wp:extent cx="699770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-6499860</wp:posOffset>
            </wp:positionV>
            <wp:extent cx="699770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-6088380</wp:posOffset>
            </wp:positionV>
            <wp:extent cx="699770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-5796915</wp:posOffset>
            </wp:positionV>
            <wp:extent cx="699770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-5453380</wp:posOffset>
            </wp:positionV>
            <wp:extent cx="699770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-5179060</wp:posOffset>
            </wp:positionV>
            <wp:extent cx="699770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-4887595</wp:posOffset>
            </wp:positionV>
            <wp:extent cx="699770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-4476115</wp:posOffset>
            </wp:positionV>
            <wp:extent cx="699770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-4046855</wp:posOffset>
            </wp:positionV>
            <wp:extent cx="699770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-3566795</wp:posOffset>
            </wp:positionV>
            <wp:extent cx="699770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-3086735</wp:posOffset>
            </wp:positionV>
            <wp:extent cx="699770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-2812415</wp:posOffset>
            </wp:positionV>
            <wp:extent cx="699770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-2520950</wp:posOffset>
            </wp:positionV>
            <wp:extent cx="699770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-2108835</wp:posOffset>
            </wp:positionV>
            <wp:extent cx="699770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-1817370</wp:posOffset>
            </wp:positionV>
            <wp:extent cx="699770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-1543050</wp:posOffset>
            </wp:positionV>
            <wp:extent cx="699770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-1251585</wp:posOffset>
            </wp:positionV>
            <wp:extent cx="699770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-977265</wp:posOffset>
            </wp:positionV>
            <wp:extent cx="699770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-702310</wp:posOffset>
            </wp:positionV>
            <wp:extent cx="699770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-410845</wp:posOffset>
            </wp:positionV>
            <wp:extent cx="699770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-136525</wp:posOffset>
            </wp:positionV>
            <wp:extent cx="699770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Rate (d)</w:t>
            </w: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Principal</w:t>
            </w:r>
          </w:p>
        </w:tc>
        <w:tc>
          <w:tcPr>
            <w:tcW w:w="5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620" w:type="dxa"/>
            <w:vAlign w:val="bottom"/>
          </w:tcPr>
          <w:p>
            <w:pPr>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Cash/PIK</w:t>
            </w:r>
          </w:p>
        </w:tc>
        <w:tc>
          <w:tcPr>
            <w:tcW w:w="3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Value (e)</w:t>
            </w: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w w:val="90"/>
              </w:rPr>
              <w:t>10.00%/5.00%</w:t>
            </w:r>
          </w:p>
        </w:tc>
        <w:tc>
          <w:tcPr>
            <w:tcW w:w="940" w:type="dxa"/>
            <w:vAlign w:val="bottom"/>
          </w:tcPr>
          <w:p>
            <w:pPr>
              <w:ind w:left="60"/>
              <w:spacing w:after="0"/>
              <w:rPr>
                <w:sz w:val="20"/>
                <w:szCs w:val="20"/>
                <w:color w:val="auto"/>
              </w:rPr>
            </w:pPr>
            <w:r>
              <w:rPr>
                <w:rFonts w:ascii="Arial" w:cs="Arial" w:eastAsia="Arial" w:hAnsi="Arial"/>
                <w:sz w:val="18"/>
                <w:szCs w:val="18"/>
                <w:color w:val="auto"/>
              </w:rPr>
              <w:t>5/30/2022</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$30,312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$30,205</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$28,879</w:t>
            </w:r>
          </w:p>
        </w:tc>
        <w:tc>
          <w:tcPr>
            <w:tcW w:w="9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94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29,341</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647"/>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1,744</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56"/>
        </w:trPr>
        <w:tc>
          <w:tcPr>
            <w:tcW w:w="1160" w:type="dxa"/>
            <w:vAlign w:val="bottom"/>
          </w:tcPr>
          <w:p>
            <w:pPr>
              <w:jc w:val="right"/>
              <w:spacing w:after="0"/>
              <w:rPr>
                <w:sz w:val="20"/>
                <w:szCs w:val="20"/>
                <w:color w:val="auto"/>
              </w:rPr>
            </w:pPr>
            <w:r>
              <w:rPr>
                <w:rFonts w:ascii="Arial" w:cs="Arial" w:eastAsia="Arial" w:hAnsi="Arial"/>
                <w:sz w:val="18"/>
                <w:szCs w:val="18"/>
                <w:color w:val="auto"/>
                <w:w w:val="98"/>
              </w:rPr>
              <w:t>8.23%/0.00%</w:t>
            </w:r>
          </w:p>
        </w:tc>
        <w:tc>
          <w:tcPr>
            <w:tcW w:w="940" w:type="dxa"/>
            <w:vAlign w:val="bottom"/>
          </w:tcPr>
          <w:p>
            <w:pPr>
              <w:ind w:left="60"/>
              <w:spacing w:after="0"/>
              <w:rPr>
                <w:sz w:val="20"/>
                <w:szCs w:val="20"/>
                <w:color w:val="auto"/>
              </w:rPr>
            </w:pPr>
            <w:r>
              <w:rPr>
                <w:rFonts w:ascii="Arial" w:cs="Arial" w:eastAsia="Arial" w:hAnsi="Arial"/>
                <w:sz w:val="18"/>
                <w:szCs w:val="18"/>
                <w:color w:val="auto"/>
                <w:w w:val="95"/>
              </w:rPr>
              <w:t>10/23/2023</w:t>
            </w:r>
          </w:p>
        </w:tc>
        <w:tc>
          <w:tcPr>
            <w:tcW w:w="720" w:type="dxa"/>
            <w:vAlign w:val="bottom"/>
          </w:tcPr>
          <w:p>
            <w:pPr>
              <w:jc w:val="right"/>
              <w:spacing w:after="0"/>
              <w:rPr>
                <w:sz w:val="20"/>
                <w:szCs w:val="20"/>
                <w:color w:val="auto"/>
              </w:rPr>
            </w:pPr>
            <w:r>
              <w:rPr>
                <w:rFonts w:ascii="Arial" w:cs="Arial" w:eastAsia="Arial" w:hAnsi="Arial"/>
                <w:sz w:val="18"/>
                <w:szCs w:val="18"/>
                <w:color w:val="auto"/>
              </w:rPr>
              <w:t>6,500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6,451</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6,451</w:t>
            </w:r>
          </w:p>
        </w:tc>
        <w:tc>
          <w:tcPr>
            <w:tcW w:w="9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94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7,451</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647"/>
        </w:trPr>
        <w:tc>
          <w:tcPr>
            <w:tcW w:w="1160" w:type="dxa"/>
            <w:vAlign w:val="bottom"/>
          </w:tcPr>
          <w:p>
            <w:pPr>
              <w:jc w:val="right"/>
              <w:spacing w:after="0"/>
              <w:rPr>
                <w:sz w:val="20"/>
                <w:szCs w:val="20"/>
                <w:color w:val="auto"/>
              </w:rPr>
            </w:pPr>
            <w:r>
              <w:rPr>
                <w:rFonts w:ascii="Arial" w:cs="Arial" w:eastAsia="Arial" w:hAnsi="Arial"/>
                <w:sz w:val="18"/>
                <w:szCs w:val="18"/>
                <w:color w:val="auto"/>
                <w:w w:val="90"/>
              </w:rPr>
              <w:t>11.00%/1.50%</w:t>
            </w:r>
          </w:p>
        </w:tc>
        <w:tc>
          <w:tcPr>
            <w:tcW w:w="940" w:type="dxa"/>
            <w:vAlign w:val="bottom"/>
          </w:tcPr>
          <w:p>
            <w:pPr>
              <w:ind w:left="60"/>
              <w:spacing w:after="0"/>
              <w:rPr>
                <w:sz w:val="20"/>
                <w:szCs w:val="20"/>
                <w:color w:val="auto"/>
              </w:rPr>
            </w:pPr>
            <w:r>
              <w:rPr>
                <w:rFonts w:ascii="Arial" w:cs="Arial" w:eastAsia="Arial" w:hAnsi="Arial"/>
                <w:sz w:val="18"/>
                <w:szCs w:val="18"/>
                <w:color w:val="auto"/>
                <w:w w:val="95"/>
              </w:rPr>
              <w:t>11/30/2023</w:t>
            </w:r>
          </w:p>
        </w:tc>
        <w:tc>
          <w:tcPr>
            <w:tcW w:w="720" w:type="dxa"/>
            <w:vAlign w:val="bottom"/>
          </w:tcPr>
          <w:p>
            <w:pPr>
              <w:jc w:val="right"/>
              <w:spacing w:after="0"/>
              <w:rPr>
                <w:sz w:val="20"/>
                <w:szCs w:val="20"/>
                <w:color w:val="auto"/>
              </w:rPr>
            </w:pPr>
            <w:r>
              <w:rPr>
                <w:rFonts w:ascii="Arial" w:cs="Arial" w:eastAsia="Arial" w:hAnsi="Arial"/>
                <w:sz w:val="18"/>
                <w:szCs w:val="18"/>
                <w:color w:val="auto"/>
              </w:rPr>
              <w:t>11,826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11,765</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11,826</w:t>
            </w:r>
          </w:p>
        </w:tc>
        <w:tc>
          <w:tcPr>
            <w:tcW w:w="940" w:type="dxa"/>
            <w:vAlign w:val="bottom"/>
          </w:tcPr>
          <w:p>
            <w:pPr>
              <w:spacing w:after="0"/>
              <w:rPr>
                <w:sz w:val="24"/>
                <w:szCs w:val="24"/>
                <w:color w:val="auto"/>
              </w:rPr>
            </w:pPr>
          </w:p>
        </w:tc>
      </w:tr>
      <w:tr>
        <w:trPr>
          <w:trHeight w:val="418"/>
        </w:trPr>
        <w:tc>
          <w:tcPr>
            <w:tcW w:w="1160" w:type="dxa"/>
            <w:vAlign w:val="bottom"/>
          </w:tcPr>
          <w:p>
            <w:pPr>
              <w:jc w:val="right"/>
              <w:spacing w:after="0"/>
              <w:rPr>
                <w:sz w:val="20"/>
                <w:szCs w:val="20"/>
                <w:color w:val="auto"/>
              </w:rPr>
            </w:pPr>
            <w:r>
              <w:rPr>
                <w:rFonts w:ascii="Arial" w:cs="Arial" w:eastAsia="Arial" w:hAnsi="Arial"/>
                <w:sz w:val="18"/>
                <w:szCs w:val="18"/>
                <w:color w:val="auto"/>
                <w:w w:val="90"/>
              </w:rPr>
              <w:t>11.00%/1.50%</w:t>
            </w:r>
          </w:p>
        </w:tc>
        <w:tc>
          <w:tcPr>
            <w:tcW w:w="940" w:type="dxa"/>
            <w:vAlign w:val="bottom"/>
          </w:tcPr>
          <w:p>
            <w:pPr>
              <w:ind w:left="60"/>
              <w:spacing w:after="0"/>
              <w:rPr>
                <w:sz w:val="20"/>
                <w:szCs w:val="20"/>
                <w:color w:val="auto"/>
              </w:rPr>
            </w:pPr>
            <w:r>
              <w:rPr>
                <w:rFonts w:ascii="Arial" w:cs="Arial" w:eastAsia="Arial" w:hAnsi="Arial"/>
                <w:sz w:val="18"/>
                <w:szCs w:val="18"/>
                <w:color w:val="auto"/>
                <w:w w:val="95"/>
              </w:rPr>
              <w:t>11/30/2019</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940" w:type="dxa"/>
            <w:vAlign w:val="bottom"/>
          </w:tcPr>
          <w:p>
            <w:pPr>
              <w:spacing w:after="0"/>
              <w:rPr>
                <w:sz w:val="20"/>
                <w:szCs w:val="20"/>
                <w:color w:val="auto"/>
              </w:rPr>
            </w:pPr>
          </w:p>
        </w:tc>
      </w:tr>
      <w:tr>
        <w:trPr>
          <w:trHeight w:val="224"/>
        </w:trPr>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12,441</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1"/>
        </w:trPr>
        <w:tc>
          <w:tcPr>
            <w:tcW w:w="1160" w:type="dxa"/>
            <w:vAlign w:val="bottom"/>
          </w:tcPr>
          <w:p>
            <w:pPr>
              <w:jc w:val="right"/>
              <w:spacing w:after="0"/>
              <w:rPr>
                <w:sz w:val="20"/>
                <w:szCs w:val="20"/>
                <w:color w:val="auto"/>
              </w:rPr>
            </w:pPr>
            <w:r>
              <w:rPr>
                <w:rFonts w:ascii="Arial" w:cs="Arial" w:eastAsia="Arial" w:hAnsi="Arial"/>
                <w:sz w:val="18"/>
                <w:szCs w:val="18"/>
                <w:color w:val="auto"/>
                <w:w w:val="90"/>
              </w:rPr>
              <w:t>12.56%/0.00%</w:t>
            </w:r>
          </w:p>
        </w:tc>
        <w:tc>
          <w:tcPr>
            <w:tcW w:w="940" w:type="dxa"/>
            <w:vAlign w:val="bottom"/>
          </w:tcPr>
          <w:p>
            <w:pPr>
              <w:ind w:left="60"/>
              <w:spacing w:after="0"/>
              <w:rPr>
                <w:sz w:val="20"/>
                <w:szCs w:val="20"/>
                <w:color w:val="auto"/>
              </w:rPr>
            </w:pPr>
            <w:r>
              <w:rPr>
                <w:rFonts w:ascii="Arial" w:cs="Arial" w:eastAsia="Arial" w:hAnsi="Arial"/>
                <w:sz w:val="18"/>
                <w:szCs w:val="18"/>
                <w:color w:val="auto"/>
              </w:rPr>
              <w:t>6/28/2023</w:t>
            </w:r>
          </w:p>
        </w:tc>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14,925</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14,925</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526"/>
        </w:trPr>
        <w:tc>
          <w:tcPr>
            <w:tcW w:w="1160" w:type="dxa"/>
            <w:vAlign w:val="bottom"/>
          </w:tcPr>
          <w:p>
            <w:pPr>
              <w:jc w:val="right"/>
              <w:spacing w:after="0"/>
              <w:rPr>
                <w:sz w:val="20"/>
                <w:szCs w:val="20"/>
                <w:color w:val="auto"/>
              </w:rPr>
            </w:pPr>
            <w:r>
              <w:rPr>
                <w:rFonts w:ascii="Arial" w:cs="Arial" w:eastAsia="Arial" w:hAnsi="Arial"/>
                <w:sz w:val="18"/>
                <w:szCs w:val="18"/>
                <w:color w:val="auto"/>
                <w:w w:val="90"/>
              </w:rPr>
              <w:t>11.50%/0.00%</w:t>
            </w:r>
          </w:p>
        </w:tc>
        <w:tc>
          <w:tcPr>
            <w:tcW w:w="940" w:type="dxa"/>
            <w:vAlign w:val="bottom"/>
          </w:tcPr>
          <w:p>
            <w:pPr>
              <w:ind w:left="60"/>
              <w:spacing w:after="0"/>
              <w:rPr>
                <w:sz w:val="20"/>
                <w:szCs w:val="20"/>
                <w:color w:val="auto"/>
              </w:rPr>
            </w:pPr>
            <w:r>
              <w:rPr>
                <w:rFonts w:ascii="Arial" w:cs="Arial" w:eastAsia="Arial" w:hAnsi="Arial"/>
                <w:sz w:val="18"/>
                <w:szCs w:val="18"/>
                <w:color w:val="auto"/>
              </w:rPr>
              <w:t>7/3/2023</w:t>
            </w:r>
          </w:p>
        </w:tc>
        <w:tc>
          <w:tcPr>
            <w:tcW w:w="720" w:type="dxa"/>
            <w:vAlign w:val="bottom"/>
          </w:tcPr>
          <w:p>
            <w:pPr>
              <w:jc w:val="right"/>
              <w:spacing w:after="0"/>
              <w:rPr>
                <w:sz w:val="20"/>
                <w:szCs w:val="20"/>
                <w:color w:val="auto"/>
              </w:rPr>
            </w:pPr>
            <w:r>
              <w:rPr>
                <w:rFonts w:ascii="Arial" w:cs="Arial" w:eastAsia="Arial" w:hAnsi="Arial"/>
                <w:sz w:val="18"/>
                <w:szCs w:val="18"/>
                <w:color w:val="auto"/>
              </w:rPr>
              <w:t>22,500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22,406</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22,500</w:t>
            </w:r>
          </w:p>
        </w:tc>
        <w:tc>
          <w:tcPr>
            <w:tcW w:w="9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940" w:type="dxa"/>
            <w:vAlign w:val="bottom"/>
          </w:tcPr>
          <w:p>
            <w:pPr>
              <w:spacing w:after="0"/>
              <w:rPr>
                <w:sz w:val="20"/>
                <w:szCs w:val="20"/>
                <w:color w:val="auto"/>
              </w:rPr>
            </w:pPr>
          </w:p>
        </w:tc>
      </w:tr>
      <w:tr>
        <w:trPr>
          <w:trHeight w:val="224"/>
        </w:trPr>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23,182</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647"/>
        </w:trPr>
        <w:tc>
          <w:tcPr>
            <w:tcW w:w="1160" w:type="dxa"/>
            <w:vAlign w:val="bottom"/>
          </w:tcPr>
          <w:p>
            <w:pPr>
              <w:jc w:val="right"/>
              <w:spacing w:after="0"/>
              <w:rPr>
                <w:sz w:val="20"/>
                <w:szCs w:val="20"/>
                <w:color w:val="auto"/>
              </w:rPr>
            </w:pPr>
            <w:r>
              <w:rPr>
                <w:rFonts w:ascii="Arial" w:cs="Arial" w:eastAsia="Arial" w:hAnsi="Arial"/>
                <w:sz w:val="18"/>
                <w:szCs w:val="18"/>
                <w:color w:val="auto"/>
                <w:w w:val="90"/>
              </w:rPr>
              <w:t>10.50%/1.50%</w:t>
            </w:r>
          </w:p>
        </w:tc>
        <w:tc>
          <w:tcPr>
            <w:tcW w:w="940" w:type="dxa"/>
            <w:vAlign w:val="bottom"/>
          </w:tcPr>
          <w:p>
            <w:pPr>
              <w:ind w:left="60"/>
              <w:spacing w:after="0"/>
              <w:rPr>
                <w:sz w:val="20"/>
                <w:szCs w:val="20"/>
                <w:color w:val="auto"/>
              </w:rPr>
            </w:pPr>
            <w:r>
              <w:rPr>
                <w:rFonts w:ascii="Arial" w:cs="Arial" w:eastAsia="Arial" w:hAnsi="Arial"/>
                <w:sz w:val="18"/>
                <w:szCs w:val="18"/>
                <w:color w:val="auto"/>
              </w:rPr>
              <w:t>8/27/2023</w:t>
            </w:r>
          </w:p>
        </w:tc>
        <w:tc>
          <w:tcPr>
            <w:tcW w:w="720" w:type="dxa"/>
            <w:vAlign w:val="bottom"/>
          </w:tcPr>
          <w:p>
            <w:pPr>
              <w:jc w:val="right"/>
              <w:spacing w:after="0"/>
              <w:rPr>
                <w:sz w:val="20"/>
                <w:szCs w:val="20"/>
                <w:color w:val="auto"/>
              </w:rPr>
            </w:pPr>
            <w:r>
              <w:rPr>
                <w:rFonts w:ascii="Arial" w:cs="Arial" w:eastAsia="Arial" w:hAnsi="Arial"/>
                <w:sz w:val="18"/>
                <w:szCs w:val="18"/>
                <w:color w:val="auto"/>
              </w:rPr>
              <w:t>10,129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10,080</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9,524</w:t>
            </w:r>
          </w:p>
        </w:tc>
        <w:tc>
          <w:tcPr>
            <w:tcW w:w="9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94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9,828</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647"/>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56"/>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26"/>
        </w:trPr>
        <w:tc>
          <w:tcPr>
            <w:tcW w:w="1160" w:type="dxa"/>
            <w:vAlign w:val="bottom"/>
          </w:tcPr>
          <w:p>
            <w:pPr>
              <w:jc w:val="right"/>
              <w:spacing w:after="0"/>
              <w:rPr>
                <w:sz w:val="20"/>
                <w:szCs w:val="20"/>
                <w:color w:val="auto"/>
              </w:rPr>
            </w:pPr>
            <w:r>
              <w:rPr>
                <w:rFonts w:ascii="Arial" w:cs="Arial" w:eastAsia="Arial" w:hAnsi="Arial"/>
                <w:sz w:val="18"/>
                <w:szCs w:val="18"/>
                <w:color w:val="auto"/>
                <w:w w:val="90"/>
              </w:rPr>
              <w:t>11.00%/0.00%</w:t>
            </w:r>
          </w:p>
        </w:tc>
        <w:tc>
          <w:tcPr>
            <w:tcW w:w="940" w:type="dxa"/>
            <w:vAlign w:val="bottom"/>
          </w:tcPr>
          <w:p>
            <w:pPr>
              <w:ind w:left="60"/>
              <w:spacing w:after="0"/>
              <w:rPr>
                <w:sz w:val="20"/>
                <w:szCs w:val="20"/>
                <w:color w:val="auto"/>
              </w:rPr>
            </w:pPr>
            <w:r>
              <w:rPr>
                <w:rFonts w:ascii="Arial" w:cs="Arial" w:eastAsia="Arial" w:hAnsi="Arial"/>
                <w:sz w:val="18"/>
                <w:szCs w:val="18"/>
                <w:color w:val="auto"/>
              </w:rPr>
              <w:t>1/28/2023</w:t>
            </w:r>
          </w:p>
        </w:tc>
        <w:tc>
          <w:tcPr>
            <w:tcW w:w="720" w:type="dxa"/>
            <w:vAlign w:val="bottom"/>
          </w:tcPr>
          <w:p>
            <w:pPr>
              <w:jc w:val="right"/>
              <w:spacing w:after="0"/>
              <w:rPr>
                <w:sz w:val="20"/>
                <w:szCs w:val="20"/>
                <w:color w:val="auto"/>
              </w:rPr>
            </w:pPr>
            <w:r>
              <w:rPr>
                <w:rFonts w:ascii="Arial" w:cs="Arial" w:eastAsia="Arial" w:hAnsi="Arial"/>
                <w:sz w:val="18"/>
                <w:szCs w:val="18"/>
                <w:color w:val="auto"/>
              </w:rPr>
              <w:t>6,750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6,725</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6,750</w:t>
            </w:r>
          </w:p>
        </w:tc>
        <w:tc>
          <w:tcPr>
            <w:tcW w:w="9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9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940" w:type="dxa"/>
            <w:vAlign w:val="bottom"/>
          </w:tcPr>
          <w:p>
            <w:pPr>
              <w:spacing w:after="0"/>
              <w:rPr>
                <w:sz w:val="20"/>
                <w:szCs w:val="20"/>
                <w:color w:val="auto"/>
              </w:rPr>
            </w:pPr>
          </w:p>
        </w:tc>
      </w:tr>
      <w:tr>
        <w:trPr>
          <w:trHeight w:val="224"/>
        </w:trPr>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8,366</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633"/>
        </w:trPr>
        <w:tc>
          <w:tcPr>
            <w:tcW w:w="1160" w:type="dxa"/>
            <w:vAlign w:val="bottom"/>
          </w:tcPr>
          <w:p>
            <w:pPr>
              <w:jc w:val="right"/>
              <w:spacing w:after="0"/>
              <w:rPr>
                <w:sz w:val="20"/>
                <w:szCs w:val="20"/>
                <w:color w:val="auto"/>
              </w:rPr>
            </w:pPr>
            <w:r>
              <w:rPr>
                <w:rFonts w:ascii="Arial" w:cs="Arial" w:eastAsia="Arial" w:hAnsi="Arial"/>
                <w:sz w:val="18"/>
                <w:szCs w:val="18"/>
                <w:color w:val="auto"/>
                <w:w w:val="90"/>
              </w:rPr>
              <w:t>10.50%/1.00%</w:t>
            </w:r>
          </w:p>
        </w:tc>
        <w:tc>
          <w:tcPr>
            <w:tcW w:w="940" w:type="dxa"/>
            <w:vAlign w:val="bottom"/>
          </w:tcPr>
          <w:p>
            <w:pPr>
              <w:ind w:left="60"/>
              <w:spacing w:after="0"/>
              <w:rPr>
                <w:sz w:val="20"/>
                <w:szCs w:val="20"/>
                <w:color w:val="auto"/>
              </w:rPr>
            </w:pPr>
            <w:r>
              <w:rPr>
                <w:rFonts w:ascii="Arial" w:cs="Arial" w:eastAsia="Arial" w:hAnsi="Arial"/>
                <w:sz w:val="18"/>
                <w:szCs w:val="18"/>
                <w:color w:val="auto"/>
              </w:rPr>
              <w:t>9/14/2023</w:t>
            </w:r>
          </w:p>
        </w:tc>
        <w:tc>
          <w:tcPr>
            <w:tcW w:w="720" w:type="dxa"/>
            <w:vAlign w:val="bottom"/>
          </w:tcPr>
          <w:p>
            <w:pPr>
              <w:jc w:val="right"/>
              <w:spacing w:after="0"/>
              <w:rPr>
                <w:sz w:val="20"/>
                <w:szCs w:val="20"/>
                <w:color w:val="auto"/>
              </w:rPr>
            </w:pPr>
            <w:r>
              <w:rPr>
                <w:rFonts w:ascii="Arial" w:cs="Arial" w:eastAsia="Arial" w:hAnsi="Arial"/>
                <w:sz w:val="18"/>
                <w:szCs w:val="18"/>
                <w:color w:val="auto"/>
              </w:rPr>
              <w:t>9,073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9,035</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9,073</w:t>
            </w:r>
          </w:p>
        </w:tc>
        <w:tc>
          <w:tcPr>
            <w:tcW w:w="9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940" w:type="dxa"/>
            <w:vAlign w:val="bottom"/>
          </w:tcPr>
          <w:p>
            <w:pPr>
              <w:spacing w:after="0"/>
              <w:rPr>
                <w:sz w:val="20"/>
                <w:szCs w:val="20"/>
                <w:color w:val="auto"/>
              </w:rPr>
            </w:pPr>
          </w:p>
        </w:tc>
      </w:tr>
      <w:tr>
        <w:trPr>
          <w:trHeight w:val="224"/>
        </w:trPr>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9,830</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7"/>
        </w:trPr>
        <w:tc>
          <w:tcPr>
            <w:tcW w:w="1160" w:type="dxa"/>
            <w:vAlign w:val="bottom"/>
          </w:tcPr>
          <w:p>
            <w:pPr>
              <w:jc w:val="right"/>
              <w:spacing w:after="0"/>
              <w:rPr>
                <w:sz w:val="20"/>
                <w:szCs w:val="20"/>
                <w:color w:val="auto"/>
              </w:rPr>
            </w:pPr>
            <w:r>
              <w:rPr>
                <w:rFonts w:ascii="Arial" w:cs="Arial" w:eastAsia="Arial" w:hAnsi="Arial"/>
                <w:sz w:val="18"/>
                <w:szCs w:val="18"/>
                <w:color w:val="auto"/>
                <w:w w:val="90"/>
              </w:rPr>
              <w:t>12.00%/1.00%</w:t>
            </w:r>
          </w:p>
        </w:tc>
        <w:tc>
          <w:tcPr>
            <w:tcW w:w="940" w:type="dxa"/>
            <w:vAlign w:val="bottom"/>
          </w:tcPr>
          <w:p>
            <w:pPr>
              <w:ind w:left="60"/>
              <w:spacing w:after="0"/>
              <w:rPr>
                <w:sz w:val="20"/>
                <w:szCs w:val="20"/>
                <w:color w:val="auto"/>
              </w:rPr>
            </w:pPr>
            <w:r>
              <w:rPr>
                <w:rFonts w:ascii="Arial" w:cs="Arial" w:eastAsia="Arial" w:hAnsi="Arial"/>
                <w:sz w:val="18"/>
                <w:szCs w:val="18"/>
                <w:color w:val="auto"/>
              </w:rPr>
              <w:t>1/13/2023</w:t>
            </w:r>
          </w:p>
        </w:tc>
        <w:tc>
          <w:tcPr>
            <w:tcW w:w="720" w:type="dxa"/>
            <w:vAlign w:val="bottom"/>
          </w:tcPr>
          <w:p>
            <w:pPr>
              <w:jc w:val="right"/>
              <w:spacing w:after="0"/>
              <w:rPr>
                <w:sz w:val="20"/>
                <w:szCs w:val="20"/>
                <w:color w:val="auto"/>
              </w:rPr>
            </w:pPr>
            <w:r>
              <w:rPr>
                <w:rFonts w:ascii="Arial" w:cs="Arial" w:eastAsia="Arial" w:hAnsi="Arial"/>
                <w:sz w:val="18"/>
                <w:szCs w:val="18"/>
                <w:color w:val="auto"/>
              </w:rPr>
              <w:t>9,389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9,321</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9,389</w:t>
            </w:r>
          </w:p>
        </w:tc>
        <w:tc>
          <w:tcPr>
            <w:tcW w:w="9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742</w:t>
            </w:r>
          </w:p>
        </w:tc>
        <w:tc>
          <w:tcPr>
            <w:tcW w:w="940" w:type="dxa"/>
            <w:vAlign w:val="bottom"/>
          </w:tcPr>
          <w:p>
            <w:pPr>
              <w:spacing w:after="0"/>
              <w:rPr>
                <w:sz w:val="20"/>
                <w:szCs w:val="20"/>
                <w:color w:val="auto"/>
              </w:rPr>
            </w:pPr>
          </w:p>
        </w:tc>
      </w:tr>
      <w:tr>
        <w:trPr>
          <w:trHeight w:val="224"/>
        </w:trPr>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10,131</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7"/>
        </w:trPr>
        <w:tc>
          <w:tcPr>
            <w:tcW w:w="1160" w:type="dxa"/>
            <w:vAlign w:val="bottom"/>
          </w:tcPr>
          <w:p>
            <w:pPr>
              <w:jc w:val="right"/>
              <w:spacing w:after="0"/>
              <w:rPr>
                <w:sz w:val="20"/>
                <w:szCs w:val="20"/>
                <w:color w:val="auto"/>
              </w:rPr>
            </w:pPr>
            <w:r>
              <w:rPr>
                <w:rFonts w:ascii="Arial" w:cs="Arial" w:eastAsia="Arial" w:hAnsi="Arial"/>
                <w:sz w:val="18"/>
                <w:szCs w:val="18"/>
                <w:color w:val="auto"/>
                <w:w w:val="98"/>
              </w:rPr>
              <w:t>7.40%/0.00%</w:t>
            </w:r>
          </w:p>
        </w:tc>
        <w:tc>
          <w:tcPr>
            <w:tcW w:w="940" w:type="dxa"/>
            <w:vAlign w:val="bottom"/>
          </w:tcPr>
          <w:p>
            <w:pPr>
              <w:ind w:left="60"/>
              <w:spacing w:after="0"/>
              <w:rPr>
                <w:sz w:val="20"/>
                <w:szCs w:val="20"/>
                <w:color w:val="auto"/>
              </w:rPr>
            </w:pPr>
            <w:r>
              <w:rPr>
                <w:rFonts w:ascii="Arial" w:cs="Arial" w:eastAsia="Arial" w:hAnsi="Arial"/>
                <w:sz w:val="18"/>
                <w:szCs w:val="18"/>
                <w:color w:val="auto"/>
              </w:rPr>
              <w:t>9/21/2023</w:t>
            </w:r>
          </w:p>
        </w:tc>
        <w:tc>
          <w:tcPr>
            <w:tcW w:w="720" w:type="dxa"/>
            <w:vAlign w:val="bottom"/>
          </w:tcPr>
          <w:p>
            <w:pPr>
              <w:jc w:val="right"/>
              <w:spacing w:after="0"/>
              <w:rPr>
                <w:sz w:val="20"/>
                <w:szCs w:val="20"/>
                <w:color w:val="auto"/>
              </w:rPr>
            </w:pPr>
            <w:r>
              <w:rPr>
                <w:rFonts w:ascii="Arial" w:cs="Arial" w:eastAsia="Arial" w:hAnsi="Arial"/>
                <w:sz w:val="18"/>
                <w:szCs w:val="18"/>
                <w:color w:val="auto"/>
              </w:rPr>
              <w:t>8,703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8,629</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8,629</w:t>
            </w:r>
          </w:p>
        </w:tc>
        <w:tc>
          <w:tcPr>
            <w:tcW w:w="9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9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20"/>
                <w:szCs w:val="20"/>
                <w:color w:val="auto"/>
              </w:rPr>
            </w:pPr>
          </w:p>
        </w:tc>
      </w:tr>
      <w:tr>
        <w:trPr>
          <w:trHeight w:val="224"/>
        </w:trPr>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7"/>
        </w:trPr>
        <w:tc>
          <w:tcPr>
            <w:tcW w:w="1160" w:type="dxa"/>
            <w:vAlign w:val="bottom"/>
          </w:tcPr>
          <w:p>
            <w:pPr>
              <w:jc w:val="right"/>
              <w:spacing w:after="0"/>
              <w:rPr>
                <w:sz w:val="20"/>
                <w:szCs w:val="20"/>
                <w:color w:val="auto"/>
              </w:rPr>
            </w:pPr>
            <w:r>
              <w:rPr>
                <w:rFonts w:ascii="Arial" w:cs="Arial" w:eastAsia="Arial" w:hAnsi="Arial"/>
                <w:sz w:val="18"/>
                <w:szCs w:val="18"/>
                <w:color w:val="auto"/>
                <w:w w:val="90"/>
              </w:rPr>
              <w:t>11.00%/0.00%</w:t>
            </w:r>
          </w:p>
        </w:tc>
        <w:tc>
          <w:tcPr>
            <w:tcW w:w="940" w:type="dxa"/>
            <w:vAlign w:val="bottom"/>
          </w:tcPr>
          <w:p>
            <w:pPr>
              <w:ind w:left="60"/>
              <w:spacing w:after="0"/>
              <w:rPr>
                <w:sz w:val="20"/>
                <w:szCs w:val="20"/>
                <w:color w:val="auto"/>
              </w:rPr>
            </w:pPr>
            <w:r>
              <w:rPr>
                <w:rFonts w:ascii="Arial" w:cs="Arial" w:eastAsia="Arial" w:hAnsi="Arial"/>
                <w:sz w:val="18"/>
                <w:szCs w:val="18"/>
                <w:color w:val="auto"/>
              </w:rPr>
              <w:t>6/19/2023</w:t>
            </w: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19,920</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20,400</w:t>
            </w:r>
          </w:p>
        </w:tc>
        <w:tc>
          <w:tcPr>
            <w:tcW w:w="9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940" w:type="dxa"/>
            <w:vAlign w:val="bottom"/>
          </w:tcPr>
          <w:p>
            <w:pPr>
              <w:spacing w:after="0"/>
              <w:rPr>
                <w:sz w:val="20"/>
                <w:szCs w:val="20"/>
                <w:color w:val="auto"/>
              </w:rPr>
            </w:pPr>
          </w:p>
        </w:tc>
      </w:tr>
    </w:tbl>
    <w:p>
      <w:pPr>
        <w:sectPr>
          <w:pgSz w:w="11900" w:h="16838" w:orient="portrait"/>
          <w:cols w:equalWidth="0" w:num="2">
            <w:col w:w="5820" w:space="80"/>
            <w:col w:w="5280"/>
          </w:cols>
          <w:pgMar w:left="240" w:top="459" w:right="479" w:bottom="0" w:gutter="0" w:footer="0" w:header="0"/>
          <w:type w:val="continuous"/>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22,723</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5"/>
              </w:rPr>
              <w:t>Hilco Plastics Holdings, LLC (dba Hilco</w:t>
            </w:r>
          </w:p>
        </w:tc>
        <w:tc>
          <w:tcPr>
            <w:tcW w:w="4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Technologies)</w:t>
            </w:r>
          </w:p>
        </w:tc>
        <w:tc>
          <w:tcPr>
            <w:tcW w:w="4920" w:type="dxa"/>
            <w:vAlign w:val="bottom"/>
            <w:shd w:val="clear" w:color="auto" w:fill="CCEEFF"/>
          </w:tcPr>
          <w:p>
            <w:pPr>
              <w:jc w:val="right"/>
              <w:ind w:right="2830"/>
              <w:spacing w:after="0"/>
              <w:rPr>
                <w:sz w:val="20"/>
                <w:szCs w:val="20"/>
                <w:color w:val="auto"/>
              </w:rPr>
            </w:pPr>
            <w:r>
              <w:rPr>
                <w:rFonts w:ascii="Arial" w:cs="Arial" w:eastAsia="Arial" w:hAnsi="Arial"/>
                <w:sz w:val="18"/>
                <w:szCs w:val="18"/>
                <w:color w:val="auto"/>
                <w:w w:val="93"/>
              </w:rPr>
              <w:t>Component Manufacturing</w:t>
            </w:r>
          </w:p>
        </w:tc>
        <w:tc>
          <w:tcPr>
            <w:tcW w:w="7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340"/>
              <w:spacing w:after="0"/>
              <w:rPr>
                <w:sz w:val="20"/>
                <w:szCs w:val="20"/>
                <w:color w:val="auto"/>
              </w:rPr>
            </w:pPr>
            <w:r>
              <w:rPr>
                <w:rFonts w:ascii="Arial" w:cs="Arial" w:eastAsia="Arial" w:hAnsi="Arial"/>
                <w:sz w:val="18"/>
                <w:szCs w:val="18"/>
                <w:color w:val="auto"/>
              </w:rPr>
              <w:t>Second Lien Debt</w:t>
            </w:r>
          </w:p>
        </w:tc>
        <w:tc>
          <w:tcPr>
            <w:tcW w:w="4920" w:type="dxa"/>
            <w:vAlign w:val="bottom"/>
          </w:tcPr>
          <w:p>
            <w:pPr>
              <w:jc w:val="right"/>
              <w:ind w:right="50"/>
              <w:spacing w:after="0"/>
              <w:rPr>
                <w:sz w:val="20"/>
                <w:szCs w:val="20"/>
                <w:color w:val="auto"/>
              </w:rPr>
            </w:pPr>
            <w:r>
              <w:rPr>
                <w:rFonts w:ascii="Arial" w:cs="Arial" w:eastAsia="Arial" w:hAnsi="Arial"/>
                <w:sz w:val="18"/>
                <w:szCs w:val="18"/>
                <w:color w:val="auto"/>
              </w:rPr>
              <w:t>11.50%/1.50%  12/31/2019</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9,940</w:t>
            </w:r>
          </w:p>
        </w:tc>
        <w:tc>
          <w:tcPr>
            <w:tcW w:w="580" w:type="dxa"/>
            <w:vAlign w:val="bottom"/>
          </w:tcPr>
          <w:p>
            <w:pPr>
              <w:jc w:val="right"/>
              <w:spacing w:after="0"/>
              <w:rPr>
                <w:sz w:val="20"/>
                <w:szCs w:val="20"/>
                <w:color w:val="auto"/>
              </w:rPr>
            </w:pPr>
            <w:r>
              <w:rPr>
                <w:rFonts w:ascii="Arial" w:cs="Arial" w:eastAsia="Arial" w:hAnsi="Arial"/>
                <w:sz w:val="18"/>
                <w:szCs w:val="18"/>
                <w:color w:val="auto"/>
              </w:rPr>
              <w:t>9,922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9,439</w:t>
            </w:r>
          </w:p>
        </w:tc>
        <w:tc>
          <w:tcPr>
            <w:tcW w:w="10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Equity (1,000,000</w:t>
            </w:r>
          </w:p>
        </w:tc>
        <w:tc>
          <w:tcPr>
            <w:tcW w:w="4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units) (h)(j)</w:t>
            </w:r>
          </w:p>
        </w:tc>
        <w:tc>
          <w:tcPr>
            <w:tcW w:w="49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00" w:type="dxa"/>
            <w:vAlign w:val="bottom"/>
          </w:tcPr>
          <w:p>
            <w:pPr>
              <w:ind w:left="340"/>
              <w:spacing w:after="0" w:line="201" w:lineRule="exact"/>
              <w:rPr>
                <w:sz w:val="20"/>
                <w:szCs w:val="20"/>
                <w:color w:val="auto"/>
              </w:rPr>
            </w:pPr>
            <w:r>
              <w:rPr>
                <w:rFonts w:ascii="Arial" w:cs="Arial" w:eastAsia="Arial" w:hAnsi="Arial"/>
                <w:sz w:val="18"/>
                <w:szCs w:val="18"/>
                <w:color w:val="auto"/>
              </w:rPr>
              <w:t>Common Equity (72,507</w:t>
            </w:r>
          </w:p>
        </w:tc>
        <w:tc>
          <w:tcPr>
            <w:tcW w:w="4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000" w:type="dxa"/>
            <w:vAlign w:val="bottom"/>
          </w:tcPr>
          <w:p>
            <w:pPr>
              <w:ind w:left="520"/>
              <w:spacing w:after="0"/>
              <w:rPr>
                <w:sz w:val="20"/>
                <w:szCs w:val="20"/>
                <w:color w:val="auto"/>
              </w:rPr>
            </w:pPr>
            <w:r>
              <w:rPr>
                <w:rFonts w:ascii="Arial" w:cs="Arial" w:eastAsia="Arial" w:hAnsi="Arial"/>
                <w:sz w:val="18"/>
                <w:szCs w:val="18"/>
                <w:color w:val="auto"/>
              </w:rPr>
              <w:t>units) (h)(j)</w:t>
            </w:r>
          </w:p>
        </w:tc>
        <w:tc>
          <w:tcPr>
            <w:tcW w:w="4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365"/>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920" w:type="dxa"/>
            <w:vAlign w:val="bottom"/>
          </w:tcPr>
          <w:p>
            <w:pPr>
              <w:jc w:val="right"/>
              <w:ind w:right="2250"/>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040"/>
          </w:cols>
          <w:pgMar w:left="440" w:top="125"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80"/>
          </w:cols>
          <w:pgMar w:left="240" w:top="459" w:right="479" w:bottom="0" w:gutter="0" w:footer="0" w:header="0"/>
        </w:sectPr>
      </w:pP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(a)(b)</w:t>
            </w:r>
          </w:p>
        </w:tc>
        <w:tc>
          <w:tcPr>
            <w:tcW w:w="80" w:type="dxa"/>
            <w:vAlign w:val="bottom"/>
          </w:tcPr>
          <w:p>
            <w:pPr>
              <w:spacing w:after="0"/>
              <w:rPr>
                <w:sz w:val="14"/>
                <w:szCs w:val="14"/>
                <w:color w:val="auto"/>
              </w:rPr>
            </w:pPr>
          </w:p>
        </w:tc>
        <w:tc>
          <w:tcPr>
            <w:tcW w:w="262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19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Investment Type (c)</w:t>
            </w:r>
          </w:p>
        </w:tc>
        <w:tc>
          <w:tcPr>
            <w:tcW w:w="80" w:type="dxa"/>
            <w:vAlign w:val="bottom"/>
          </w:tcPr>
          <w:p>
            <w:pPr>
              <w:spacing w:after="0"/>
              <w:rPr>
                <w:sz w:val="16"/>
                <w:szCs w:val="16"/>
                <w:color w:val="auto"/>
              </w:rPr>
            </w:pPr>
          </w:p>
        </w:tc>
        <w:tc>
          <w:tcPr>
            <w:tcW w:w="2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i w:val="1"/>
                <w:iCs w:val="1"/>
                <w:color w:val="auto"/>
                <w:w w:val="92"/>
              </w:rPr>
              <w:t>Hub Acquisition Sub,</w:t>
            </w:r>
          </w:p>
        </w:tc>
        <w:tc>
          <w:tcPr>
            <w:tcW w:w="12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LLC (dba Hub</w:t>
            </w:r>
          </w:p>
        </w:tc>
        <w:tc>
          <w:tcPr>
            <w:tcW w:w="80" w:type="dxa"/>
            <w:vAlign w:val="bottom"/>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i w:val="1"/>
                <w:iCs w:val="1"/>
                <w:color w:val="auto"/>
              </w:rPr>
              <w:t>Pen)</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Promotional products</w:t>
            </w: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Second Lien Debt (k)</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Common Equity (7,500 units)</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Hunter Defense Technologies, Inc.</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Aerospace &amp; Defense</w:t>
            </w:r>
          </w:p>
        </w:tc>
        <w:tc>
          <w:tcPr>
            <w:tcW w:w="0" w:type="dxa"/>
            <w:vAlign w:val="bottom"/>
          </w:tcPr>
          <w:p>
            <w:pPr>
              <w:spacing w:after="0"/>
              <w:rPr>
                <w:sz w:val="1"/>
                <w:szCs w:val="1"/>
                <w:color w:val="auto"/>
              </w:rPr>
            </w:pPr>
          </w:p>
        </w:tc>
      </w:tr>
      <w:tr>
        <w:trPr>
          <w:trHeight w:val="230"/>
        </w:trPr>
        <w:tc>
          <w:tcPr>
            <w:tcW w:w="2840" w:type="dxa"/>
            <w:vAlign w:val="bottom"/>
            <w:gridSpan w:val="2"/>
            <w:vMerge w:val="restart"/>
          </w:tcPr>
          <w:p>
            <w:pPr>
              <w:ind w:left="360"/>
              <w:spacing w:after="0"/>
              <w:rPr>
                <w:sz w:val="20"/>
                <w:szCs w:val="20"/>
                <w:color w:val="auto"/>
              </w:rPr>
            </w:pPr>
            <w:r>
              <w:rPr>
                <w:rFonts w:ascii="Arial" w:cs="Arial" w:eastAsia="Arial" w:hAnsi="Arial"/>
                <w:sz w:val="18"/>
                <w:szCs w:val="18"/>
                <w:color w:val="auto"/>
              </w:rPr>
              <w:t>First Lien Debt (j)(w)</w:t>
            </w:r>
          </w:p>
        </w:tc>
        <w:tc>
          <w:tcPr>
            <w:tcW w:w="80" w:type="dxa"/>
            <w:vAlign w:val="bottom"/>
          </w:tcPr>
          <w:p>
            <w:pPr>
              <w:spacing w:after="0"/>
              <w:rPr>
                <w:sz w:val="20"/>
                <w:szCs w:val="20"/>
                <w:color w:val="auto"/>
              </w:rPr>
            </w:pPr>
          </w:p>
        </w:tc>
        <w:tc>
          <w:tcPr>
            <w:tcW w:w="2620" w:type="dxa"/>
            <w:vAlign w:val="bottom"/>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IBH Holdings, LLC (fka Inflexxion,</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i w:val="1"/>
                <w:iCs w:val="1"/>
                <w:color w:val="auto"/>
              </w:rPr>
              <w:t>Inc.)</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Business Services</w:t>
            </w:r>
          </w:p>
        </w:tc>
        <w:tc>
          <w:tcPr>
            <w:tcW w:w="0" w:type="dxa"/>
            <w:vAlign w:val="bottom"/>
          </w:tcPr>
          <w:p>
            <w:pPr>
              <w:spacing w:after="0"/>
              <w:rPr>
                <w:sz w:val="1"/>
                <w:szCs w:val="1"/>
                <w:color w:val="auto"/>
              </w:rPr>
            </w:pPr>
          </w:p>
        </w:tc>
      </w:tr>
      <w:tr>
        <w:trPr>
          <w:trHeight w:val="230"/>
        </w:trPr>
        <w:tc>
          <w:tcPr>
            <w:tcW w:w="2840" w:type="dxa"/>
            <w:vAlign w:val="bottom"/>
            <w:gridSpan w:val="2"/>
          </w:tcPr>
          <w:p>
            <w:pPr>
              <w:ind w:left="360"/>
              <w:spacing w:after="0"/>
              <w:rPr>
                <w:sz w:val="20"/>
                <w:szCs w:val="20"/>
                <w:color w:val="auto"/>
              </w:rPr>
            </w:pPr>
            <w:r>
              <w:rPr>
                <w:rFonts w:ascii="Arial" w:cs="Arial" w:eastAsia="Arial" w:hAnsi="Arial"/>
                <w:sz w:val="18"/>
                <w:szCs w:val="18"/>
                <w:color w:val="auto"/>
                <w:w w:val="97"/>
              </w:rPr>
              <w:t>Common Equity (150,000 units)</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w w:val="95"/>
              </w:rPr>
              <w:t>inthinc Technology Solutions, Inc. (n)</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w w:val="99"/>
              </w:rPr>
              <w:t>Information Technology Services</w:t>
            </w:r>
          </w:p>
        </w:tc>
        <w:tc>
          <w:tcPr>
            <w:tcW w:w="0" w:type="dxa"/>
            <w:vAlign w:val="bottom"/>
          </w:tcPr>
          <w:p>
            <w:pPr>
              <w:spacing w:after="0"/>
              <w:rPr>
                <w:sz w:val="1"/>
                <w:szCs w:val="1"/>
                <w:color w:val="auto"/>
              </w:rPr>
            </w:pPr>
          </w:p>
        </w:tc>
      </w:tr>
      <w:tr>
        <w:trPr>
          <w:trHeight w:val="230"/>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Royalty Rights</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The Kyjen Company, LLC (dba</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i w:val="1"/>
                <w:iCs w:val="1"/>
                <w:color w:val="auto"/>
              </w:rPr>
              <w:t>Outward Hound)</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Consumer Products</w:t>
            </w: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Second Lien Debt (k)</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360"/>
              <w:spacing w:after="0"/>
              <w:rPr>
                <w:sz w:val="20"/>
                <w:szCs w:val="20"/>
                <w:color w:val="auto"/>
              </w:rPr>
            </w:pPr>
            <w:r>
              <w:rPr>
                <w:rFonts w:ascii="Arial" w:cs="Arial" w:eastAsia="Arial" w:hAnsi="Arial"/>
                <w:sz w:val="18"/>
                <w:szCs w:val="18"/>
                <w:color w:val="auto"/>
                <w:w w:val="96"/>
              </w:rPr>
              <w:t>Common Equity (765 shares) (j)</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w w:val="94"/>
              </w:rPr>
              <w:t>LNG Indy, LLC (dba Kinetrex Energy)</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Oil &amp; Gas Distribution</w:t>
            </w: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Second Lien Debt (k)</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Common Equity (1,000 units)</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Marco Group International OpCo,</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i w:val="1"/>
                <w:iCs w:val="1"/>
                <w:color w:val="auto"/>
              </w:rPr>
              <w:t>LLC</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Industrial Cleaning &amp; Coatings</w:t>
            </w: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Second Lien Debt</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Common Equity (750,000</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540"/>
              <w:spacing w:after="0"/>
              <w:rPr>
                <w:sz w:val="20"/>
                <w:szCs w:val="20"/>
                <w:color w:val="auto"/>
              </w:rPr>
            </w:pPr>
            <w:r>
              <w:rPr>
                <w:rFonts w:ascii="Arial" w:cs="Arial" w:eastAsia="Arial" w:hAnsi="Arial"/>
                <w:sz w:val="18"/>
                <w:szCs w:val="18"/>
                <w:color w:val="auto"/>
              </w:rPr>
              <w:t>units) (h)(j)</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Mesa Line Services, LLC</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Utilities: Services</w:t>
            </w: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Second Lien Debt (j)</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Delayed Draw Commitment</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540"/>
              <w:spacing w:after="0"/>
              <w:rPr>
                <w:sz w:val="20"/>
                <w:szCs w:val="20"/>
                <w:color w:val="auto"/>
              </w:rPr>
            </w:pPr>
            <w:r>
              <w:rPr>
                <w:rFonts w:ascii="Arial" w:cs="Arial" w:eastAsia="Arial" w:hAnsi="Arial"/>
                <w:sz w:val="18"/>
                <w:szCs w:val="18"/>
                <w:color w:val="auto"/>
              </w:rPr>
              <w:t>($3,160 commitment) (i)(j)</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360"/>
              <w:spacing w:after="0"/>
              <w:rPr>
                <w:sz w:val="20"/>
                <w:szCs w:val="20"/>
                <w:color w:val="auto"/>
              </w:rPr>
            </w:pPr>
            <w:r>
              <w:rPr>
                <w:rFonts w:ascii="Arial" w:cs="Arial" w:eastAsia="Arial" w:hAnsi="Arial"/>
                <w:sz w:val="18"/>
                <w:szCs w:val="18"/>
                <w:color w:val="auto"/>
                <w:w w:val="96"/>
              </w:rPr>
              <w:t>Common Equity (500 shares) (j)</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Midwest Transit Equipment, Inc.</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Transportation services</w:t>
            </w: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Warrant (14,384 shares) (j)(m)</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Warrant (9.59% of Junior</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540"/>
              <w:spacing w:after="0"/>
              <w:rPr>
                <w:sz w:val="20"/>
                <w:szCs w:val="20"/>
                <w:color w:val="auto"/>
              </w:rPr>
            </w:pPr>
            <w:r>
              <w:rPr>
                <w:rFonts w:ascii="Arial" w:cs="Arial" w:eastAsia="Arial" w:hAnsi="Arial"/>
                <w:sz w:val="18"/>
                <w:szCs w:val="18"/>
                <w:color w:val="auto"/>
              </w:rPr>
              <w:t>Subordinated Notes) (j)(q)</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New Era Technology, Inc.</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w w:val="99"/>
              </w:rPr>
              <w:t>Information Technology Services</w:t>
            </w: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Common Equity (197,369</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540"/>
              <w:spacing w:after="0"/>
              <w:rPr>
                <w:sz w:val="20"/>
                <w:szCs w:val="20"/>
                <w:color w:val="auto"/>
              </w:rPr>
            </w:pPr>
            <w:r>
              <w:rPr>
                <w:rFonts w:ascii="Arial" w:cs="Arial" w:eastAsia="Arial" w:hAnsi="Arial"/>
                <w:sz w:val="18"/>
                <w:szCs w:val="18"/>
                <w:color w:val="auto"/>
              </w:rPr>
              <w:t>shares) (j)</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w w:val="97"/>
              </w:rPr>
              <w:t>NGT Acquisition Holdings, LLC (dba</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i w:val="1"/>
                <w:iCs w:val="1"/>
                <w:color w:val="auto"/>
              </w:rPr>
              <w:t>Techniks</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Industries)</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Component Manufacturing</w:t>
            </w: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Subordinated Debt</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Common Equity (378 units) (j)</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Oaktree Medical Centre, P.C. (dba</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i w:val="1"/>
                <w:iCs w:val="1"/>
                <w:color w:val="auto"/>
              </w:rPr>
              <w:t>Pain Management Associates)</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Healthcare Services</w:t>
            </w: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First Lien Debt (j)(u)</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First Lien Debt (j)(u)</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Revolving Loan (j)(u)</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Revolving Loan (j)(u)</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OMC Investors, LLC (dba Ohio</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i w:val="1"/>
                <w:iCs w:val="1"/>
                <w:color w:val="auto"/>
              </w:rPr>
              <w:t>Medical Corporation)</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Healthcare Products</w:t>
            </w: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Second Lien Debt</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Common Equity (5,000 units)</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Palisade Company, LLC</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w w:val="99"/>
              </w:rPr>
              <w:t>Information Technology Services</w:t>
            </w: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Subordinated Debt (j)</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360"/>
              <w:spacing w:after="0"/>
              <w:rPr>
                <w:sz w:val="20"/>
                <w:szCs w:val="20"/>
                <w:color w:val="auto"/>
              </w:rPr>
            </w:pPr>
            <w:r>
              <w:rPr>
                <w:rFonts w:ascii="Arial" w:cs="Arial" w:eastAsia="Arial" w:hAnsi="Arial"/>
                <w:sz w:val="18"/>
                <w:szCs w:val="18"/>
                <w:color w:val="auto"/>
                <w:w w:val="96"/>
              </w:rPr>
              <w:t>Common Equity (100 shares) (j)</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-9072880</wp:posOffset>
            </wp:positionV>
            <wp:extent cx="699770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-8660765</wp:posOffset>
            </wp:positionV>
            <wp:extent cx="699770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-8369300</wp:posOffset>
            </wp:positionV>
            <wp:extent cx="699770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-7889240</wp:posOffset>
            </wp:positionV>
            <wp:extent cx="699770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-7408545</wp:posOffset>
            </wp:positionV>
            <wp:extent cx="699770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-7065645</wp:posOffset>
            </wp:positionV>
            <wp:extent cx="699770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-6654165</wp:posOffset>
            </wp:positionV>
            <wp:extent cx="699770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-6362700</wp:posOffset>
            </wp:positionV>
            <wp:extent cx="699770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-6088380</wp:posOffset>
            </wp:positionV>
            <wp:extent cx="699770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-5796915</wp:posOffset>
            </wp:positionV>
            <wp:extent cx="699770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-5384800</wp:posOffset>
            </wp:positionV>
            <wp:extent cx="699770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-4956175</wp:posOffset>
            </wp:positionV>
            <wp:extent cx="699770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-4681855</wp:posOffset>
            </wp:positionV>
            <wp:extent cx="699770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-4253230</wp:posOffset>
            </wp:positionV>
            <wp:extent cx="699770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-3978275</wp:posOffset>
            </wp:positionV>
            <wp:extent cx="699770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-3549650</wp:posOffset>
            </wp:positionV>
            <wp:extent cx="699770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-3275330</wp:posOffset>
            </wp:positionV>
            <wp:extent cx="699770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-2658110</wp:posOffset>
            </wp:positionV>
            <wp:extent cx="699770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-2383155</wp:posOffset>
            </wp:positionV>
            <wp:extent cx="699770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-2091690</wp:posOffset>
            </wp:positionV>
            <wp:extent cx="699770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-1680210</wp:posOffset>
            </wp:positionV>
            <wp:extent cx="699770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-1405890</wp:posOffset>
            </wp:positionV>
            <wp:extent cx="699770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-1114425</wp:posOffset>
            </wp:positionV>
            <wp:extent cx="699770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-702310</wp:posOffset>
            </wp:positionV>
            <wp:extent cx="699770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-410845</wp:posOffset>
            </wp:positionV>
            <wp:extent cx="699770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-136525</wp:posOffset>
            </wp:positionV>
            <wp:extent cx="699770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Rate (d)</w:t>
            </w: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Principal</w:t>
            </w:r>
          </w:p>
        </w:tc>
        <w:tc>
          <w:tcPr>
            <w:tcW w:w="5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620" w:type="dxa"/>
            <w:vAlign w:val="bottom"/>
          </w:tcPr>
          <w:p>
            <w:pPr>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Cash/PIK</w:t>
            </w:r>
          </w:p>
        </w:tc>
        <w:tc>
          <w:tcPr>
            <w:tcW w:w="3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Value (e)</w:t>
            </w: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jc w:val="right"/>
              <w:spacing w:after="0"/>
              <w:rPr>
                <w:sz w:val="20"/>
                <w:szCs w:val="20"/>
                <w:color w:val="auto"/>
              </w:rPr>
            </w:pPr>
            <w:r>
              <w:rPr>
                <w:rFonts w:ascii="Arial" w:cs="Arial" w:eastAsia="Arial" w:hAnsi="Arial"/>
                <w:sz w:val="18"/>
                <w:szCs w:val="18"/>
                <w:color w:val="auto"/>
                <w:w w:val="97"/>
              </w:rPr>
              <w:t>12.25%/0.00%</w:t>
            </w:r>
          </w:p>
        </w:tc>
        <w:tc>
          <w:tcPr>
            <w:tcW w:w="900" w:type="dxa"/>
            <w:vAlign w:val="bottom"/>
          </w:tcPr>
          <w:p>
            <w:pPr>
              <w:ind w:left="60"/>
              <w:spacing w:after="0"/>
              <w:rPr>
                <w:sz w:val="20"/>
                <w:szCs w:val="20"/>
                <w:color w:val="auto"/>
              </w:rPr>
            </w:pPr>
            <w:r>
              <w:rPr>
                <w:rFonts w:ascii="Arial" w:cs="Arial" w:eastAsia="Arial" w:hAnsi="Arial"/>
                <w:sz w:val="18"/>
                <w:szCs w:val="18"/>
                <w:color w:val="auto"/>
              </w:rPr>
              <w:t>9/23/2021</w:t>
            </w: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$24,918</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$25,000</w:t>
            </w:r>
          </w:p>
        </w:tc>
        <w:tc>
          <w:tcPr>
            <w:tcW w:w="94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1,417</w:t>
            </w:r>
          </w:p>
        </w:tc>
        <w:tc>
          <w:tcPr>
            <w:tcW w:w="940" w:type="dxa"/>
            <w:vAlign w:val="bottom"/>
          </w:tcPr>
          <w:p>
            <w:pPr>
              <w:spacing w:after="0"/>
              <w:rPr>
                <w:sz w:val="20"/>
                <w:szCs w:val="20"/>
                <w:color w:val="auto"/>
              </w:rPr>
            </w:pPr>
          </w:p>
        </w:tc>
      </w:tr>
      <w:tr>
        <w:trPr>
          <w:trHeight w:val="224"/>
        </w:trPr>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26,417</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647"/>
        </w:trPr>
        <w:tc>
          <w:tcPr>
            <w:tcW w:w="1240" w:type="dxa"/>
            <w:vAlign w:val="bottom"/>
          </w:tcPr>
          <w:p>
            <w:pPr>
              <w:jc w:val="right"/>
              <w:spacing w:after="0"/>
              <w:rPr>
                <w:sz w:val="20"/>
                <w:szCs w:val="20"/>
                <w:color w:val="auto"/>
              </w:rPr>
            </w:pPr>
            <w:r>
              <w:rPr>
                <w:rFonts w:ascii="Arial" w:cs="Arial" w:eastAsia="Arial" w:hAnsi="Arial"/>
                <w:sz w:val="18"/>
                <w:szCs w:val="18"/>
                <w:color w:val="auto"/>
              </w:rPr>
              <w:t>9.80%/0.00%</w:t>
            </w:r>
          </w:p>
        </w:tc>
        <w:tc>
          <w:tcPr>
            <w:tcW w:w="900" w:type="dxa"/>
            <w:vAlign w:val="bottom"/>
          </w:tcPr>
          <w:p>
            <w:pPr>
              <w:ind w:left="60"/>
              <w:spacing w:after="0"/>
              <w:rPr>
                <w:sz w:val="20"/>
                <w:szCs w:val="20"/>
                <w:color w:val="auto"/>
              </w:rPr>
            </w:pPr>
            <w:r>
              <w:rPr>
                <w:rFonts w:ascii="Arial" w:cs="Arial" w:eastAsia="Arial" w:hAnsi="Arial"/>
                <w:sz w:val="18"/>
                <w:szCs w:val="18"/>
                <w:color w:val="auto"/>
              </w:rPr>
              <w:t>3/29/2023</w:t>
            </w:r>
          </w:p>
        </w:tc>
        <w:tc>
          <w:tcPr>
            <w:tcW w:w="760" w:type="dxa"/>
            <w:vAlign w:val="bottom"/>
          </w:tcPr>
          <w:p>
            <w:pPr>
              <w:jc w:val="right"/>
              <w:spacing w:after="0"/>
              <w:rPr>
                <w:sz w:val="20"/>
                <w:szCs w:val="20"/>
                <w:color w:val="auto"/>
              </w:rPr>
            </w:pPr>
            <w:r>
              <w:rPr>
                <w:rFonts w:ascii="Arial" w:cs="Arial" w:eastAsia="Arial" w:hAnsi="Arial"/>
                <w:sz w:val="18"/>
                <w:szCs w:val="18"/>
                <w:color w:val="auto"/>
              </w:rPr>
              <w:t>9,747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9,653</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9,653</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756"/>
        </w:trPr>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40"/>
        </w:trPr>
        <w:tc>
          <w:tcPr>
            <w:tcW w:w="12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4/24/2020</w:t>
            </w:r>
          </w:p>
        </w:tc>
        <w:tc>
          <w:tcPr>
            <w:tcW w:w="7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42"/>
        </w:trPr>
        <w:tc>
          <w:tcPr>
            <w:tcW w:w="1240" w:type="dxa"/>
            <w:vAlign w:val="bottom"/>
          </w:tcPr>
          <w:p>
            <w:pPr>
              <w:jc w:val="right"/>
              <w:spacing w:after="0"/>
              <w:rPr>
                <w:sz w:val="20"/>
                <w:szCs w:val="20"/>
                <w:color w:val="auto"/>
              </w:rPr>
            </w:pPr>
            <w:r>
              <w:rPr>
                <w:rFonts w:ascii="Arial" w:cs="Arial" w:eastAsia="Arial" w:hAnsi="Arial"/>
                <w:sz w:val="18"/>
                <w:szCs w:val="18"/>
                <w:color w:val="auto"/>
                <w:w w:val="97"/>
              </w:rPr>
              <w:t>12.00%/0.00%</w:t>
            </w:r>
          </w:p>
        </w:tc>
        <w:tc>
          <w:tcPr>
            <w:tcW w:w="900" w:type="dxa"/>
            <w:vAlign w:val="bottom"/>
          </w:tcPr>
          <w:p>
            <w:pPr>
              <w:ind w:left="60"/>
              <w:spacing w:after="0"/>
              <w:rPr>
                <w:sz w:val="20"/>
                <w:szCs w:val="20"/>
                <w:color w:val="auto"/>
              </w:rPr>
            </w:pPr>
            <w:r>
              <w:rPr>
                <w:rFonts w:ascii="Arial" w:cs="Arial" w:eastAsia="Arial" w:hAnsi="Arial"/>
                <w:sz w:val="18"/>
                <w:szCs w:val="18"/>
                <w:color w:val="auto"/>
              </w:rPr>
              <w:t>6/8/2024</w:t>
            </w:r>
          </w:p>
        </w:tc>
        <w:tc>
          <w:tcPr>
            <w:tcW w:w="760" w:type="dxa"/>
            <w:vAlign w:val="bottom"/>
          </w:tcPr>
          <w:p>
            <w:pPr>
              <w:jc w:val="right"/>
              <w:spacing w:after="0"/>
              <w:rPr>
                <w:sz w:val="20"/>
                <w:szCs w:val="20"/>
                <w:color w:val="auto"/>
              </w:rPr>
            </w:pPr>
            <w:r>
              <w:rPr>
                <w:rFonts w:ascii="Arial" w:cs="Arial" w:eastAsia="Arial" w:hAnsi="Arial"/>
                <w:sz w:val="18"/>
                <w:szCs w:val="18"/>
                <w:color w:val="auto"/>
              </w:rPr>
              <w:t>15,000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14,937</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13,950</w:t>
            </w:r>
          </w:p>
        </w:tc>
        <w:tc>
          <w:tcPr>
            <w:tcW w:w="9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940" w:type="dxa"/>
            <w:vAlign w:val="bottom"/>
          </w:tcPr>
          <w:p>
            <w:pPr>
              <w:spacing w:after="0"/>
              <w:rPr>
                <w:sz w:val="20"/>
                <w:szCs w:val="20"/>
                <w:color w:val="auto"/>
              </w:rPr>
            </w:pPr>
          </w:p>
        </w:tc>
      </w:tr>
      <w:tr>
        <w:trPr>
          <w:trHeight w:val="224"/>
        </w:trPr>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14,704</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7"/>
        </w:trPr>
        <w:tc>
          <w:tcPr>
            <w:tcW w:w="1240" w:type="dxa"/>
            <w:vAlign w:val="bottom"/>
          </w:tcPr>
          <w:p>
            <w:pPr>
              <w:jc w:val="right"/>
              <w:spacing w:after="0"/>
              <w:rPr>
                <w:sz w:val="20"/>
                <w:szCs w:val="20"/>
                <w:color w:val="auto"/>
              </w:rPr>
            </w:pPr>
            <w:r>
              <w:rPr>
                <w:rFonts w:ascii="Arial" w:cs="Arial" w:eastAsia="Arial" w:hAnsi="Arial"/>
                <w:sz w:val="18"/>
                <w:szCs w:val="18"/>
                <w:color w:val="auto"/>
                <w:w w:val="97"/>
              </w:rPr>
              <w:t>11.50%/0.00%</w:t>
            </w:r>
          </w:p>
        </w:tc>
        <w:tc>
          <w:tcPr>
            <w:tcW w:w="900" w:type="dxa"/>
            <w:vAlign w:val="bottom"/>
          </w:tcPr>
          <w:p>
            <w:pPr>
              <w:ind w:left="60"/>
              <w:spacing w:after="0"/>
              <w:rPr>
                <w:sz w:val="20"/>
                <w:szCs w:val="20"/>
                <w:color w:val="auto"/>
              </w:rPr>
            </w:pPr>
            <w:r>
              <w:rPr>
                <w:rFonts w:ascii="Arial" w:cs="Arial" w:eastAsia="Arial" w:hAnsi="Arial"/>
                <w:sz w:val="18"/>
                <w:szCs w:val="18"/>
                <w:color w:val="auto"/>
              </w:rPr>
              <w:t>9/28/2021</w:t>
            </w: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4,985</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9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1,561</w:t>
            </w:r>
          </w:p>
        </w:tc>
        <w:tc>
          <w:tcPr>
            <w:tcW w:w="940" w:type="dxa"/>
            <w:vAlign w:val="bottom"/>
          </w:tcPr>
          <w:p>
            <w:pPr>
              <w:spacing w:after="0"/>
              <w:rPr>
                <w:sz w:val="20"/>
                <w:szCs w:val="20"/>
                <w:color w:val="auto"/>
              </w:rPr>
            </w:pPr>
          </w:p>
        </w:tc>
      </w:tr>
      <w:tr>
        <w:trPr>
          <w:trHeight w:val="224"/>
        </w:trPr>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6,561</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647"/>
        </w:trPr>
        <w:tc>
          <w:tcPr>
            <w:tcW w:w="1240" w:type="dxa"/>
            <w:vAlign w:val="bottom"/>
          </w:tcPr>
          <w:p>
            <w:pPr>
              <w:jc w:val="right"/>
              <w:spacing w:after="0"/>
              <w:rPr>
                <w:sz w:val="20"/>
                <w:szCs w:val="20"/>
                <w:color w:val="auto"/>
              </w:rPr>
            </w:pPr>
            <w:r>
              <w:rPr>
                <w:rFonts w:ascii="Arial" w:cs="Arial" w:eastAsia="Arial" w:hAnsi="Arial"/>
                <w:sz w:val="18"/>
                <w:szCs w:val="18"/>
                <w:color w:val="auto"/>
                <w:w w:val="97"/>
              </w:rPr>
              <w:t>10.50%/0.75%</w:t>
            </w:r>
          </w:p>
        </w:tc>
        <w:tc>
          <w:tcPr>
            <w:tcW w:w="900" w:type="dxa"/>
            <w:vAlign w:val="bottom"/>
          </w:tcPr>
          <w:p>
            <w:pPr>
              <w:ind w:left="60"/>
              <w:spacing w:after="0"/>
              <w:rPr>
                <w:sz w:val="20"/>
                <w:szCs w:val="20"/>
                <w:color w:val="auto"/>
              </w:rPr>
            </w:pPr>
            <w:r>
              <w:rPr>
                <w:rFonts w:ascii="Arial" w:cs="Arial" w:eastAsia="Arial" w:hAnsi="Arial"/>
                <w:sz w:val="18"/>
                <w:szCs w:val="18"/>
                <w:color w:val="auto"/>
              </w:rPr>
              <w:t>1/21/2023</w:t>
            </w:r>
          </w:p>
        </w:tc>
        <w:tc>
          <w:tcPr>
            <w:tcW w:w="760" w:type="dxa"/>
            <w:vAlign w:val="bottom"/>
          </w:tcPr>
          <w:p>
            <w:pPr>
              <w:jc w:val="right"/>
              <w:spacing w:after="0"/>
              <w:rPr>
                <w:sz w:val="20"/>
                <w:szCs w:val="20"/>
                <w:color w:val="auto"/>
              </w:rPr>
            </w:pPr>
            <w:r>
              <w:rPr>
                <w:rFonts w:ascii="Arial" w:cs="Arial" w:eastAsia="Arial" w:hAnsi="Arial"/>
                <w:sz w:val="18"/>
                <w:szCs w:val="18"/>
                <w:color w:val="auto"/>
              </w:rPr>
              <w:t>12,133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12,089</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12,133</w:t>
            </w:r>
          </w:p>
        </w:tc>
        <w:tc>
          <w:tcPr>
            <w:tcW w:w="94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940" w:type="dxa"/>
            <w:vAlign w:val="bottom"/>
          </w:tcPr>
          <w:p>
            <w:pPr>
              <w:spacing w:after="0"/>
              <w:rPr>
                <w:sz w:val="24"/>
                <w:szCs w:val="24"/>
                <w:color w:val="auto"/>
              </w:rPr>
            </w:pPr>
          </w:p>
        </w:tc>
      </w:tr>
      <w:tr>
        <w:trPr>
          <w:trHeight w:val="224"/>
        </w:trPr>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12,933</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1"/>
        </w:trPr>
        <w:tc>
          <w:tcPr>
            <w:tcW w:w="1240" w:type="dxa"/>
            <w:vAlign w:val="bottom"/>
          </w:tcPr>
          <w:p>
            <w:pPr>
              <w:jc w:val="right"/>
              <w:spacing w:after="0"/>
              <w:rPr>
                <w:sz w:val="20"/>
                <w:szCs w:val="20"/>
                <w:color w:val="auto"/>
              </w:rPr>
            </w:pPr>
            <w:r>
              <w:rPr>
                <w:rFonts w:ascii="Arial" w:cs="Arial" w:eastAsia="Arial" w:hAnsi="Arial"/>
                <w:sz w:val="18"/>
                <w:szCs w:val="18"/>
                <w:color w:val="auto"/>
                <w:w w:val="97"/>
              </w:rPr>
              <w:t>10.50%/0.50%</w:t>
            </w:r>
          </w:p>
        </w:tc>
        <w:tc>
          <w:tcPr>
            <w:tcW w:w="900" w:type="dxa"/>
            <w:vAlign w:val="bottom"/>
          </w:tcPr>
          <w:p>
            <w:pPr>
              <w:ind w:left="60"/>
              <w:spacing w:after="0"/>
              <w:rPr>
                <w:sz w:val="20"/>
                <w:szCs w:val="20"/>
                <w:color w:val="auto"/>
              </w:rPr>
            </w:pPr>
            <w:r>
              <w:rPr>
                <w:rFonts w:ascii="Arial" w:cs="Arial" w:eastAsia="Arial" w:hAnsi="Arial"/>
                <w:sz w:val="18"/>
                <w:szCs w:val="18"/>
                <w:color w:val="auto"/>
              </w:rPr>
              <w:t>5/31/2023</w:t>
            </w:r>
          </w:p>
        </w:tc>
        <w:tc>
          <w:tcPr>
            <w:tcW w:w="760" w:type="dxa"/>
            <w:vAlign w:val="bottom"/>
          </w:tcPr>
          <w:p>
            <w:pPr>
              <w:jc w:val="right"/>
              <w:spacing w:after="0"/>
              <w:rPr>
                <w:sz w:val="20"/>
                <w:szCs w:val="20"/>
                <w:color w:val="auto"/>
              </w:rPr>
            </w:pPr>
            <w:r>
              <w:rPr>
                <w:rFonts w:ascii="Arial" w:cs="Arial" w:eastAsia="Arial" w:hAnsi="Arial"/>
                <w:sz w:val="18"/>
                <w:szCs w:val="18"/>
                <w:color w:val="auto"/>
              </w:rPr>
              <w:t>10,014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9,963</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10,014</w:t>
            </w:r>
          </w:p>
        </w:tc>
        <w:tc>
          <w:tcPr>
            <w:tcW w:w="940" w:type="dxa"/>
            <w:vAlign w:val="bottom"/>
          </w:tcPr>
          <w:p>
            <w:pPr>
              <w:spacing w:after="0"/>
              <w:rPr>
                <w:sz w:val="24"/>
                <w:szCs w:val="24"/>
                <w:color w:val="auto"/>
              </w:rPr>
            </w:pPr>
          </w:p>
        </w:tc>
      </w:tr>
      <w:tr>
        <w:trPr>
          <w:trHeight w:val="418"/>
        </w:trPr>
        <w:tc>
          <w:tcPr>
            <w:tcW w:w="1240" w:type="dxa"/>
            <w:vAlign w:val="bottom"/>
          </w:tcPr>
          <w:p>
            <w:pPr>
              <w:jc w:val="right"/>
              <w:spacing w:after="0"/>
              <w:rPr>
                <w:sz w:val="20"/>
                <w:szCs w:val="20"/>
                <w:color w:val="auto"/>
              </w:rPr>
            </w:pPr>
            <w:r>
              <w:rPr>
                <w:rFonts w:ascii="Arial" w:cs="Arial" w:eastAsia="Arial" w:hAnsi="Arial"/>
                <w:sz w:val="18"/>
                <w:szCs w:val="18"/>
                <w:color w:val="auto"/>
                <w:w w:val="97"/>
              </w:rPr>
              <w:t>10.50%/0.50%</w:t>
            </w:r>
          </w:p>
        </w:tc>
        <w:tc>
          <w:tcPr>
            <w:tcW w:w="900" w:type="dxa"/>
            <w:vAlign w:val="bottom"/>
          </w:tcPr>
          <w:p>
            <w:pPr>
              <w:ind w:left="60"/>
              <w:spacing w:after="0"/>
              <w:rPr>
                <w:sz w:val="20"/>
                <w:szCs w:val="20"/>
                <w:color w:val="auto"/>
              </w:rPr>
            </w:pPr>
            <w:r>
              <w:rPr>
                <w:rFonts w:ascii="Arial" w:cs="Arial" w:eastAsia="Arial" w:hAnsi="Arial"/>
                <w:sz w:val="18"/>
                <w:szCs w:val="18"/>
                <w:color w:val="auto"/>
              </w:rPr>
              <w:t>5/31/2019</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940" w:type="dxa"/>
            <w:vAlign w:val="bottom"/>
          </w:tcPr>
          <w:p>
            <w:pPr>
              <w:spacing w:after="0"/>
              <w:rPr>
                <w:sz w:val="20"/>
                <w:szCs w:val="20"/>
                <w:color w:val="auto"/>
              </w:rPr>
            </w:pPr>
          </w:p>
        </w:tc>
      </w:tr>
      <w:tr>
        <w:trPr>
          <w:trHeight w:val="224"/>
        </w:trPr>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10,690</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1"/>
        </w:trPr>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94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940" w:type="dxa"/>
            <w:vAlign w:val="bottom"/>
          </w:tcPr>
          <w:p>
            <w:pPr>
              <w:spacing w:after="0"/>
              <w:rPr>
                <w:sz w:val="24"/>
                <w:szCs w:val="24"/>
                <w:color w:val="auto"/>
              </w:rPr>
            </w:pPr>
          </w:p>
        </w:tc>
      </w:tr>
      <w:tr>
        <w:trPr>
          <w:trHeight w:val="224"/>
        </w:trPr>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47"/>
        </w:trPr>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990</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958"/>
        </w:trPr>
        <w:tc>
          <w:tcPr>
            <w:tcW w:w="1240" w:type="dxa"/>
            <w:vAlign w:val="bottom"/>
          </w:tcPr>
          <w:p>
            <w:pPr>
              <w:jc w:val="right"/>
              <w:spacing w:after="0"/>
              <w:rPr>
                <w:sz w:val="20"/>
                <w:szCs w:val="20"/>
                <w:color w:val="auto"/>
              </w:rPr>
            </w:pPr>
            <w:r>
              <w:rPr>
                <w:rFonts w:ascii="Arial" w:cs="Arial" w:eastAsia="Arial" w:hAnsi="Arial"/>
                <w:sz w:val="18"/>
                <w:szCs w:val="18"/>
                <w:color w:val="auto"/>
                <w:w w:val="97"/>
              </w:rPr>
              <w:t>12.50%/2.00%</w:t>
            </w:r>
          </w:p>
        </w:tc>
        <w:tc>
          <w:tcPr>
            <w:tcW w:w="900" w:type="dxa"/>
            <w:vAlign w:val="bottom"/>
          </w:tcPr>
          <w:p>
            <w:pPr>
              <w:ind w:left="60"/>
              <w:spacing w:after="0"/>
              <w:rPr>
                <w:sz w:val="20"/>
                <w:szCs w:val="20"/>
                <w:color w:val="auto"/>
              </w:rPr>
            </w:pPr>
            <w:r>
              <w:rPr>
                <w:rFonts w:ascii="Arial" w:cs="Arial" w:eastAsia="Arial" w:hAnsi="Arial"/>
                <w:sz w:val="18"/>
                <w:szCs w:val="18"/>
                <w:color w:val="auto"/>
              </w:rPr>
              <w:t>3/21/2022</w:t>
            </w:r>
          </w:p>
        </w:tc>
        <w:tc>
          <w:tcPr>
            <w:tcW w:w="760" w:type="dxa"/>
            <w:vAlign w:val="bottom"/>
          </w:tcPr>
          <w:p>
            <w:pPr>
              <w:jc w:val="right"/>
              <w:spacing w:after="0"/>
              <w:rPr>
                <w:sz w:val="20"/>
                <w:szCs w:val="20"/>
                <w:color w:val="auto"/>
              </w:rPr>
            </w:pPr>
            <w:r>
              <w:rPr>
                <w:rFonts w:ascii="Arial" w:cs="Arial" w:eastAsia="Arial" w:hAnsi="Arial"/>
                <w:sz w:val="18"/>
                <w:szCs w:val="18"/>
                <w:color w:val="auto"/>
              </w:rPr>
              <w:t>11,579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11,542</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10,460</w:t>
            </w:r>
          </w:p>
        </w:tc>
        <w:tc>
          <w:tcPr>
            <w:tcW w:w="9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940" w:type="dxa"/>
            <w:vAlign w:val="bottom"/>
          </w:tcPr>
          <w:p>
            <w:pPr>
              <w:spacing w:after="0"/>
              <w:rPr>
                <w:sz w:val="20"/>
                <w:szCs w:val="20"/>
                <w:color w:val="auto"/>
              </w:rPr>
            </w:pPr>
          </w:p>
        </w:tc>
      </w:tr>
      <w:tr>
        <w:trPr>
          <w:trHeight w:val="224"/>
        </w:trPr>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10,532</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33"/>
        </w:trPr>
        <w:tc>
          <w:tcPr>
            <w:tcW w:w="1240" w:type="dxa"/>
            <w:vAlign w:val="bottom"/>
          </w:tcPr>
          <w:p>
            <w:pPr>
              <w:jc w:val="right"/>
              <w:spacing w:after="0"/>
              <w:rPr>
                <w:sz w:val="20"/>
                <w:szCs w:val="20"/>
                <w:color w:val="auto"/>
              </w:rPr>
            </w:pPr>
            <w:r>
              <w:rPr>
                <w:rFonts w:ascii="Arial" w:cs="Arial" w:eastAsia="Arial" w:hAnsi="Arial"/>
                <w:sz w:val="18"/>
                <w:szCs w:val="18"/>
                <w:color w:val="auto"/>
                <w:w w:val="97"/>
              </w:rPr>
              <w:t>14.50%/0.00%</w:t>
            </w:r>
          </w:p>
        </w:tc>
        <w:tc>
          <w:tcPr>
            <w:tcW w:w="900" w:type="dxa"/>
            <w:vAlign w:val="bottom"/>
          </w:tcPr>
          <w:p>
            <w:pPr>
              <w:ind w:left="60"/>
              <w:spacing w:after="0"/>
              <w:rPr>
                <w:sz w:val="20"/>
                <w:szCs w:val="20"/>
                <w:color w:val="auto"/>
              </w:rPr>
            </w:pPr>
            <w:r>
              <w:rPr>
                <w:rFonts w:ascii="Arial" w:cs="Arial" w:eastAsia="Arial" w:hAnsi="Arial"/>
                <w:sz w:val="18"/>
                <w:szCs w:val="18"/>
                <w:color w:val="auto"/>
              </w:rPr>
              <w:t>1/1/2018</w:t>
            </w:r>
          </w:p>
        </w:tc>
        <w:tc>
          <w:tcPr>
            <w:tcW w:w="760" w:type="dxa"/>
            <w:vAlign w:val="bottom"/>
          </w:tcPr>
          <w:p>
            <w:pPr>
              <w:jc w:val="right"/>
              <w:spacing w:after="0"/>
              <w:rPr>
                <w:sz w:val="20"/>
                <w:szCs w:val="20"/>
                <w:color w:val="auto"/>
              </w:rPr>
            </w:pPr>
            <w:r>
              <w:rPr>
                <w:rFonts w:ascii="Arial" w:cs="Arial" w:eastAsia="Arial" w:hAnsi="Arial"/>
                <w:sz w:val="18"/>
                <w:szCs w:val="18"/>
                <w:color w:val="auto"/>
              </w:rPr>
              <w:t>571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940" w:type="dxa"/>
            <w:vAlign w:val="bottom"/>
          </w:tcPr>
          <w:p>
            <w:pPr>
              <w:spacing w:after="0"/>
              <w:rPr>
                <w:sz w:val="24"/>
                <w:szCs w:val="24"/>
                <w:color w:val="auto"/>
              </w:rPr>
            </w:pPr>
          </w:p>
        </w:tc>
      </w:tr>
      <w:tr>
        <w:trPr>
          <w:trHeight w:val="216"/>
        </w:trPr>
        <w:tc>
          <w:tcPr>
            <w:tcW w:w="1240" w:type="dxa"/>
            <w:vAlign w:val="bottom"/>
          </w:tcPr>
          <w:p>
            <w:pPr>
              <w:jc w:val="right"/>
              <w:spacing w:after="0"/>
              <w:rPr>
                <w:sz w:val="20"/>
                <w:szCs w:val="20"/>
                <w:color w:val="auto"/>
              </w:rPr>
            </w:pPr>
            <w:r>
              <w:rPr>
                <w:rFonts w:ascii="Arial" w:cs="Arial" w:eastAsia="Arial" w:hAnsi="Arial"/>
                <w:sz w:val="18"/>
                <w:szCs w:val="18"/>
                <w:color w:val="auto"/>
                <w:w w:val="89"/>
              </w:rPr>
              <w:t>10.00%/12.00%</w:t>
            </w:r>
          </w:p>
        </w:tc>
        <w:tc>
          <w:tcPr>
            <w:tcW w:w="900" w:type="dxa"/>
            <w:vAlign w:val="bottom"/>
          </w:tcPr>
          <w:p>
            <w:pPr>
              <w:ind w:left="60"/>
              <w:spacing w:after="0"/>
              <w:rPr>
                <w:sz w:val="20"/>
                <w:szCs w:val="20"/>
                <w:color w:val="auto"/>
              </w:rPr>
            </w:pPr>
            <w:r>
              <w:rPr>
                <w:rFonts w:ascii="Arial" w:cs="Arial" w:eastAsia="Arial" w:hAnsi="Arial"/>
                <w:sz w:val="18"/>
                <w:szCs w:val="18"/>
                <w:color w:val="auto"/>
              </w:rPr>
              <w:t>1/1/2018</w:t>
            </w:r>
          </w:p>
        </w:tc>
        <w:tc>
          <w:tcPr>
            <w:tcW w:w="760" w:type="dxa"/>
            <w:vAlign w:val="bottom"/>
          </w:tcPr>
          <w:p>
            <w:pPr>
              <w:jc w:val="right"/>
              <w:spacing w:after="0"/>
              <w:rPr>
                <w:sz w:val="20"/>
                <w:szCs w:val="20"/>
                <w:color w:val="auto"/>
              </w:rPr>
            </w:pPr>
            <w:r>
              <w:rPr>
                <w:rFonts w:ascii="Arial" w:cs="Arial" w:eastAsia="Arial" w:hAnsi="Arial"/>
                <w:sz w:val="18"/>
                <w:szCs w:val="18"/>
                <w:color w:val="auto"/>
              </w:rPr>
              <w:t>7,751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8,338</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8,133</w:t>
            </w:r>
          </w:p>
        </w:tc>
        <w:tc>
          <w:tcPr>
            <w:tcW w:w="940" w:type="dxa"/>
            <w:vAlign w:val="bottom"/>
          </w:tcPr>
          <w:p>
            <w:pPr>
              <w:spacing w:after="0"/>
              <w:rPr>
                <w:sz w:val="18"/>
                <w:szCs w:val="18"/>
                <w:color w:val="auto"/>
              </w:rPr>
            </w:pPr>
          </w:p>
        </w:tc>
      </w:tr>
      <w:tr>
        <w:trPr>
          <w:trHeight w:val="216"/>
        </w:trPr>
        <w:tc>
          <w:tcPr>
            <w:tcW w:w="1240" w:type="dxa"/>
            <w:vAlign w:val="bottom"/>
          </w:tcPr>
          <w:p>
            <w:pPr>
              <w:jc w:val="right"/>
              <w:spacing w:after="0"/>
              <w:rPr>
                <w:sz w:val="20"/>
                <w:szCs w:val="20"/>
                <w:color w:val="auto"/>
              </w:rPr>
            </w:pPr>
            <w:r>
              <w:rPr>
                <w:rFonts w:ascii="Arial" w:cs="Arial" w:eastAsia="Arial" w:hAnsi="Arial"/>
                <w:sz w:val="18"/>
                <w:szCs w:val="18"/>
                <w:color w:val="auto"/>
                <w:w w:val="97"/>
              </w:rPr>
              <w:t>14.50%/0.00%</w:t>
            </w:r>
          </w:p>
        </w:tc>
        <w:tc>
          <w:tcPr>
            <w:tcW w:w="900" w:type="dxa"/>
            <w:vAlign w:val="bottom"/>
          </w:tcPr>
          <w:p>
            <w:pPr>
              <w:ind w:left="60"/>
              <w:spacing w:after="0"/>
              <w:rPr>
                <w:sz w:val="20"/>
                <w:szCs w:val="20"/>
                <w:color w:val="auto"/>
              </w:rPr>
            </w:pPr>
            <w:r>
              <w:rPr>
                <w:rFonts w:ascii="Arial" w:cs="Arial" w:eastAsia="Arial" w:hAnsi="Arial"/>
                <w:sz w:val="18"/>
                <w:szCs w:val="18"/>
                <w:color w:val="auto"/>
              </w:rPr>
              <w:t>1/1/2018</w:t>
            </w: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2,699</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2,490</w:t>
            </w:r>
          </w:p>
        </w:tc>
        <w:tc>
          <w:tcPr>
            <w:tcW w:w="940" w:type="dxa"/>
            <w:vAlign w:val="bottom"/>
          </w:tcPr>
          <w:p>
            <w:pPr>
              <w:spacing w:after="0"/>
              <w:rPr>
                <w:sz w:val="18"/>
                <w:szCs w:val="18"/>
                <w:color w:val="auto"/>
              </w:rPr>
            </w:pPr>
          </w:p>
        </w:tc>
      </w:tr>
      <w:tr>
        <w:trPr>
          <w:trHeight w:val="230"/>
        </w:trPr>
        <w:tc>
          <w:tcPr>
            <w:tcW w:w="1240" w:type="dxa"/>
            <w:vAlign w:val="bottom"/>
          </w:tcPr>
          <w:p>
            <w:pPr>
              <w:jc w:val="right"/>
              <w:spacing w:after="0"/>
              <w:rPr>
                <w:sz w:val="20"/>
                <w:szCs w:val="20"/>
                <w:color w:val="auto"/>
              </w:rPr>
            </w:pPr>
            <w:r>
              <w:rPr>
                <w:rFonts w:ascii="Arial" w:cs="Arial" w:eastAsia="Arial" w:hAnsi="Arial"/>
                <w:sz w:val="18"/>
                <w:szCs w:val="18"/>
                <w:color w:val="auto"/>
                <w:w w:val="97"/>
              </w:rPr>
              <w:t>14.50%/0.00%</w:t>
            </w:r>
          </w:p>
        </w:tc>
        <w:tc>
          <w:tcPr>
            <w:tcW w:w="900" w:type="dxa"/>
            <w:vAlign w:val="bottom"/>
          </w:tcPr>
          <w:p>
            <w:pPr>
              <w:ind w:left="60"/>
              <w:spacing w:after="0"/>
              <w:rPr>
                <w:sz w:val="20"/>
                <w:szCs w:val="20"/>
                <w:color w:val="auto"/>
              </w:rPr>
            </w:pPr>
            <w:r>
              <w:rPr>
                <w:rFonts w:ascii="Arial" w:cs="Arial" w:eastAsia="Arial" w:hAnsi="Arial"/>
                <w:sz w:val="18"/>
                <w:szCs w:val="18"/>
                <w:color w:val="auto"/>
              </w:rPr>
              <w:t>1/31/2019</w:t>
            </w: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940" w:type="dxa"/>
            <w:vAlign w:val="bottom"/>
          </w:tcPr>
          <w:p>
            <w:pPr>
              <w:spacing w:after="0"/>
              <w:rPr>
                <w:sz w:val="20"/>
                <w:szCs w:val="20"/>
                <w:color w:val="auto"/>
              </w:rPr>
            </w:pPr>
          </w:p>
        </w:tc>
      </w:tr>
      <w:tr>
        <w:trPr>
          <w:trHeight w:val="224"/>
        </w:trPr>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11,389</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33"/>
        </w:trPr>
        <w:tc>
          <w:tcPr>
            <w:tcW w:w="1240" w:type="dxa"/>
            <w:vAlign w:val="bottom"/>
          </w:tcPr>
          <w:p>
            <w:pPr>
              <w:jc w:val="right"/>
              <w:spacing w:after="0"/>
              <w:rPr>
                <w:sz w:val="20"/>
                <w:szCs w:val="20"/>
                <w:color w:val="auto"/>
              </w:rPr>
            </w:pPr>
            <w:r>
              <w:rPr>
                <w:rFonts w:ascii="Arial" w:cs="Arial" w:eastAsia="Arial" w:hAnsi="Arial"/>
                <w:sz w:val="18"/>
                <w:szCs w:val="18"/>
                <w:color w:val="auto"/>
                <w:w w:val="97"/>
              </w:rPr>
              <w:t>12.00%/0.00%</w:t>
            </w:r>
          </w:p>
        </w:tc>
        <w:tc>
          <w:tcPr>
            <w:tcW w:w="900" w:type="dxa"/>
            <w:vAlign w:val="bottom"/>
          </w:tcPr>
          <w:p>
            <w:pPr>
              <w:ind w:left="60"/>
              <w:spacing w:after="0"/>
              <w:rPr>
                <w:sz w:val="20"/>
                <w:szCs w:val="20"/>
                <w:color w:val="auto"/>
              </w:rPr>
            </w:pPr>
            <w:r>
              <w:rPr>
                <w:rFonts w:ascii="Arial" w:cs="Arial" w:eastAsia="Arial" w:hAnsi="Arial"/>
                <w:sz w:val="18"/>
                <w:szCs w:val="18"/>
                <w:color w:val="auto"/>
              </w:rPr>
              <w:t>7/15/2021</w:t>
            </w: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9,954</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8,748</w:t>
            </w:r>
          </w:p>
        </w:tc>
        <w:tc>
          <w:tcPr>
            <w:tcW w:w="9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940" w:type="dxa"/>
            <w:vAlign w:val="bottom"/>
          </w:tcPr>
          <w:p>
            <w:pPr>
              <w:spacing w:after="0"/>
              <w:rPr>
                <w:sz w:val="20"/>
                <w:szCs w:val="20"/>
                <w:color w:val="auto"/>
              </w:rPr>
            </w:pPr>
          </w:p>
        </w:tc>
      </w:tr>
      <w:tr>
        <w:trPr>
          <w:trHeight w:val="224"/>
        </w:trPr>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8,887</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7"/>
        </w:trPr>
        <w:tc>
          <w:tcPr>
            <w:tcW w:w="1240" w:type="dxa"/>
            <w:vAlign w:val="bottom"/>
          </w:tcPr>
          <w:p>
            <w:pPr>
              <w:jc w:val="right"/>
              <w:spacing w:after="0"/>
              <w:rPr>
                <w:sz w:val="20"/>
                <w:szCs w:val="20"/>
                <w:color w:val="auto"/>
              </w:rPr>
            </w:pPr>
            <w:r>
              <w:rPr>
                <w:rFonts w:ascii="Arial" w:cs="Arial" w:eastAsia="Arial" w:hAnsi="Arial"/>
                <w:sz w:val="18"/>
                <w:szCs w:val="18"/>
                <w:color w:val="auto"/>
                <w:w w:val="97"/>
              </w:rPr>
              <w:t>11.75%/0.00%</w:t>
            </w:r>
          </w:p>
        </w:tc>
        <w:tc>
          <w:tcPr>
            <w:tcW w:w="900" w:type="dxa"/>
            <w:vAlign w:val="bottom"/>
          </w:tcPr>
          <w:p>
            <w:pPr>
              <w:ind w:left="60"/>
              <w:spacing w:after="0"/>
              <w:rPr>
                <w:sz w:val="20"/>
                <w:szCs w:val="20"/>
                <w:color w:val="auto"/>
              </w:rPr>
            </w:pPr>
            <w:r>
              <w:rPr>
                <w:rFonts w:ascii="Arial" w:cs="Arial" w:eastAsia="Arial" w:hAnsi="Arial"/>
                <w:sz w:val="18"/>
                <w:szCs w:val="18"/>
                <w:color w:val="auto"/>
              </w:rPr>
              <w:t>5/15/2024</w:t>
            </w:r>
          </w:p>
        </w:tc>
        <w:tc>
          <w:tcPr>
            <w:tcW w:w="760" w:type="dxa"/>
            <w:vAlign w:val="bottom"/>
          </w:tcPr>
          <w:p>
            <w:pPr>
              <w:jc w:val="right"/>
              <w:spacing w:after="0"/>
              <w:rPr>
                <w:sz w:val="20"/>
                <w:szCs w:val="20"/>
                <w:color w:val="auto"/>
              </w:rPr>
            </w:pPr>
            <w:r>
              <w:rPr>
                <w:rFonts w:ascii="Arial" w:cs="Arial" w:eastAsia="Arial" w:hAnsi="Arial"/>
                <w:sz w:val="18"/>
                <w:szCs w:val="18"/>
                <w:color w:val="auto"/>
              </w:rPr>
              <w:t>6,500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6,468</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6,468</w:t>
            </w:r>
          </w:p>
        </w:tc>
        <w:tc>
          <w:tcPr>
            <w:tcW w:w="9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940" w:type="dxa"/>
            <w:vAlign w:val="bottom"/>
          </w:tcPr>
          <w:p>
            <w:pPr>
              <w:spacing w:after="0"/>
              <w:rPr>
                <w:sz w:val="20"/>
                <w:szCs w:val="20"/>
                <w:color w:val="auto"/>
              </w:rPr>
            </w:pPr>
          </w:p>
        </w:tc>
      </w:tr>
    </w:tbl>
    <w:p>
      <w:pPr>
        <w:sectPr>
          <w:pgSz w:w="11900" w:h="16838" w:orient="portrait"/>
          <w:cols w:equalWidth="0" w:num="2">
            <w:col w:w="5740" w:space="80"/>
            <w:col w:w="5360"/>
          </w:cols>
          <w:pgMar w:left="240" w:top="459" w:right="479" w:bottom="0" w:gutter="0" w:footer="0" w:header="0"/>
          <w:type w:val="continuous"/>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7,468</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Palmetto Moon, LLC</w:t>
            </w:r>
          </w:p>
        </w:tc>
        <w:tc>
          <w:tcPr>
            <w:tcW w:w="5900" w:type="dxa"/>
            <w:vAlign w:val="bottom"/>
            <w:shd w:val="clear" w:color="auto" w:fill="CCEEFF"/>
          </w:tcPr>
          <w:p>
            <w:pPr>
              <w:jc w:val="right"/>
              <w:ind w:right="5210"/>
              <w:spacing w:after="0"/>
              <w:rPr>
                <w:sz w:val="20"/>
                <w:szCs w:val="20"/>
                <w:color w:val="auto"/>
              </w:rPr>
            </w:pPr>
            <w:r>
              <w:rPr>
                <w:rFonts w:ascii="Arial" w:cs="Arial" w:eastAsia="Arial" w:hAnsi="Arial"/>
                <w:sz w:val="18"/>
                <w:szCs w:val="18"/>
                <w:color w:val="auto"/>
              </w:rPr>
              <w:t>Retail</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First Lien Debt</w:t>
            </w:r>
          </w:p>
        </w:tc>
        <w:tc>
          <w:tcPr>
            <w:tcW w:w="5900" w:type="dxa"/>
            <w:vAlign w:val="bottom"/>
          </w:tcPr>
          <w:p>
            <w:pPr>
              <w:jc w:val="right"/>
              <w:ind w:right="70"/>
              <w:spacing w:after="0"/>
              <w:rPr>
                <w:sz w:val="20"/>
                <w:szCs w:val="20"/>
                <w:color w:val="auto"/>
              </w:rPr>
            </w:pPr>
            <w:r>
              <w:rPr>
                <w:rFonts w:ascii="Arial" w:cs="Arial" w:eastAsia="Arial" w:hAnsi="Arial"/>
                <w:sz w:val="18"/>
                <w:szCs w:val="18"/>
                <w:color w:val="auto"/>
              </w:rPr>
              <w:t>11.50%/2.50%  10/31/2021   5,512</w:t>
            </w:r>
          </w:p>
        </w:tc>
        <w:tc>
          <w:tcPr>
            <w:tcW w:w="580" w:type="dxa"/>
            <w:vAlign w:val="bottom"/>
          </w:tcPr>
          <w:p>
            <w:pPr>
              <w:jc w:val="right"/>
              <w:spacing w:after="0"/>
              <w:rPr>
                <w:sz w:val="20"/>
                <w:szCs w:val="20"/>
                <w:color w:val="auto"/>
              </w:rPr>
            </w:pPr>
            <w:r>
              <w:rPr>
                <w:rFonts w:ascii="Arial" w:cs="Arial" w:eastAsia="Arial" w:hAnsi="Arial"/>
                <w:sz w:val="18"/>
                <w:szCs w:val="18"/>
                <w:color w:val="auto"/>
              </w:rPr>
              <w:t>5,490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5,512</w:t>
            </w: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Common Equity (499 units) (j)</w:t>
            </w:r>
          </w:p>
        </w:tc>
        <w:tc>
          <w:tcPr>
            <w:tcW w:w="5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5,984</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5,620</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900" w:type="dxa"/>
            <w:vAlign w:val="bottom"/>
          </w:tcPr>
          <w:p>
            <w:pPr>
              <w:jc w:val="right"/>
              <w:ind w:right="297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040"/>
          </w:cols>
          <w:pgMar w:left="440" w:top="125" w:right="419" w:bottom="1440" w:gutter="0" w:footer="0" w:header="0"/>
        </w:sectPr>
      </w:pPr>
    </w:p>
    <w:bookmarkStart w:id="24" w:name="page25"/>
    <w:bookmarkEnd w:id="24"/>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w:t>
      </w:r>
    </w:p>
    <w:p>
      <w:pPr>
        <w:sectPr>
          <w:pgSz w:w="11900" w:h="16870" w:orient="portrait"/>
          <w:cols w:equalWidth="0" w:num="1">
            <w:col w:w="11180"/>
          </w:cols>
          <w:pgMar w:left="240" w:top="459" w:right="479" w:bottom="0" w:gutter="0" w:footer="0" w:header="0"/>
        </w:sectPr>
      </w:pP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(a)(b)</w:t>
            </w:r>
          </w:p>
        </w:tc>
        <w:tc>
          <w:tcPr>
            <w:tcW w:w="60" w:type="dxa"/>
            <w:vAlign w:val="bottom"/>
          </w:tcPr>
          <w:p>
            <w:pPr>
              <w:spacing w:after="0"/>
              <w:rPr>
                <w:sz w:val="14"/>
                <w:szCs w:val="14"/>
                <w:color w:val="auto"/>
              </w:rPr>
            </w:pPr>
          </w:p>
        </w:tc>
        <w:tc>
          <w:tcPr>
            <w:tcW w:w="242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19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 Type (c)</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2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Power Grid Components, Inc.</w:t>
            </w:r>
          </w:p>
        </w:tc>
        <w:tc>
          <w:tcPr>
            <w:tcW w:w="60" w:type="dxa"/>
            <w:vAlign w:val="bottom"/>
          </w:tcPr>
          <w:p>
            <w:pPr>
              <w:spacing w:after="0"/>
              <w:rPr>
                <w:sz w:val="16"/>
                <w:szCs w:val="16"/>
                <w:color w:val="auto"/>
              </w:rPr>
            </w:pPr>
          </w:p>
        </w:tc>
        <w:tc>
          <w:tcPr>
            <w:tcW w:w="2420" w:type="dxa"/>
            <w:vAlign w:val="bottom"/>
          </w:tcPr>
          <w:p>
            <w:pPr>
              <w:spacing w:after="0" w:line="189" w:lineRule="exact"/>
              <w:rPr>
                <w:sz w:val="20"/>
                <w:szCs w:val="20"/>
                <w:color w:val="auto"/>
              </w:rPr>
            </w:pPr>
            <w:r>
              <w:rPr>
                <w:rFonts w:ascii="Arial" w:cs="Arial" w:eastAsia="Arial" w:hAnsi="Arial"/>
                <w:sz w:val="18"/>
                <w:szCs w:val="18"/>
                <w:color w:val="auto"/>
              </w:rPr>
              <w:t>Specialty Distribution</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Second Lien Debt (k)</w:t>
            </w: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Preferred Equity (392 shares) (j)</w:t>
            </w: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w w:val="97"/>
              </w:rPr>
              <w:t>Common Equity (9,695 shares) (j)</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Pugh Lubricants, LLC</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Specialty Distribution</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Second Lien Debt (k)</w:t>
            </w: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w w:val="95"/>
              </w:rPr>
              <w:t>Common Equity (6,125 units) (h)(j)</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w w:val="98"/>
              </w:rPr>
              <w:t>Revenue Management Solutions, LLC</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w w:val="91"/>
              </w:rPr>
              <w:t>Information Technology Services</w:t>
            </w: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w w:val="92"/>
              </w:rPr>
              <w:t>Common Equity (2,250,000 shares)</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Rhino Assembly Company, LLC</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Specialty Distribution</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Second Lien Debt (k)</w:t>
            </w: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w w:val="97"/>
              </w:rPr>
              <w:t>Delayed Draw Commitment ($875</w:t>
            </w: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540"/>
              <w:spacing w:after="0"/>
              <w:rPr>
                <w:sz w:val="20"/>
                <w:szCs w:val="20"/>
                <w:color w:val="auto"/>
              </w:rPr>
            </w:pPr>
            <w:r>
              <w:rPr>
                <w:rFonts w:ascii="Arial" w:cs="Arial" w:eastAsia="Arial" w:hAnsi="Arial"/>
                <w:sz w:val="18"/>
                <w:szCs w:val="18"/>
                <w:color w:val="auto"/>
              </w:rPr>
              <w:t>commitment) (i)(j)</w:t>
            </w: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w w:val="95"/>
              </w:rPr>
              <w:t>Preferred Equity (8,864 units) (j)(s)</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Road Safety Services, Inc.</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Business Services</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Second Lien Debt</w:t>
            </w: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(655 units)</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Rohrer Corporation</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Packaging</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Subordinated Debt (j)</w:t>
            </w: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(400 shares)</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SES Investors, LLC (dba SES Foam)</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Building Products</w:t>
            </w:r>
          </w:p>
        </w:tc>
        <w:tc>
          <w:tcPr>
            <w:tcW w:w="0" w:type="dxa"/>
            <w:vAlign w:val="bottom"/>
          </w:tcPr>
          <w:p>
            <w:pPr>
              <w:spacing w:after="0"/>
              <w:rPr>
                <w:sz w:val="1"/>
                <w:szCs w:val="1"/>
                <w:color w:val="auto"/>
              </w:rPr>
            </w:pPr>
          </w:p>
        </w:tc>
      </w:tr>
      <w:tr>
        <w:trPr>
          <w:trHeight w:val="230"/>
        </w:trPr>
        <w:tc>
          <w:tcPr>
            <w:tcW w:w="3020" w:type="dxa"/>
            <w:vAlign w:val="bottom"/>
            <w:gridSpan w:val="2"/>
            <w:vMerge w:val="restart"/>
          </w:tcPr>
          <w:p>
            <w:pPr>
              <w:ind w:left="360"/>
              <w:spacing w:after="0"/>
              <w:rPr>
                <w:sz w:val="20"/>
                <w:szCs w:val="20"/>
                <w:color w:val="auto"/>
              </w:rPr>
            </w:pPr>
            <w:r>
              <w:rPr>
                <w:rFonts w:ascii="Arial" w:cs="Arial" w:eastAsia="Arial" w:hAnsi="Arial"/>
                <w:sz w:val="18"/>
                <w:szCs w:val="18"/>
                <w:color w:val="auto"/>
              </w:rPr>
              <w:t>Second Lien Debt</w:t>
            </w:r>
          </w:p>
        </w:tc>
        <w:tc>
          <w:tcPr>
            <w:tcW w:w="60" w:type="dxa"/>
            <w:vAlign w:val="bottom"/>
          </w:tcPr>
          <w:p>
            <w:pPr>
              <w:spacing w:after="0"/>
              <w:rPr>
                <w:sz w:val="20"/>
                <w:szCs w:val="20"/>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02"/>
        </w:trPr>
        <w:tc>
          <w:tcPr>
            <w:tcW w:w="30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w w:val="95"/>
              </w:rPr>
              <w:t>Common Equity (6,000 units) (h)(j)</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Simplex Manufacturing Co.</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Aerospace &amp; Defense</w:t>
            </w:r>
          </w:p>
        </w:tc>
        <w:tc>
          <w:tcPr>
            <w:tcW w:w="0" w:type="dxa"/>
            <w:vAlign w:val="bottom"/>
          </w:tcPr>
          <w:p>
            <w:pPr>
              <w:spacing w:after="0"/>
              <w:rPr>
                <w:sz w:val="1"/>
                <w:szCs w:val="1"/>
                <w:color w:val="auto"/>
              </w:rPr>
            </w:pPr>
          </w:p>
        </w:tc>
      </w:tr>
      <w:tr>
        <w:trPr>
          <w:trHeight w:val="230"/>
        </w:trPr>
        <w:tc>
          <w:tcPr>
            <w:tcW w:w="3020" w:type="dxa"/>
            <w:vAlign w:val="bottom"/>
            <w:gridSpan w:val="2"/>
            <w:vMerge w:val="restart"/>
          </w:tcPr>
          <w:p>
            <w:pPr>
              <w:ind w:left="360"/>
              <w:spacing w:after="0"/>
              <w:rPr>
                <w:sz w:val="20"/>
                <w:szCs w:val="20"/>
                <w:color w:val="auto"/>
              </w:rPr>
            </w:pPr>
            <w:r>
              <w:rPr>
                <w:rFonts w:ascii="Arial" w:cs="Arial" w:eastAsia="Arial" w:hAnsi="Arial"/>
                <w:sz w:val="18"/>
                <w:szCs w:val="18"/>
                <w:color w:val="auto"/>
              </w:rPr>
              <w:t>Subordinated Debt</w:t>
            </w:r>
          </w:p>
        </w:tc>
        <w:tc>
          <w:tcPr>
            <w:tcW w:w="60" w:type="dxa"/>
            <w:vAlign w:val="bottom"/>
          </w:tcPr>
          <w:p>
            <w:pPr>
              <w:spacing w:after="0"/>
              <w:rPr>
                <w:sz w:val="20"/>
                <w:szCs w:val="20"/>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02"/>
        </w:trPr>
        <w:tc>
          <w:tcPr>
            <w:tcW w:w="30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Warrant (29 shares) (m)</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Software Technology, LLC</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w w:val="91"/>
              </w:rPr>
              <w:t>Information Technology Services</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Subordinated Debt (k)</w:t>
            </w: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(12 shares)</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SpendMend LLC</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Business Services</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Second Lien Debt (k)</w:t>
            </w: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w w:val="98"/>
              </w:rPr>
              <w:t>Common Equity (1,000,000 units)</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The Wolf Organization, LLC</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Building Products</w:t>
            </w:r>
          </w:p>
        </w:tc>
        <w:tc>
          <w:tcPr>
            <w:tcW w:w="0" w:type="dxa"/>
            <w:vAlign w:val="bottom"/>
          </w:tcPr>
          <w:p>
            <w:pPr>
              <w:spacing w:after="0"/>
              <w:rPr>
                <w:sz w:val="1"/>
                <w:szCs w:val="1"/>
                <w:color w:val="auto"/>
              </w:rPr>
            </w:pPr>
          </w:p>
        </w:tc>
      </w:tr>
      <w:tr>
        <w:trPr>
          <w:trHeight w:val="230"/>
        </w:trPr>
        <w:tc>
          <w:tcPr>
            <w:tcW w:w="3020" w:type="dxa"/>
            <w:vAlign w:val="bottom"/>
            <w:gridSpan w:val="2"/>
            <w:vMerge w:val="restart"/>
          </w:tcPr>
          <w:p>
            <w:pPr>
              <w:ind w:left="360"/>
              <w:spacing w:after="0"/>
              <w:rPr>
                <w:sz w:val="20"/>
                <w:szCs w:val="20"/>
                <w:color w:val="auto"/>
              </w:rPr>
            </w:pPr>
            <w:r>
              <w:rPr>
                <w:rFonts w:ascii="Arial" w:cs="Arial" w:eastAsia="Arial" w:hAnsi="Arial"/>
                <w:sz w:val="18"/>
                <w:szCs w:val="18"/>
                <w:color w:val="auto"/>
              </w:rPr>
              <w:t>Common Equity (175 shares)</w:t>
            </w:r>
          </w:p>
        </w:tc>
        <w:tc>
          <w:tcPr>
            <w:tcW w:w="60" w:type="dxa"/>
            <w:vAlign w:val="bottom"/>
          </w:tcPr>
          <w:p>
            <w:pPr>
              <w:spacing w:after="0"/>
              <w:rPr>
                <w:sz w:val="20"/>
                <w:szCs w:val="20"/>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0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w w:val="95"/>
              </w:rPr>
              <w:t>Thermoforming Technology Group LLC</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Capital Equipment</w:t>
            </w:r>
          </w:p>
        </w:tc>
        <w:tc>
          <w:tcPr>
            <w:tcW w:w="0" w:type="dxa"/>
            <w:vAlign w:val="bottom"/>
          </w:tcPr>
          <w:p>
            <w:pPr>
              <w:spacing w:after="0"/>
              <w:rPr>
                <w:sz w:val="1"/>
                <w:szCs w:val="1"/>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i w:val="1"/>
                <w:iCs w:val="1"/>
                <w:color w:val="auto"/>
              </w:rPr>
              <w:t>(dba Brown Machine Group) (n)</w:t>
            </w:r>
          </w:p>
        </w:tc>
        <w:tc>
          <w:tcPr>
            <w:tcW w:w="60" w:type="dxa"/>
            <w:vAlign w:val="bottom"/>
          </w:tcPr>
          <w:p>
            <w:pPr>
              <w:spacing w:after="0"/>
              <w:rPr>
                <w:sz w:val="18"/>
                <w:szCs w:val="18"/>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w w:val="95"/>
              </w:rPr>
              <w:t>Common Equity (3,760 units) (h)(j)</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Tile Redi, LLC</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Building Products</w:t>
            </w:r>
          </w:p>
        </w:tc>
        <w:tc>
          <w:tcPr>
            <w:tcW w:w="0" w:type="dxa"/>
            <w:vAlign w:val="bottom"/>
          </w:tcPr>
          <w:p>
            <w:pPr>
              <w:spacing w:after="0"/>
              <w:rPr>
                <w:sz w:val="1"/>
                <w:szCs w:val="1"/>
                <w:color w:val="auto"/>
              </w:rPr>
            </w:pPr>
          </w:p>
        </w:tc>
      </w:tr>
      <w:tr>
        <w:trPr>
          <w:trHeight w:val="230"/>
        </w:trPr>
        <w:tc>
          <w:tcPr>
            <w:tcW w:w="3020" w:type="dxa"/>
            <w:vAlign w:val="bottom"/>
            <w:gridSpan w:val="2"/>
            <w:vMerge w:val="restart"/>
          </w:tcPr>
          <w:p>
            <w:pPr>
              <w:ind w:left="360"/>
              <w:spacing w:after="0"/>
              <w:rPr>
                <w:sz w:val="20"/>
                <w:szCs w:val="20"/>
                <w:color w:val="auto"/>
              </w:rPr>
            </w:pPr>
            <w:r>
              <w:rPr>
                <w:rFonts w:ascii="Arial" w:cs="Arial" w:eastAsia="Arial" w:hAnsi="Arial"/>
                <w:sz w:val="18"/>
                <w:szCs w:val="18"/>
                <w:color w:val="auto"/>
              </w:rPr>
              <w:t>First Lien Debt (j)(r)</w:t>
            </w:r>
          </w:p>
        </w:tc>
        <w:tc>
          <w:tcPr>
            <w:tcW w:w="60" w:type="dxa"/>
            <w:vAlign w:val="bottom"/>
          </w:tcPr>
          <w:p>
            <w:pPr>
              <w:spacing w:after="0"/>
              <w:rPr>
                <w:sz w:val="20"/>
                <w:szCs w:val="20"/>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0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TransGo, LLC</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Component Manufacturing</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Second Lien Debt</w:t>
            </w: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(1,000 units)</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The Tranzonic Companies</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Specialty Distribution</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Subordinated Debt (j)</w:t>
            </w: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Preferred Equity (5,000 units) (j)</w:t>
            </w: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Common Equity (1 units) (j)</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UBEO, LLC</w:t>
            </w: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Business Services</w:t>
            </w:r>
          </w:p>
        </w:tc>
        <w:tc>
          <w:tcPr>
            <w:tcW w:w="0" w:type="dxa"/>
            <w:vAlign w:val="bottom"/>
          </w:tcPr>
          <w:p>
            <w:pPr>
              <w:spacing w:after="0"/>
              <w:rPr>
                <w:sz w:val="1"/>
                <w:szCs w:val="1"/>
                <w:color w:val="auto"/>
              </w:rPr>
            </w:pPr>
          </w:p>
        </w:tc>
      </w:tr>
      <w:tr>
        <w:trPr>
          <w:trHeight w:val="230"/>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Subordinated Debt (j)</w:t>
            </w: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-9115425</wp:posOffset>
            </wp:positionV>
            <wp:extent cx="699770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-8832215</wp:posOffset>
            </wp:positionV>
            <wp:extent cx="699770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-8540750</wp:posOffset>
            </wp:positionV>
            <wp:extent cx="699770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-8266430</wp:posOffset>
            </wp:positionV>
            <wp:extent cx="699770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-7974965</wp:posOffset>
            </wp:positionV>
            <wp:extent cx="699770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-7700645</wp:posOffset>
            </wp:positionV>
            <wp:extent cx="699770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-7357110</wp:posOffset>
            </wp:positionV>
            <wp:extent cx="699770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-6945630</wp:posOffset>
            </wp:positionV>
            <wp:extent cx="699770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-6654165</wp:posOffset>
            </wp:positionV>
            <wp:extent cx="699770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-6379845</wp:posOffset>
            </wp:positionV>
            <wp:extent cx="699770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-6088380</wp:posOffset>
            </wp:positionV>
            <wp:extent cx="699770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-5814060</wp:posOffset>
            </wp:positionV>
            <wp:extent cx="699770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-5521960</wp:posOffset>
            </wp:positionV>
            <wp:extent cx="699770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-5110480</wp:posOffset>
            </wp:positionV>
            <wp:extent cx="699770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-4819015</wp:posOffset>
            </wp:positionV>
            <wp:extent cx="699770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-4407535</wp:posOffset>
            </wp:positionV>
            <wp:extent cx="699770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-4115435</wp:posOffset>
            </wp:positionV>
            <wp:extent cx="699770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-3841115</wp:posOffset>
            </wp:positionV>
            <wp:extent cx="699770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-3549650</wp:posOffset>
            </wp:positionV>
            <wp:extent cx="699770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-3275330</wp:posOffset>
            </wp:positionV>
            <wp:extent cx="699770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-2983865</wp:posOffset>
            </wp:positionV>
            <wp:extent cx="6997700" cy="274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-2503805</wp:posOffset>
            </wp:positionV>
            <wp:extent cx="6997700"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-2023110</wp:posOffset>
            </wp:positionV>
            <wp:extent cx="6997700" cy="274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-1543050</wp:posOffset>
            </wp:positionV>
            <wp:extent cx="699770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-1268730</wp:posOffset>
            </wp:positionV>
            <wp:extent cx="699770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-977265</wp:posOffset>
            </wp:positionV>
            <wp:extent cx="699770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-702310</wp:posOffset>
            </wp:positionV>
            <wp:extent cx="699770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-410845</wp:posOffset>
            </wp:positionV>
            <wp:extent cx="699770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-136525</wp:posOffset>
            </wp:positionV>
            <wp:extent cx="699770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Rate (d)</w:t>
            </w:r>
          </w:p>
        </w:tc>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5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Fair</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1"/>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Cash/PIK</w:t>
            </w: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Value (e)</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11.00%/1.00%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5/20/2023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$11,282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$11,234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$11,282</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11,984</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7"/>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12.25%/0.00%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5/10/2022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18,581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18,523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18,581</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19,135</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1"/>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3,888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40"/>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12.00%/1.00%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2/11/2023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11,324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11,275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11,324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12.00%/1.00%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5/17/2022</w:t>
            </w:r>
          </w:p>
        </w:tc>
        <w:tc>
          <w:tcPr>
            <w:tcW w:w="160" w:type="dxa"/>
            <w:vAlign w:val="bottom"/>
          </w:tcPr>
          <w:p>
            <w:pPr>
              <w:spacing w:after="0"/>
              <w:rPr>
                <w:sz w:val="24"/>
                <w:szCs w:val="24"/>
                <w:color w:val="auto"/>
              </w:rPr>
            </w:pPr>
          </w:p>
        </w:tc>
        <w:tc>
          <w:tcPr>
            <w:tcW w:w="5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12,220</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7"/>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11.25%/1.50%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3/18/2024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10,068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10,022</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10,643</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7"/>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10.50%/1.00%</w:t>
            </w:r>
          </w:p>
        </w:tc>
        <w:tc>
          <w:tcPr>
            <w:tcW w:w="880" w:type="dxa"/>
            <w:vAlign w:val="bottom"/>
          </w:tcPr>
          <w:p>
            <w:pPr>
              <w:ind w:left="60"/>
              <w:spacing w:after="0"/>
              <w:rPr>
                <w:sz w:val="20"/>
                <w:szCs w:val="20"/>
                <w:color w:val="auto"/>
              </w:rPr>
            </w:pPr>
            <w:r>
              <w:rPr>
                <w:rFonts w:ascii="Arial" w:cs="Arial" w:eastAsia="Arial" w:hAnsi="Arial"/>
                <w:sz w:val="18"/>
                <w:szCs w:val="18"/>
                <w:color w:val="auto"/>
              </w:rPr>
              <w:t>4/1/2024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13,735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13,670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13,670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14,450</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33"/>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15.00%/0.00%</w:t>
            </w:r>
          </w:p>
        </w:tc>
        <w:tc>
          <w:tcPr>
            <w:tcW w:w="880" w:type="dxa"/>
            <w:vAlign w:val="bottom"/>
          </w:tcPr>
          <w:p>
            <w:pPr>
              <w:ind w:left="60"/>
              <w:spacing w:after="0"/>
              <w:rPr>
                <w:sz w:val="20"/>
                <w:szCs w:val="20"/>
                <w:color w:val="auto"/>
              </w:rPr>
            </w:pPr>
            <w:r>
              <w:rPr>
                <w:rFonts w:ascii="Arial" w:cs="Arial" w:eastAsia="Arial" w:hAnsi="Arial"/>
                <w:sz w:val="18"/>
                <w:szCs w:val="18"/>
                <w:color w:val="auto"/>
                <w:w w:val="88"/>
              </w:rPr>
              <w:t>12/29/2020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3,095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3,069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2,703</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33"/>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14.00%/0.00%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7/31/2019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4,050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1,155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3,036</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5,205</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7"/>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11.00%/0.00%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6/23/2023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1,364</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11,255</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7"/>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11.00%/1.00%</w:t>
            </w:r>
          </w:p>
        </w:tc>
        <w:tc>
          <w:tcPr>
            <w:tcW w:w="880" w:type="dxa"/>
            <w:vAlign w:val="bottom"/>
          </w:tcPr>
          <w:p>
            <w:pPr>
              <w:ind w:left="60"/>
              <w:spacing w:after="0"/>
              <w:rPr>
                <w:sz w:val="20"/>
                <w:szCs w:val="20"/>
                <w:color w:val="auto"/>
              </w:rPr>
            </w:pPr>
            <w:r>
              <w:rPr>
                <w:rFonts w:ascii="Arial" w:cs="Arial" w:eastAsia="Arial" w:hAnsi="Arial"/>
                <w:sz w:val="18"/>
                <w:szCs w:val="18"/>
                <w:color w:val="auto"/>
              </w:rPr>
              <w:t>7/8/2023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10,401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10,355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10,401</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11,355</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47"/>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3,711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756"/>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6"/>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12.80%/0.00%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6/16/2022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10,194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10,156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26"/>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13.25%/0.00%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8/28/2022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9,468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9,500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10,466</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7"/>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10.00%/1.50%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3/27/2025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5,664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4,997</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6,114</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5,388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1"/>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11.00%/0.00%</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10/3/2024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13,100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12,979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13,100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70" w:orient="portrait"/>
          <w:cols w:equalWidth="0" w:num="2">
            <w:col w:w="5700" w:space="100"/>
            <w:col w:w="5380"/>
          </w:cols>
          <w:pgMar w:left="240" w:top="459" w:right="479" w:bottom="0" w:gutter="0" w:footer="0" w:header="0"/>
          <w:type w:val="continuous"/>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ind w:left="340"/>
              <w:spacing w:after="0"/>
              <w:rPr>
                <w:sz w:val="20"/>
                <w:szCs w:val="20"/>
                <w:color w:val="auto"/>
              </w:rPr>
            </w:pPr>
            <w:r>
              <w:rPr>
                <w:rFonts w:ascii="Arial" w:cs="Arial" w:eastAsia="Arial" w:hAnsi="Arial"/>
                <w:sz w:val="18"/>
                <w:szCs w:val="18"/>
                <w:color w:val="auto"/>
              </w:rPr>
              <w:t>Delayed Draw Commitment</w:t>
            </w:r>
          </w:p>
        </w:tc>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4160" w:type="dxa"/>
            <w:vAlign w:val="bottom"/>
          </w:tcPr>
          <w:p>
            <w:pPr>
              <w:ind w:left="520"/>
              <w:spacing w:after="0"/>
              <w:rPr>
                <w:sz w:val="20"/>
                <w:szCs w:val="20"/>
                <w:color w:val="auto"/>
              </w:rPr>
            </w:pPr>
            <w:r>
              <w:rPr>
                <w:rFonts w:ascii="Arial" w:cs="Arial" w:eastAsia="Arial" w:hAnsi="Arial"/>
                <w:sz w:val="18"/>
                <w:szCs w:val="18"/>
                <w:color w:val="auto"/>
              </w:rPr>
              <w:t>($1,500 commitment) (j)(i)(z)</w:t>
            </w:r>
          </w:p>
        </w:tc>
        <w:tc>
          <w:tcPr>
            <w:tcW w:w="3720" w:type="dxa"/>
            <w:vAlign w:val="bottom"/>
          </w:tcPr>
          <w:p>
            <w:pPr>
              <w:jc w:val="right"/>
              <w:ind w:right="230"/>
              <w:spacing w:after="0"/>
              <w:rPr>
                <w:sz w:val="20"/>
                <w:szCs w:val="20"/>
                <w:color w:val="auto"/>
              </w:rPr>
            </w:pPr>
            <w:r>
              <w:rPr>
                <w:rFonts w:ascii="Arial" w:cs="Arial" w:eastAsia="Arial" w:hAnsi="Arial"/>
                <w:sz w:val="18"/>
                <w:szCs w:val="18"/>
                <w:color w:val="auto"/>
              </w:rPr>
              <w:t>11.00%/0.00%  8/7/2019</w:t>
            </w:r>
          </w:p>
        </w:tc>
        <w:tc>
          <w:tcPr>
            <w:tcW w:w="76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r>
      <w:tr>
        <w:trPr>
          <w:trHeight w:val="21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Equity (705,000 units) (j)</w:t>
            </w:r>
          </w:p>
        </w:tc>
        <w:tc>
          <w:tcPr>
            <w:tcW w:w="3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0" w:type="dxa"/>
            <w:vAlign w:val="bottom"/>
            <w:shd w:val="clear" w:color="auto" w:fill="CCEEFF"/>
          </w:tcPr>
          <w:p>
            <w:pPr>
              <w:spacing w:after="0"/>
              <w:rPr>
                <w:sz w:val="18"/>
                <w:szCs w:val="18"/>
                <w:color w:val="auto"/>
              </w:rPr>
            </w:pPr>
          </w:p>
        </w:tc>
      </w:tr>
      <w:tr>
        <w:trPr>
          <w:trHeight w:val="224"/>
        </w:trPr>
        <w:tc>
          <w:tcPr>
            <w:tcW w:w="41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13,672</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14,127</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64"/>
        </w:trPr>
        <w:tc>
          <w:tcPr>
            <w:tcW w:w="4160" w:type="dxa"/>
            <w:vAlign w:val="bottom"/>
          </w:tcPr>
          <w:p>
            <w:pPr>
              <w:spacing w:after="0"/>
              <w:rPr>
                <w:sz w:val="24"/>
                <w:szCs w:val="24"/>
                <w:color w:val="auto"/>
              </w:rPr>
            </w:pPr>
          </w:p>
        </w:tc>
        <w:tc>
          <w:tcPr>
            <w:tcW w:w="3720" w:type="dxa"/>
            <w:vAlign w:val="bottom"/>
          </w:tcPr>
          <w:p>
            <w:pPr>
              <w:jc w:val="right"/>
              <w:ind w:right="2210"/>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020"/>
          </w:cols>
          <w:pgMar w:left="460" w:top="125"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80"/>
          </w:cols>
          <w:pgMar w:left="240" w:top="459" w:right="479" w:bottom="0" w:gutter="0" w:footer="0" w:header="0"/>
        </w:sectPr>
      </w:pP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(a)(b)</w:t>
            </w:r>
          </w:p>
        </w:tc>
        <w:tc>
          <w:tcPr>
            <w:tcW w:w="80" w:type="dxa"/>
            <w:vAlign w:val="bottom"/>
          </w:tcPr>
          <w:p>
            <w:pPr>
              <w:spacing w:after="0"/>
              <w:rPr>
                <w:sz w:val="14"/>
                <w:szCs w:val="14"/>
                <w:color w:val="auto"/>
              </w:rPr>
            </w:pPr>
          </w:p>
        </w:tc>
        <w:tc>
          <w:tcPr>
            <w:tcW w:w="252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191"/>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Investment Type (c)</w:t>
            </w:r>
          </w:p>
        </w:tc>
        <w:tc>
          <w:tcPr>
            <w:tcW w:w="8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i w:val="1"/>
                <w:iCs w:val="1"/>
                <w:color w:val="auto"/>
                <w:w w:val="89"/>
              </w:rPr>
              <w:t>United Biologics, LLC</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Healthcare Services</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Preferred Equity (98,377</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540"/>
              <w:spacing w:after="0"/>
              <w:rPr>
                <w:sz w:val="20"/>
                <w:szCs w:val="20"/>
                <w:color w:val="auto"/>
              </w:rPr>
            </w:pPr>
            <w:r>
              <w:rPr>
                <w:rFonts w:ascii="Arial" w:cs="Arial" w:eastAsia="Arial" w:hAnsi="Arial"/>
                <w:sz w:val="18"/>
                <w:szCs w:val="18"/>
                <w:color w:val="auto"/>
              </w:rPr>
              <w:t>units) (h)(j)</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Warrant (57,469 units) (m)</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60" w:type="dxa"/>
            <w:vAlign w:val="bottom"/>
            <w:gridSpan w:val="2"/>
          </w:tcPr>
          <w:p>
            <w:pPr>
              <w:spacing w:after="0"/>
              <w:rPr>
                <w:sz w:val="20"/>
                <w:szCs w:val="20"/>
                <w:color w:val="auto"/>
              </w:rPr>
            </w:pPr>
            <w:r>
              <w:rPr>
                <w:rFonts w:ascii="Arial" w:cs="Arial" w:eastAsia="Arial" w:hAnsi="Arial"/>
                <w:sz w:val="18"/>
                <w:szCs w:val="18"/>
                <w:i w:val="1"/>
                <w:iCs w:val="1"/>
                <w:color w:val="auto"/>
              </w:rPr>
              <w:t>US GreenFiber, LLC</w:t>
            </w:r>
          </w:p>
        </w:tc>
        <w:tc>
          <w:tcPr>
            <w:tcW w:w="2600" w:type="dxa"/>
            <w:vAlign w:val="bottom"/>
            <w:gridSpan w:val="2"/>
          </w:tcPr>
          <w:p>
            <w:pPr>
              <w:ind w:left="80"/>
              <w:spacing w:after="0"/>
              <w:rPr>
                <w:sz w:val="20"/>
                <w:szCs w:val="20"/>
                <w:color w:val="auto"/>
              </w:rPr>
            </w:pPr>
            <w:r>
              <w:rPr>
                <w:rFonts w:ascii="Arial" w:cs="Arial" w:eastAsia="Arial" w:hAnsi="Arial"/>
                <w:sz w:val="18"/>
                <w:szCs w:val="18"/>
                <w:color w:val="auto"/>
                <w:w w:val="96"/>
              </w:rPr>
              <w:t>Building Products Manufacturing</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Second Lien Debt (k)(p)</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Second Lien Debt (p)</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Common Equity (2,522</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540"/>
              <w:spacing w:after="0"/>
              <w:rPr>
                <w:sz w:val="20"/>
                <w:szCs w:val="20"/>
                <w:color w:val="auto"/>
              </w:rPr>
            </w:pPr>
            <w:r>
              <w:rPr>
                <w:rFonts w:ascii="Arial" w:cs="Arial" w:eastAsia="Arial" w:hAnsi="Arial"/>
                <w:sz w:val="18"/>
                <w:szCs w:val="18"/>
                <w:color w:val="auto"/>
              </w:rPr>
              <w:t>units) (h)(j)</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60" w:type="dxa"/>
            <w:vAlign w:val="bottom"/>
            <w:gridSpan w:val="2"/>
          </w:tcPr>
          <w:p>
            <w:pPr>
              <w:spacing w:after="0"/>
              <w:rPr>
                <w:sz w:val="20"/>
                <w:szCs w:val="20"/>
                <w:color w:val="auto"/>
              </w:rPr>
            </w:pPr>
            <w:r>
              <w:rPr>
                <w:rFonts w:ascii="Arial" w:cs="Arial" w:eastAsia="Arial" w:hAnsi="Arial"/>
                <w:sz w:val="18"/>
                <w:szCs w:val="18"/>
                <w:i w:val="1"/>
                <w:iCs w:val="1"/>
                <w:color w:val="auto"/>
              </w:rPr>
              <w:t>US Pack Logistics LLC</w:t>
            </w:r>
          </w:p>
        </w:tc>
        <w:tc>
          <w:tcPr>
            <w:tcW w:w="2600" w:type="dxa"/>
            <w:vAlign w:val="bottom"/>
            <w:gridSpan w:val="2"/>
          </w:tcPr>
          <w:p>
            <w:pPr>
              <w:ind w:left="80"/>
              <w:spacing w:after="0"/>
              <w:rPr>
                <w:sz w:val="20"/>
                <w:szCs w:val="20"/>
                <w:color w:val="auto"/>
              </w:rPr>
            </w:pPr>
            <w:r>
              <w:rPr>
                <w:rFonts w:ascii="Arial" w:cs="Arial" w:eastAsia="Arial" w:hAnsi="Arial"/>
                <w:sz w:val="18"/>
                <w:szCs w:val="18"/>
                <w:color w:val="auto"/>
              </w:rPr>
              <w:t>Transportation services</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Second Lien Debt (k)</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Common Equity (5,833</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540"/>
              <w:spacing w:after="0"/>
              <w:rPr>
                <w:sz w:val="20"/>
                <w:szCs w:val="20"/>
                <w:color w:val="auto"/>
              </w:rPr>
            </w:pPr>
            <w:r>
              <w:rPr>
                <w:rFonts w:ascii="Arial" w:cs="Arial" w:eastAsia="Arial" w:hAnsi="Arial"/>
                <w:sz w:val="18"/>
                <w:szCs w:val="18"/>
                <w:color w:val="auto"/>
              </w:rPr>
              <w:t>units) (h)(j)</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Preferred Equity (9,458</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540"/>
              <w:spacing w:after="0"/>
              <w:rPr>
                <w:sz w:val="20"/>
                <w:szCs w:val="20"/>
                <w:color w:val="auto"/>
              </w:rPr>
            </w:pPr>
            <w:r>
              <w:rPr>
                <w:rFonts w:ascii="Arial" w:cs="Arial" w:eastAsia="Arial" w:hAnsi="Arial"/>
                <w:sz w:val="18"/>
                <w:szCs w:val="18"/>
                <w:color w:val="auto"/>
              </w:rPr>
              <w:t>units) (h)(j)</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60" w:type="dxa"/>
            <w:vAlign w:val="bottom"/>
            <w:gridSpan w:val="2"/>
          </w:tcPr>
          <w:p>
            <w:pPr>
              <w:spacing w:after="0"/>
              <w:rPr>
                <w:sz w:val="20"/>
                <w:szCs w:val="20"/>
                <w:color w:val="auto"/>
              </w:rPr>
            </w:pPr>
            <w:r>
              <w:rPr>
                <w:rFonts w:ascii="Arial" w:cs="Arial" w:eastAsia="Arial" w:hAnsi="Arial"/>
                <w:sz w:val="18"/>
                <w:szCs w:val="18"/>
                <w:i w:val="1"/>
                <w:iCs w:val="1"/>
                <w:color w:val="auto"/>
              </w:rPr>
              <w:t>Vanguard Dealer Services, L.L.C.</w:t>
            </w:r>
          </w:p>
        </w:tc>
        <w:tc>
          <w:tcPr>
            <w:tcW w:w="2600" w:type="dxa"/>
            <w:vAlign w:val="bottom"/>
            <w:gridSpan w:val="2"/>
          </w:tcPr>
          <w:p>
            <w:pPr>
              <w:ind w:left="80"/>
              <w:spacing w:after="0"/>
              <w:rPr>
                <w:sz w:val="20"/>
                <w:szCs w:val="20"/>
                <w:color w:val="auto"/>
              </w:rPr>
            </w:pPr>
            <w:r>
              <w:rPr>
                <w:rFonts w:ascii="Arial" w:cs="Arial" w:eastAsia="Arial" w:hAnsi="Arial"/>
                <w:sz w:val="18"/>
                <w:szCs w:val="18"/>
                <w:color w:val="auto"/>
              </w:rPr>
              <w:t>Business Services</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Common Equity (6,000 units)</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Common Equity (2,380</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540"/>
              <w:spacing w:after="0"/>
              <w:rPr>
                <w:sz w:val="20"/>
                <w:szCs w:val="20"/>
                <w:color w:val="auto"/>
              </w:rPr>
            </w:pPr>
            <w:r>
              <w:rPr>
                <w:rFonts w:ascii="Arial" w:cs="Arial" w:eastAsia="Arial" w:hAnsi="Arial"/>
                <w:sz w:val="18"/>
                <w:szCs w:val="18"/>
                <w:color w:val="auto"/>
              </w:rPr>
              <w:t>units) (j)</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60" w:type="dxa"/>
            <w:vAlign w:val="bottom"/>
            <w:gridSpan w:val="2"/>
          </w:tcPr>
          <w:p>
            <w:pPr>
              <w:spacing w:after="0"/>
              <w:rPr>
                <w:sz w:val="20"/>
                <w:szCs w:val="20"/>
                <w:color w:val="auto"/>
              </w:rPr>
            </w:pPr>
            <w:r>
              <w:rPr>
                <w:rFonts w:ascii="Arial" w:cs="Arial" w:eastAsia="Arial" w:hAnsi="Arial"/>
                <w:sz w:val="18"/>
                <w:szCs w:val="18"/>
                <w:i w:val="1"/>
                <w:iCs w:val="1"/>
                <w:color w:val="auto"/>
              </w:rPr>
              <w:t>Virginia Tile Company, LLC</w:t>
            </w:r>
          </w:p>
        </w:tc>
        <w:tc>
          <w:tcPr>
            <w:tcW w:w="2600" w:type="dxa"/>
            <w:vAlign w:val="bottom"/>
            <w:gridSpan w:val="2"/>
          </w:tcPr>
          <w:p>
            <w:pPr>
              <w:ind w:left="80"/>
              <w:spacing w:after="0"/>
              <w:rPr>
                <w:sz w:val="20"/>
                <w:szCs w:val="20"/>
                <w:color w:val="auto"/>
              </w:rPr>
            </w:pPr>
            <w:r>
              <w:rPr>
                <w:rFonts w:ascii="Arial" w:cs="Arial" w:eastAsia="Arial" w:hAnsi="Arial"/>
                <w:sz w:val="18"/>
                <w:szCs w:val="18"/>
                <w:color w:val="auto"/>
              </w:rPr>
              <w:t>Specialty Distribution</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Second Lien Debt (k)</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Common Equity (17 units)</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60" w:type="dxa"/>
            <w:vAlign w:val="bottom"/>
            <w:gridSpan w:val="2"/>
          </w:tcPr>
          <w:p>
            <w:pPr>
              <w:spacing w:after="0"/>
              <w:rPr>
                <w:sz w:val="20"/>
                <w:szCs w:val="20"/>
                <w:color w:val="auto"/>
              </w:rPr>
            </w:pPr>
            <w:r>
              <w:rPr>
                <w:rFonts w:ascii="Arial" w:cs="Arial" w:eastAsia="Arial" w:hAnsi="Arial"/>
                <w:sz w:val="18"/>
                <w:szCs w:val="18"/>
                <w:i w:val="1"/>
                <w:iCs w:val="1"/>
                <w:color w:val="auto"/>
                <w:w w:val="97"/>
              </w:rPr>
              <w:t>Worldwide Express Operations, LLC</w:t>
            </w:r>
          </w:p>
        </w:tc>
        <w:tc>
          <w:tcPr>
            <w:tcW w:w="2600" w:type="dxa"/>
            <w:vAlign w:val="bottom"/>
            <w:gridSpan w:val="2"/>
          </w:tcPr>
          <w:p>
            <w:pPr>
              <w:ind w:left="80"/>
              <w:spacing w:after="0"/>
              <w:rPr>
                <w:sz w:val="20"/>
                <w:szCs w:val="20"/>
                <w:color w:val="auto"/>
              </w:rPr>
            </w:pPr>
            <w:r>
              <w:rPr>
                <w:rFonts w:ascii="Arial" w:cs="Arial" w:eastAsia="Arial" w:hAnsi="Arial"/>
                <w:sz w:val="18"/>
                <w:szCs w:val="18"/>
                <w:color w:val="auto"/>
              </w:rPr>
              <w:t>Transportation services</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Second Lien Debt (j)(o)</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w w:val="95"/>
              </w:rPr>
              <w:t>Common Equity (4,000 units) (h)</w:t>
            </w: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540"/>
              <w:spacing w:after="0"/>
              <w:rPr>
                <w:sz w:val="20"/>
                <w:szCs w:val="20"/>
                <w:color w:val="auto"/>
              </w:rPr>
            </w:pPr>
            <w:r>
              <w:rPr>
                <w:rFonts w:ascii="Arial" w:cs="Arial" w:eastAsia="Arial" w:hAnsi="Arial"/>
                <w:sz w:val="18"/>
                <w:szCs w:val="18"/>
                <w:color w:val="auto"/>
              </w:rPr>
              <w:t>(j)</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Total Non-control/Non-affiliate</w:t>
            </w:r>
          </w:p>
        </w:tc>
        <w:tc>
          <w:tcPr>
            <w:tcW w:w="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Investments</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120015</wp:posOffset>
            </wp:positionV>
            <wp:extent cx="7632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Rate (d)</w:t>
            </w:r>
          </w:p>
        </w:tc>
        <w:tc>
          <w:tcPr>
            <w:tcW w:w="7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Maturity</w:t>
            </w:r>
          </w:p>
        </w:tc>
        <w:tc>
          <w:tcPr>
            <w:tcW w:w="160" w:type="dxa"/>
            <w:vAlign w:val="bottom"/>
            <w:vMerge w:val="restart"/>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Principal</w:t>
            </w:r>
          </w:p>
        </w:tc>
        <w:tc>
          <w:tcPr>
            <w:tcW w:w="6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60" w:type="dxa"/>
            <w:vAlign w:val="bottom"/>
            <w:vMerge w:val="restart"/>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620" w:type="dxa"/>
            <w:vAlign w:val="bottom"/>
          </w:tcPr>
          <w:p>
            <w:pPr>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Cash/PIK</w:t>
            </w:r>
          </w:p>
        </w:tc>
        <w:tc>
          <w:tcPr>
            <w:tcW w:w="30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Value (e)</w:t>
            </w: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-8255</wp:posOffset>
            </wp:positionV>
            <wp:extent cx="699770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7"/>
        </w:trPr>
        <w:tc>
          <w:tcPr>
            <w:tcW w:w="1180" w:type="dxa"/>
            <w:vAlign w:val="bottom"/>
          </w:tcPr>
          <w:p>
            <w:pPr>
              <w:jc w:val="right"/>
              <w:ind w:right="10"/>
              <w:spacing w:after="0"/>
              <w:rPr>
                <w:sz w:val="20"/>
                <w:szCs w:val="20"/>
                <w:color w:val="auto"/>
              </w:rPr>
            </w:pPr>
            <w:r>
              <w:rPr>
                <w:rFonts w:ascii="Arial" w:cs="Arial" w:eastAsia="Arial" w:hAnsi="Arial"/>
                <w:sz w:val="18"/>
                <w:szCs w:val="18"/>
                <w:color w:val="auto"/>
                <w:w w:val="90"/>
              </w:rPr>
              <w:t>12.00%/2.00%</w:t>
            </w:r>
          </w:p>
        </w:tc>
        <w:tc>
          <w:tcPr>
            <w:tcW w:w="920" w:type="dxa"/>
            <w:vAlign w:val="bottom"/>
          </w:tcPr>
          <w:p>
            <w:pPr>
              <w:jc w:val="right"/>
              <w:spacing w:after="0"/>
              <w:rPr>
                <w:sz w:val="20"/>
                <w:szCs w:val="20"/>
                <w:color w:val="auto"/>
              </w:rPr>
            </w:pPr>
            <w:r>
              <w:rPr>
                <w:rFonts w:ascii="Arial" w:cs="Arial" w:eastAsia="Arial" w:hAnsi="Arial"/>
                <w:sz w:val="18"/>
                <w:szCs w:val="18"/>
                <w:color w:val="auto"/>
              </w:rPr>
              <w:t>5/31/2019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$14,363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14,359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6,549</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jc w:val="right"/>
              <w:ind w:right="10"/>
              <w:spacing w:after="0"/>
              <w:rPr>
                <w:sz w:val="20"/>
                <w:szCs w:val="20"/>
                <w:color w:val="auto"/>
              </w:rPr>
            </w:pPr>
            <w:r>
              <w:rPr>
                <w:rFonts w:ascii="Arial" w:cs="Arial" w:eastAsia="Arial" w:hAnsi="Arial"/>
                <w:sz w:val="18"/>
                <w:szCs w:val="18"/>
                <w:color w:val="auto"/>
                <w:w w:val="90"/>
              </w:rPr>
              <w:t>0.00%/16.00%</w:t>
            </w:r>
          </w:p>
        </w:tc>
        <w:tc>
          <w:tcPr>
            <w:tcW w:w="920" w:type="dxa"/>
            <w:vAlign w:val="bottom"/>
          </w:tcPr>
          <w:p>
            <w:pPr>
              <w:jc w:val="right"/>
              <w:spacing w:after="0"/>
              <w:rPr>
                <w:sz w:val="20"/>
                <w:szCs w:val="20"/>
                <w:color w:val="auto"/>
              </w:rPr>
            </w:pPr>
            <w:r>
              <w:rPr>
                <w:rFonts w:ascii="Arial" w:cs="Arial" w:eastAsia="Arial" w:hAnsi="Arial"/>
                <w:sz w:val="18"/>
                <w:szCs w:val="18"/>
                <w:color w:val="auto"/>
              </w:rPr>
              <w:t>5/31/2019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7,549</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1"/>
        </w:trPr>
        <w:tc>
          <w:tcPr>
            <w:tcW w:w="1180" w:type="dxa"/>
            <w:vAlign w:val="bottom"/>
          </w:tcPr>
          <w:p>
            <w:pPr>
              <w:jc w:val="right"/>
              <w:ind w:right="10"/>
              <w:spacing w:after="0"/>
              <w:rPr>
                <w:sz w:val="20"/>
                <w:szCs w:val="20"/>
                <w:color w:val="auto"/>
              </w:rPr>
            </w:pPr>
            <w:r>
              <w:rPr>
                <w:rFonts w:ascii="Arial" w:cs="Arial" w:eastAsia="Arial" w:hAnsi="Arial"/>
                <w:sz w:val="18"/>
                <w:szCs w:val="18"/>
                <w:color w:val="auto"/>
                <w:w w:val="90"/>
              </w:rPr>
              <w:t>12.00%/1.75%</w:t>
            </w:r>
          </w:p>
        </w:tc>
        <w:tc>
          <w:tcPr>
            <w:tcW w:w="920" w:type="dxa"/>
            <w:vAlign w:val="bottom"/>
          </w:tcPr>
          <w:p>
            <w:pPr>
              <w:jc w:val="right"/>
              <w:spacing w:after="0"/>
              <w:rPr>
                <w:sz w:val="20"/>
                <w:szCs w:val="20"/>
                <w:color w:val="auto"/>
              </w:rPr>
            </w:pPr>
            <w:r>
              <w:rPr>
                <w:rFonts w:ascii="Arial" w:cs="Arial" w:eastAsia="Arial" w:hAnsi="Arial"/>
                <w:sz w:val="18"/>
                <w:szCs w:val="18"/>
                <w:color w:val="auto"/>
              </w:rPr>
              <w:t>3/28/2023</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7,412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7,396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7,412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8,636</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1"/>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1,189</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7"/>
        </w:trPr>
        <w:tc>
          <w:tcPr>
            <w:tcW w:w="1180" w:type="dxa"/>
            <w:vAlign w:val="bottom"/>
          </w:tcPr>
          <w:p>
            <w:pPr>
              <w:jc w:val="right"/>
              <w:ind w:right="10"/>
              <w:spacing w:after="0"/>
              <w:rPr>
                <w:sz w:val="20"/>
                <w:szCs w:val="20"/>
                <w:color w:val="auto"/>
              </w:rPr>
            </w:pPr>
            <w:r>
              <w:rPr>
                <w:rFonts w:ascii="Arial" w:cs="Arial" w:eastAsia="Arial" w:hAnsi="Arial"/>
                <w:sz w:val="18"/>
                <w:szCs w:val="18"/>
                <w:color w:val="auto"/>
                <w:w w:val="90"/>
              </w:rPr>
              <w:t>12.25%/0.00%</w:t>
            </w:r>
          </w:p>
        </w:tc>
        <w:tc>
          <w:tcPr>
            <w:tcW w:w="920" w:type="dxa"/>
            <w:vAlign w:val="bottom"/>
          </w:tcPr>
          <w:p>
            <w:pPr>
              <w:jc w:val="right"/>
              <w:spacing w:after="0"/>
              <w:rPr>
                <w:sz w:val="20"/>
                <w:szCs w:val="20"/>
                <w:color w:val="auto"/>
              </w:rPr>
            </w:pPr>
            <w:r>
              <w:rPr>
                <w:rFonts w:ascii="Arial" w:cs="Arial" w:eastAsia="Arial" w:hAnsi="Arial"/>
                <w:sz w:val="18"/>
                <w:szCs w:val="18"/>
                <w:color w:val="auto"/>
              </w:rPr>
              <w:t>4/7/2022</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11,980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12,000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13,455</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1"/>
        </w:trPr>
        <w:tc>
          <w:tcPr>
            <w:tcW w:w="1180" w:type="dxa"/>
            <w:vAlign w:val="bottom"/>
          </w:tcPr>
          <w:p>
            <w:pPr>
              <w:jc w:val="right"/>
              <w:ind w:right="10"/>
              <w:spacing w:after="0"/>
              <w:rPr>
                <w:sz w:val="20"/>
                <w:szCs w:val="20"/>
                <w:color w:val="auto"/>
              </w:rPr>
            </w:pPr>
            <w:r>
              <w:rPr>
                <w:rFonts w:ascii="Arial" w:cs="Arial" w:eastAsia="Arial" w:hAnsi="Arial"/>
                <w:sz w:val="18"/>
                <w:szCs w:val="18"/>
                <w:color w:val="auto"/>
                <w:w w:val="90"/>
              </w:rPr>
              <w:t>10.86%/0.00%</w:t>
            </w:r>
          </w:p>
        </w:tc>
        <w:tc>
          <w:tcPr>
            <w:tcW w:w="920" w:type="dxa"/>
            <w:vAlign w:val="bottom"/>
          </w:tcPr>
          <w:p>
            <w:pPr>
              <w:jc w:val="right"/>
              <w:spacing w:after="0"/>
              <w:rPr>
                <w:sz w:val="20"/>
                <w:szCs w:val="20"/>
                <w:color w:val="auto"/>
              </w:rPr>
            </w:pPr>
            <w:r>
              <w:rPr>
                <w:rFonts w:ascii="Arial" w:cs="Arial" w:eastAsia="Arial" w:hAnsi="Arial"/>
                <w:sz w:val="18"/>
                <w:szCs w:val="18"/>
                <w:color w:val="auto"/>
              </w:rPr>
              <w:t>2/3/2025</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19,690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23,823</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1"/>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505,129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501,111</w:t>
            </w: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tcBorders>
            <w:gridSpan w:val="2"/>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598,750</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642,982</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-4552950</wp:posOffset>
            </wp:positionV>
            <wp:extent cx="699770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-4261485</wp:posOffset>
            </wp:positionV>
            <wp:extent cx="699770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-3987165</wp:posOffset>
            </wp:positionV>
            <wp:extent cx="699770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-3558540</wp:posOffset>
            </wp:positionV>
            <wp:extent cx="699770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-3284220</wp:posOffset>
            </wp:positionV>
            <wp:extent cx="699770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-2872105</wp:posOffset>
            </wp:positionV>
            <wp:extent cx="6997700"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-2443480</wp:posOffset>
            </wp:positionV>
            <wp:extent cx="699770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-2169160</wp:posOffset>
            </wp:positionV>
            <wp:extent cx="6997700" cy="274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-1740535</wp:posOffset>
            </wp:positionV>
            <wp:extent cx="699770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-1465580</wp:posOffset>
            </wp:positionV>
            <wp:extent cx="699770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-1174115</wp:posOffset>
            </wp:positionV>
            <wp:extent cx="699770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-899795</wp:posOffset>
            </wp:positionV>
            <wp:extent cx="6997700" cy="274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-471170</wp:posOffset>
            </wp:positionV>
            <wp:extent cx="6997700" cy="274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7700" cy="27432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660" w:space="80"/>
            <w:col w:w="5440"/>
          </w:cols>
          <w:pgMar w:left="240" w:top="459" w:right="479" w:bottom="0" w:gutter="0" w:footer="0" w:header="0"/>
          <w:type w:val="continuous"/>
        </w:sect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indicated. Equity investments are non-income producing unless otherwise noted.</w:t>
      </w:r>
    </w:p>
    <w:p>
      <w:pPr>
        <w:spacing w:after="0" w:line="32" w:lineRule="exact"/>
        <w:rPr>
          <w:rFonts w:ascii="Arial" w:cs="Arial" w:eastAsia="Arial" w:hAnsi="Arial"/>
          <w:sz w:val="16"/>
          <w:szCs w:val="16"/>
          <w:color w:val="auto"/>
        </w:rPr>
      </w:pPr>
    </w:p>
    <w:p>
      <w:pPr>
        <w:ind w:left="640" w:right="960" w:hanging="436"/>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December 31, 2018. Generally, payment-in-kind interest can be paid-in-kind or all in cash.</w:t>
      </w:r>
    </w:p>
    <w:p>
      <w:pPr>
        <w:ind w:left="640" w:right="80" w:hanging="436"/>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bears cash interest at a variable rate that is determined by reference to one-month LIBOR, which is reset monthly. The cash interest rate is set as one-month LIBOR + 11.50% and is subject to a 1.00% LIBOR interest rate floor. The Company has provided the interest rate in effect as of December 31,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producing. Maturity date, if any, represents mandatory redemption date.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is held by a Taxable Subsidiary of the Company.</w:t>
      </w:r>
    </w:p>
    <w:p>
      <w:pPr>
        <w:spacing w:after="0" w:line="9" w:lineRule="exact"/>
        <w:rPr>
          <w:rFonts w:ascii="Arial" w:cs="Arial" w:eastAsia="Arial" w:hAnsi="Arial"/>
          <w:sz w:val="18"/>
          <w:szCs w:val="18"/>
          <w:color w:val="auto"/>
        </w:rPr>
      </w:pPr>
    </w:p>
    <w:p>
      <w:pPr>
        <w:ind w:left="640" w:right="240" w:hanging="436"/>
        <w:spacing w:after="0" w:line="265"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disclosed commitment represents the unfunded amount as of December 31, 2018. The Company is earning 0.50% interest on the unfunded balance of the commitment. The interest rate disclosed represents the rate which will be earned if the commitment is funded.</w:t>
      </w:r>
    </w:p>
    <w:p>
      <w:pPr>
        <w:ind w:left="640" w:right="140" w:hanging="436"/>
        <w:spacing w:after="0" w:line="281"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6"/>
          <w:szCs w:val="16"/>
          <w:color w:val="auto"/>
        </w:rPr>
      </w:pPr>
    </w:p>
    <w:p>
      <w:pPr>
        <w:ind w:left="640" w:right="60" w:hanging="436"/>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8"/>
          <w:szCs w:val="18"/>
          <w:color w:val="auto"/>
        </w:rPr>
      </w:pPr>
    </w:p>
    <w:p>
      <w:pPr>
        <w:ind w:left="640" w:right="300" w:hanging="436"/>
        <w:spacing w:after="0" w:line="281"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2" w:lineRule="exact"/>
        <w:rPr>
          <w:rFonts w:ascii="Arial" w:cs="Arial" w:eastAsia="Arial" w:hAnsi="Arial"/>
          <w:sz w:val="16"/>
          <w:szCs w:val="16"/>
          <w:color w:val="auto"/>
        </w:rPr>
      </w:pPr>
    </w:p>
    <w:p>
      <w:pPr>
        <w:ind w:left="640" w:right="420" w:hanging="436"/>
        <w:spacing w:after="0" w:line="281"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 w:lineRule="exact"/>
        <w:rPr>
          <w:rFonts w:ascii="Arial" w:cs="Arial" w:eastAsia="Arial" w:hAnsi="Arial"/>
          <w:sz w:val="16"/>
          <w:szCs w:val="16"/>
          <w:color w:val="auto"/>
        </w:r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9" w:lineRule="exact"/>
        <w:rPr>
          <w:rFonts w:ascii="Arial" w:cs="Arial" w:eastAsia="Arial" w:hAnsi="Arial"/>
          <w:sz w:val="18"/>
          <w:szCs w:val="18"/>
          <w:color w:val="auto"/>
        </w:rPr>
      </w:pPr>
    </w:p>
    <w:p>
      <w:pPr>
        <w:jc w:val="both"/>
        <w:ind w:left="640" w:right="160" w:hanging="436"/>
        <w:spacing w:after="0" w:line="25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bears interest at a variable rate that is determined by reference to six-month LIBOR, which is reset quarterly. The interest rate is set as six-month LIBOR + 8.00% and is subject to a 1.00% LIBOR interest rate floor. The Company has provided the interest rate in effect as of December 31, 2018.</w:t>
      </w:r>
    </w:p>
    <w:p>
      <w:pPr>
        <w:sectPr>
          <w:pgSz w:w="11900" w:h="16838" w:orient="portrait"/>
          <w:cols w:equalWidth="0" w:num="1">
            <w:col w:w="11180"/>
          </w:cols>
          <w:pgMar w:left="240" w:top="459" w:right="479" w:bottom="0" w:gutter="0" w:footer="0" w:header="0"/>
          <w:type w:val="continuous"/>
        </w:sectPr>
      </w:pPr>
    </w:p>
    <w:bookmarkStart w:id="27" w:name="page28"/>
    <w:bookmarkEnd w:id="27"/>
    <w:p>
      <w:pPr>
        <w:ind w:left="436" w:hanging="436"/>
        <w:spacing w:after="0"/>
        <w:tabs>
          <w:tab w:leader="none" w:pos="43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Investment was on non-accrual status as of December 31, 2018, meaning the Company has ceased recognizing interest income on the investment.</w:t>
      </w:r>
    </w:p>
    <w:p>
      <w:pPr>
        <w:spacing w:after="0" w:line="46" w:lineRule="exact"/>
        <w:rPr>
          <w:rFonts w:ascii="Arial" w:cs="Arial" w:eastAsia="Arial" w:hAnsi="Arial"/>
          <w:sz w:val="16"/>
          <w:szCs w:val="16"/>
          <w:color w:val="auto"/>
        </w:rPr>
      </w:pPr>
    </w:p>
    <w:p>
      <w:pPr>
        <w:ind w:left="436" w:right="160" w:hanging="436"/>
        <w:spacing w:after="0" w:line="250" w:lineRule="auto"/>
        <w:tabs>
          <w:tab w:leader="none" w:pos="4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 entitles the Company to purchase 9.59% of the outstanding principal of Junior Subordinated Notes prior to exercise, and is non-income producing.</w:t>
      </w:r>
    </w:p>
    <w:p>
      <w:pPr>
        <w:ind w:left="436" w:hanging="436"/>
        <w:spacing w:after="0" w:line="255" w:lineRule="auto"/>
        <w:tabs>
          <w:tab w:leader="none" w:pos="4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 bears interest at a variable rate that is determined by reference to three-month LIBOR, which is reset quarterly. The interest rate is set as three-month LIBOR + 10.00% and is subject to a 1.00% LIBOR interest rate floor. The Company has provided the interest rate in effect as of December 31, 2018.</w:t>
      </w:r>
    </w:p>
    <w:p>
      <w:pPr>
        <w:spacing w:after="0" w:line="123"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36"/>
          </w:cols>
          <w:pgMar w:left="444" w:top="125"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w:t>
      </w:r>
    </w:p>
    <w:p>
      <w:pPr>
        <w:spacing w:after="0" w:line="143" w:lineRule="exact"/>
        <w:rPr>
          <w:sz w:val="20"/>
          <w:szCs w:val="20"/>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portion of the investment is held by a wholly-owned subsidiary of the Company, other than the Funds.</w:t>
      </w:r>
    </w:p>
    <w:p>
      <w:pPr>
        <w:spacing w:after="0" w:line="23" w:lineRule="exact"/>
        <w:rPr>
          <w:rFonts w:ascii="Arial" w:cs="Arial" w:eastAsia="Arial" w:hAnsi="Arial"/>
          <w:sz w:val="18"/>
          <w:szCs w:val="18"/>
          <w:color w:val="auto"/>
        </w:rPr>
      </w:pPr>
    </w:p>
    <w:p>
      <w:pPr>
        <w:jc w:val="both"/>
        <w:ind w:left="640" w:right="180" w:hanging="436"/>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debt investment continues to pay interest, including the default rate, while the portfolio company pursues refinancing options.</w:t>
      </w:r>
    </w:p>
    <w:p>
      <w:pPr>
        <w:spacing w:after="0" w:line="9" w:lineRule="exact"/>
        <w:rPr>
          <w:rFonts w:ascii="Arial" w:cs="Arial" w:eastAsia="Arial" w:hAnsi="Arial"/>
          <w:sz w:val="18"/>
          <w:szCs w:val="18"/>
          <w:color w:val="auto"/>
        </w:rPr>
      </w:pPr>
    </w:p>
    <w:p>
      <w:pPr>
        <w:ind w:left="640" w:hanging="436"/>
        <w:spacing w:after="0" w:line="265"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investment bears interest at a variable rate that is determined by reference to three-month LIBOR. The interest rate is set as three-month LIBOR + 5.00% and is subject to a 2.00% LIBOR interest rate floor. In addition to the interest earned based on the stated interest rate of this security, the Company is entitled to receive an additional interest amount of 3.54%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7"/>
          <w:szCs w:val="17"/>
          <w:color w:val="auto"/>
        </w:rPr>
      </w:pPr>
    </w:p>
    <w:p>
      <w:pPr>
        <w:jc w:val="both"/>
        <w:ind w:left="640" w:right="20" w:hanging="436"/>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investment bears interest at a variable rate that is determined by reference to three-month LIBOR, which is reset quarterly. The interest rate is set as three-month LIBOR + 7.00% and is subject to a 1.00% LIBOR interest rate floor. The Company has provided the interest rate in effect as of December 31, 2018.</w:t>
      </w:r>
    </w:p>
    <w:p>
      <w:pPr>
        <w:spacing w:after="0" w:line="1" w:lineRule="exact"/>
        <w:rPr>
          <w:rFonts w:ascii="Arial" w:cs="Arial" w:eastAsia="Arial" w:hAnsi="Arial"/>
          <w:sz w:val="18"/>
          <w:szCs w:val="18"/>
          <w:color w:val="auto"/>
        </w:rPr>
      </w:pPr>
    </w:p>
    <w:p>
      <w:pPr>
        <w:ind w:left="640" w:hanging="436"/>
        <w:spacing w:after="0" w:line="265"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investment bears interest at a variable rate that is determined by reference to three-month LIBOR. The interest rate is set as three-month LIBOR + 5.75% and is subject to a 2.00% LIBOR interest rate floor. In addition to the interest earned based on the stated interest rate of this security, the Company is entitled to receive an additional interest amount of 4.15%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7"/>
          <w:szCs w:val="17"/>
          <w:color w:val="auto"/>
        </w:rPr>
      </w:pPr>
    </w:p>
    <w:p>
      <w:pPr>
        <w:jc w:val="both"/>
        <w:ind w:left="640" w:right="20" w:hanging="436"/>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investment bears interest at a variable rate that is determined by reference to three-month LIBOR, which is reset quarterly. The interest rate is set as three-month LIBOR + 9.75% and is subject to a 2.00% LIBOR interest rate floor. The Company has provided the interest rate in effect as of December 31,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maturity date presented represents the final termination date of the commitment. $707 of the commitment expires on May 7, 2019.</w:t>
      </w:r>
    </w:p>
    <w:p>
      <w:pPr>
        <w:spacing w:after="0" w:line="155"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2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121" w:lineRule="exact"/>
        <w:rPr>
          <w:sz w:val="20"/>
          <w:szCs w:val="20"/>
          <w:color w:val="auto"/>
        </w:rPr>
      </w:pPr>
    </w:p>
    <w:p>
      <w:pPr>
        <w:ind w:left="200" w:right="280" w:firstLine="992"/>
        <w:spacing w:after="0" w:line="302" w:lineRule="auto"/>
        <w:rPr>
          <w:sz w:val="20"/>
          <w:szCs w:val="20"/>
          <w:color w:val="auto"/>
        </w:rPr>
      </w:pPr>
      <w:r>
        <w:rPr>
          <w:rFonts w:ascii="Arial" w:cs="Arial" w:eastAsia="Arial" w:hAnsi="Arial"/>
          <w:sz w:val="16"/>
          <w:szCs w:val="16"/>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federal income tax purposes, the Company elected to be treated as a regulated investment company (“RIC”) under Subchapter M of the Internal Revenue Code of 1986, as amended (the “Code”).</w:t>
      </w:r>
    </w:p>
    <w:p>
      <w:pPr>
        <w:spacing w:after="0" w:line="154" w:lineRule="exact"/>
        <w:rPr>
          <w:sz w:val="20"/>
          <w:szCs w:val="20"/>
          <w:color w:val="auto"/>
        </w:rPr>
      </w:pPr>
    </w:p>
    <w:p>
      <w:pPr>
        <w:ind w:left="200" w:firstLine="992"/>
        <w:spacing w:after="0" w:line="254" w:lineRule="auto"/>
        <w:rPr>
          <w:sz w:val="20"/>
          <w:szCs w:val="20"/>
          <w:color w:val="auto"/>
        </w:rPr>
      </w:pPr>
      <w:r>
        <w:rPr>
          <w:rFonts w:ascii="Arial" w:cs="Arial" w:eastAsia="Arial" w:hAnsi="Arial"/>
          <w:sz w:val="18"/>
          <w:szCs w:val="18"/>
          <w:color w:val="auto"/>
        </w:rPr>
        <w:t>The Company provides customized debt and equity financing solutions to lower middle-market companies, and may make investments directly or through its three wholly-owned investment company subsidiaries, Fidus Mezzanine Capital, L.P. (“Fund I”), Fidus Mezzanine Capital II, L.P. (“Fund II”) and Fidus Mezzanine Capital III, L.P. (“Fund III”) (collectively Fund I,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w:t>
      </w:r>
    </w:p>
    <w:p>
      <w:pPr>
        <w:spacing w:after="0" w:line="192" w:lineRule="exact"/>
        <w:rPr>
          <w:sz w:val="20"/>
          <w:szCs w:val="20"/>
          <w:color w:val="auto"/>
        </w:rPr>
      </w:pPr>
    </w:p>
    <w:p>
      <w:pPr>
        <w:ind w:left="200" w:right="120" w:firstLine="992"/>
        <w:spacing w:after="0" w:line="259" w:lineRule="auto"/>
        <w:rPr>
          <w:sz w:val="20"/>
          <w:szCs w:val="20"/>
          <w:color w:val="auto"/>
        </w:rPr>
      </w:pPr>
      <w:r>
        <w:rPr>
          <w:rFonts w:ascii="Arial" w:cs="Arial" w:eastAsia="Arial" w:hAnsi="Arial"/>
          <w:sz w:val="18"/>
          <w:szCs w:val="18"/>
          <w:color w:val="auto"/>
        </w:rPr>
        <w:t>We believe that utilizing both FIC and the Funds as investment vehicles provides us with access to a broader array of investment opportunities. Given our access to lower cost capital through the SBA’s SBIC debenture program, we expect that the majority of our investments will continue to be made through the Funds until the Funds reach their borrowing limit under the program. For three or more SBICs under common control, the maximum amount of outstanding SBA debentures cannot exceed $350,000.</w:t>
      </w:r>
    </w:p>
    <w:p>
      <w:pPr>
        <w:spacing w:after="0" w:line="187" w:lineRule="exact"/>
        <w:rPr>
          <w:sz w:val="20"/>
          <w:szCs w:val="20"/>
          <w:color w:val="auto"/>
        </w:rPr>
      </w:pPr>
    </w:p>
    <w:p>
      <w:pPr>
        <w:ind w:left="200" w:right="180" w:firstLine="992"/>
        <w:spacing w:after="0" w:line="277" w:lineRule="auto"/>
        <w:rPr>
          <w:sz w:val="20"/>
          <w:szCs w:val="20"/>
          <w:color w:val="auto"/>
        </w:rPr>
      </w:pPr>
      <w:r>
        <w:rPr>
          <w:rFonts w:ascii="Arial" w:cs="Arial" w:eastAsia="Arial" w:hAnsi="Arial"/>
          <w:sz w:val="18"/>
          <w:szCs w:val="18"/>
          <w:color w:val="auto"/>
        </w:rPr>
        <w:t>Fund I has also elected to be regulated as a BDC under the 1940 Act. Fund II and Fund III are not registered under the 1940 Act and rely on the exclusion from the definition of investment company contained in Section 3(c)(7) of the 1940 Act.</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 pays a quarterly base management fee and an incentive fee to Fidus Investment Advisors, LLC (the “Investment Advisor”) under an investment advisory agreement (the “Investment Advisory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consolidated financial statements of the Company have been prepared in accordance with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accepted accounting principles in the United States of America (“GAAP”) pursuant to the requirements for reporting on Form 10-Q, Accounting Standards Codification (“ASC”)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2018.</w:t>
      </w:r>
    </w:p>
    <w:p>
      <w:pPr>
        <w:spacing w:after="0" w:line="16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4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Pursuant to Article 6 of Regulation S-X and ASC 946, the Company will generally not consolidate its investments in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Investment risks: </w:t>
      </w:r>
      <w:r>
        <w:rPr>
          <w:rFonts w:ascii="Arial" w:cs="Arial" w:eastAsia="Arial" w:hAnsi="Arial"/>
          <w:sz w:val="17"/>
          <w:szCs w:val="17"/>
          <w:color w:val="auto"/>
        </w:rPr>
        <w:t>The Company’s investments are subject to a variety of risks. These risks may include, but are not limited to the following:</w:t>
      </w:r>
    </w:p>
    <w:p>
      <w:pPr>
        <w:spacing w:after="0" w:line="142" w:lineRule="exact"/>
        <w:rPr>
          <w:sz w:val="20"/>
          <w:szCs w:val="20"/>
          <w:color w:val="auto"/>
        </w:rPr>
      </w:pPr>
    </w:p>
    <w:p>
      <w:pPr>
        <w:ind w:left="1620" w:right="80" w:hanging="430"/>
        <w:spacing w:after="0" w:line="255"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Market risk - </w:t>
      </w:r>
      <w:r>
        <w:rPr>
          <w:rFonts w:ascii="Arial" w:cs="Arial" w:eastAsia="Arial" w:hAnsi="Arial"/>
          <w:sz w:val="18"/>
          <w:szCs w:val="18"/>
          <w:color w:val="auto"/>
        </w:rPr>
        <w:t>In contrast to investment-grade bonds (the market prices of which change primarily as a reaction to changes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w:t>
      </w:r>
    </w:p>
    <w:p>
      <w:pPr>
        <w:sectPr>
          <w:pgSz w:w="11900" w:h="16838" w:orient="portrait"/>
          <w:cols w:equalWidth="0" w:num="1">
            <w:col w:w="11220"/>
          </w:cols>
          <w:pgMar w:left="240" w:top="459" w:right="439" w:bottom="1440" w:gutter="0" w:footer="0" w:header="0"/>
        </w:sectPr>
      </w:pP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20"/>
          </w:cols>
          <w:pgMar w:left="24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640" w:right="240"/>
        <w:spacing w:after="0" w:line="286" w:lineRule="auto"/>
        <w:rPr>
          <w:sz w:val="20"/>
          <w:szCs w:val="20"/>
          <w:color w:val="auto"/>
        </w:rPr>
      </w:pPr>
      <w:r>
        <w:rPr>
          <w:rFonts w:ascii="Arial" w:cs="Arial" w:eastAsia="Arial" w:hAnsi="Arial"/>
          <w:sz w:val="17"/>
          <w:szCs w:val="17"/>
          <w:color w:val="auto"/>
        </w:rPr>
        <w:t>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71" w:lineRule="exact"/>
        <w:rPr>
          <w:sz w:val="20"/>
          <w:szCs w:val="20"/>
          <w:color w:val="auto"/>
        </w:rPr>
      </w:pPr>
    </w:p>
    <w:p>
      <w:pPr>
        <w:ind w:left="1620" w:right="20" w:hanging="430"/>
        <w:spacing w:after="0" w:line="264"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Credit risk represents the risk that the Company would incur if the counterparties failed to perform pursuant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their agreements with the Company. Issues of high-yield debt securities in which the Company invests are more likely to default on interest or principal than are issues of investment-grade securities.</w:t>
      </w:r>
    </w:p>
    <w:p>
      <w:pPr>
        <w:spacing w:after="0" w:line="86" w:lineRule="exact"/>
        <w:rPr>
          <w:rFonts w:ascii="Arial" w:cs="Arial" w:eastAsia="Arial" w:hAnsi="Arial"/>
          <w:sz w:val="18"/>
          <w:szCs w:val="18"/>
          <w:color w:val="auto"/>
        </w:rPr>
      </w:pPr>
    </w:p>
    <w:p>
      <w:pPr>
        <w:ind w:left="1620" w:right="460" w:hanging="430"/>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Liquidity risk - </w:t>
      </w:r>
      <w:r>
        <w:rPr>
          <w:rFonts w:ascii="Arial" w:cs="Arial" w:eastAsia="Arial" w:hAnsi="Arial"/>
          <w:sz w:val="18"/>
          <w:szCs w:val="18"/>
          <w:color w:val="auto"/>
        </w:rPr>
        <w:t>Liquidity risk represents the possibility that the Company may not be able to sell its investments quickly or at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price (given the lack of an established market).</w:t>
      </w:r>
    </w:p>
    <w:p>
      <w:pPr>
        <w:spacing w:after="0" w:line="75" w:lineRule="exact"/>
        <w:rPr>
          <w:rFonts w:ascii="Arial" w:cs="Arial" w:eastAsia="Arial" w:hAnsi="Arial"/>
          <w:sz w:val="18"/>
          <w:szCs w:val="18"/>
          <w:color w:val="auto"/>
        </w:rPr>
      </w:pPr>
    </w:p>
    <w:p>
      <w:pPr>
        <w:ind w:left="1620" w:right="180" w:hanging="430"/>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Interest rate risk represents the likelihood that a change in interest rates could have an adverse impact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an interest-bearing financial instrument.</w:t>
      </w:r>
    </w:p>
    <w:p>
      <w:pPr>
        <w:spacing w:after="0" w:line="75" w:lineRule="exact"/>
        <w:rPr>
          <w:rFonts w:ascii="Arial" w:cs="Arial" w:eastAsia="Arial" w:hAnsi="Arial"/>
          <w:sz w:val="18"/>
          <w:szCs w:val="18"/>
          <w:color w:val="auto"/>
        </w:rPr>
      </w:pPr>
    </w:p>
    <w:p>
      <w:pPr>
        <w:ind w:left="1620" w:hanging="430"/>
        <w:spacing w:after="0" w:line="312"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Prepayment risk - </w:t>
      </w:r>
      <w:r>
        <w:rPr>
          <w:rFonts w:ascii="Arial" w:cs="Arial" w:eastAsia="Arial" w:hAnsi="Arial"/>
          <w:sz w:val="16"/>
          <w:szCs w:val="16"/>
          <w:color w:val="auto"/>
        </w:rPr>
        <w:t>Certain of the Company’s debt investments allow for prepayment of principal without penalty. Downward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52" w:lineRule="exact"/>
        <w:rPr>
          <w:rFonts w:ascii="Arial" w:cs="Arial" w:eastAsia="Arial" w:hAnsi="Arial"/>
          <w:sz w:val="16"/>
          <w:szCs w:val="16"/>
          <w:color w:val="auto"/>
        </w:rPr>
      </w:pPr>
    </w:p>
    <w:p>
      <w:pPr>
        <w:ind w:left="1620" w:right="120" w:hanging="430"/>
        <w:spacing w:after="0" w:line="264"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Off-Balance sheet risk - </w:t>
      </w:r>
      <w:r>
        <w:rPr>
          <w:rFonts w:ascii="Arial" w:cs="Arial" w:eastAsia="Arial" w:hAnsi="Arial"/>
          <w:sz w:val="18"/>
          <w:szCs w:val="18"/>
          <w:color w:val="auto"/>
        </w:rPr>
        <w:t>Some of the Company’s financial instruments contain off-balance sheet risk. Generally,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represent future commitments to purchase other financial instruments at defined terms at defined future dates. See Note 7 for further details.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 xml:space="preserve">Investment classification: </w:t>
      </w:r>
      <w:r>
        <w:rPr>
          <w:rFonts w:ascii="Arial" w:cs="Arial" w:eastAsia="Arial" w:hAnsi="Arial"/>
          <w:sz w:val="18"/>
          <w:szCs w:val="18"/>
          <w:color w:val="auto"/>
        </w:rPr>
        <w:t>The Company classifies its investments in accordance with the requirements of the 1940 Act. Under the 1940 Act,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unit structure.</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and cash equivalents are highly liquid investments with an original maturity of three months or less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66"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Deferred financing costs consist of fees and expenses paid in connection with the Credit Facility (as defined in Note 6)</w:t>
      </w:r>
      <w:r>
        <w:rPr>
          <w:rFonts w:ascii="Arial" w:cs="Arial" w:eastAsia="Arial" w:hAnsi="Arial"/>
          <w:sz w:val="18"/>
          <w:szCs w:val="18"/>
          <w:i w:val="1"/>
          <w:iCs w:val="1"/>
          <w:color w:val="auto"/>
        </w:rPr>
        <w:t xml:space="preserve"> </w:t>
      </w:r>
      <w:r>
        <w:rPr>
          <w:rFonts w:ascii="Arial" w:cs="Arial" w:eastAsia="Arial" w:hAnsi="Arial"/>
          <w:sz w:val="18"/>
          <w:szCs w:val="18"/>
          <w:color w:val="auto"/>
        </w:rPr>
        <w:t>and SBA debentures.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87" w:lineRule="exact"/>
        <w:rPr>
          <w:sz w:val="20"/>
          <w:szCs w:val="20"/>
          <w:color w:val="auto"/>
        </w:rPr>
      </w:pPr>
    </w:p>
    <w:p>
      <w:pPr>
        <w:ind w:left="200" w:right="240" w:firstLine="441"/>
        <w:spacing w:after="0" w:line="272" w:lineRule="auto"/>
        <w:rPr>
          <w:sz w:val="20"/>
          <w:szCs w:val="20"/>
          <w:color w:val="auto"/>
        </w:rPr>
      </w:pPr>
      <w:r>
        <w:rPr>
          <w:rFonts w:ascii="Arial" w:cs="Arial" w:eastAsia="Arial" w:hAnsi="Arial"/>
          <w:sz w:val="17"/>
          <w:szCs w:val="17"/>
          <w:i w:val="1"/>
          <w:iCs w:val="1"/>
          <w:color w:val="auto"/>
        </w:rPr>
        <w:t xml:space="preserve">Realized losses on extinguishment of debt: </w:t>
      </w:r>
      <w:r>
        <w:rPr>
          <w:rFonts w:ascii="Arial" w:cs="Arial" w:eastAsia="Arial" w:hAnsi="Arial"/>
          <w:sz w:val="17"/>
          <w:szCs w:val="17"/>
          <w:color w:val="auto"/>
        </w:rPr>
        <w:t>Upon the repayment of debt obligations which are deemed to be extinguishments, the difference</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principal amount due at maturity adjusted for any unamortized deferred financing costs is recognized as a loss (i.e., the unamortized deferred financing costs are recognized as a loss upon extinguishment of the underlying debt obligation). In 2019, the Company elected to change the manner in which it presents the derecognition of unamortized deferred financing costs upon extinguishment of the related debt obligation. Previously, the Company classified the extinguishment as a component of interest and financing expenses on the consolidated statements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7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Deferred offering costs: </w:t>
      </w:r>
      <w:r>
        <w:rPr>
          <w:rFonts w:ascii="Arial" w:cs="Arial" w:eastAsia="Arial" w:hAnsi="Arial"/>
          <w:sz w:val="18"/>
          <w:szCs w:val="18"/>
          <w:color w:val="auto"/>
        </w:rPr>
        <w:t>Deferred offering costs include registration expenses related to shelf filings. These expenses primarily consist of U.S.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20"/>
          </w:cols>
          <w:pgMar w:left="24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 xml:space="preserve">Realized gains or losses and unrealized appreciation or depreciation on investments: </w:t>
      </w:r>
      <w:r>
        <w:rPr>
          <w:rFonts w:ascii="Arial" w:cs="Arial" w:eastAsia="Arial" w:hAnsi="Arial"/>
          <w:sz w:val="17"/>
          <w:szCs w:val="17"/>
          <w:color w:val="auto"/>
        </w:rPr>
        <w:t>Realized gains or losses on investments are recorded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7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Interest and dividend income: </w:t>
      </w:r>
      <w:r>
        <w:rPr>
          <w:rFonts w:ascii="Arial" w:cs="Arial" w:eastAsia="Arial" w:hAnsi="Arial"/>
          <w:sz w:val="17"/>
          <w:szCs w:val="17"/>
          <w:color w:val="auto"/>
        </w:rPr>
        <w:t>Interest and dividend income is recorded on the accrual basis to the extent that the Company expects to collect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i w:val="1"/>
          <w:iCs w:val="1"/>
          <w:color w:val="auto"/>
        </w:rPr>
        <w:t xml:space="preserve">PIK income: </w:t>
      </w:r>
      <w:r>
        <w:rPr>
          <w:rFonts w:ascii="Arial" w:cs="Arial" w:eastAsia="Arial" w:hAnsi="Arial"/>
          <w:sz w:val="18"/>
          <w:szCs w:val="18"/>
          <w:color w:val="auto"/>
        </w:rPr>
        <w:t>Certain of the Company’s investments contain a payment-in-kind (“PIK”) income provision. The PIK income, computed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Non-accrual: </w:t>
      </w:r>
      <w:r>
        <w:rPr>
          <w:rFonts w:ascii="Arial" w:cs="Arial" w:eastAsia="Arial" w:hAnsi="Arial"/>
          <w:sz w:val="18"/>
          <w:szCs w:val="18"/>
          <w:color w:val="auto"/>
        </w:rPr>
        <w:t>Debt investments or preferred equity investments (for which the Company is accruing PIK dividends) are placed</w:t>
      </w:r>
    </w:p>
    <w:p>
      <w:pPr>
        <w:spacing w:after="0" w:line="23"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color w:val="auto"/>
        </w:rPr>
        <w:t>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62" w:lineRule="exact"/>
        <w:rPr>
          <w:sz w:val="20"/>
          <w:szCs w:val="20"/>
          <w:color w:val="auto"/>
        </w:rPr>
      </w:pPr>
    </w:p>
    <w:p>
      <w:pPr>
        <w:ind w:left="200" w:right="520" w:firstLine="441"/>
        <w:spacing w:after="0" w:line="279" w:lineRule="auto"/>
        <w:rPr>
          <w:sz w:val="20"/>
          <w:szCs w:val="20"/>
          <w:color w:val="auto"/>
        </w:rPr>
      </w:pPr>
      <w:r>
        <w:rPr>
          <w:rFonts w:ascii="Arial" w:cs="Arial" w:eastAsia="Arial" w:hAnsi="Arial"/>
          <w:sz w:val="17"/>
          <w:szCs w:val="17"/>
          <w:i w:val="1"/>
          <w:iCs w:val="1"/>
          <w:color w:val="auto"/>
        </w:rPr>
        <w:t xml:space="preserve">Origination and closing fees: </w:t>
      </w:r>
      <w:r>
        <w:rPr>
          <w:rFonts w:ascii="Arial" w:cs="Arial" w:eastAsia="Arial" w:hAnsi="Arial"/>
          <w:sz w:val="17"/>
          <w:szCs w:val="17"/>
          <w:color w:val="auto"/>
        </w:rPr>
        <w:t>The Company also typically receives debt investment origination or closing fees in connection with such</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71"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In connection with the Company’s debt investments, the Company will sometimes receive warrants or other equity-related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9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Fee income</w:t>
      </w:r>
      <w:r>
        <w:rPr>
          <w:rFonts w:ascii="Arial" w:cs="Arial" w:eastAsia="Arial" w:hAnsi="Arial"/>
          <w:sz w:val="17"/>
          <w:szCs w:val="17"/>
          <w:color w:val="auto"/>
        </w:rPr>
        <w:t>: Transaction fees earned in connection with the Company’s investments are recognized as fee income and are generally non-recurring.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7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i w:val="1"/>
          <w:iCs w:val="1"/>
          <w:color w:val="auto"/>
        </w:rPr>
        <w:t xml:space="preserve">Partial loan sales: </w:t>
      </w:r>
      <w:r>
        <w:rPr>
          <w:rFonts w:ascii="Arial" w:cs="Arial" w:eastAsia="Arial" w:hAnsi="Arial"/>
          <w:sz w:val="16"/>
          <w:szCs w:val="16"/>
          <w:color w:val="auto"/>
        </w:rPr>
        <w:t>The Company follows the guidance in ASC 860,</w:t>
      </w:r>
      <w:r>
        <w:rPr>
          <w:rFonts w:ascii="Arial" w:cs="Arial" w:eastAsia="Arial" w:hAnsi="Arial"/>
          <w:sz w:val="16"/>
          <w:szCs w:val="16"/>
          <w:i w:val="1"/>
          <w:iCs w:val="1"/>
          <w:color w:val="auto"/>
        </w:rPr>
        <w:t xml:space="preserve"> Transfers and Servicing, </w:t>
      </w:r>
      <w:r>
        <w:rPr>
          <w:rFonts w:ascii="Arial" w:cs="Arial" w:eastAsia="Arial" w:hAnsi="Arial"/>
          <w:sz w:val="16"/>
          <w:szCs w:val="16"/>
          <w:color w:val="auto"/>
        </w:rPr>
        <w:t>when accounting for loan (debt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participations and other partial loan sales. Such guidance requires a participation or other partial loan sale to meet the definition of a “participating interest,” as defined in the guidance, in order for sale treatment to be allowed. Participations or other partial loan sales which do not meet the definition of a participating interest should remain on the Company’s consolidated statement of assets and liabilities and the proceeds recorded as a secured borrowing until the definition is met. Management has determined that all participations and other partial loan sale transactions entered into by the Company have met the definition of a participating interest. Accordingly, the Company uses sale treatment in accounting for such transactions.</w:t>
      </w:r>
    </w:p>
    <w:p>
      <w:pPr>
        <w:sectPr>
          <w:pgSz w:w="11900" w:h="16838" w:orient="portrait"/>
          <w:cols w:equalWidth="0" w:num="1">
            <w:col w:w="11200"/>
          </w:cols>
          <w:pgMar w:left="240" w:top="459" w:right="459" w:bottom="1440" w:gutter="0" w:footer="0" w:header="0"/>
        </w:sectPr>
      </w:pP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00"/>
          </w:cols>
          <w:pgMar w:left="240" w:top="459" w:right="4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Company has elected to be treated as a RIC under Subchapter M of the Code, which will generally relieve the Company from</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14"/>
          <w:szCs w:val="14"/>
          <w:color w:val="auto"/>
        </w:rPr>
        <w:t>th</w:t>
      </w:r>
      <w:r>
        <w:rPr>
          <w:rFonts w:ascii="Arial" w:cs="Arial" w:eastAsia="Arial" w:hAnsi="Arial"/>
          <w:sz w:val="17"/>
          <w:szCs w:val="17"/>
          <w:color w:val="auto"/>
        </w:rPr>
        <w:t xml:space="preserve"> day of the 10</w:t>
      </w:r>
      <w:r>
        <w:rPr>
          <w:rFonts w:ascii="Arial" w:cs="Arial" w:eastAsia="Arial" w:hAnsi="Arial"/>
          <w:sz w:val="14"/>
          <w:szCs w:val="14"/>
          <w:color w:val="auto"/>
        </w:rPr>
        <w:t>th</w:t>
      </w:r>
      <w:r>
        <w:rPr>
          <w:rFonts w:ascii="Arial" w:cs="Arial" w:eastAsia="Arial" w:hAnsi="Arial"/>
          <w:sz w:val="17"/>
          <w:szCs w:val="17"/>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82"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47"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6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June 30, 2019 and December 31, 2018. The Company’s tax returns are generally subject to examination by U.S. federal and most state tax authorities for a period of three years from the date the respective returns are filed, and, accordingly, the Company’s 2015 through 2017 tax years remain subject to examination.</w:t>
      </w:r>
    </w:p>
    <w:p>
      <w:pPr>
        <w:spacing w:after="0" w:line="179"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i w:val="1"/>
          <w:iCs w:val="1"/>
          <w:color w:val="auto"/>
        </w:rPr>
        <w:t xml:space="preserve">Dividends to stockholders: </w:t>
      </w:r>
      <w:r>
        <w:rPr>
          <w:rFonts w:ascii="Arial" w:cs="Arial" w:eastAsia="Arial" w:hAnsi="Arial"/>
          <w:sz w:val="16"/>
          <w:szCs w:val="16"/>
          <w:color w:val="auto"/>
        </w:rPr>
        <w:t>Dividends to stockholders are recorded on the record date with respect to such distributions. The amount, if any, to be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4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73"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87"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three and six months ended June 30, 2019 and 2018,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utilizing the weighted average shares outstanding for the period. Net asset value per share is calculated using the number of shares outstanding as of the end of the period.</w:t>
      </w:r>
    </w:p>
    <w:p>
      <w:pPr>
        <w:spacing w:after="0" w:line="181"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The Company has an open market stock repurchase program (the “Stock Repurchase Program”) under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30, 2018, the Board extended the Stock Repurchase Program through December 31, 2019,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and six months ended June 30, 2019. During the three and six months ended June 30, 2018, the Company repurchased zero and 44,821 shares, respectively, of common stock on the open market for zero and $582, respectively. Refer to Note 8 for additional information concerning stock repurchases.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modifies the disclosure requirements on fair value measurements. The guidance is effective for annual and interim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beginning after December 15, 2019. The Company is currently evaluating the impact this ASU will have on the Company’s consolidated financial position or disclosures.</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 xml:space="preserve">In March 2019, the SEC issued Final Rule Release No. 33-10618, </w:t>
      </w:r>
      <w:r>
        <w:rPr>
          <w:rFonts w:ascii="Arial" w:cs="Arial" w:eastAsia="Arial" w:hAnsi="Arial"/>
          <w:sz w:val="18"/>
          <w:szCs w:val="18"/>
          <w:i w:val="1"/>
          <w:iCs w:val="1"/>
          <w:color w:val="auto"/>
        </w:rPr>
        <w:t>FAST Act Modernization and Simplification of Regulation S-K</w:t>
      </w:r>
      <w:r>
        <w:rPr>
          <w:rFonts w:ascii="Arial" w:cs="Arial" w:eastAsia="Arial" w:hAnsi="Arial"/>
          <w:sz w:val="18"/>
          <w:szCs w:val="18"/>
          <w:color w:val="auto"/>
        </w:rPr>
        <w:t>, which amends certain SEC disclosure requirements. The amendments are intended to simplify certain disclosure requirements, improve readability and navigability of disclosure documents, and discourage repetition and disclosure of immaterial information. The amendments are effective for all filings submitted on or after May 2, 2019. The Company adopted the amendments effective May 2, 2019. The amendments do not have a material effect on the Company’s consolidated financial position or disclosures.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Portfolio Company Investments</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generally bear interest at fixed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7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As of June 30, 2019, the Company had active investments in 64 portfolio companies and residual investments in four portfolio companies that have sold its underlying operations. The aggregate fair value of the total portfolio was $697,272 and the weighted average effective yield on the Company’s debt investments was 12.4% as of such date. As of June 30, 2019, the Company held equity investments in 92.6% of its portfolio companies and the weighted average fully diluted equity ownership in those portfolio companies was 6.2%. The weighted average fully diluted equity ownership was computed using the fully diluted equity ownership for equity investments (including warrants) at cost as of June 30, 2019.</w:t>
      </w:r>
    </w:p>
    <w:p>
      <w:pPr>
        <w:spacing w:after="0" w:line="173"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As of December 31, 2018, the Company had active investments in 60 portfolio companies and residual investments in three portfolio companies that have sold their underlying operations. The aggregate fair value of the total portfolio was $642,982 and the weighted average effective yield on the Company’s debt investments was 12.6% as of such date. As of December 31, 2018, the Company held equity investments in 93.7% of its portfolio companies and the weighted average fully diluted equity ownership in those portfolio companies was 6.6%. The weighted average fully diluted equity ownership was computed using the fully diluted equity ownership for equity investments (including warrants) at cost as of December 31, 2018.</w:t>
      </w:r>
    </w:p>
    <w:p>
      <w:pPr>
        <w:sectPr>
          <w:pgSz w:w="11900" w:h="16838" w:orient="portrait"/>
          <w:cols w:equalWidth="0" w:num="1">
            <w:col w:w="11220"/>
          </w:cols>
          <w:pgMar w:left="240" w:top="459" w:right="439" w:bottom="1440" w:gutter="0" w:footer="0" w:header="0"/>
        </w:sectPr>
      </w:pP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0"/>
          </w:cols>
          <w:pgMar w:left="24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June 30, 2019 and December 31, 2018, including accretion of OID and debt investment origination fees, but excluding investments on non-accrual status, if any.</w:t>
      </w:r>
    </w:p>
    <w:p>
      <w:pPr>
        <w:spacing w:after="0" w:line="17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Purchases of debt and equity investments for the six months ended June 30, 2019 and 2018 totaled $128,460 and $103,989, respectively. Proceeds from sales and repayments, including principal, return of capital distributions and realized gains, of portfolio investments for the six months ended June 30, 2019 and 2018 totaled $75,320 and $65,270,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54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Pr>
          <w:p>
            <w:pPr>
              <w:spacing w:after="0"/>
              <w:rPr>
                <w:sz w:val="10"/>
                <w:szCs w:val="10"/>
                <w:color w:val="auto"/>
              </w:rPr>
            </w:pP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4"/>
          </w:tcPr>
          <w:p>
            <w:pPr>
              <w:jc w:val="center"/>
              <w:ind w:right="228"/>
              <w:spacing w:after="0" w:line="119" w:lineRule="exact"/>
              <w:rPr>
                <w:sz w:val="20"/>
                <w:szCs w:val="20"/>
                <w:color w:val="auto"/>
              </w:rPr>
            </w:pPr>
            <w:r>
              <w:rPr>
                <w:rFonts w:ascii="Arial" w:cs="Arial" w:eastAsia="Arial" w:hAnsi="Arial"/>
                <w:sz w:val="13"/>
                <w:szCs w:val="13"/>
                <w:b w:val="1"/>
                <w:bCs w:val="1"/>
                <w:color w:val="auto"/>
                <w:w w:val="96"/>
              </w:rPr>
              <w:t>June 30,</w:t>
            </w:r>
          </w:p>
        </w:tc>
        <w:tc>
          <w:tcPr>
            <w:tcW w:w="20" w:type="dxa"/>
            <w:vAlign w:val="bottom"/>
          </w:tcPr>
          <w:p>
            <w:pPr>
              <w:spacing w:after="0"/>
              <w:rPr>
                <w:sz w:val="10"/>
                <w:szCs w:val="10"/>
                <w:color w:val="auto"/>
              </w:rPr>
            </w:pP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$369,996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$366,517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$385,442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58.9%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$379,973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Subordinated Debt</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127,239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104,225</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127,469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105,900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65,749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51,790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78,842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52,231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Equity</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122,639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106,707</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56,607</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53,482</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Royalty Rights</w:t>
            </w:r>
          </w:p>
        </w:tc>
        <w:tc>
          <w:tcPr>
            <w:tcW w:w="1660" w:type="dxa"/>
            <w:vAlign w:val="bottom"/>
          </w:tcPr>
          <w:p>
            <w:pPr>
              <w:spacing w:after="0"/>
              <w:rPr>
                <w:sz w:val="19"/>
                <w:szCs w:val="19"/>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697,272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642,982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655,524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8"/>
              </w:rPr>
              <w:t>100.0%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598,750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All investments made by the Company as of June 30, 2019 and December 31, 2018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4"/>
          </w:tcPr>
          <w:p>
            <w:pPr>
              <w:jc w:val="center"/>
              <w:ind w:right="228"/>
              <w:spacing w:after="0" w:line="119" w:lineRule="exact"/>
              <w:rPr>
                <w:sz w:val="20"/>
                <w:szCs w:val="20"/>
                <w:color w:val="auto"/>
              </w:rPr>
            </w:pPr>
            <w:r>
              <w:rPr>
                <w:rFonts w:ascii="Arial" w:cs="Arial" w:eastAsia="Arial" w:hAnsi="Arial"/>
                <w:sz w:val="13"/>
                <w:szCs w:val="13"/>
                <w:b w:val="1"/>
                <w:bCs w:val="1"/>
                <w:color w:val="auto"/>
                <w:w w:val="96"/>
              </w:rPr>
              <w:t>June 30,</w:t>
            </w:r>
          </w:p>
        </w:tc>
        <w:tc>
          <w:tcPr>
            <w:tcW w:w="20" w:type="dxa"/>
            <w:vAlign w:val="bottom"/>
          </w:tcPr>
          <w:p>
            <w:pPr>
              <w:spacing w:after="0"/>
              <w:rPr>
                <w:sz w:val="10"/>
                <w:szCs w:val="10"/>
                <w:color w:val="auto"/>
              </w:rPr>
            </w:pP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$159,074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$161,067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$141,931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$152,607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Southeast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153,680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176,819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144,615</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22.1</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155,271</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153,726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89,661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143,971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84,246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86,143</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62,824</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80,243</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54,469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144,649</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152,611</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144,764</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152,157</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697,272</w:t>
            </w:r>
          </w:p>
        </w:tc>
        <w:tc>
          <w:tcPr>
            <w:tcW w:w="1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642,982</w:t>
            </w:r>
          </w:p>
        </w:tc>
        <w:tc>
          <w:tcPr>
            <w:tcW w:w="1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655,524</w:t>
            </w:r>
          </w:p>
        </w:tc>
        <w:tc>
          <w:tcPr>
            <w:tcW w:w="160" w:type="dxa"/>
            <w:vAlign w:val="bottom"/>
          </w:tcPr>
          <w:p>
            <w:pPr>
              <w:spacing w:after="0"/>
              <w:rPr>
                <w:sz w:val="19"/>
                <w:szCs w:val="19"/>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8"/>
                <w:szCs w:val="18"/>
                <w:color w:val="auto"/>
                <w:w w:val="98"/>
              </w:rPr>
              <w:t>100.0%</w:t>
            </w: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598,750</w:t>
            </w:r>
          </w:p>
        </w:tc>
        <w:tc>
          <w:tcPr>
            <w:tcW w:w="1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following table shows portfolio composition by type and by geographic region at fair value as a percentage of net assets.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By Type</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By Geographic Region</w:t>
            </w:r>
          </w:p>
        </w:tc>
      </w:tr>
      <w:tr>
        <w:trPr>
          <w:trHeight w:val="119"/>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228"/>
              <w:spacing w:after="0" w:line="119" w:lineRule="exact"/>
              <w:rPr>
                <w:sz w:val="20"/>
                <w:szCs w:val="20"/>
                <w:color w:val="auto"/>
              </w:rPr>
            </w:pPr>
            <w:r>
              <w:rPr>
                <w:rFonts w:ascii="Arial" w:cs="Arial" w:eastAsia="Arial" w:hAnsi="Arial"/>
                <w:sz w:val="13"/>
                <w:szCs w:val="13"/>
                <w:b w:val="1"/>
                <w:bCs w:val="1"/>
                <w:color w:val="auto"/>
                <w:w w:val="96"/>
              </w:rPr>
              <w:t>June 30,</w:t>
            </w:r>
          </w:p>
        </w:tc>
        <w:tc>
          <w:tcPr>
            <w:tcW w:w="10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6"/>
              </w:rPr>
              <w:t>June 30,</w:t>
            </w:r>
          </w:p>
        </w:tc>
        <w:tc>
          <w:tcPr>
            <w:tcW w:w="10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w:t>
            </w: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Midwest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Subordinated Debt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rPr>
              <w:t>Southeast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Northeast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Equity</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30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rPr>
              <w:t>West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Southwest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Royalty Rights</w:t>
            </w:r>
          </w:p>
        </w:tc>
        <w:tc>
          <w:tcPr>
            <w:tcW w:w="2140" w:type="dxa"/>
            <w:vAlign w:val="bottom"/>
          </w:tcPr>
          <w:p>
            <w:pPr>
              <w:spacing w:after="0"/>
              <w:rPr>
                <w:sz w:val="19"/>
                <w:szCs w:val="19"/>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175.0%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159.6%</w:t>
            </w: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175.0%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159.6%</w:t>
            </w: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992"/>
        <w:spacing w:after="0" w:line="277" w:lineRule="auto"/>
        <w:rPr>
          <w:sz w:val="20"/>
          <w:szCs w:val="20"/>
          <w:color w:val="auto"/>
        </w:rPr>
      </w:pPr>
      <w:r>
        <w:rPr>
          <w:rFonts w:ascii="Arial" w:cs="Arial" w:eastAsia="Arial" w:hAnsi="Arial"/>
          <w:sz w:val="18"/>
          <w:szCs w:val="18"/>
          <w:color w:val="auto"/>
        </w:rPr>
        <w:t>As of June 30, 2019 and December 31, 2018, the Company had no portfolio company investments that represented more than 10% of the total investment portfolio on a fair value or cost basis.</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As of June 30, 2019 and December 31, 2018, the Company had debt investments in two portfolio companies on non-accrual status,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respectively:</w:t>
      </w:r>
    </w:p>
    <w:p>
      <w:pPr>
        <w:sectPr>
          <w:pgSz w:w="11900" w:h="16838" w:orient="portrait"/>
          <w:cols w:equalWidth="0" w:num="1">
            <w:col w:w="11240"/>
          </w:cols>
          <w:pgMar w:left="240" w:top="459" w:right="419" w:bottom="1440" w:gutter="0" w:footer="0" w:header="0"/>
        </w:sectPr>
      </w:pP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240" w:top="459" w:right="4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ind w:left="28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4"/>
                <w:szCs w:val="14"/>
                <w:color w:val="auto"/>
              </w:rPr>
            </w:pPr>
          </w:p>
        </w:tc>
        <w:tc>
          <w:tcPr>
            <w:tcW w:w="190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33"/>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1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3"/>
              <w:spacing w:after="0" w:line="158"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3"/>
                <w:szCs w:val="13"/>
                <w:color w:val="auto"/>
              </w:rPr>
            </w:pPr>
          </w:p>
        </w:tc>
        <w:tc>
          <w:tcPr>
            <w:tcW w:w="8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K2 Industrial Services, Inc.</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6"/>
              </w:rPr>
              <w:t>(1)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6"/>
              </w:rPr>
              <w:t>(1)</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$13,208</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$14,270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Oaktree Medical Centre, P.C. (dba Pain Management Associates)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13,368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GreenFiber,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6,167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16,159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6,167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29,527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20,757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29,629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Interest earned while on non-accrual was paid in full at exit.</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Portfolio company debt investments were not on non-accrual status at period end.</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Consolidated Schedule of Investments In and Advances To Affiliates</w:t>
      </w:r>
    </w:p>
    <w:p>
      <w:pPr>
        <w:spacing w:after="0" w:line="117" w:lineRule="exact"/>
        <w:rPr>
          <w:sz w:val="20"/>
          <w:szCs w:val="20"/>
          <w:color w:val="auto"/>
        </w:rPr>
      </w:pPr>
    </w:p>
    <w:p>
      <w:pPr>
        <w:ind w:left="200" w:right="120" w:firstLine="992"/>
        <w:spacing w:after="0" w:line="264" w:lineRule="auto"/>
        <w:rPr>
          <w:sz w:val="20"/>
          <w:szCs w:val="20"/>
          <w:color w:val="auto"/>
        </w:rPr>
      </w:pPr>
      <w:r>
        <w:rPr>
          <w:rFonts w:ascii="Arial" w:cs="Arial" w:eastAsia="Arial" w:hAnsi="Arial"/>
          <w:sz w:val="18"/>
          <w:szCs w:val="18"/>
          <w:color w:val="auto"/>
        </w:rPr>
        <w:t>The table below represents the fair value of control and affiliate investments as of December 31, 2018 and any additions and reductions made to such investments during the six months ended June 30, 2019, the ending fair value as of June 30, 2019, and the total investment income earned on such investments during the period.</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0"/>
              </w:rPr>
              <w:t>June 30, 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9"/>
          </w:tcPr>
          <w:p>
            <w:pPr>
              <w:ind w:left="420"/>
              <w:spacing w:after="0"/>
              <w:rPr>
                <w:sz w:val="20"/>
                <w:szCs w:val="20"/>
                <w:color w:val="auto"/>
              </w:rPr>
            </w:pPr>
            <w:r>
              <w:rPr>
                <w:rFonts w:ascii="Arial" w:cs="Arial" w:eastAsia="Arial" w:hAnsi="Arial"/>
                <w:sz w:val="14"/>
                <w:szCs w:val="14"/>
                <w:b w:val="1"/>
                <w:bCs w:val="1"/>
                <w:color w:val="auto"/>
                <w:w w:val="93"/>
              </w:rPr>
              <w:t>Six Months Ended June 30, 2019</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Net Change in</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4"/>
              </w:rPr>
              <w:t>Principal</w:t>
            </w:r>
          </w:p>
        </w:tc>
        <w:tc>
          <w:tcPr>
            <w:tcW w:w="9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Net Realized</w:t>
            </w:r>
          </w:p>
        </w:tc>
        <w:tc>
          <w:tcPr>
            <w:tcW w:w="10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Payment-in-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7"/>
              </w:rPr>
              <w:t>Amount -</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Gross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Dividend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 xml:space="preserve">Portfolio Company </w:t>
            </w:r>
            <w:r>
              <w:rPr>
                <w:rFonts w:ascii="Arial" w:cs="Arial" w:eastAsia="Arial" w:hAnsi="Arial"/>
                <w:sz w:val="12"/>
                <w:szCs w:val="12"/>
                <w:b w:val="1"/>
                <w:bCs w:val="1"/>
                <w:color w:val="auto"/>
                <w:w w:val="94"/>
              </w:rPr>
              <w:t>(1)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9"/>
              </w:rPr>
              <w:t>Debt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2019 Fair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Appreciation</w:t>
            </w:r>
          </w:p>
        </w:tc>
        <w:tc>
          <w:tcPr>
            <w:tcW w:w="6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00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kind Interest</w:t>
            </w:r>
          </w:p>
        </w:tc>
        <w:tc>
          <w:tcPr>
            <w:tcW w:w="600" w:type="dxa"/>
            <w:vAlign w:val="bottom"/>
            <w:gridSpan w:val="3"/>
            <w:vMerge w:val="continue"/>
          </w:tcPr>
          <w:p>
            <w:pPr>
              <w:spacing w:after="0"/>
              <w:rPr>
                <w:sz w:val="12"/>
                <w:szCs w:val="12"/>
                <w:color w:val="auto"/>
              </w:rPr>
            </w:pPr>
          </w:p>
        </w:tc>
        <w:tc>
          <w:tcPr>
            <w:tcW w:w="9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8"/>
              </w:rPr>
              <w:t>Fee Income</w:t>
            </w:r>
          </w:p>
        </w:tc>
        <w:tc>
          <w:tcPr>
            <w:tcW w:w="0" w:type="dxa"/>
            <w:vAlign w:val="bottom"/>
          </w:tcPr>
          <w:p>
            <w:pPr>
              <w:spacing w:after="0"/>
              <w:rPr>
                <w:sz w:val="1"/>
                <w:szCs w:val="1"/>
                <w:color w:val="auto"/>
              </w:rPr>
            </w:pPr>
          </w:p>
        </w:tc>
      </w:tr>
      <w:tr>
        <w:trPr>
          <w:trHeight w:val="178"/>
        </w:trPr>
        <w:tc>
          <w:tcPr>
            <w:tcW w:w="13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Investments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32"/>
              <w:spacing w:after="0" w:line="158" w:lineRule="exact"/>
              <w:rPr>
                <w:sz w:val="20"/>
                <w:szCs w:val="20"/>
                <w:color w:val="auto"/>
              </w:rPr>
            </w:pPr>
            <w:r>
              <w:rPr>
                <w:rFonts w:ascii="Arial" w:cs="Arial" w:eastAsia="Arial" w:hAnsi="Arial"/>
                <w:sz w:val="14"/>
                <w:szCs w:val="14"/>
                <w:b w:val="1"/>
                <w:bCs w:val="1"/>
                <w:color w:val="auto"/>
                <w:w w:val="92"/>
              </w:rPr>
              <w:t>Fair Value</w:t>
            </w:r>
          </w:p>
        </w:tc>
        <w:tc>
          <w:tcPr>
            <w:tcW w:w="88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w w:val="91"/>
              </w:rPr>
              <w:t xml:space="preserve">Additions </w:t>
            </w:r>
            <w:r>
              <w:rPr>
                <w:rFonts w:ascii="Arial" w:cs="Arial" w:eastAsia="Arial" w:hAnsi="Arial"/>
                <w:sz w:val="12"/>
                <w:szCs w:val="12"/>
                <w:b w:val="1"/>
                <w:bCs w:val="1"/>
                <w:color w:val="auto"/>
                <w:w w:val="91"/>
              </w:rPr>
              <w:t>(2)</w:t>
            </w:r>
          </w:p>
        </w:tc>
        <w:tc>
          <w:tcPr>
            <w:tcW w:w="1100" w:type="dxa"/>
            <w:vAlign w:val="bottom"/>
            <w:gridSpan w:val="4"/>
          </w:tcPr>
          <w:p>
            <w:pPr>
              <w:ind w:left="120"/>
              <w:spacing w:after="0" w:line="158" w:lineRule="exact"/>
              <w:rPr>
                <w:sz w:val="20"/>
                <w:szCs w:val="20"/>
                <w:color w:val="auto"/>
              </w:rPr>
            </w:pPr>
            <w:r>
              <w:rPr>
                <w:rFonts w:ascii="Arial" w:cs="Arial" w:eastAsia="Arial" w:hAnsi="Arial"/>
                <w:sz w:val="14"/>
                <w:szCs w:val="14"/>
                <w:b w:val="1"/>
                <w:bCs w:val="1"/>
                <w:color w:val="auto"/>
              </w:rPr>
              <w:t xml:space="preserve">Reductions </w:t>
            </w:r>
            <w:r>
              <w:rPr>
                <w:rFonts w:ascii="Arial" w:cs="Arial" w:eastAsia="Arial" w:hAnsi="Arial"/>
                <w:sz w:val="12"/>
                <w:szCs w:val="12"/>
                <w:b w:val="1"/>
                <w:bCs w:val="1"/>
                <w:color w:val="auto"/>
              </w:rPr>
              <w:t>(3)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11"/>
              <w:spacing w:after="0" w:line="158" w:lineRule="exact"/>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5"/>
                <w:szCs w:val="15"/>
                <w:color w:val="auto"/>
              </w:rPr>
            </w:pPr>
          </w:p>
        </w:tc>
        <w:tc>
          <w:tcPr>
            <w:tcW w:w="88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w w:val="91"/>
              </w:rPr>
              <w:t xml:space="preserve">(Losses) </w:t>
            </w:r>
            <w:r>
              <w:rPr>
                <w:rFonts w:ascii="Arial" w:cs="Arial" w:eastAsia="Arial" w:hAnsi="Arial"/>
                <w:sz w:val="12"/>
                <w:szCs w:val="12"/>
                <w:b w:val="1"/>
                <w:bCs w:val="1"/>
                <w:color w:val="auto"/>
                <w:w w:val="91"/>
              </w:rPr>
              <w:t>(4)</w:t>
            </w:r>
          </w:p>
        </w:tc>
        <w:tc>
          <w:tcPr>
            <w:tcW w:w="1060" w:type="dxa"/>
            <w:vAlign w:val="bottom"/>
            <w:gridSpan w:val="4"/>
          </w:tcPr>
          <w:p>
            <w:pPr>
              <w:ind w:left="60"/>
              <w:spacing w:after="0" w:line="158" w:lineRule="exact"/>
              <w:rPr>
                <w:sz w:val="20"/>
                <w:szCs w:val="20"/>
                <w:color w:val="auto"/>
              </w:rPr>
            </w:pPr>
            <w:r>
              <w:rPr>
                <w:rFonts w:ascii="Arial" w:cs="Arial" w:eastAsia="Arial" w:hAnsi="Arial"/>
                <w:sz w:val="14"/>
                <w:szCs w:val="14"/>
                <w:b w:val="1"/>
                <w:bCs w:val="1"/>
                <w:color w:val="auto"/>
              </w:rPr>
              <w:t>(Depreciation)</w:t>
            </w:r>
          </w:p>
        </w:tc>
        <w:tc>
          <w:tcPr>
            <w:tcW w:w="60" w:type="dxa"/>
            <w:vAlign w:val="bottom"/>
          </w:tcPr>
          <w:p>
            <w:pPr>
              <w:spacing w:after="0"/>
              <w:rPr>
                <w:sz w:val="15"/>
                <w:szCs w:val="15"/>
                <w:color w:val="auto"/>
              </w:rPr>
            </w:pPr>
          </w:p>
        </w:tc>
        <w:tc>
          <w:tcPr>
            <w:tcW w:w="5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7"/>
              </w:rPr>
              <w:t>Income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5"/>
                <w:szCs w:val="15"/>
                <w:color w:val="auto"/>
              </w:rPr>
            </w:pPr>
          </w:p>
        </w:tc>
        <w:tc>
          <w:tcPr>
            <w:tcW w:w="5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Income</w:t>
            </w:r>
          </w:p>
        </w:tc>
        <w:tc>
          <w:tcPr>
            <w:tcW w:w="9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tcBorders>
              <w:top w:val="single" w:sz="8" w:color="auto"/>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Control</w:t>
            </w: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gridSpan w:val="2"/>
          </w:tcPr>
          <w:p>
            <w:pPr>
              <w:spacing w:after="0" w:line="201" w:lineRule="exact"/>
              <w:rPr>
                <w:sz w:val="20"/>
                <w:szCs w:val="20"/>
                <w:color w:val="auto"/>
              </w:rPr>
            </w:pPr>
            <w:r>
              <w:rPr>
                <w:rFonts w:ascii="Arial" w:cs="Arial" w:eastAsia="Arial" w:hAnsi="Arial"/>
                <w:sz w:val="18"/>
                <w:szCs w:val="18"/>
                <w:color w:val="auto"/>
              </w:rPr>
              <w:t>FDS Avionics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Corp. (dba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Flight Display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Systems)</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6,777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5,612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363</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(757)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5,218</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(757)</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ind w:left="400"/>
              <w:spacing w:after="0"/>
              <w:rPr>
                <w:sz w:val="20"/>
                <w:szCs w:val="20"/>
                <w:color w:val="auto"/>
              </w:rPr>
            </w:pPr>
            <w:r>
              <w:rPr>
                <w:rFonts w:ascii="Arial" w:cs="Arial" w:eastAsia="Arial" w:hAnsi="Arial"/>
                <w:sz w:val="18"/>
                <w:szCs w:val="18"/>
                <w:color w:val="auto"/>
                <w:w w:val="86"/>
              </w:rPr>
              <w:t>360</w:t>
            </w:r>
          </w:p>
        </w:tc>
        <w:tc>
          <w:tcPr>
            <w:tcW w:w="80" w:type="dxa"/>
            <w:vAlign w:val="bottom"/>
          </w:tcPr>
          <w:p>
            <w:pPr>
              <w:spacing w:after="0"/>
              <w:rPr>
                <w:sz w:val="20"/>
                <w:szCs w:val="20"/>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K2 Industrial</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Services, Inc.</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(16,643)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349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38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Total Control</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Investments</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6,777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18,820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3,798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(17,400)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5,218</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(1,268)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0"/>
                <w:szCs w:val="20"/>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1,420</w:t>
            </w:r>
          </w:p>
        </w:tc>
        <w:tc>
          <w:tcPr>
            <w:tcW w:w="80" w:type="dxa"/>
            <w:vAlign w:val="bottom"/>
          </w:tcPr>
          <w:p>
            <w:pPr>
              <w:spacing w:after="0"/>
              <w:rPr>
                <w:sz w:val="20"/>
                <w:szCs w:val="20"/>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w w:val="86"/>
              </w:rPr>
              <w:t>349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3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Affiliate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w w:val="88"/>
              </w:rPr>
              <w:t>FAR Research Inc. $</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Fiber Materials,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gridSpan w:val="2"/>
          </w:tcPr>
          <w:p>
            <w:pPr>
              <w:spacing w:after="0" w:line="201" w:lineRule="exact"/>
              <w:rPr>
                <w:sz w:val="20"/>
                <w:szCs w:val="20"/>
                <w:color w:val="auto"/>
              </w:rPr>
            </w:pPr>
            <w:r>
              <w:rPr>
                <w:rFonts w:ascii="Arial" w:cs="Arial" w:eastAsia="Arial" w:hAnsi="Arial"/>
                <w:sz w:val="18"/>
                <w:szCs w:val="18"/>
                <w:color w:val="auto"/>
              </w:rPr>
              <w:t>Medsurant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Holdings, LLC</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(3,597)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(3,597)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Microbiology</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Associates, Inc.</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gridSpan w:val="2"/>
          </w:tcPr>
          <w:p>
            <w:pPr>
              <w:spacing w:after="0" w:line="201" w:lineRule="exact"/>
              <w:rPr>
                <w:sz w:val="20"/>
                <w:szCs w:val="20"/>
                <w:color w:val="auto"/>
              </w:rPr>
            </w:pPr>
            <w:r>
              <w:rPr>
                <w:rFonts w:ascii="Arial" w:cs="Arial" w:eastAsia="Arial" w:hAnsi="Arial"/>
                <w:sz w:val="18"/>
                <w:szCs w:val="18"/>
                <w:color w:val="auto"/>
              </w:rPr>
              <w:t>Mirage Trailers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LLC</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6,155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Pfanstiehl, Inc.</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367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Pinnergy, Ltd.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w w:val="86"/>
              </w:rPr>
              <w:t>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Steward Holding</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LLC (dba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Steward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Advanced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Materials)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gridSpan w:val="2"/>
          </w:tcPr>
          <w:p>
            <w:pPr>
              <w:spacing w:after="0" w:line="201" w:lineRule="exact"/>
              <w:rPr>
                <w:sz w:val="20"/>
                <w:szCs w:val="20"/>
                <w:color w:val="auto"/>
              </w:rPr>
            </w:pPr>
            <w:r>
              <w:rPr>
                <w:rFonts w:ascii="Arial" w:cs="Arial" w:eastAsia="Arial" w:hAnsi="Arial"/>
                <w:sz w:val="18"/>
                <w:szCs w:val="18"/>
                <w:color w:val="auto"/>
                <w:w w:val="92"/>
              </w:rPr>
              <w:t>Trantech Radiator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Products, Inc.</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(6,681)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Affiliate</w:t>
            </w: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123,051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117,470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2,934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168</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941</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120" w:hanging="436"/>
        <w:spacing w:after="0" w:line="258"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investment type, industry, ownership detail for equity investments, and if the investment is income producing is disclosed in the consolidated schedule of investments.</w:t>
      </w:r>
    </w:p>
    <w:p>
      <w:pPr>
        <w:spacing w:after="0" w:line="1" w:lineRule="exact"/>
        <w:rPr>
          <w:rFonts w:ascii="Arial" w:cs="Arial" w:eastAsia="Arial" w:hAnsi="Arial"/>
          <w:sz w:val="18"/>
          <w:szCs w:val="18"/>
          <w:color w:val="auto"/>
        </w:rPr>
      </w:pPr>
    </w:p>
    <w:p>
      <w:pPr>
        <w:ind w:left="640" w:right="220" w:hanging="436"/>
        <w:spacing w:after="0" w:line="281"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2" w:lineRule="exact"/>
        <w:rPr>
          <w:rFonts w:ascii="Arial" w:cs="Arial" w:eastAsia="Arial" w:hAnsi="Arial"/>
          <w:sz w:val="16"/>
          <w:szCs w:val="16"/>
          <w:color w:val="auto"/>
        </w:rPr>
      </w:pPr>
    </w:p>
    <w:p>
      <w:pPr>
        <w:ind w:left="640" w:right="16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or sales and net unrealized (depreciation) recognized during the period. Gross reductions also include include transfers of portfolio companies out of the control or affiliate classification during the period, as applicable.</w:t>
      </w:r>
    </w:p>
    <w:p>
      <w:pPr>
        <w:spacing w:after="0" w:line="1" w:lineRule="exact"/>
        <w:rPr>
          <w:rFonts w:ascii="Arial" w:cs="Arial" w:eastAsia="Arial" w:hAnsi="Arial"/>
          <w:sz w:val="18"/>
          <w:szCs w:val="18"/>
          <w:color w:val="auto"/>
        </w:rPr>
      </w:pPr>
    </w:p>
    <w:p>
      <w:pPr>
        <w:ind w:left="640" w:right="320" w:hanging="436"/>
        <w:spacing w:after="0" w:line="25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ectPr>
          <w:pgSz w:w="11900" w:h="16838" w:orient="portrait"/>
          <w:cols w:equalWidth="0" w:num="1">
            <w:col w:w="11240"/>
          </w:cols>
          <w:pgMar w:left="240" w:top="459" w:right="419" w:bottom="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as of the measurement date.</w:t>
      </w:r>
    </w:p>
    <w:p>
      <w:pPr>
        <w:spacing w:after="0" w:line="225" w:lineRule="exact"/>
        <w:rPr>
          <w:sz w:val="20"/>
          <w:szCs w:val="20"/>
          <w:color w:val="auto"/>
        </w:rPr>
      </w:pPr>
    </w:p>
    <w:p>
      <w:pPr>
        <w:ind w:right="120" w:firstLine="441"/>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in active markets, or that are quoted prices for identical or similar assets in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active and inputs that are observable, either directly or indirectly, for substantially the full term, if applicable, of the investment.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121"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73"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1180" w:right="320" w:hanging="544"/>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pacing w:after="0" w:line="142" w:lineRule="exact"/>
        <w:rPr>
          <w:rFonts w:ascii="Arial" w:cs="Arial" w:eastAsia="Arial" w:hAnsi="Arial"/>
          <w:sz w:val="17"/>
          <w:szCs w:val="17"/>
          <w:color w:val="auto"/>
        </w:rPr>
      </w:pPr>
    </w:p>
    <w:p>
      <w:pPr>
        <w:ind w:left="1180" w:hanging="544"/>
        <w:spacing w:after="0" w:line="288" w:lineRule="auto"/>
        <w:tabs>
          <w:tab w:leader="none" w:pos="1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The Board consulted with the independent valuation firm(s) in arriving at the Company’s determination of fair value for 17 and 16 of its portfolio company investments representing 33.7% and 36.0% of the total portfolio investments at fair value (exclusive of new portfolio company investments made during the three months ended June 30, 2019 and December 31, 2018, respectively) as of June 30, 2019 and December 31, 2018, respectively.</w:t>
      </w:r>
    </w:p>
    <w:p>
      <w:pPr>
        <w:spacing w:after="0" w:line="74" w:lineRule="exact"/>
        <w:rPr>
          <w:rFonts w:ascii="Arial" w:cs="Arial" w:eastAsia="Arial" w:hAnsi="Arial"/>
          <w:sz w:val="16"/>
          <w:szCs w:val="16"/>
          <w:color w:val="auto"/>
        </w:rPr>
      </w:pPr>
    </w:p>
    <w:p>
      <w:pPr>
        <w:ind w:left="1180" w:right="240" w:hanging="544"/>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75" w:lineRule="exact"/>
        <w:rPr>
          <w:rFonts w:ascii="Arial" w:cs="Arial" w:eastAsia="Arial" w:hAnsi="Arial"/>
          <w:sz w:val="18"/>
          <w:szCs w:val="18"/>
          <w:color w:val="auto"/>
        </w:rPr>
      </w:pPr>
    </w:p>
    <w:p>
      <w:pPr>
        <w:ind w:left="1180" w:right="160" w:hanging="544"/>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7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8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8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w:t>
      </w:r>
    </w:p>
    <w:p>
      <w:pPr>
        <w:sectPr>
          <w:pgSz w:w="11900" w:h="16838" w:orient="portrait"/>
          <w:cols w:equalWidth="0" w:num="1">
            <w:col w:w="11200"/>
          </w:cols>
          <w:pgMar w:left="240" w:top="459" w:right="459" w:bottom="1440" w:gutter="0" w:footer="0" w:header="0"/>
        </w:sectPr>
      </w:pP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00"/>
          </w:cols>
          <w:pgMar w:left="240" w:top="459" w:right="4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88" w:lineRule="exact"/>
        <w:rPr>
          <w:sz w:val="20"/>
          <w:szCs w:val="20"/>
          <w:color w:val="auto"/>
        </w:rPr>
      </w:pPr>
    </w:p>
    <w:p>
      <w:pPr>
        <w:ind w:left="200" w:right="200" w:firstLine="441"/>
        <w:spacing w:after="0" w:line="271" w:lineRule="auto"/>
        <w:rPr>
          <w:sz w:val="20"/>
          <w:szCs w:val="20"/>
          <w:color w:val="auto"/>
        </w:rPr>
      </w:pPr>
      <w:r>
        <w:rPr>
          <w:rFonts w:ascii="Arial" w:cs="Arial" w:eastAsia="Arial" w:hAnsi="Arial"/>
          <w:sz w:val="17"/>
          <w:szCs w:val="17"/>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Where applicable, the Company considers the Company’s ability to influence the capital structure of the portfolio company, as well as the timing of a potential exit.</w:t>
      </w:r>
    </w:p>
    <w:p>
      <w:pPr>
        <w:spacing w:after="0" w:line="179"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65" w:lineRule="exact"/>
        <w:rPr>
          <w:sz w:val="20"/>
          <w:szCs w:val="20"/>
          <w:color w:val="auto"/>
        </w:rPr>
      </w:pPr>
    </w:p>
    <w:p>
      <w:pPr>
        <w:ind w:left="200" w:right="360" w:firstLine="441"/>
        <w:spacing w:after="0" w:line="342" w:lineRule="auto"/>
        <w:rPr>
          <w:sz w:val="20"/>
          <w:szCs w:val="20"/>
          <w:color w:val="auto"/>
        </w:rPr>
      </w:pPr>
      <w:r>
        <w:rPr>
          <w:rFonts w:ascii="Arial" w:cs="Arial" w:eastAsia="Arial" w:hAnsi="Arial"/>
          <w:sz w:val="16"/>
          <w:szCs w:val="16"/>
          <w:color w:val="auto"/>
        </w:rPr>
        <w:t>The fair value of the Company’s royalty rights are calculated based on projected future cash flows and the specific provisions contained in the pertinent agreements. The determination of the fair value of such royalty rights is not a significant component of the Company’s valuation process.</w:t>
      </w:r>
    </w:p>
    <w:p>
      <w:pPr>
        <w:spacing w:after="0" w:line="124"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six months ended June 30, 2019 and 2018.</w:t>
      </w:r>
    </w:p>
    <w:p>
      <w:pPr>
        <w:spacing w:after="0" w:line="18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six months ended June 30, 2019 and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Second Lien</w:t>
            </w:r>
          </w:p>
        </w:tc>
        <w:tc>
          <w:tcPr>
            <w:tcW w:w="1140" w:type="dxa"/>
            <w:vAlign w:val="bottom"/>
            <w:gridSpan w:val="4"/>
          </w:tcPr>
          <w:p>
            <w:pPr>
              <w:ind w:left="120"/>
              <w:spacing w:after="0"/>
              <w:rPr>
                <w:sz w:val="20"/>
                <w:szCs w:val="20"/>
                <w:color w:val="auto"/>
              </w:rPr>
            </w:pPr>
            <w:r>
              <w:rPr>
                <w:rFonts w:ascii="Arial" w:cs="Arial" w:eastAsia="Arial" w:hAnsi="Arial"/>
                <w:sz w:val="14"/>
                <w:szCs w:val="14"/>
                <w:b w:val="1"/>
                <w:bCs w:val="1"/>
                <w:color w:val="auto"/>
              </w:rPr>
              <w:t>Subordinated</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First Lien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Warrants</w:t>
            </w:r>
          </w:p>
        </w:tc>
        <w:tc>
          <w:tcPr>
            <w:tcW w:w="62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w w:val="94"/>
              </w:rPr>
              <w:t>Royalty</w:t>
            </w:r>
          </w:p>
        </w:tc>
        <w:tc>
          <w:tcPr>
            <w:tcW w:w="26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Rights</w:t>
            </w:r>
          </w:p>
        </w:tc>
        <w:tc>
          <w:tcPr>
            <w:tcW w:w="2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$ 341,279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126,481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$ 28,911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$15,052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$596,308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(8,877)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(4,208)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change in unrealized appreciation (depreciation) on</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16,494</w:t>
            </w:r>
          </w:p>
        </w:tc>
        <w:tc>
          <w:tcPr>
            <w:tcW w:w="1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84,522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9"/>
              </w:rPr>
              <w:t>Proceeds from sales and repayments of investments</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(25,984)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(30,052)</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Transfers between classifications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(6,823)</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$ 397,985</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$ 26,930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105,016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14,404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646,182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December 31, 2018</w:t>
            </w: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gridSpan w:val="2"/>
            <w:vMerge w:val="continue"/>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$ 366,517</w:t>
            </w:r>
          </w:p>
        </w:tc>
        <w:tc>
          <w:tcPr>
            <w:tcW w:w="160" w:type="dxa"/>
            <w:vAlign w:val="bottom"/>
          </w:tcPr>
          <w:p>
            <w:pPr>
              <w:spacing w:after="0"/>
              <w:rPr>
                <w:sz w:val="24"/>
                <w:szCs w:val="24"/>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104,225</w:t>
            </w:r>
          </w:p>
        </w:tc>
        <w:tc>
          <w:tcPr>
            <w:tcW w:w="1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$ 51,790</w:t>
            </w:r>
          </w:p>
        </w:tc>
        <w:tc>
          <w:tcPr>
            <w:tcW w:w="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106,707</w:t>
            </w:r>
          </w:p>
        </w:tc>
        <w:tc>
          <w:tcPr>
            <w:tcW w:w="1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$13,743</w:t>
            </w:r>
          </w:p>
        </w:tc>
        <w:tc>
          <w:tcPr>
            <w:tcW w:w="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$642,982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on investments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w w:val="94"/>
              </w:rPr>
              <w:t>Net change in unrealized appreciation (depreciation) on</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1,445</w:t>
            </w:r>
          </w:p>
        </w:tc>
        <w:tc>
          <w:tcPr>
            <w:tcW w:w="16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(12,652)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12,807</w:t>
            </w:r>
          </w:p>
        </w:tc>
        <w:tc>
          <w:tcPr>
            <w:tcW w:w="18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9"/>
              </w:rPr>
              <w:t>Proceeds from sales and repayments of investments</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(35,194)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(26,689)</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(75,320)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 paid-in-kind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Proceeds from loan origination fees</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Accretion of loan origination fees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$ 369,996</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127,239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$ 65,749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122,639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11,649</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697,272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Net change in unrealized (depreciation) of $(6,335) and $(4,840) for the three and six months ended June 30, 2019, respectively, was attributable to Level 3 investments held at June 30, 2019. Net change in unrealized appreciation of $889 and $12,484 for the three and six months ended June 30, 2018, respectively, was attributable to Level 3 investments held at June 30, 2018.</w:t>
      </w:r>
    </w:p>
    <w:p>
      <w:pPr>
        <w:sectPr>
          <w:pgSz w:w="11900" w:h="16838" w:orient="portrait"/>
          <w:cols w:equalWidth="0" w:num="1">
            <w:col w:w="11240"/>
          </w:cols>
          <w:pgMar w:left="240" w:top="459" w:right="419" w:bottom="811" w:gutter="0" w:footer="0" w:header="0"/>
        </w:sectPr>
      </w:pP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240" w:top="459" w:right="419" w:bottom="811"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tables summarize the significant unobservable inputs by valuation technique used to determine the fair value of the Company’s Level 3 debt and equity investments as of June 30, 2019 and December 31, 2018. The tables are not intended to be all-inclusive, but instead capture the significant unobservable inputs relevant to the Company’s determination of fair values.</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Fair Value at</w:t>
            </w:r>
          </w:p>
        </w:tc>
        <w:tc>
          <w:tcPr>
            <w:tcW w:w="16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256"/>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June 30, 2019</w:t>
            </w:r>
          </w:p>
        </w:tc>
        <w:tc>
          <w:tcPr>
            <w:tcW w:w="16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80" w:type="dxa"/>
            <w:vAlign w:val="bottom"/>
            <w:tcBorders>
              <w:bottom w:val="single" w:sz="8" w:color="CCEEFF"/>
            </w:tcBorders>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40"/>
              <w:spacing w:after="0"/>
              <w:rPr>
                <w:sz w:val="20"/>
                <w:szCs w:val="20"/>
                <w:color w:val="auto"/>
              </w:rPr>
            </w:pPr>
            <w:r>
              <w:rPr>
                <w:rFonts w:ascii="Arial" w:cs="Arial" w:eastAsia="Arial" w:hAnsi="Arial"/>
                <w:sz w:val="18"/>
                <w:szCs w:val="18"/>
                <w:color w:val="auto"/>
              </w:rPr>
              <w:t>Second Lien Debt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361,263</w:t>
            </w: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Discounted cash flow</w:t>
            </w:r>
          </w:p>
        </w:tc>
        <w:tc>
          <w:tcPr>
            <w:tcW w:w="2660" w:type="dxa"/>
            <w:vAlign w:val="bottom"/>
            <w:gridSpan w:val="2"/>
          </w:tcPr>
          <w:p>
            <w:pPr>
              <w:ind w:left="80"/>
              <w:spacing w:after="0"/>
              <w:rPr>
                <w:sz w:val="20"/>
                <w:szCs w:val="20"/>
                <w:color w:val="auto"/>
              </w:rPr>
            </w:pPr>
            <w:r>
              <w:rPr>
                <w:rFonts w:ascii="Arial" w:cs="Arial" w:eastAsia="Arial" w:hAnsi="Arial"/>
                <w:sz w:val="18"/>
                <w:szCs w:val="18"/>
                <w:color w:val="auto"/>
                <w:w w:val="98"/>
              </w:rPr>
              <w:t>Weighted average cost of capital</w:t>
            </w:r>
          </w:p>
        </w:tc>
        <w:tc>
          <w:tcPr>
            <w:tcW w:w="2080" w:type="dxa"/>
            <w:vAlign w:val="bottom"/>
            <w:gridSpan w:val="3"/>
          </w:tcPr>
          <w:p>
            <w:pPr>
              <w:ind w:left="80"/>
              <w:spacing w:after="0"/>
              <w:rPr>
                <w:sz w:val="20"/>
                <w:szCs w:val="20"/>
                <w:color w:val="auto"/>
              </w:rPr>
            </w:pPr>
            <w:r>
              <w:rPr>
                <w:rFonts w:ascii="Arial" w:cs="Arial" w:eastAsia="Arial" w:hAnsi="Arial"/>
                <w:sz w:val="18"/>
                <w:szCs w:val="18"/>
                <w:color w:val="auto"/>
              </w:rPr>
              <w:t>10.9% - 30.0% (13.3%)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Enterprise value</w:t>
            </w:r>
          </w:p>
        </w:tc>
        <w:tc>
          <w:tcPr>
            <w:tcW w:w="2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Revenue multiples</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0.3x</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- 0.3x (0.3x)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2,566</w:t>
            </w: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Enterprise value</w:t>
            </w:r>
          </w:p>
        </w:tc>
        <w:tc>
          <w:tcPr>
            <w:tcW w:w="2660" w:type="dxa"/>
            <w:vAlign w:val="bottom"/>
            <w:gridSpan w:val="2"/>
          </w:tcPr>
          <w:p>
            <w:pPr>
              <w:ind w:left="80"/>
              <w:spacing w:after="0"/>
              <w:rPr>
                <w:sz w:val="20"/>
                <w:szCs w:val="20"/>
                <w:color w:val="auto"/>
              </w:rPr>
            </w:pPr>
            <w:r>
              <w:rPr>
                <w:rFonts w:ascii="Arial" w:cs="Arial" w:eastAsia="Arial" w:hAnsi="Arial"/>
                <w:sz w:val="18"/>
                <w:szCs w:val="18"/>
                <w:color w:val="auto"/>
              </w:rPr>
              <w:t>Asset Coverage</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w w:val="93"/>
              </w:rPr>
              <w:t>1.2x</w:t>
            </w:r>
          </w:p>
        </w:tc>
        <w:tc>
          <w:tcPr>
            <w:tcW w:w="1660" w:type="dxa"/>
            <w:vAlign w:val="bottom"/>
          </w:tcPr>
          <w:p>
            <w:pPr>
              <w:ind w:left="20"/>
              <w:spacing w:after="0"/>
              <w:rPr>
                <w:sz w:val="20"/>
                <w:szCs w:val="20"/>
                <w:color w:val="auto"/>
              </w:rPr>
            </w:pPr>
            <w:r>
              <w:rPr>
                <w:rFonts w:ascii="Arial" w:cs="Arial" w:eastAsia="Arial" w:hAnsi="Arial"/>
                <w:sz w:val="18"/>
                <w:szCs w:val="18"/>
                <w:color w:val="auto"/>
              </w:rPr>
              <w:t>- 1.2x (1.2x)</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Subordinated Debt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127,239</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Discounted cash flow</w:t>
            </w:r>
          </w:p>
        </w:tc>
        <w:tc>
          <w:tcPr>
            <w:tcW w:w="2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Weighted average cost of capital</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10.9% - 18.1% (12.3%)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Enterprise value</w:t>
            </w:r>
          </w:p>
        </w:tc>
        <w:tc>
          <w:tcPr>
            <w:tcW w:w="2660" w:type="dxa"/>
            <w:vAlign w:val="bottom"/>
            <w:gridSpan w:val="2"/>
          </w:tcPr>
          <w:p>
            <w:pPr>
              <w:ind w:left="80"/>
              <w:spacing w:after="0"/>
              <w:rPr>
                <w:sz w:val="20"/>
                <w:szCs w:val="20"/>
                <w:color w:val="auto"/>
              </w:rPr>
            </w:pPr>
            <w:r>
              <w:rPr>
                <w:rFonts w:ascii="Arial" w:cs="Arial" w:eastAsia="Arial" w:hAnsi="Arial"/>
                <w:sz w:val="18"/>
                <w:szCs w:val="18"/>
                <w:color w:val="auto"/>
              </w:rPr>
              <w:t>Asset Coverage</w:t>
            </w:r>
          </w:p>
        </w:tc>
        <w:tc>
          <w:tcPr>
            <w:tcW w:w="2080" w:type="dxa"/>
            <w:vAlign w:val="bottom"/>
            <w:gridSpan w:val="3"/>
          </w:tcPr>
          <w:p>
            <w:pPr>
              <w:ind w:left="80"/>
              <w:spacing w:after="0"/>
              <w:rPr>
                <w:sz w:val="20"/>
                <w:szCs w:val="20"/>
                <w:color w:val="auto"/>
              </w:rPr>
            </w:pPr>
            <w:r>
              <w:rPr>
                <w:rFonts w:ascii="Arial" w:cs="Arial" w:eastAsia="Arial" w:hAnsi="Arial"/>
                <w:sz w:val="18"/>
                <w:szCs w:val="18"/>
                <w:color w:val="auto"/>
              </w:rPr>
              <w:t>50.0x - 50.0x (n/a)</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Lien Debt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65,749</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Discounted cash flow</w:t>
            </w:r>
          </w:p>
        </w:tc>
        <w:tc>
          <w:tcPr>
            <w:tcW w:w="2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Weighted average cost of capital</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9.9% - 14.8% (11.9%)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Enterprise value</w:t>
            </w:r>
          </w:p>
        </w:tc>
        <w:tc>
          <w:tcPr>
            <w:tcW w:w="2660" w:type="dxa"/>
            <w:vAlign w:val="bottom"/>
            <w:gridSpan w:val="2"/>
          </w:tcPr>
          <w:p>
            <w:pPr>
              <w:ind w:left="80"/>
              <w:spacing w:after="0"/>
              <w:rPr>
                <w:sz w:val="20"/>
                <w:szCs w:val="20"/>
                <w:color w:val="auto"/>
              </w:rPr>
            </w:pPr>
            <w:r>
              <w:rPr>
                <w:rFonts w:ascii="Arial" w:cs="Arial" w:eastAsia="Arial" w:hAnsi="Arial"/>
                <w:sz w:val="18"/>
                <w:szCs w:val="18"/>
                <w:color w:val="auto"/>
              </w:rPr>
              <w:t>Asset Coverage</w:t>
            </w:r>
          </w:p>
        </w:tc>
        <w:tc>
          <w:tcPr>
            <w:tcW w:w="2080" w:type="dxa"/>
            <w:vAlign w:val="bottom"/>
            <w:gridSpan w:val="3"/>
          </w:tcPr>
          <w:p>
            <w:pPr>
              <w:ind w:left="80"/>
              <w:spacing w:after="0"/>
              <w:rPr>
                <w:sz w:val="20"/>
                <w:szCs w:val="20"/>
                <w:color w:val="auto"/>
              </w:rPr>
            </w:pPr>
            <w:r>
              <w:rPr>
                <w:rFonts w:ascii="Arial" w:cs="Arial" w:eastAsia="Arial" w:hAnsi="Arial"/>
                <w:sz w:val="18"/>
                <w:szCs w:val="18"/>
                <w:color w:val="auto"/>
              </w:rPr>
              <w:t>50.0x - 50.0x (n/a)</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4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122,389</w:t>
            </w: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Enterprise value</w:t>
            </w:r>
          </w:p>
        </w:tc>
        <w:tc>
          <w:tcPr>
            <w:tcW w:w="2660" w:type="dxa"/>
            <w:vAlign w:val="bottom"/>
            <w:gridSpan w:val="2"/>
          </w:tcPr>
          <w:p>
            <w:pPr>
              <w:ind w:left="80"/>
              <w:spacing w:after="0"/>
              <w:rPr>
                <w:sz w:val="20"/>
                <w:szCs w:val="20"/>
                <w:color w:val="auto"/>
              </w:rPr>
            </w:pPr>
            <w:r>
              <w:rPr>
                <w:rFonts w:ascii="Arial" w:cs="Arial" w:eastAsia="Arial" w:hAnsi="Arial"/>
                <w:sz w:val="18"/>
                <w:szCs w:val="18"/>
                <w:color w:val="auto"/>
              </w:rPr>
              <w:t>EBITDA multiples</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w w:val="93"/>
              </w:rPr>
              <w:t>3.4x</w:t>
            </w:r>
          </w:p>
        </w:tc>
        <w:tc>
          <w:tcPr>
            <w:tcW w:w="1660" w:type="dxa"/>
            <w:vAlign w:val="bottom"/>
          </w:tcPr>
          <w:p>
            <w:pPr>
              <w:ind w:left="20"/>
              <w:spacing w:after="0"/>
              <w:rPr>
                <w:sz w:val="20"/>
                <w:szCs w:val="20"/>
                <w:color w:val="auto"/>
              </w:rPr>
            </w:pPr>
            <w:r>
              <w:rPr>
                <w:rFonts w:ascii="Arial" w:cs="Arial" w:eastAsia="Arial" w:hAnsi="Arial"/>
                <w:sz w:val="18"/>
                <w:szCs w:val="18"/>
                <w:color w:val="auto"/>
              </w:rPr>
              <w:t>- 16.8x (7.1x)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Enterprise value</w:t>
            </w:r>
          </w:p>
        </w:tc>
        <w:tc>
          <w:tcPr>
            <w:tcW w:w="2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Revenue multiples</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0.3x</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- 4.5x (4.5x)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860" w:type="dxa"/>
            <w:vAlign w:val="bottom"/>
          </w:tcPr>
          <w:p>
            <w:pPr>
              <w:ind w:left="340"/>
              <w:spacing w:after="0"/>
              <w:rPr>
                <w:sz w:val="20"/>
                <w:szCs w:val="20"/>
                <w:color w:val="auto"/>
              </w:rPr>
            </w:pPr>
            <w:r>
              <w:rPr>
                <w:rFonts w:ascii="Arial" w:cs="Arial" w:eastAsia="Arial" w:hAnsi="Arial"/>
                <w:sz w:val="18"/>
                <w:szCs w:val="18"/>
                <w:color w:val="auto"/>
              </w:rPr>
              <w:t>Warrants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11,649</w:t>
            </w: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Enterprise value</w:t>
            </w:r>
          </w:p>
        </w:tc>
        <w:tc>
          <w:tcPr>
            <w:tcW w:w="2660" w:type="dxa"/>
            <w:vAlign w:val="bottom"/>
            <w:gridSpan w:val="2"/>
          </w:tcPr>
          <w:p>
            <w:pPr>
              <w:ind w:left="80"/>
              <w:spacing w:after="0"/>
              <w:rPr>
                <w:sz w:val="20"/>
                <w:szCs w:val="20"/>
                <w:color w:val="auto"/>
              </w:rPr>
            </w:pPr>
            <w:r>
              <w:rPr>
                <w:rFonts w:ascii="Arial" w:cs="Arial" w:eastAsia="Arial" w:hAnsi="Arial"/>
                <w:sz w:val="18"/>
                <w:szCs w:val="18"/>
                <w:color w:val="auto"/>
              </w:rPr>
              <w:t>EBITDA multiples</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w w:val="93"/>
              </w:rPr>
              <w:t>4.0x</w:t>
            </w:r>
          </w:p>
        </w:tc>
        <w:tc>
          <w:tcPr>
            <w:tcW w:w="1660" w:type="dxa"/>
            <w:vAlign w:val="bottom"/>
          </w:tcPr>
          <w:p>
            <w:pPr>
              <w:ind w:left="20"/>
              <w:spacing w:after="0"/>
              <w:rPr>
                <w:sz w:val="20"/>
                <w:szCs w:val="20"/>
                <w:color w:val="auto"/>
              </w:rPr>
            </w:pPr>
            <w:r>
              <w:rPr>
                <w:rFonts w:ascii="Arial" w:cs="Arial" w:eastAsia="Arial" w:hAnsi="Arial"/>
                <w:sz w:val="18"/>
                <w:szCs w:val="18"/>
                <w:color w:val="auto"/>
              </w:rPr>
              <w:t>- 7.0x (6.5x)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Rights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Discounted cash flow</w:t>
            </w:r>
          </w:p>
        </w:tc>
        <w:tc>
          <w:tcPr>
            <w:tcW w:w="2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Weighted average cost of capital</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Fair Value at</w:t>
            </w:r>
          </w:p>
        </w:tc>
        <w:tc>
          <w:tcPr>
            <w:tcW w:w="16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8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jc w:val="center"/>
              <w:ind w:right="256"/>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2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80" w:type="dxa"/>
            <w:vAlign w:val="bottom"/>
          </w:tcPr>
          <w:p>
            <w:pPr>
              <w:spacing w:after="0"/>
              <w:rPr>
                <w:sz w:val="16"/>
                <w:szCs w:val="16"/>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jc w:val="center"/>
              <w:ind w:right="256"/>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40"/>
              <w:spacing w:after="0"/>
              <w:rPr>
                <w:sz w:val="20"/>
                <w:szCs w:val="20"/>
                <w:color w:val="auto"/>
              </w:rPr>
            </w:pPr>
            <w:r>
              <w:rPr>
                <w:rFonts w:ascii="Arial" w:cs="Arial" w:eastAsia="Arial" w:hAnsi="Arial"/>
                <w:sz w:val="18"/>
                <w:szCs w:val="18"/>
                <w:color w:val="auto"/>
              </w:rPr>
              <w:t>Second Lien Debt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357,813</w:t>
            </w: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Discounted cash flow</w:t>
            </w:r>
          </w:p>
        </w:tc>
        <w:tc>
          <w:tcPr>
            <w:tcW w:w="2660" w:type="dxa"/>
            <w:vAlign w:val="bottom"/>
            <w:gridSpan w:val="2"/>
          </w:tcPr>
          <w:p>
            <w:pPr>
              <w:ind w:left="80"/>
              <w:spacing w:after="0"/>
              <w:rPr>
                <w:sz w:val="20"/>
                <w:szCs w:val="20"/>
                <w:color w:val="auto"/>
              </w:rPr>
            </w:pPr>
            <w:r>
              <w:rPr>
                <w:rFonts w:ascii="Arial" w:cs="Arial" w:eastAsia="Arial" w:hAnsi="Arial"/>
                <w:sz w:val="18"/>
                <w:szCs w:val="18"/>
                <w:color w:val="auto"/>
                <w:w w:val="98"/>
              </w:rPr>
              <w:t>Weighted average cost of capital</w:t>
            </w:r>
          </w:p>
        </w:tc>
        <w:tc>
          <w:tcPr>
            <w:tcW w:w="2080" w:type="dxa"/>
            <w:vAlign w:val="bottom"/>
            <w:gridSpan w:val="3"/>
          </w:tcPr>
          <w:p>
            <w:pPr>
              <w:ind w:left="80"/>
              <w:spacing w:after="0"/>
              <w:rPr>
                <w:sz w:val="20"/>
                <w:szCs w:val="20"/>
                <w:color w:val="auto"/>
              </w:rPr>
            </w:pPr>
            <w:r>
              <w:rPr>
                <w:rFonts w:ascii="Arial" w:cs="Arial" w:eastAsia="Arial" w:hAnsi="Arial"/>
                <w:sz w:val="18"/>
                <w:szCs w:val="18"/>
                <w:color w:val="auto"/>
              </w:rPr>
              <w:t>11.2% - 30.0% (13.5%)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Enterprise value</w:t>
            </w:r>
          </w:p>
        </w:tc>
        <w:tc>
          <w:tcPr>
            <w:tcW w:w="2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EBITDA multiples</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5.0x</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- 5.9x (5.1x)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860" w:type="dxa"/>
            <w:vAlign w:val="bottom"/>
          </w:tcPr>
          <w:p>
            <w:pPr>
              <w:ind w:left="340"/>
              <w:spacing w:after="0"/>
              <w:rPr>
                <w:sz w:val="20"/>
                <w:szCs w:val="20"/>
                <w:color w:val="auto"/>
              </w:rPr>
            </w:pPr>
            <w:r>
              <w:rPr>
                <w:rFonts w:ascii="Arial" w:cs="Arial" w:eastAsia="Arial" w:hAnsi="Arial"/>
                <w:sz w:val="18"/>
                <w:szCs w:val="18"/>
                <w:color w:val="auto"/>
                <w:w w:val="99"/>
              </w:rPr>
              <w:t>Subordinated Debt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104,225</w:t>
            </w: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Discounted cash flow</w:t>
            </w:r>
          </w:p>
        </w:tc>
        <w:tc>
          <w:tcPr>
            <w:tcW w:w="2660" w:type="dxa"/>
            <w:vAlign w:val="bottom"/>
            <w:gridSpan w:val="2"/>
          </w:tcPr>
          <w:p>
            <w:pPr>
              <w:ind w:left="80"/>
              <w:spacing w:after="0"/>
              <w:rPr>
                <w:sz w:val="20"/>
                <w:szCs w:val="20"/>
                <w:color w:val="auto"/>
              </w:rPr>
            </w:pPr>
            <w:r>
              <w:rPr>
                <w:rFonts w:ascii="Arial" w:cs="Arial" w:eastAsia="Arial" w:hAnsi="Arial"/>
                <w:sz w:val="18"/>
                <w:szCs w:val="18"/>
                <w:color w:val="auto"/>
                <w:w w:val="98"/>
              </w:rPr>
              <w:t>Weighted average cost of capital</w:t>
            </w:r>
          </w:p>
        </w:tc>
        <w:tc>
          <w:tcPr>
            <w:tcW w:w="2080" w:type="dxa"/>
            <w:vAlign w:val="bottom"/>
            <w:gridSpan w:val="3"/>
          </w:tcPr>
          <w:p>
            <w:pPr>
              <w:ind w:left="80"/>
              <w:spacing w:after="0"/>
              <w:rPr>
                <w:sz w:val="20"/>
                <w:szCs w:val="20"/>
                <w:color w:val="auto"/>
              </w:rPr>
            </w:pPr>
            <w:r>
              <w:rPr>
                <w:rFonts w:ascii="Arial" w:cs="Arial" w:eastAsia="Arial" w:hAnsi="Arial"/>
                <w:sz w:val="18"/>
                <w:szCs w:val="18"/>
                <w:color w:val="auto"/>
              </w:rPr>
              <w:t>10.9% - 16.5% (12.5%)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Lien Debt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51,790</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Discounted cash flow</w:t>
            </w:r>
          </w:p>
        </w:tc>
        <w:tc>
          <w:tcPr>
            <w:tcW w:w="2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Weighted average cost of capital</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10.2% - 20.7% (12.3%)</w:t>
            </w:r>
          </w:p>
        </w:tc>
        <w:tc>
          <w:tcPr>
            <w:tcW w:w="0" w:type="dxa"/>
            <w:vAlign w:val="bottom"/>
          </w:tcPr>
          <w:p>
            <w:pPr>
              <w:spacing w:after="0"/>
              <w:rPr>
                <w:sz w:val="1"/>
                <w:szCs w:val="1"/>
                <w:color w:val="auto"/>
              </w:rPr>
            </w:pPr>
          </w:p>
        </w:tc>
      </w:tr>
      <w:tr>
        <w:trPr>
          <w:trHeight w:val="324"/>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106,707</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Enterprise value</w:t>
            </w:r>
          </w:p>
        </w:tc>
        <w:tc>
          <w:tcPr>
            <w:tcW w:w="2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EBITDA multiples</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3.5x</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- 17.3x (7.0x)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860" w:type="dxa"/>
            <w:vAlign w:val="bottom"/>
          </w:tcPr>
          <w:p>
            <w:pPr>
              <w:ind w:left="340"/>
              <w:spacing w:after="0"/>
              <w:rPr>
                <w:sz w:val="20"/>
                <w:szCs w:val="20"/>
                <w:color w:val="auto"/>
              </w:rPr>
            </w:pPr>
            <w:r>
              <w:rPr>
                <w:rFonts w:ascii="Arial" w:cs="Arial" w:eastAsia="Arial" w:hAnsi="Arial"/>
                <w:sz w:val="18"/>
                <w:szCs w:val="18"/>
                <w:color w:val="auto"/>
              </w:rPr>
              <w:t>Warrants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13,743</w:t>
            </w: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Enterprise value</w:t>
            </w:r>
          </w:p>
        </w:tc>
        <w:tc>
          <w:tcPr>
            <w:tcW w:w="2660" w:type="dxa"/>
            <w:vAlign w:val="bottom"/>
            <w:gridSpan w:val="2"/>
          </w:tcPr>
          <w:p>
            <w:pPr>
              <w:ind w:left="80"/>
              <w:spacing w:after="0"/>
              <w:rPr>
                <w:sz w:val="20"/>
                <w:szCs w:val="20"/>
                <w:color w:val="auto"/>
              </w:rPr>
            </w:pPr>
            <w:r>
              <w:rPr>
                <w:rFonts w:ascii="Arial" w:cs="Arial" w:eastAsia="Arial" w:hAnsi="Arial"/>
                <w:sz w:val="18"/>
                <w:szCs w:val="18"/>
                <w:color w:val="auto"/>
              </w:rPr>
              <w:t>EBITDA multiples</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w w:val="93"/>
              </w:rPr>
              <w:t>4.0x</w:t>
            </w:r>
          </w:p>
        </w:tc>
        <w:tc>
          <w:tcPr>
            <w:tcW w:w="1660" w:type="dxa"/>
            <w:vAlign w:val="bottom"/>
          </w:tcPr>
          <w:p>
            <w:pPr>
              <w:ind w:left="20"/>
              <w:spacing w:after="0"/>
              <w:rPr>
                <w:sz w:val="20"/>
                <w:szCs w:val="20"/>
                <w:color w:val="auto"/>
              </w:rPr>
            </w:pPr>
            <w:r>
              <w:rPr>
                <w:rFonts w:ascii="Arial" w:cs="Arial" w:eastAsia="Arial" w:hAnsi="Arial"/>
                <w:sz w:val="18"/>
                <w:szCs w:val="18"/>
                <w:color w:val="auto"/>
              </w:rPr>
              <w:t>- 8.0x (7.2x)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Rights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Discounted cash flow</w:t>
            </w:r>
          </w:p>
        </w:tc>
        <w:tc>
          <w:tcPr>
            <w:tcW w:w="2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Weighted average cost of capital</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24"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Public Notes (as defined in Note 6) are recorded at their respective carrying values.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summarize the carrying value and fair value of the Company’s debt obligations as of June 30, 2019 and December 31, 2018.</w:t>
      </w:r>
    </w:p>
    <w:p>
      <w:pPr>
        <w:spacing w:after="0" w:line="26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w w:val="94"/>
              </w:rPr>
              <w:t>June 30, 2019</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 2018</w:t>
            </w: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12"/>
                <w:szCs w:val="12"/>
                <w:b w:val="1"/>
                <w:bCs w:val="1"/>
                <w:color w:val="auto"/>
              </w:rPr>
              <w:t>(1)</w:t>
            </w: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560" w:type="dxa"/>
            <w:vAlign w:val="bottom"/>
          </w:tcPr>
          <w:p>
            <w:pPr>
              <w:spacing w:after="0"/>
              <w:rPr>
                <w:sz w:val="12"/>
                <w:szCs w:val="12"/>
                <w:color w:val="auto"/>
              </w:rPr>
            </w:pPr>
          </w:p>
        </w:tc>
        <w:tc>
          <w:tcPr>
            <w:tcW w:w="1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 xml:space="preserve">Carrying Value </w:t>
            </w:r>
            <w:r>
              <w:rPr>
                <w:rFonts w:ascii="Arial" w:cs="Arial" w:eastAsia="Arial" w:hAnsi="Arial"/>
                <w:sz w:val="12"/>
                <w:szCs w:val="12"/>
                <w:b w:val="1"/>
                <w:bCs w:val="1"/>
                <w:color w:val="auto"/>
                <w:w w:val="93"/>
              </w:rPr>
              <w:t>(1)</w:t>
            </w:r>
          </w:p>
        </w:tc>
        <w:tc>
          <w:tcPr>
            <w:tcW w:w="5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SBA debentures </w:t>
            </w:r>
            <w:r>
              <w:rPr>
                <w:rFonts w:ascii="Arial" w:cs="Arial" w:eastAsia="Arial" w:hAnsi="Arial"/>
                <w:sz w:val="15"/>
                <w:szCs w:val="15"/>
                <w:color w:val="auto"/>
              </w:rPr>
              <w:t>(2)</w:t>
            </w:r>
          </w:p>
        </w:tc>
        <w:tc>
          <w:tcPr>
            <w:tcW w:w="1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$171,250</w:t>
            </w: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191,000</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$191,000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 xml:space="preserve">Credit Facility borrowings </w:t>
            </w:r>
            <w:r>
              <w:rPr>
                <w:rFonts w:ascii="Arial" w:cs="Arial" w:eastAsia="Arial" w:hAnsi="Arial"/>
                <w:sz w:val="15"/>
                <w:szCs w:val="15"/>
                <w:color w:val="auto"/>
              </w:rPr>
              <w:t>(3)</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29,500</w:t>
            </w:r>
          </w:p>
        </w:tc>
        <w:tc>
          <w:tcPr>
            <w:tcW w:w="5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29,500</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2023 Notes </w:t>
            </w:r>
            <w:r>
              <w:rPr>
                <w:rFonts w:ascii="Arial" w:cs="Arial" w:eastAsia="Arial" w:hAnsi="Arial"/>
                <w:sz w:val="15"/>
                <w:szCs w:val="15"/>
                <w:color w:val="auto"/>
              </w:rPr>
              <w:t>(4)</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51,331</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51,492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 xml:space="preserve">2024 Notes </w:t>
            </w:r>
            <w:r>
              <w:rPr>
                <w:rFonts w:ascii="Arial" w:cs="Arial" w:eastAsia="Arial" w:hAnsi="Arial"/>
                <w:sz w:val="15"/>
                <w:szCs w:val="15"/>
                <w:color w:val="auto"/>
              </w:rPr>
              <w:t>(4)</w:t>
            </w:r>
          </w:p>
        </w:tc>
        <w:tc>
          <w:tcPr>
            <w:tcW w:w="1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70,932</w:t>
            </w: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319,750</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323,013</w:t>
            </w:r>
          </w:p>
        </w:tc>
        <w:tc>
          <w:tcPr>
            <w:tcW w:w="8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278,992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Carrying value represents the outstanding principal balance of the debt obligation.</w:t>
      </w:r>
    </w:p>
    <w:p>
      <w:pPr>
        <w:spacing w:after="0" w:line="23"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value of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value of borrowings under the Credit Facility, if valued under ASC Topic 820, are based on a market yield approach and current interest rates, which are Level 3 inputs to the market yield model.</w:t>
      </w: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Public Notes, if valued under ASC Topic 820, are valued using available market quotes, which is a Level 1 input.</w:t>
      </w:r>
    </w:p>
    <w:p>
      <w:pPr>
        <w:spacing w:after="0" w:line="21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 following table summarizes the inputs used to value the Company’s debt obligations if measured at fair value as of June 30, 2019 and December 31, 2018.</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5"/>
              </w:rPr>
              <w:t>Fair Value</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Valuation Inputs</w:t>
            </w:r>
          </w:p>
        </w:tc>
        <w:tc>
          <w:tcPr>
            <w:tcW w:w="5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June 30,</w:t>
            </w:r>
          </w:p>
        </w:tc>
        <w:tc>
          <w:tcPr>
            <w:tcW w:w="122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60" w:type="dxa"/>
            <w:vAlign w:val="bottom"/>
            <w:gridSpan w:val="2"/>
            <w:vMerge w:val="continue"/>
          </w:tcPr>
          <w:p>
            <w:pPr>
              <w:spacing w:after="0"/>
              <w:rPr>
                <w:sz w:val="15"/>
                <w:szCs w:val="15"/>
                <w:color w:val="auto"/>
              </w:rPr>
            </w:pPr>
          </w:p>
        </w:tc>
        <w:tc>
          <w:tcPr>
            <w:tcW w:w="6060" w:type="dxa"/>
            <w:vAlign w:val="bottom"/>
            <w:gridSpan w:val="3"/>
          </w:tcPr>
          <w:p>
            <w:pPr>
              <w:jc w:val="right"/>
              <w:ind w:right="118"/>
              <w:spacing w:after="0" w:line="158"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Level 1</w:t>
            </w:r>
          </w:p>
        </w:tc>
        <w:tc>
          <w:tcPr>
            <w:tcW w:w="538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$122,263</w:t>
            </w: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51,492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Level 2</w:t>
            </w:r>
          </w:p>
        </w:tc>
        <w:tc>
          <w:tcPr>
            <w:tcW w:w="5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6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200,750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323,013</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278,992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i w:val="1"/>
          <w:iCs w:val="1"/>
          <w:color w:val="auto"/>
        </w:rPr>
        <w:t xml:space="preserve">Investment Advisory Agreement: </w:t>
      </w:r>
      <w:r>
        <w:rPr>
          <w:rFonts w:ascii="Arial" w:cs="Arial" w:eastAsia="Arial" w:hAnsi="Arial"/>
          <w:sz w:val="16"/>
          <w:szCs w:val="16"/>
          <w:color w:val="auto"/>
        </w:rPr>
        <w:t>The Company has entered into an Investment Advisory Agreement with the Investment Advisor. On June 6,</w:t>
      </w:r>
      <w:r>
        <w:rPr>
          <w:rFonts w:ascii="Arial" w:cs="Arial" w:eastAsia="Arial" w:hAnsi="Arial"/>
          <w:sz w:val="16"/>
          <w:szCs w:val="16"/>
          <w:i w:val="1"/>
          <w:iCs w:val="1"/>
          <w:color w:val="auto"/>
        </w:rPr>
        <w:t xml:space="preserve"> </w:t>
      </w:r>
      <w:r>
        <w:rPr>
          <w:rFonts w:ascii="Arial" w:cs="Arial" w:eastAsia="Arial" w:hAnsi="Arial"/>
          <w:sz w:val="16"/>
          <w:szCs w:val="16"/>
          <w:color w:val="auto"/>
        </w:rPr>
        <w:t>2019, the Board approved the renewal of the Investment Advisory Agreement through June 20, 2020.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54"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base management fee is payable quarterly in arrears. The base management fee under the Investment Advisory Agreement was $3,016 and $5,887, for the three and six months ended June 30, 2019, respectively, and $2,821 and $5,506 for the three and six months ended June 30, 2018, respectively. As of June 30, 2019 and December 31, 2018, the base management fee payable was $3,016 and $2,927, respectively.</w:t>
      </w:r>
    </w:p>
    <w:p>
      <w:pPr>
        <w:spacing w:after="0" w:line="1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8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7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 pays the Investment Advisor an incentive fee with respect to pre-incentive fee net investment income in each calendar quarter as follows:</w:t>
      </w:r>
    </w:p>
    <w:p>
      <w:pPr>
        <w:spacing w:after="0" w:line="76" w:lineRule="exact"/>
        <w:rPr>
          <w:sz w:val="20"/>
          <w:szCs w:val="20"/>
          <w:color w:val="auto"/>
        </w:rPr>
      </w:pPr>
    </w:p>
    <w:p>
      <w:pPr>
        <w:ind w:left="1180" w:hanging="544"/>
        <w:spacing w:after="0"/>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the pre-incentive fee net investment income does not exceed the hurdle rate of 2.0%;</w:t>
      </w:r>
    </w:p>
    <w:p>
      <w:pPr>
        <w:spacing w:after="0" w:line="153" w:lineRule="exact"/>
        <w:rPr>
          <w:rFonts w:ascii="Arial" w:cs="Arial" w:eastAsia="Arial" w:hAnsi="Arial"/>
          <w:sz w:val="16"/>
          <w:szCs w:val="16"/>
          <w:color w:val="auto"/>
        </w:rPr>
      </w:pPr>
    </w:p>
    <w:p>
      <w:pPr>
        <w:ind w:left="1180" w:hanging="544"/>
        <w:spacing w:after="0" w:line="25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93" w:lineRule="exact"/>
        <w:rPr>
          <w:rFonts w:ascii="Arial" w:cs="Arial" w:eastAsia="Arial" w:hAnsi="Arial"/>
          <w:sz w:val="18"/>
          <w:szCs w:val="18"/>
          <w:color w:val="auto"/>
        </w:rPr>
      </w:pPr>
    </w:p>
    <w:p>
      <w:pPr>
        <w:ind w:left="1180" w:hanging="544"/>
        <w:spacing w:after="0"/>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20.0% of the amount of the Company’s pre-incentive fee net investment income, if any, that exceeds 2.5% in any calendar quarter.</w:t>
      </w:r>
    </w:p>
    <w:p>
      <w:pPr>
        <w:spacing w:after="0" w:line="23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was $1,299 and $3,784, for the three and six months ended June 30, 2019 , respectively, and $2,170 and $4,394 for the three and six months ended June 30, 2018, respectively. As of June 30, 2019 and December 31, 2018, the income incentive fee payable was $1,299 and $2,785, respectively.</w:t>
      </w:r>
    </w:p>
    <w:p>
      <w:pPr>
        <w:spacing w:after="0" w:line="171" w:lineRule="exact"/>
        <w:rPr>
          <w:sz w:val="20"/>
          <w:szCs w:val="20"/>
          <w:color w:val="auto"/>
        </w:rPr>
      </w:pPr>
    </w:p>
    <w:p>
      <w:pPr>
        <w:ind w:left="200" w:right="40" w:firstLine="441"/>
        <w:spacing w:after="0" w:line="283"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w:t>
      </w:r>
    </w:p>
    <w:p>
      <w:pPr>
        <w:spacing w:after="0" w:line="7"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20.0% of such amount, less the aggregate amount of any capital gains incentive fees paid in all prior years. As of June 30, 2019 and December 31, 2018, the capital gains incentive fee payable in cash was $0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June 30, 2019 was $348.</w:t>
      </w:r>
    </w:p>
    <w:p>
      <w:pPr>
        <w:spacing w:after="0" w:line="190"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w:t>
      </w:r>
    </w:p>
    <w:p>
      <w:pPr>
        <w:spacing w:after="0" w:line="2" w:lineRule="exact"/>
        <w:rPr>
          <w:sz w:val="20"/>
          <w:szCs w:val="20"/>
          <w:color w:val="auto"/>
        </w:rPr>
      </w:pPr>
    </w:p>
    <w:p>
      <w:pPr>
        <w:ind w:left="200" w:right="440" w:firstLine="4"/>
        <w:spacing w:after="0" w:line="254" w:lineRule="auto"/>
        <w:tabs>
          <w:tab w:leader="none" w:pos="4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realized gains/(losses) on investments plus (ii) net unrealized appreciation/(depreciation) on investments plus (iii) realized losses on extinguishment of debt. The capital gains incentive fee accrued (reversed) during the three and six months ended June 30, 2019 was $(1,289) and $(934), respectively, and $(263) and $1,267 for the three and six months ended June 30, 2018, respectively. As of June 30, 2019 and December 31, 2018, the accrued capital gains incentive fee payable was $8,481 and $9,415, respectively.</w:t>
      </w:r>
    </w:p>
    <w:p>
      <w:pPr>
        <w:spacing w:after="0" w:line="19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w:t>
      </w:r>
    </w:p>
    <w:p>
      <w:pPr>
        <w:sectPr>
          <w:pgSz w:w="11900" w:h="16838" w:orient="portrait"/>
          <w:cols w:equalWidth="0" w:num="1">
            <w:col w:w="11220"/>
          </w:cols>
          <w:pgMar w:left="240" w:top="459" w:right="439" w:bottom="1440" w:gutter="0" w:footer="0" w:header="0"/>
        </w:sectPr>
      </w:pP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20"/>
          </w:cols>
          <w:pgMar w:left="240" w:top="459" w:right="4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and, in either case, if also approved by a majority of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187"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i w:val="1"/>
          <w:iCs w:val="1"/>
          <w:color w:val="auto"/>
        </w:rPr>
        <w:t xml:space="preserve">Administration Agreement: </w:t>
      </w:r>
      <w:r>
        <w:rPr>
          <w:rFonts w:ascii="Arial" w:cs="Arial" w:eastAsia="Arial" w:hAnsi="Arial"/>
          <w:sz w:val="16"/>
          <w:szCs w:val="16"/>
          <w:color w:val="auto"/>
        </w:rPr>
        <w:t>The Company also entered into an administration agreement (the “Administration Agreement”) with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Advisor. On June 6, 2019, the Board approved the renewal of the Administration Agreement through June 20, 2020.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Administration Agreement, administrative service expenses for the three and six months ended June 30, 2019 were $378 and $777, respectively, and $347 and $746 for the three and six months ended June 30, 2018. As of June 30, 2019 and December 31, 2018, the accrued administrative service expense was $300 and $474, respectively.</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 On June 16, 2014, FIC entered into a senior secured revolving credit agreement (the “Credit Facility”) with 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Capital LLC, as administrative agent. The Amended Credit Agreement amends, restates, and replaces the Credit Facility.</w:t>
      </w:r>
    </w:p>
    <w:p>
      <w:pPr>
        <w:spacing w:after="0" w:line="158" w:lineRule="exact"/>
        <w:rPr>
          <w:sz w:val="20"/>
          <w:szCs w:val="20"/>
          <w:color w:val="auto"/>
        </w:rPr>
      </w:pPr>
    </w:p>
    <w:p>
      <w:pPr>
        <w:ind w:left="200" w:right="200" w:firstLine="441"/>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$90,000 to $100,000, with an accordion feature that allows for an increase in total commitments up to $250,000,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200" w:right="60" w:firstLine="4"/>
        <w:spacing w:after="0" w:line="271" w:lineRule="auto"/>
        <w:tabs>
          <w:tab w:leader="none" w:pos="4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three month LIBOR plus 1.0%, and (D) zero. The Company pays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The Credit Facility is secured by a first priority security interest in all of our assets, excluding the assets of our SBIC subsidiaries.</w:t>
      </w:r>
    </w:p>
    <w:p>
      <w:pPr>
        <w:spacing w:after="0" w:line="179"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54" w:lineRule="exact"/>
        <w:rPr>
          <w:sz w:val="20"/>
          <w:szCs w:val="20"/>
          <w:color w:val="auto"/>
        </w:rPr>
      </w:pPr>
    </w:p>
    <w:p>
      <w:pPr>
        <w:jc w:val="both"/>
        <w:ind w:left="200" w:right="160" w:firstLine="441"/>
        <w:spacing w:after="0" w:line="259"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June 30, 2019 and December 31, 2018, the Company was in compliance in all material respect with the terms of the Credit Facility.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The Company uses debenture leverage provided through the SBA to fund a portion of its investment purchases.</w:t>
      </w:r>
    </w:p>
    <w:p>
      <w:pPr>
        <w:spacing w:after="0" w:line="225"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Under the SBA debenture program, the SBA commits to purchase debentures issued by SBICs; such debentures have 10-year terms with the entire principal balance due at maturity and are guaranteed by the SBA. Interest on SBA debentures is payable semi-annually</w:t>
      </w:r>
    </w:p>
    <w:p>
      <w:pPr>
        <w:sectPr>
          <w:pgSz w:w="11900" w:h="16838" w:orient="portrait"/>
          <w:cols w:equalWidth="0" w:num="1">
            <w:col w:w="11220"/>
          </w:cols>
          <w:pgMar w:left="240" w:top="459" w:right="439" w:bottom="1440" w:gutter="0" w:footer="0" w:header="0"/>
        </w:sectPr>
      </w:pP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20"/>
          </w:cols>
          <w:pgMar w:left="240" w:top="459" w:right="4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on March 1 and September 1. As of June 30, 2019 and December 31, 2018, approved and unused SBA debenture commitments were $25,000 and zero,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June 30, 2019 and December 31, 2018, the Company’s issued and outstanding SBA debentures mature as follows:</w:t>
      </w:r>
    </w:p>
    <w:p>
      <w:pPr>
        <w:spacing w:after="0" w:line="24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Pooling</w:t>
            </w:r>
          </w:p>
        </w:tc>
        <w:tc>
          <w:tcPr>
            <w:tcW w:w="17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Maturity</w:t>
            </w:r>
          </w:p>
        </w:tc>
        <w:tc>
          <w:tcPr>
            <w:tcW w:w="36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Fixed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June 30,</w:t>
            </w:r>
          </w:p>
        </w:tc>
        <w:tc>
          <w:tcPr>
            <w:tcW w:w="1300" w:type="dxa"/>
            <w:vAlign w:val="bottom"/>
            <w:gridSpan w:val="4"/>
          </w:tcPr>
          <w:p>
            <w:pPr>
              <w:ind w:left="400"/>
              <w:spacing w:after="0"/>
              <w:rPr>
                <w:sz w:val="20"/>
                <w:szCs w:val="20"/>
                <w:color w:val="auto"/>
              </w:rPr>
            </w:pPr>
            <w:r>
              <w:rPr>
                <w:rFonts w:ascii="Arial" w:cs="Arial" w:eastAsia="Arial" w:hAnsi="Arial"/>
                <w:sz w:val="14"/>
                <w:szCs w:val="14"/>
                <w:b w:val="1"/>
                <w:bCs w:val="1"/>
                <w:color w:val="auto"/>
                <w:w w:val="96"/>
              </w:rPr>
              <w:t>December 31,</w:t>
            </w:r>
          </w:p>
        </w:tc>
      </w:tr>
      <w:tr>
        <w:trPr>
          <w:trHeight w:val="162"/>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2"/>
                <w:szCs w:val="12"/>
                <w:b w:val="1"/>
                <w:bCs w:val="1"/>
                <w:color w:val="auto"/>
              </w:rPr>
              <w:t>(1)</w:t>
            </w:r>
          </w:p>
        </w:tc>
        <w:tc>
          <w:tcPr>
            <w:tcW w:w="1700" w:type="dxa"/>
            <w:vAlign w:val="bottom"/>
          </w:tcPr>
          <w:p>
            <w:pPr>
              <w:spacing w:after="0"/>
              <w:rPr>
                <w:sz w:val="14"/>
                <w:szCs w:val="14"/>
                <w:color w:val="auto"/>
              </w:rPr>
            </w:pPr>
          </w:p>
        </w:tc>
        <w:tc>
          <w:tcPr>
            <w:tcW w:w="640" w:type="dxa"/>
            <w:vAlign w:val="bottom"/>
          </w:tcPr>
          <w:p>
            <w:pPr>
              <w:jc w:val="right"/>
              <w:ind w:right="102"/>
              <w:spacing w:after="0"/>
              <w:rPr>
                <w:sz w:val="20"/>
                <w:szCs w:val="20"/>
                <w:color w:val="auto"/>
              </w:rPr>
            </w:pPr>
            <w:r>
              <w:rPr>
                <w:rFonts w:ascii="Arial" w:cs="Arial" w:eastAsia="Arial" w:hAnsi="Arial"/>
                <w:sz w:val="14"/>
                <w:szCs w:val="14"/>
                <w:b w:val="1"/>
                <w:bCs w:val="1"/>
                <w:color w:val="auto"/>
              </w:rPr>
              <w:t>Date</w:t>
            </w:r>
          </w:p>
        </w:tc>
        <w:tc>
          <w:tcPr>
            <w:tcW w:w="16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shd w:val="clear" w:color="auto" w:fill="CCEEFF"/>
          </w:tcPr>
          <w:p>
            <w:pPr>
              <w:jc w:val="right"/>
              <w:ind w:right="3060"/>
              <w:spacing w:after="0" w:line="203" w:lineRule="exact"/>
              <w:rPr>
                <w:sz w:val="20"/>
                <w:szCs w:val="20"/>
                <w:color w:val="auto"/>
              </w:rPr>
            </w:pPr>
            <w:r>
              <w:rPr>
                <w:rFonts w:ascii="Arial" w:cs="Arial" w:eastAsia="Arial" w:hAnsi="Arial"/>
                <w:sz w:val="18"/>
                <w:szCs w:val="18"/>
                <w:color w:val="auto"/>
              </w:rPr>
              <w:t>9/21/2011</w:t>
            </w:r>
          </w:p>
        </w:tc>
        <w:tc>
          <w:tcPr>
            <w:tcW w:w="17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9/1/2021</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3.594%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jc w:val="right"/>
              <w:ind w:right="3060"/>
              <w:spacing w:after="0"/>
              <w:rPr>
                <w:sz w:val="20"/>
                <w:szCs w:val="20"/>
                <w:color w:val="auto"/>
              </w:rPr>
            </w:pPr>
            <w:r>
              <w:rPr>
                <w:rFonts w:ascii="Arial" w:cs="Arial" w:eastAsia="Arial" w:hAnsi="Arial"/>
                <w:sz w:val="18"/>
                <w:szCs w:val="18"/>
                <w:color w:val="auto"/>
              </w:rPr>
              <w:t>3/21/2012</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3/1/2022</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w w:val="88"/>
              </w:rPr>
              <w:t>3.051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jc w:val="right"/>
              <w:ind w:right="3060"/>
              <w:spacing w:after="0"/>
              <w:rPr>
                <w:sz w:val="20"/>
                <w:szCs w:val="20"/>
                <w:color w:val="auto"/>
              </w:rPr>
            </w:pPr>
            <w:r>
              <w:rPr>
                <w:rFonts w:ascii="Arial" w:cs="Arial" w:eastAsia="Arial" w:hAnsi="Arial"/>
                <w:sz w:val="18"/>
                <w:szCs w:val="18"/>
                <w:color w:val="auto"/>
              </w:rPr>
              <w:t>9/19/2012</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9/1/2022</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8"/>
              </w:rPr>
              <w:t>2.530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jc w:val="right"/>
              <w:ind w:right="3060"/>
              <w:spacing w:after="0"/>
              <w:rPr>
                <w:sz w:val="20"/>
                <w:szCs w:val="20"/>
                <w:color w:val="auto"/>
              </w:rPr>
            </w:pPr>
            <w:r>
              <w:rPr>
                <w:rFonts w:ascii="Arial" w:cs="Arial" w:eastAsia="Arial" w:hAnsi="Arial"/>
                <w:sz w:val="18"/>
                <w:szCs w:val="18"/>
                <w:color w:val="auto"/>
              </w:rPr>
              <w:t>9/19/2012</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9/1/2022</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w w:val="88"/>
              </w:rPr>
              <w:t>3.049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jc w:val="right"/>
              <w:ind w:right="3060"/>
              <w:spacing w:after="0"/>
              <w:rPr>
                <w:sz w:val="20"/>
                <w:szCs w:val="20"/>
                <w:color w:val="auto"/>
              </w:rPr>
            </w:pPr>
            <w:r>
              <w:rPr>
                <w:rFonts w:ascii="Arial" w:cs="Arial" w:eastAsia="Arial" w:hAnsi="Arial"/>
                <w:sz w:val="18"/>
                <w:szCs w:val="18"/>
                <w:color w:val="auto"/>
              </w:rPr>
              <w:t>3/27/2013</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3/1/2023</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8"/>
              </w:rPr>
              <w:t>3.155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jc w:val="right"/>
              <w:ind w:right="3060"/>
              <w:spacing w:after="0"/>
              <w:rPr>
                <w:sz w:val="20"/>
                <w:szCs w:val="20"/>
                <w:color w:val="auto"/>
              </w:rPr>
            </w:pPr>
            <w:r>
              <w:rPr>
                <w:rFonts w:ascii="Arial" w:cs="Arial" w:eastAsia="Arial" w:hAnsi="Arial"/>
                <w:sz w:val="18"/>
                <w:szCs w:val="18"/>
                <w:color w:val="auto"/>
              </w:rPr>
              <w:t>9/24/2014</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9/1/2024</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w w:val="88"/>
              </w:rPr>
              <w:t>3.775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jc w:val="right"/>
              <w:ind w:right="3060"/>
              <w:spacing w:after="0"/>
              <w:rPr>
                <w:sz w:val="20"/>
                <w:szCs w:val="20"/>
                <w:color w:val="auto"/>
              </w:rPr>
            </w:pPr>
            <w:r>
              <w:rPr>
                <w:rFonts w:ascii="Arial" w:cs="Arial" w:eastAsia="Arial" w:hAnsi="Arial"/>
                <w:sz w:val="18"/>
                <w:szCs w:val="18"/>
                <w:color w:val="auto"/>
              </w:rPr>
              <w:t>3/25/2015</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3/1/2025</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8"/>
              </w:rPr>
              <w:t>3.321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jc w:val="right"/>
              <w:ind w:right="3060"/>
              <w:spacing w:after="0"/>
              <w:rPr>
                <w:sz w:val="20"/>
                <w:szCs w:val="20"/>
                <w:color w:val="auto"/>
              </w:rPr>
            </w:pPr>
            <w:r>
              <w:rPr>
                <w:rFonts w:ascii="Arial" w:cs="Arial" w:eastAsia="Arial" w:hAnsi="Arial"/>
                <w:sz w:val="18"/>
                <w:szCs w:val="18"/>
                <w:color w:val="auto"/>
              </w:rPr>
              <w:t>3/25/2015</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3/1/2025</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w w:val="88"/>
              </w:rPr>
              <w:t>3.277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jc w:val="right"/>
              <w:ind w:right="3060"/>
              <w:spacing w:after="0"/>
              <w:rPr>
                <w:sz w:val="20"/>
                <w:szCs w:val="20"/>
                <w:color w:val="auto"/>
              </w:rPr>
            </w:pPr>
            <w:r>
              <w:rPr>
                <w:rFonts w:ascii="Arial" w:cs="Arial" w:eastAsia="Arial" w:hAnsi="Arial"/>
                <w:sz w:val="18"/>
                <w:szCs w:val="18"/>
                <w:color w:val="auto"/>
              </w:rPr>
              <w:t>9/23/2015</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9/1/2025</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8"/>
              </w:rPr>
              <w:t>3.571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jc w:val="right"/>
              <w:ind w:right="3060"/>
              <w:spacing w:after="0"/>
              <w:rPr>
                <w:sz w:val="20"/>
                <w:szCs w:val="20"/>
                <w:color w:val="auto"/>
              </w:rPr>
            </w:pPr>
            <w:r>
              <w:rPr>
                <w:rFonts w:ascii="Arial" w:cs="Arial" w:eastAsia="Arial" w:hAnsi="Arial"/>
                <w:sz w:val="18"/>
                <w:szCs w:val="18"/>
                <w:color w:val="auto"/>
              </w:rPr>
              <w:t>3/23/2016</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3/1/2026</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w w:val="88"/>
              </w:rPr>
              <w:t>3.267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jc w:val="right"/>
              <w:ind w:right="3060"/>
              <w:spacing w:after="0"/>
              <w:rPr>
                <w:sz w:val="20"/>
                <w:szCs w:val="20"/>
                <w:color w:val="auto"/>
              </w:rPr>
            </w:pPr>
            <w:r>
              <w:rPr>
                <w:rFonts w:ascii="Arial" w:cs="Arial" w:eastAsia="Arial" w:hAnsi="Arial"/>
                <w:sz w:val="18"/>
                <w:szCs w:val="18"/>
                <w:color w:val="auto"/>
              </w:rPr>
              <w:t>3/23/2016</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3/1/2026</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8"/>
              </w:rPr>
              <w:t>3.249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jc w:val="right"/>
              <w:ind w:right="3060"/>
              <w:spacing w:after="0"/>
              <w:rPr>
                <w:sz w:val="20"/>
                <w:szCs w:val="20"/>
                <w:color w:val="auto"/>
              </w:rPr>
            </w:pPr>
            <w:r>
              <w:rPr>
                <w:rFonts w:ascii="Arial" w:cs="Arial" w:eastAsia="Arial" w:hAnsi="Arial"/>
                <w:sz w:val="18"/>
                <w:szCs w:val="18"/>
                <w:color w:val="auto"/>
              </w:rPr>
              <w:t>9/21/2016</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9/1/2026</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w w:val="88"/>
              </w:rPr>
              <w:t>2.793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jc w:val="right"/>
              <w:ind w:right="3060"/>
              <w:spacing w:after="0"/>
              <w:rPr>
                <w:sz w:val="20"/>
                <w:szCs w:val="20"/>
                <w:color w:val="auto"/>
              </w:rPr>
            </w:pPr>
            <w:r>
              <w:rPr>
                <w:rFonts w:ascii="Arial" w:cs="Arial" w:eastAsia="Arial" w:hAnsi="Arial"/>
                <w:sz w:val="18"/>
                <w:szCs w:val="18"/>
                <w:color w:val="auto"/>
              </w:rPr>
              <w:t>3/29/2017</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3/1/2027</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8"/>
              </w:rPr>
              <w:t>3.587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jc w:val="right"/>
              <w:ind w:right="3060"/>
              <w:spacing w:after="0"/>
              <w:rPr>
                <w:sz w:val="20"/>
                <w:szCs w:val="20"/>
                <w:color w:val="auto"/>
              </w:rPr>
            </w:pPr>
            <w:r>
              <w:rPr>
                <w:rFonts w:ascii="Arial" w:cs="Arial" w:eastAsia="Arial" w:hAnsi="Arial"/>
                <w:sz w:val="18"/>
                <w:szCs w:val="18"/>
                <w:color w:val="auto"/>
              </w:rPr>
              <w:t>9/20/2017</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9/1/2027</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w w:val="88"/>
              </w:rPr>
              <w:t>3.260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jc w:val="right"/>
              <w:ind w:right="3060"/>
              <w:spacing w:after="0"/>
              <w:rPr>
                <w:sz w:val="20"/>
                <w:szCs w:val="20"/>
                <w:color w:val="auto"/>
              </w:rPr>
            </w:pPr>
            <w:r>
              <w:rPr>
                <w:rFonts w:ascii="Arial" w:cs="Arial" w:eastAsia="Arial" w:hAnsi="Arial"/>
                <w:sz w:val="18"/>
                <w:szCs w:val="18"/>
                <w:color w:val="auto"/>
              </w:rPr>
              <w:t>9/20/2017</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9/1/2027</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8"/>
              </w:rPr>
              <w:t>3.190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jc w:val="right"/>
              <w:ind w:right="3060"/>
              <w:spacing w:after="0"/>
              <w:rPr>
                <w:sz w:val="20"/>
                <w:szCs w:val="20"/>
                <w:color w:val="auto"/>
              </w:rPr>
            </w:pPr>
            <w:r>
              <w:rPr>
                <w:rFonts w:ascii="Arial" w:cs="Arial" w:eastAsia="Arial" w:hAnsi="Arial"/>
                <w:sz w:val="18"/>
                <w:szCs w:val="18"/>
                <w:color w:val="auto"/>
              </w:rPr>
              <w:t>3/21/2018</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3/1/2028</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w w:val="88"/>
              </w:rPr>
              <w:t>3.859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jc w:val="right"/>
              <w:ind w:right="3060"/>
              <w:spacing w:after="0"/>
              <w:rPr>
                <w:sz w:val="20"/>
                <w:szCs w:val="20"/>
                <w:color w:val="auto"/>
              </w:rPr>
            </w:pPr>
            <w:r>
              <w:rPr>
                <w:rFonts w:ascii="Arial" w:cs="Arial" w:eastAsia="Arial" w:hAnsi="Arial"/>
                <w:sz w:val="18"/>
                <w:szCs w:val="18"/>
                <w:color w:val="auto"/>
              </w:rPr>
              <w:t>3/21/2018</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3/1/2028</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8"/>
              </w:rPr>
              <w:t>3.534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jc w:val="right"/>
              <w:ind w:right="3060"/>
              <w:spacing w:after="0"/>
              <w:rPr>
                <w:sz w:val="20"/>
                <w:szCs w:val="20"/>
                <w:color w:val="auto"/>
              </w:rPr>
            </w:pPr>
            <w:r>
              <w:rPr>
                <w:rFonts w:ascii="Arial" w:cs="Arial" w:eastAsia="Arial" w:hAnsi="Arial"/>
                <w:sz w:val="18"/>
                <w:szCs w:val="18"/>
                <w:color w:val="auto"/>
              </w:rPr>
              <w:t>9/19/2018</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9/1/2028</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w w:val="88"/>
              </w:rPr>
              <w:t>3.895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jc w:val="right"/>
              <w:ind w:right="3060"/>
              <w:spacing w:after="0"/>
              <w:rPr>
                <w:sz w:val="20"/>
                <w:szCs w:val="20"/>
                <w:color w:val="auto"/>
              </w:rPr>
            </w:pPr>
            <w:r>
              <w:rPr>
                <w:rFonts w:ascii="Arial" w:cs="Arial" w:eastAsia="Arial" w:hAnsi="Arial"/>
                <w:sz w:val="18"/>
                <w:szCs w:val="18"/>
                <w:color w:val="auto"/>
              </w:rPr>
              <w:t>9/19/2018</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9/1/2028</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8"/>
              </w:rPr>
              <w:t>4.220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r>
      <w:tr>
        <w:trPr>
          <w:trHeight w:val="223"/>
        </w:trPr>
        <w:tc>
          <w:tcPr>
            <w:tcW w:w="4160" w:type="dxa"/>
            <w:vAlign w:val="bottom"/>
            <w:gridSpan w:val="3"/>
          </w:tcPr>
          <w:p>
            <w:pPr>
              <w:spacing w:after="0"/>
              <w:rPr>
                <w:sz w:val="20"/>
                <w:szCs w:val="20"/>
                <w:color w:val="auto"/>
              </w:rPr>
            </w:pPr>
            <w:r>
              <w:rPr>
                <w:rFonts w:ascii="Arial" w:cs="Arial" w:eastAsia="Arial" w:hAnsi="Arial"/>
                <w:sz w:val="18"/>
                <w:szCs w:val="18"/>
                <w:color w:val="auto"/>
              </w:rPr>
              <w:t>Total outstanding SBA debentures</w:t>
            </w:r>
          </w:p>
        </w:tc>
        <w:tc>
          <w:tcPr>
            <w:tcW w:w="1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171,250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191,000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60" w:hanging="436"/>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SBA has two scheduled pooling dates for debentures (in March and in September). Certain debentures funded during the reporting periods may not be pooled until the subsequent pooling date.</w:t>
      </w:r>
    </w:p>
    <w:p>
      <w:pPr>
        <w:spacing w:after="0" w:line="170"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i w:val="1"/>
          <w:iCs w:val="1"/>
          <w:color w:val="auto"/>
        </w:rPr>
        <w:t xml:space="preserve">Public Notes: </w:t>
      </w:r>
      <w:r>
        <w:rPr>
          <w:rFonts w:ascii="Arial" w:cs="Arial" w:eastAsia="Arial" w:hAnsi="Arial"/>
          <w:sz w:val="16"/>
          <w:szCs w:val="16"/>
          <w:color w:val="auto"/>
        </w:rPr>
        <w:t>On February 2, 2018, the Company closed the public offering of approximately $43,478 in aggregate principal amount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5.875% notes 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w:t>
      </w:r>
    </w:p>
    <w:p>
      <w:pPr>
        <w:spacing w:after="0" w:line="154"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The 2023 Notes mature on February 1, 2023 and bear interest at a rate of 5.875%. The 2023 Notes may be redeemed in whole or in part at any time or from time to time at the Company’s option on or after February 1, 2020. Interest on the 2023 Notes is payable quarterly on February 1, May 1, August 1 and November 1 of each year. The 2023 Notes are listed on the NASDAQ Global Select Market under the trading symbol “FDUSL.”</w:t>
      </w:r>
    </w:p>
    <w:p>
      <w:pPr>
        <w:spacing w:after="0" w:line="14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On February 8, 2019, the Company closed the public offering of approximately $60,000 in aggregate principal amount of its 6.000% notes due 2024, or the “2024 Notes” (and collectively with the 2023 Notes, the “Public Notes”). On February 19, 2019, the underwriters exercised their option to purchase an additional $9,000 in aggregate principal of the 2024 Notes. The total net proceeds to the Company from the 2024 Notes, including the exercise of the underwriters’ option, after deducting underwriting discounts of approximately $2,070 and estimated offering expenses of $409, were approximately $66,521.</w:t>
      </w:r>
    </w:p>
    <w:p>
      <w:pPr>
        <w:spacing w:after="0" w:line="188"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2024 Notes mature on February 15, 2024 and bear interest at a rate of 6.000%. The 2024 Notes may be redeemed in whole or in part at any time or from time to time at the Company’s option on or after February 15, 2021. Interest on the 2024 Notes is payable quarterly on February 15, May 15, August 15 and November 15 of each year, beginning May 15, 2019. The 2024 Notes are listed on the NASDAQ Global Select Market under the trading symbol “FDUSZ.”</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Public Notes are unsecured obligations of the Company and rank pari passu with the Company’s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and Financing Expenses</w:t>
      </w:r>
    </w:p>
    <w:p>
      <w:pPr>
        <w:spacing w:after="0" w:line="117" w:lineRule="exact"/>
        <w:rPr>
          <w:sz w:val="20"/>
          <w:szCs w:val="20"/>
          <w:color w:val="auto"/>
        </w:rPr>
      </w:pPr>
    </w:p>
    <w:p>
      <w:pPr>
        <w:ind w:left="200" w:right="200" w:firstLine="992"/>
        <w:spacing w:after="0" w:line="277" w:lineRule="auto"/>
        <w:rPr>
          <w:sz w:val="20"/>
          <w:szCs w:val="20"/>
          <w:color w:val="auto"/>
        </w:rPr>
      </w:pPr>
      <w:r>
        <w:rPr>
          <w:rFonts w:ascii="Arial" w:cs="Arial" w:eastAsia="Arial" w:hAnsi="Arial"/>
          <w:sz w:val="18"/>
          <w:szCs w:val="18"/>
          <w:color w:val="auto"/>
        </w:rPr>
        <w:t>Interest and fees related to the Company’s debt for the three and six months ended June 30, 2019 and 2018 which are included in interest and financing expenses on the consolidated statements of operations, were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Three Months Ended June 30, 2019</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Three Months Ended June 30, 2018</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74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7"/>
              </w:rPr>
              <w:t>Public</w:t>
            </w:r>
          </w:p>
        </w:tc>
        <w:tc>
          <w:tcPr>
            <w:tcW w:w="20" w:type="dxa"/>
            <w:vAlign w:val="bottom"/>
          </w:tcPr>
          <w:p>
            <w:pPr>
              <w:spacing w:after="0"/>
              <w:rPr>
                <w:sz w:val="10"/>
                <w:szCs w:val="10"/>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SBA</w:t>
            </w:r>
          </w:p>
        </w:tc>
        <w:tc>
          <w:tcPr>
            <w:tcW w:w="100" w:type="dxa"/>
            <w:vAlign w:val="bottom"/>
          </w:tcPr>
          <w:p>
            <w:pPr>
              <w:spacing w:after="0"/>
              <w:rPr>
                <w:sz w:val="10"/>
                <w:szCs w:val="10"/>
                <w:color w:val="auto"/>
              </w:rPr>
            </w:pPr>
          </w:p>
        </w:tc>
        <w:tc>
          <w:tcPr>
            <w:tcW w:w="7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2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Public</w:t>
            </w:r>
          </w:p>
        </w:tc>
        <w:tc>
          <w:tcPr>
            <w:tcW w:w="20" w:type="dxa"/>
            <w:vAlign w:val="bottom"/>
          </w:tcPr>
          <w:p>
            <w:pPr>
              <w:spacing w:after="0"/>
              <w:rPr>
                <w:sz w:val="10"/>
                <w:szCs w:val="10"/>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debentures</w:t>
            </w:r>
          </w:p>
        </w:tc>
        <w:tc>
          <w:tcPr>
            <w:tcW w:w="120" w:type="dxa"/>
            <w:vAlign w:val="bottom"/>
          </w:tcPr>
          <w:p>
            <w:pPr>
              <w:spacing w:after="0"/>
              <w:rPr>
                <w:sz w:val="14"/>
                <w:szCs w:val="14"/>
                <w:color w:val="auto"/>
              </w:rPr>
            </w:pPr>
          </w:p>
        </w:tc>
        <w:tc>
          <w:tcPr>
            <w:tcW w:w="7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Notes</w:t>
            </w:r>
          </w:p>
        </w:tc>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debentures</w:t>
            </w:r>
          </w:p>
        </w:tc>
        <w:tc>
          <w:tcPr>
            <w:tcW w:w="1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Notes</w:t>
            </w:r>
          </w:p>
        </w:tc>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$1,769</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$3,609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$2,702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1,987</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4,052</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rPr>
              <w:t>Six Months Ended June 30, 2019</w:t>
            </w: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rPr>
              <w:t>Six Months Ended June 30, 2018</w:t>
            </w: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74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7"/>
              </w:rPr>
              <w:t>Public</w:t>
            </w:r>
          </w:p>
        </w:tc>
        <w:tc>
          <w:tcPr>
            <w:tcW w:w="20" w:type="dxa"/>
            <w:vAlign w:val="bottom"/>
          </w:tcPr>
          <w:p>
            <w:pPr>
              <w:spacing w:after="0"/>
              <w:rPr>
                <w:sz w:val="10"/>
                <w:szCs w:val="10"/>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SBA</w:t>
            </w:r>
          </w:p>
        </w:tc>
        <w:tc>
          <w:tcPr>
            <w:tcW w:w="100" w:type="dxa"/>
            <w:vAlign w:val="bottom"/>
          </w:tcPr>
          <w:p>
            <w:pPr>
              <w:spacing w:after="0"/>
              <w:rPr>
                <w:sz w:val="10"/>
                <w:szCs w:val="10"/>
                <w:color w:val="auto"/>
              </w:rPr>
            </w:pPr>
          </w:p>
        </w:tc>
        <w:tc>
          <w:tcPr>
            <w:tcW w:w="7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2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Public</w:t>
            </w:r>
          </w:p>
        </w:tc>
        <w:tc>
          <w:tcPr>
            <w:tcW w:w="20" w:type="dxa"/>
            <w:vAlign w:val="bottom"/>
          </w:tcPr>
          <w:p>
            <w:pPr>
              <w:spacing w:after="0"/>
              <w:rPr>
                <w:sz w:val="10"/>
                <w:szCs w:val="10"/>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debentures</w:t>
            </w:r>
          </w:p>
        </w:tc>
        <w:tc>
          <w:tcPr>
            <w:tcW w:w="120" w:type="dxa"/>
            <w:vAlign w:val="bottom"/>
          </w:tcPr>
          <w:p>
            <w:pPr>
              <w:spacing w:after="0"/>
              <w:rPr>
                <w:sz w:val="14"/>
                <w:szCs w:val="14"/>
                <w:color w:val="auto"/>
              </w:rPr>
            </w:pPr>
          </w:p>
        </w:tc>
        <w:tc>
          <w:tcPr>
            <w:tcW w:w="7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Notes</w:t>
            </w:r>
          </w:p>
        </w:tc>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debentures</w:t>
            </w:r>
          </w:p>
        </w:tc>
        <w:tc>
          <w:tcPr>
            <w:tcW w:w="1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Notes</w:t>
            </w:r>
          </w:p>
        </w:tc>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$3,083</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$6,918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$1,216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$5,317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1,042</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3,465</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7,776</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1,371</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 average stated interest rate, period end</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5.438%</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5.947%</w:t>
            </w:r>
          </w:p>
        </w:tc>
        <w:tc>
          <w:tcPr>
            <w:tcW w:w="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5.625%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5.875%</w:t>
            </w:r>
          </w:p>
        </w:tc>
        <w:tc>
          <w:tcPr>
            <w:tcW w:w="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 rate, period end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0.695%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Realized Losses on Extinguishment of Debt</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During the six months ended June 30, 2019 and 2018, the Company prepaid $19,750 and $43,800 of SBA debentures, respectively, which were scheduled to mature on dates ranging from 2021 to 2025 and 2019 to 2022, respectively. As part of the prepayments, the Company recognized realized losses on extinguishment of debt of $189 and $150, respectively, equal to the write-off of the related unamortized deferred financing costs.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Credit Facility, SBA debentures, and Public Notes as of June 30, 2019 and December 31, 2018 were as follows: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72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Credit</w:t>
            </w:r>
          </w:p>
        </w:tc>
        <w:tc>
          <w:tcPr>
            <w:tcW w:w="120" w:type="dxa"/>
            <w:vAlign w:val="bottom"/>
          </w:tcPr>
          <w:p>
            <w:pPr>
              <w:spacing w:after="0"/>
              <w:rPr>
                <w:sz w:val="10"/>
                <w:szCs w:val="10"/>
                <w:color w:val="auto"/>
              </w:rPr>
            </w:pPr>
          </w:p>
        </w:tc>
        <w:tc>
          <w:tcPr>
            <w:tcW w:w="66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Public</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7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Credit</w:t>
            </w:r>
          </w:p>
        </w:tc>
        <w:tc>
          <w:tcPr>
            <w:tcW w:w="120" w:type="dxa"/>
            <w:vAlign w:val="bottom"/>
          </w:tcPr>
          <w:p>
            <w:pPr>
              <w:spacing w:after="0"/>
              <w:rPr>
                <w:sz w:val="10"/>
                <w:szCs w:val="10"/>
                <w:color w:val="auto"/>
              </w:rPr>
            </w:pPr>
          </w:p>
        </w:tc>
        <w:tc>
          <w:tcPr>
            <w:tcW w:w="68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Facility</w:t>
            </w:r>
          </w:p>
        </w:tc>
        <w:tc>
          <w:tcPr>
            <w:tcW w:w="12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80" w:type="dxa"/>
            <w:vAlign w:val="bottom"/>
            <w:gridSpan w:val="4"/>
          </w:tcPr>
          <w:p>
            <w:pPr>
              <w:ind w:left="120"/>
              <w:spacing w:after="0"/>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4"/>
                <w:szCs w:val="14"/>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 commitment fees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SBA debenture leverage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upfront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Public Notes underwriting discounts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Public Notes debt issue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 deferred financing costs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10,526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4,417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17,837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(1,626)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(8,865)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(1,459)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(7,818)</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Unamortized deferred financing costs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142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Unamortized deferred financing costs are presented as a direct offset to the SBA debentures, Credit Facility and Public Notes liabilities on the consolidated statements of assets and liabilities. The following table summarizes the outstanding debt net of unamortized deferred financing costs as of June 30, 2019 and December 31, 2018:</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June 30, 2019</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8"/>
              </w:rPr>
              <w:t>December 31, 2018</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SBA</w:t>
            </w: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0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Public</w:t>
            </w:r>
          </w:p>
        </w:tc>
        <w:tc>
          <w:tcPr>
            <w:tcW w:w="80" w:type="dxa"/>
            <w:vAlign w:val="bottom"/>
          </w:tcPr>
          <w:p>
            <w:pPr>
              <w:spacing w:after="0"/>
              <w:rPr>
                <w:sz w:val="10"/>
                <w:szCs w:val="10"/>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SBA</w:t>
            </w:r>
          </w:p>
        </w:tc>
        <w:tc>
          <w:tcPr>
            <w:tcW w:w="100" w:type="dxa"/>
            <w:vAlign w:val="bottom"/>
          </w:tcPr>
          <w:p>
            <w:pPr>
              <w:spacing w:after="0"/>
              <w:rPr>
                <w:sz w:val="10"/>
                <w:szCs w:val="10"/>
                <w:color w:val="auto"/>
              </w:rPr>
            </w:pPr>
          </w:p>
        </w:tc>
        <w:tc>
          <w:tcPr>
            <w:tcW w:w="72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Credit</w:t>
            </w: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debentures</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debentures</w:t>
            </w: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debt</w:t>
            </w:r>
          </w:p>
        </w:tc>
        <w:tc>
          <w:tcPr>
            <w:tcW w:w="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$171,250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$29,500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$119,000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$319,750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$191,000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$277,500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Less: unamortized deferred financing costs</w:t>
            </w:r>
          </w:p>
        </w:tc>
        <w:tc>
          <w:tcPr>
            <w:tcW w:w="5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(4,018)</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(1,268)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(3,686)</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(8,972)</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(4,266)</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(142)</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(1,589)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Debt, net of deferred financing costs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167,232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28,232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115,314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310,778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186,734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36,358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48,411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240" w:top="459" w:right="419" w:bottom="1440" w:gutter="0" w:footer="0" w:header="0"/>
        </w:sectPr>
      </w:pPr>
    </w:p>
    <w:p>
      <w:pPr>
        <w:jc w:val="center"/>
        <w:ind w:right="-17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240" w:top="459" w:right="41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As of June 30, 2019, the Company’s debt liabilities are scheduled to mature as follows </w:t>
      </w:r>
      <w:r>
        <w:rPr>
          <w:rFonts w:ascii="Arial" w:cs="Arial" w:eastAsia="Arial" w:hAnsi="Arial"/>
          <w:sz w:val="15"/>
          <w:szCs w:val="15"/>
          <w:color w:val="auto"/>
        </w:rPr>
        <w:t>(1)</w:t>
      </w:r>
      <w:r>
        <w:rPr>
          <w:rFonts w:ascii="Arial" w:cs="Arial" w:eastAsia="Arial" w:hAnsi="Arial"/>
          <w:sz w:val="18"/>
          <w:szCs w:val="18"/>
          <w:color w:val="auto"/>
        </w:rPr>
        <w:t>:</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SBA</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Credit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w w:val="99"/>
              </w:rPr>
              <w:t>Public</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400" w:type="dxa"/>
            <w:vAlign w:val="bottom"/>
            <w:gridSpan w:val="3"/>
            <w:vMerge w:val="continue"/>
          </w:tcPr>
          <w:p>
            <w:pPr>
              <w:spacing w:after="0"/>
              <w:rPr>
                <w:sz w:val="13"/>
                <w:szCs w:val="13"/>
                <w:color w:val="auto"/>
              </w:rPr>
            </w:pPr>
          </w:p>
        </w:tc>
        <w:tc>
          <w:tcPr>
            <w:tcW w:w="372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debentures</w:t>
            </w:r>
          </w:p>
        </w:tc>
        <w:tc>
          <w:tcPr>
            <w:tcW w:w="340" w:type="dxa"/>
            <w:vAlign w:val="bottom"/>
          </w:tcPr>
          <w:p>
            <w:pPr>
              <w:spacing w:after="0"/>
              <w:rPr>
                <w:sz w:val="13"/>
                <w:szCs w:val="13"/>
                <w:color w:val="auto"/>
              </w:rPr>
            </w:pPr>
          </w:p>
        </w:tc>
        <w:tc>
          <w:tcPr>
            <w:tcW w:w="6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Facility</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73"/>
              <w:spacing w:after="0" w:line="158" w:lineRule="exact"/>
              <w:rPr>
                <w:sz w:val="20"/>
                <w:szCs w:val="20"/>
                <w:color w:val="auto"/>
              </w:rPr>
            </w:pPr>
            <w:r>
              <w:rPr>
                <w:rFonts w:ascii="Arial" w:cs="Arial" w:eastAsia="Arial" w:hAnsi="Arial"/>
                <w:sz w:val="14"/>
                <w:szCs w:val="14"/>
                <w:b w:val="1"/>
                <w:bCs w:val="1"/>
                <w:color w:val="auto"/>
              </w:rPr>
              <w:t>Notes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2020</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2022</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20,250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29,500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2024</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2026</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2027</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2028</w:t>
            </w:r>
          </w:p>
        </w:tc>
        <w:tc>
          <w:tcPr>
            <w:tcW w:w="3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171,250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29,500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319,750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340" w:hanging="436"/>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jc w:val="both"/>
        <w:ind w:left="200" w:right="740" w:firstLine="441"/>
        <w:spacing w:after="0" w:line="264"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 revolving loans, other debt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capital commitments totaling $8,966 and $10,846 as of June 30, 2019 and December 31, 2018, respectively. Such outstanding commitments are summarized in the following table:</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19"/>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Investment</w:t>
            </w: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Total</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2"/>
              <w:spacing w:after="0" w:line="119" w:lineRule="exact"/>
              <w:rPr>
                <w:sz w:val="20"/>
                <w:szCs w:val="20"/>
                <w:color w:val="auto"/>
              </w:rPr>
            </w:pPr>
            <w:r>
              <w:rPr>
                <w:rFonts w:ascii="Arial" w:cs="Arial" w:eastAsia="Arial" w:hAnsi="Arial"/>
                <w:sz w:val="13"/>
                <w:szCs w:val="13"/>
                <w:b w:val="1"/>
                <w:bCs w:val="1"/>
                <w:color w:val="auto"/>
                <w:w w:val="98"/>
              </w:rPr>
              <w:t>Unfunded</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Total</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2"/>
              <w:spacing w:after="0" w:line="119" w:lineRule="exact"/>
              <w:rPr>
                <w:sz w:val="20"/>
                <w:szCs w:val="20"/>
                <w:color w:val="auto"/>
              </w:rPr>
            </w:pPr>
            <w:r>
              <w:rPr>
                <w:rFonts w:ascii="Arial" w:cs="Arial" w:eastAsia="Arial" w:hAnsi="Arial"/>
                <w:sz w:val="13"/>
                <w:szCs w:val="13"/>
                <w:b w:val="1"/>
                <w:bCs w:val="1"/>
                <w:color w:val="auto"/>
                <w:w w:val="98"/>
              </w:rPr>
              <w:t>Unfunded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100" w:type="dxa"/>
            <w:vAlign w:val="bottom"/>
            <w:gridSpan w:val="3"/>
            <w:vMerge w:val="continue"/>
          </w:tcPr>
          <w:p>
            <w:pPr>
              <w:spacing w:after="0"/>
              <w:rPr>
                <w:sz w:val="13"/>
                <w:szCs w:val="13"/>
                <w:color w:val="auto"/>
              </w:rPr>
            </w:pPr>
          </w:p>
        </w:tc>
        <w:tc>
          <w:tcPr>
            <w:tcW w:w="132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Commitment</w:t>
            </w:r>
          </w:p>
        </w:tc>
        <w:tc>
          <w:tcPr>
            <w:tcW w:w="1260" w:type="dxa"/>
            <w:vAlign w:val="bottom"/>
            <w:gridSpan w:val="4"/>
          </w:tcPr>
          <w:p>
            <w:pPr>
              <w:ind w:left="140"/>
              <w:spacing w:after="0" w:line="158" w:lineRule="exact"/>
              <w:rPr>
                <w:sz w:val="20"/>
                <w:szCs w:val="20"/>
                <w:color w:val="auto"/>
              </w:rPr>
            </w:pPr>
            <w:r>
              <w:rPr>
                <w:rFonts w:ascii="Arial" w:cs="Arial" w:eastAsia="Arial" w:hAnsi="Arial"/>
                <w:sz w:val="14"/>
                <w:szCs w:val="14"/>
                <w:b w:val="1"/>
                <w:bCs w:val="1"/>
                <w:color w:val="auto"/>
              </w:rPr>
              <w:t>Commitment</w:t>
            </w:r>
          </w:p>
        </w:tc>
        <w:tc>
          <w:tcPr>
            <w:tcW w:w="1280" w:type="dxa"/>
            <w:vAlign w:val="bottom"/>
            <w:gridSpan w:val="4"/>
          </w:tcPr>
          <w:p>
            <w:pPr>
              <w:ind w:left="140"/>
              <w:spacing w:after="0" w:line="158" w:lineRule="exact"/>
              <w:rPr>
                <w:sz w:val="20"/>
                <w:szCs w:val="20"/>
                <w:color w:val="auto"/>
              </w:rPr>
            </w:pPr>
            <w:r>
              <w:rPr>
                <w:rFonts w:ascii="Arial" w:cs="Arial" w:eastAsia="Arial" w:hAnsi="Arial"/>
                <w:sz w:val="14"/>
                <w:szCs w:val="14"/>
                <w:b w:val="1"/>
                <w:bCs w:val="1"/>
                <w:color w:val="auto"/>
              </w:rPr>
              <w:t>Commitment</w:t>
            </w:r>
          </w:p>
        </w:tc>
        <w:tc>
          <w:tcPr>
            <w:tcW w:w="1180" w:type="dxa"/>
            <w:vAlign w:val="bottom"/>
            <w:gridSpan w:val="4"/>
          </w:tcPr>
          <w:p>
            <w:pPr>
              <w:ind w:left="120"/>
              <w:spacing w:after="0" w:line="15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American AllWaste LLC (dba WasteWater Transport Services) -</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Delayed Draw Commitment - Term Loan-B</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3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gridSpan w:val="2"/>
          </w:tcPr>
          <w:p>
            <w:pPr>
              <w:spacing w:after="0" w:line="201" w:lineRule="exact"/>
              <w:rPr>
                <w:sz w:val="20"/>
                <w:szCs w:val="20"/>
                <w:color w:val="auto"/>
              </w:rPr>
            </w:pPr>
            <w:r>
              <w:rPr>
                <w:rFonts w:ascii="Arial" w:cs="Arial" w:eastAsia="Arial" w:hAnsi="Arial"/>
                <w:sz w:val="18"/>
                <w:szCs w:val="18"/>
                <w:color w:val="auto"/>
              </w:rPr>
              <w:t>B&amp;B Roadway and Security Solutions, LLC - Common Equity</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(Units)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FDS Avionics Corp. (dba Flight Display Systems) - Revolving Loan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French Transit, LLC - Revolving Loan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Mesa Line Services, LLC - Delayed Draw Term Loan Commitment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Rhino Assembly Company, LLC - Delayed Draw Commitment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Safety Products Group, LLC - Common Equity (Units)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2,852</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2,852</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2,852</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2,852</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UBEO, LLC - Delayed Draw Term Loan Commitment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300" w:hanging="436"/>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commitments are generally subject to the borrowers meeting certain criteria such as compliance with financial and nonfinancial covenants.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Since commitments may expire without being drawn upon, the total commitment amount does not necessarily represent future cash requirements.</w:t>
      </w:r>
    </w:p>
    <w:p>
      <w:pPr>
        <w:spacing w:after="0" w:line="22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In the normal course of business, the Company enters into contracts and agreements that contain a variety of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89"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In the normal course of business, the Company may be subject to legal and regulatory proceedings that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incidental to its ongoing operations. While the outcome of these legal proceedings cannot be predicted with certainty, the Company does not believe these proceedings will have a material adverse effect on the Company’s consolidated financial statements.</w:t>
      </w:r>
    </w:p>
    <w:p>
      <w:pPr>
        <w:sectPr>
          <w:pgSz w:w="11900" w:h="16838" w:orient="portrait"/>
          <w:cols w:equalWidth="0" w:num="1">
            <w:col w:w="11220"/>
          </w:cols>
          <w:pgMar w:left="240" w:top="459" w:right="439" w:bottom="1440" w:gutter="0" w:footer="0" w:header="0"/>
        </w:sectPr>
      </w:pP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20"/>
          </w:cols>
          <w:pgMar w:left="240" w:top="459" w:right="4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Public Offerings of Common Stock</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summarizes the cumulative total shares issued, net proceeds received, and weighted average offering price in public offerings of the Company’s common stock since the IPO.</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64"/>
              <w:spacing w:after="0"/>
              <w:rPr>
                <w:sz w:val="20"/>
                <w:szCs w:val="20"/>
                <w:color w:val="auto"/>
              </w:rPr>
            </w:pPr>
            <w:r>
              <w:rPr>
                <w:rFonts w:ascii="Arial" w:cs="Arial" w:eastAsia="Arial" w:hAnsi="Arial"/>
                <w:sz w:val="14"/>
                <w:szCs w:val="14"/>
                <w:b w:val="1"/>
                <w:bCs w:val="1"/>
                <w:color w:val="auto"/>
                <w:w w:val="95"/>
              </w:rPr>
              <w:t>Cumulative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7"/>
              </w:rPr>
              <w:t>Underwriting</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Cumulative</w:t>
            </w:r>
          </w:p>
        </w:tc>
        <w:tc>
          <w:tcPr>
            <w:tcW w:w="17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1"/>
              </w:rPr>
              <w:t>Cumulative Gross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Fees and</w:t>
            </w:r>
          </w:p>
        </w:tc>
        <w:tc>
          <w:tcPr>
            <w:tcW w:w="17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700" w:type="dxa"/>
            <w:vAlign w:val="bottom"/>
            <w:gridSpan w:val="3"/>
          </w:tcPr>
          <w:p>
            <w:pPr>
              <w:jc w:val="center"/>
              <w:ind w:left="528"/>
              <w:spacing w:after="0" w:line="149" w:lineRule="exact"/>
              <w:rPr>
                <w:sz w:val="20"/>
                <w:szCs w:val="20"/>
                <w:color w:val="auto"/>
              </w:rPr>
            </w:pPr>
            <w:r>
              <w:rPr>
                <w:rFonts w:ascii="Arial" w:cs="Arial" w:eastAsia="Arial" w:hAnsi="Arial"/>
                <w:sz w:val="14"/>
                <w:szCs w:val="14"/>
                <w:b w:val="1"/>
                <w:bCs w:val="1"/>
                <w:color w:val="auto"/>
                <w:w w:val="91"/>
              </w:rPr>
              <w:t>Commissions and</w:t>
            </w:r>
          </w:p>
        </w:tc>
        <w:tc>
          <w:tcPr>
            <w:tcW w:w="17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00" w:type="dxa"/>
            <w:vAlign w:val="bottom"/>
            <w:gridSpan w:val="3"/>
            <w:vMerge w:val="continue"/>
          </w:tcPr>
          <w:p>
            <w:pPr>
              <w:spacing w:after="0"/>
              <w:rPr>
                <w:sz w:val="13"/>
                <w:szCs w:val="13"/>
                <w:color w:val="auto"/>
              </w:rPr>
            </w:pPr>
          </w:p>
        </w:tc>
        <w:tc>
          <w:tcPr>
            <w:tcW w:w="22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Number of Shares</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w w:val="98"/>
              </w:rPr>
              <w:t>Proceeds</w:t>
            </w:r>
          </w:p>
        </w:tc>
        <w:tc>
          <w:tcPr>
            <w:tcW w:w="600" w:type="dxa"/>
            <w:vAlign w:val="bottom"/>
          </w:tcPr>
          <w:p>
            <w:pPr>
              <w:spacing w:after="0"/>
              <w:rPr>
                <w:sz w:val="13"/>
                <w:szCs w:val="13"/>
                <w:color w:val="auto"/>
              </w:rPr>
            </w:pPr>
          </w:p>
        </w:tc>
        <w:tc>
          <w:tcPr>
            <w:tcW w:w="11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 xml:space="preserve">Offering Costs </w:t>
            </w:r>
            <w:r>
              <w:rPr>
                <w:rFonts w:ascii="Arial" w:cs="Arial" w:eastAsia="Arial" w:hAnsi="Arial"/>
                <w:sz w:val="12"/>
                <w:szCs w:val="12"/>
                <w:b w:val="1"/>
                <w:bCs w:val="1"/>
                <w:color w:val="auto"/>
                <w:w w:val="93"/>
              </w:rPr>
              <w:t>(1)</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Offering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Cumulative since IPO</w:t>
            </w: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14,388,414</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236,597</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8,989</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160" w:hanging="436"/>
        <w:spacing w:after="0" w:line="264"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summarizes the cumulative total shares issued, net proceeds received, and weighted average offering price in public offerings of the Company’s common stock during the last two fiscal years and for the six months ended June 30, 2019.</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Underwriting</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Cumulative</w:t>
            </w: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Cumulative Gross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Fees and</w:t>
            </w:r>
          </w:p>
        </w:tc>
        <w:tc>
          <w:tcPr>
            <w:tcW w:w="18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740" w:type="dxa"/>
            <w:vAlign w:val="bottom"/>
            <w:gridSpan w:val="3"/>
          </w:tcPr>
          <w:p>
            <w:pPr>
              <w:ind w:left="640"/>
              <w:spacing w:after="0" w:line="149" w:lineRule="exact"/>
              <w:rPr>
                <w:sz w:val="20"/>
                <w:szCs w:val="20"/>
                <w:color w:val="auto"/>
              </w:rPr>
            </w:pPr>
            <w:r>
              <w:rPr>
                <w:rFonts w:ascii="Arial" w:cs="Arial" w:eastAsia="Arial" w:hAnsi="Arial"/>
                <w:sz w:val="14"/>
                <w:szCs w:val="14"/>
                <w:b w:val="1"/>
                <w:bCs w:val="1"/>
                <w:color w:val="auto"/>
                <w:w w:val="89"/>
              </w:rPr>
              <w:t>Commissions and</w:t>
            </w:r>
          </w:p>
        </w:tc>
        <w:tc>
          <w:tcPr>
            <w:tcW w:w="1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00" w:type="dxa"/>
            <w:vAlign w:val="bottom"/>
            <w:gridSpan w:val="3"/>
            <w:vMerge w:val="continue"/>
          </w:tcPr>
          <w:p>
            <w:pPr>
              <w:spacing w:after="0"/>
              <w:rPr>
                <w:sz w:val="13"/>
                <w:szCs w:val="13"/>
                <w:color w:val="auto"/>
              </w:rPr>
            </w:pPr>
          </w:p>
        </w:tc>
        <w:tc>
          <w:tcPr>
            <w:tcW w:w="16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Number of Shares</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ind w:left="100"/>
              <w:spacing w:after="0" w:line="158" w:lineRule="exact"/>
              <w:rPr>
                <w:sz w:val="20"/>
                <w:szCs w:val="20"/>
                <w:color w:val="auto"/>
              </w:rPr>
            </w:pPr>
            <w:r>
              <w:rPr>
                <w:rFonts w:ascii="Arial" w:cs="Arial" w:eastAsia="Arial" w:hAnsi="Arial"/>
                <w:sz w:val="14"/>
                <w:szCs w:val="14"/>
                <w:b w:val="1"/>
                <w:bCs w:val="1"/>
                <w:color w:val="auto"/>
              </w:rPr>
              <w:t>Proceeds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Offering Costs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Offering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Fiscal year ended December 31, 2017</w:t>
            </w: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2,012,500</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33,810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1,508</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Fiscal year ended December 31, 2018</w:t>
            </w:r>
          </w:p>
        </w:tc>
        <w:tc>
          <w:tcPr>
            <w:tcW w:w="48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2019</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Common Stock ATM Program</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the last two fiscal years and for the six months ended June 30, 2019.</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As described in Note 2, the Company has a Stock Repurchase Program under which the Company may acquire up to $5,000 of its outstanding common stock. The Company did not make any repurchases of common stock during the three and six months ended June 30, 2019. During the three and six months ended June 30, 2018, the Company repurchased zero and 44,821 shares of common stock, respectively, on the open market for zero and $582, respectively. The Company’s NAV per share increased by approximately zero and $0.01 for the three and six months ended June 30, 2018, respectively, as a result of the share repurchases. The following table summarizes the Company’s share repurchases under the Stock Repurchase Program for the three and six months ended June 30, 2019 and 2018:</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Repurchases of Common Stock</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Three Months Ended 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518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Number of shares repurchased</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44,821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Cost of shares repurchased, including commissions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price per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w w:val="94"/>
              </w:rPr>
              <w:t>Weighted average discount to net asset value at quarter end prior to</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repurchases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w w:val="99"/>
              </w:rPr>
              <w:t>N/A</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w w:val="99"/>
              </w:rPr>
              <w:t>N/A</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w w:val="99"/>
              </w:rPr>
              <w:t>N/A</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9 for additional information regarding the issuance of shares under the DRIP.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had 24,463,119 shares of common stock outstanding as of June 30, 2019 and December 31, 2018.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Dividends and Distributions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last two fiscal years and for the six months ended June 30, 2019.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Record</w:t>
            </w: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Payment</w:t>
            </w:r>
          </w:p>
        </w:tc>
        <w:tc>
          <w:tcPr>
            <w:tcW w:w="2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Cash</w:t>
            </w:r>
          </w:p>
        </w:tc>
        <w:tc>
          <w:tcPr>
            <w:tcW w:w="2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DRIP</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DRIP</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4"/>
        </w:trPr>
        <w:tc>
          <w:tcPr>
            <w:tcW w:w="352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40" w:type="dxa"/>
            <w:vAlign w:val="bottom"/>
            <w:gridSpan w:val="3"/>
          </w:tcPr>
          <w:p>
            <w:pPr>
              <w:jc w:val="right"/>
              <w:ind w:right="400"/>
              <w:spacing w:after="0" w:line="145" w:lineRule="exact"/>
              <w:rPr>
                <w:sz w:val="20"/>
                <w:szCs w:val="20"/>
                <w:color w:val="auto"/>
              </w:rPr>
            </w:pPr>
            <w:r>
              <w:rPr>
                <w:rFonts w:ascii="Arial" w:cs="Arial" w:eastAsia="Arial" w:hAnsi="Arial"/>
                <w:sz w:val="14"/>
                <w:szCs w:val="14"/>
                <w:b w:val="1"/>
                <w:bCs w:val="1"/>
                <w:color w:val="auto"/>
              </w:rPr>
              <w:t>Shares</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62"/>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88"/>
              </w:rPr>
              <w:t>Per Share</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Distribution</w:t>
            </w:r>
          </w:p>
        </w:tc>
        <w:tc>
          <w:tcPr>
            <w:tcW w:w="980" w:type="dxa"/>
            <w:vAlign w:val="bottom"/>
            <w:gridSpan w:val="3"/>
          </w:tcPr>
          <w:p>
            <w:pPr>
              <w:ind w:left="220"/>
              <w:spacing w:after="0"/>
              <w:rPr>
                <w:sz w:val="20"/>
                <w:szCs w:val="20"/>
                <w:color w:val="auto"/>
              </w:rPr>
            </w:pPr>
            <w:r>
              <w:rPr>
                <w:rFonts w:ascii="Arial" w:cs="Arial" w:eastAsia="Arial" w:hAnsi="Arial"/>
                <w:sz w:val="14"/>
                <w:szCs w:val="14"/>
                <w:b w:val="1"/>
                <w:bCs w:val="1"/>
                <w:color w:val="auto"/>
                <w:w w:val="94"/>
              </w:rPr>
              <w:t>Distribution</w:t>
            </w:r>
          </w:p>
        </w:tc>
        <w:tc>
          <w:tcPr>
            <w:tcW w:w="2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Issue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Ended December 31, 2017:</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2/14/2017</w:t>
            </w:r>
          </w:p>
        </w:tc>
        <w:tc>
          <w:tcPr>
            <w:tcW w:w="880" w:type="dxa"/>
            <w:vAlign w:val="bottom"/>
          </w:tcPr>
          <w:p>
            <w:pPr>
              <w:jc w:val="right"/>
              <w:spacing w:after="0"/>
              <w:rPr>
                <w:sz w:val="20"/>
                <w:szCs w:val="20"/>
                <w:color w:val="auto"/>
              </w:rPr>
            </w:pPr>
            <w:r>
              <w:rPr>
                <w:rFonts w:ascii="Arial" w:cs="Arial" w:eastAsia="Arial" w:hAnsi="Arial"/>
                <w:sz w:val="18"/>
                <w:szCs w:val="18"/>
                <w:color w:val="auto"/>
              </w:rPr>
              <w:t>3/10/2017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3/24/2017</w:t>
            </w:r>
          </w:p>
        </w:tc>
        <w:tc>
          <w:tcPr>
            <w:tcW w:w="2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8,754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8,556</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$ 198</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11,500</w:t>
            </w:r>
          </w:p>
        </w:tc>
        <w:tc>
          <w:tcPr>
            <w:tcW w:w="2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6/9/2017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6/23/2017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6"/>
              </w:rPr>
              <w:t>176</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7/31/2017</w:t>
            </w:r>
          </w:p>
        </w:tc>
        <w:tc>
          <w:tcPr>
            <w:tcW w:w="880" w:type="dxa"/>
            <w:vAlign w:val="bottom"/>
          </w:tcPr>
          <w:p>
            <w:pPr>
              <w:jc w:val="right"/>
              <w:spacing w:after="0"/>
              <w:rPr>
                <w:sz w:val="20"/>
                <w:szCs w:val="20"/>
                <w:color w:val="auto"/>
              </w:rPr>
            </w:pPr>
            <w:r>
              <w:rPr>
                <w:rFonts w:ascii="Arial" w:cs="Arial" w:eastAsia="Arial" w:hAnsi="Arial"/>
                <w:sz w:val="18"/>
                <w:szCs w:val="18"/>
                <w:color w:val="auto"/>
              </w:rPr>
              <w:t>9/8/2017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9/22/2017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9,353</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195</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12,256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10/30/2017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12/20/2017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12/27/2017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6"/>
              </w:rPr>
              <w:t>209</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13,659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10/30/2017 </w:t>
            </w:r>
            <w:r>
              <w:rPr>
                <w:rFonts w:ascii="Arial" w:cs="Arial" w:eastAsia="Arial" w:hAnsi="Arial"/>
                <w:sz w:val="15"/>
                <w:szCs w:val="15"/>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12/20/2017</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12/27/2017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36,793</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8"/>
              </w:rPr>
              <w:t>$ 799</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49,364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Year Ended December 31, 2018:</w:t>
            </w: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2/13/2018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3/9/2018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3/23/2018</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10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5"/>
                <w:szCs w:val="15"/>
                <w:color w:val="auto"/>
              </w:rPr>
              <w:t>(2)</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4/30/2018</w:t>
            </w:r>
          </w:p>
        </w:tc>
        <w:tc>
          <w:tcPr>
            <w:tcW w:w="880" w:type="dxa"/>
            <w:vAlign w:val="bottom"/>
          </w:tcPr>
          <w:p>
            <w:pPr>
              <w:jc w:val="right"/>
              <w:spacing w:after="0"/>
              <w:rPr>
                <w:sz w:val="20"/>
                <w:szCs w:val="20"/>
                <w:color w:val="auto"/>
              </w:rPr>
            </w:pPr>
            <w:r>
              <w:rPr>
                <w:rFonts w:ascii="Arial" w:cs="Arial" w:eastAsia="Arial" w:hAnsi="Arial"/>
                <w:sz w:val="18"/>
                <w:szCs w:val="18"/>
                <w:color w:val="auto"/>
              </w:rPr>
              <w:t>6/8/2018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6/22/2018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22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7/30/2018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9/7/2018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9/21/2018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10/30/2018</w:t>
            </w:r>
          </w:p>
        </w:tc>
        <w:tc>
          <w:tcPr>
            <w:tcW w:w="880" w:type="dxa"/>
            <w:vAlign w:val="bottom"/>
          </w:tcPr>
          <w:p>
            <w:pPr>
              <w:jc w:val="right"/>
              <w:spacing w:after="0"/>
              <w:rPr>
                <w:sz w:val="20"/>
                <w:szCs w:val="20"/>
                <w:color w:val="auto"/>
              </w:rPr>
            </w:pPr>
            <w:r>
              <w:rPr>
                <w:rFonts w:ascii="Arial" w:cs="Arial" w:eastAsia="Arial" w:hAnsi="Arial"/>
                <w:sz w:val="18"/>
                <w:szCs w:val="18"/>
                <w:color w:val="auto"/>
              </w:rPr>
              <w:t>12/7/2018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12/21/2018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22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10/30/2018 </w:t>
            </w:r>
            <w:r>
              <w:rPr>
                <w:rFonts w:ascii="Arial" w:cs="Arial" w:eastAsia="Arial" w:hAnsi="Arial"/>
                <w:sz w:val="15"/>
                <w:szCs w:val="15"/>
                <w:color w:val="auto"/>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12/21/2018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2019:</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1/31/2019</w:t>
            </w:r>
          </w:p>
        </w:tc>
        <w:tc>
          <w:tcPr>
            <w:tcW w:w="880" w:type="dxa"/>
            <w:vAlign w:val="bottom"/>
          </w:tcPr>
          <w:p>
            <w:pPr>
              <w:jc w:val="right"/>
              <w:spacing w:after="0"/>
              <w:rPr>
                <w:sz w:val="20"/>
                <w:szCs w:val="20"/>
                <w:color w:val="auto"/>
              </w:rPr>
            </w:pPr>
            <w:r>
              <w:rPr>
                <w:rFonts w:ascii="Arial" w:cs="Arial" w:eastAsia="Arial" w:hAnsi="Arial"/>
                <w:sz w:val="18"/>
                <w:szCs w:val="18"/>
                <w:color w:val="auto"/>
              </w:rPr>
              <w:t>3/8/2019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3/22/2019</w:t>
            </w:r>
          </w:p>
        </w:tc>
        <w:tc>
          <w:tcPr>
            <w:tcW w:w="2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1040" w:type="dxa"/>
            <w:vAlign w:val="bottom"/>
            <w:gridSpan w:val="3"/>
          </w:tcPr>
          <w:p>
            <w:pPr>
              <w:ind w:left="2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5"/>
                <w:szCs w:val="15"/>
                <w:color w:val="auto"/>
              </w:rPr>
              <w:t>(2)</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4/29/2019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6/7/2019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6/21/2019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19,081</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 dividend.</w:t>
      </w:r>
    </w:p>
    <w:p>
      <w:pPr>
        <w:spacing w:after="0" w:line="23" w:lineRule="exact"/>
        <w:rPr>
          <w:rFonts w:ascii="Arial" w:cs="Arial" w:eastAsia="Arial" w:hAnsi="Arial"/>
          <w:sz w:val="18"/>
          <w:szCs w:val="18"/>
          <w:color w:val="auto"/>
        </w:rPr>
      </w:pPr>
    </w:p>
    <w:p>
      <w:pPr>
        <w:ind w:left="640" w:right="20" w:hanging="436"/>
        <w:spacing w:after="0" w:line="255"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six months ended June 30, 2019 and the year ended December 31, 2018, the Company directed the DRIP program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196"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Fiscal Year Ended December 31, 2018:</w:t>
            </w:r>
          </w:p>
        </w:tc>
        <w:tc>
          <w:tcPr>
            <w:tcW w:w="19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Purchased</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00" w:type="dxa"/>
            <w:vAlign w:val="bottom"/>
            <w:gridSpan w:val="4"/>
            <w:vMerge w:val="continue"/>
          </w:tcPr>
          <w:p>
            <w:pPr>
              <w:spacing w:after="0"/>
              <w:rPr>
                <w:sz w:val="13"/>
                <w:szCs w:val="13"/>
                <w:color w:val="auto"/>
              </w:rPr>
            </w:pPr>
          </w:p>
        </w:tc>
        <w:tc>
          <w:tcPr>
            <w:tcW w:w="1960" w:type="dxa"/>
            <w:vAlign w:val="bottom"/>
          </w:tcPr>
          <w:p>
            <w:pPr>
              <w:spacing w:after="0"/>
              <w:rPr>
                <w:sz w:val="13"/>
                <w:szCs w:val="13"/>
                <w:color w:val="auto"/>
              </w:rPr>
            </w:pPr>
          </w:p>
        </w:tc>
        <w:tc>
          <w:tcPr>
            <w:tcW w:w="13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87"/>
              </w:rPr>
              <w:t>and Reissued</w:t>
            </w:r>
          </w:p>
        </w:tc>
        <w:tc>
          <w:tcPr>
            <w:tcW w:w="9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January 1, 2018 through March 31, 2018</w:t>
            </w:r>
          </w:p>
        </w:tc>
        <w:tc>
          <w:tcPr>
            <w:tcW w:w="19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16,503</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April 1, 2018 through June 30, 2018</w:t>
            </w:r>
          </w:p>
        </w:tc>
        <w:tc>
          <w:tcPr>
            <w:tcW w:w="3300" w:type="dxa"/>
            <w:vAlign w:val="bottom"/>
            <w:gridSpan w:val="3"/>
          </w:tcPr>
          <w:p>
            <w:pPr>
              <w:jc w:val="right"/>
              <w:ind w:right="520"/>
              <w:spacing w:after="0"/>
              <w:rPr>
                <w:sz w:val="20"/>
                <w:szCs w:val="20"/>
                <w:color w:val="auto"/>
              </w:rPr>
            </w:pPr>
            <w:r>
              <w:rPr>
                <w:rFonts w:ascii="Arial" w:cs="Arial" w:eastAsia="Arial" w:hAnsi="Arial"/>
                <w:sz w:val="18"/>
                <w:szCs w:val="18"/>
                <w:color w:val="auto"/>
              </w:rPr>
              <w:t>16,216</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2018 through September 30, 2018</w:t>
            </w:r>
          </w:p>
        </w:tc>
        <w:tc>
          <w:tcPr>
            <w:tcW w:w="3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16,207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October 1, 2018 through December 31, 2018</w:t>
            </w:r>
          </w:p>
        </w:tc>
        <w:tc>
          <w:tcPr>
            <w:tcW w:w="19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29,152</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11.85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78,078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Six Months Ended June 30, 2019:</w:t>
            </w:r>
          </w:p>
        </w:tc>
        <w:tc>
          <w:tcPr>
            <w:tcW w:w="19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Purchased</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00" w:type="dxa"/>
            <w:vAlign w:val="bottom"/>
            <w:gridSpan w:val="4"/>
            <w:vMerge w:val="continue"/>
          </w:tcPr>
          <w:p>
            <w:pPr>
              <w:spacing w:after="0"/>
              <w:rPr>
                <w:sz w:val="13"/>
                <w:szCs w:val="13"/>
                <w:color w:val="auto"/>
              </w:rPr>
            </w:pPr>
          </w:p>
        </w:tc>
        <w:tc>
          <w:tcPr>
            <w:tcW w:w="1960" w:type="dxa"/>
            <w:vAlign w:val="bottom"/>
          </w:tcPr>
          <w:p>
            <w:pPr>
              <w:spacing w:after="0"/>
              <w:rPr>
                <w:sz w:val="13"/>
                <w:szCs w:val="13"/>
                <w:color w:val="auto"/>
              </w:rPr>
            </w:pPr>
          </w:p>
        </w:tc>
        <w:tc>
          <w:tcPr>
            <w:tcW w:w="13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87"/>
              </w:rPr>
              <w:t>and Reissued</w:t>
            </w:r>
          </w:p>
        </w:tc>
        <w:tc>
          <w:tcPr>
            <w:tcW w:w="9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January 1, 2019 through March 31, 2019</w:t>
            </w:r>
          </w:p>
        </w:tc>
        <w:tc>
          <w:tcPr>
            <w:tcW w:w="19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21,855</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15.25</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April 1, 2019 through June 30, 2019</w:t>
            </w:r>
          </w:p>
        </w:tc>
        <w:tc>
          <w:tcPr>
            <w:tcW w:w="19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14,067</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16.23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35,922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15.63</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vMerge w:val="restart"/>
          </w:tcPr>
          <w:p>
            <w:pPr>
              <w:jc w:val="right"/>
              <w:ind w:right="1050"/>
              <w:spacing w:after="0"/>
              <w:rPr>
                <w:sz w:val="20"/>
                <w:szCs w:val="20"/>
                <w:color w:val="auto"/>
              </w:rPr>
            </w:pPr>
            <w:r>
              <w:rPr>
                <w:rFonts w:ascii="Arial" w:cs="Arial" w:eastAsia="Arial" w:hAnsi="Arial"/>
                <w:sz w:val="18"/>
                <w:szCs w:val="18"/>
                <w:color w:val="auto"/>
              </w:rPr>
              <w:t>37</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Financial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schedule of financial highlights for the six months ended June 30, 2019 and 2018:</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16.47</w:t>
            </w:r>
          </w:p>
        </w:tc>
        <w:tc>
          <w:tcPr>
            <w:tcW w:w="4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 xml:space="preserve">Net realized gain (loss) on investments, net of tax (provision) </w:t>
            </w:r>
            <w:r>
              <w:rPr>
                <w:rFonts w:ascii="Arial" w:cs="Arial" w:eastAsia="Arial" w:hAnsi="Arial"/>
                <w:sz w:val="15"/>
                <w:szCs w:val="15"/>
                <w:color w:val="auto"/>
              </w:rPr>
              <w:t>(1)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unrealized appreciation (depreciation) on investments </w:t>
            </w:r>
            <w:r>
              <w:rPr>
                <w:rFonts w:ascii="Arial" w:cs="Arial" w:eastAsia="Arial" w:hAnsi="Arial"/>
                <w:sz w:val="15"/>
                <w:szCs w:val="15"/>
                <w:color w:val="auto"/>
              </w:rPr>
              <w:t>(1)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 xml:space="preserve">Realized losses on extinguishment of debt </w:t>
            </w:r>
            <w:r>
              <w:rPr>
                <w:rFonts w:ascii="Arial" w:cs="Arial" w:eastAsia="Arial" w:hAnsi="Arial"/>
                <w:sz w:val="15"/>
                <w:szCs w:val="15"/>
                <w:color w:val="auto"/>
              </w:rPr>
              <w:t>(1)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increase from investment operations </w:t>
            </w:r>
            <w:r>
              <w:rPr>
                <w:rFonts w:ascii="Arial" w:cs="Arial" w:eastAsia="Arial" w:hAnsi="Arial"/>
                <w:sz w:val="15"/>
                <w:szCs w:val="15"/>
                <w:color w:val="auto"/>
              </w:rPr>
              <w:t>(1)</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Accretive (dilutive) effect of share issuances and repurchases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Dividends to stockholders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Market value at end of period</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24,463,119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24,463,119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24,463,119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24,480,484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398,478</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396,261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15"/>
                <w:szCs w:val="15"/>
                <w:color w:val="auto"/>
              </w:rPr>
              <w:t>(7)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402,093</w:t>
            </w:r>
          </w:p>
        </w:tc>
        <w:tc>
          <w:tcPr>
            <w:tcW w:w="4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395,897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to average net assets: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(3)(5)(10)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(3)(6)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 xml:space="preserve">Portfolio turnover ratio </w:t>
            </w:r>
            <w:r>
              <w:rPr>
                <w:rFonts w:ascii="Arial" w:cs="Arial" w:eastAsia="Arial" w:hAnsi="Arial"/>
                <w:sz w:val="15"/>
                <w:szCs w:val="15"/>
                <w:color w:val="auto"/>
              </w:rPr>
              <w:t>(3)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15"/>
                <w:szCs w:val="15"/>
                <w:color w:val="auto"/>
              </w:rPr>
              <w:t>(8)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295,833</w:t>
            </w:r>
          </w:p>
        </w:tc>
        <w:tc>
          <w:tcPr>
            <w:tcW w:w="4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259,600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5"/>
                <w:szCs w:val="15"/>
                <w:color w:val="auto"/>
              </w:rPr>
              <w:t>(1)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Weighted average per share data.</w:t>
      </w:r>
    </w:p>
    <w:p>
      <w:pPr>
        <w:spacing w:after="0" w:line="23" w:lineRule="exact"/>
        <w:rPr>
          <w:rFonts w:ascii="Arial" w:cs="Arial" w:eastAsia="Arial" w:hAnsi="Arial"/>
          <w:sz w:val="18"/>
          <w:szCs w:val="18"/>
          <w:color w:val="auto"/>
        </w:rPr>
      </w:pPr>
    </w:p>
    <w:p>
      <w:pPr>
        <w:ind w:left="640" w:right="10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jc w:val="both"/>
        <w:ind w:left="640" w:right="100" w:hanging="436"/>
        <w:spacing w:after="0" w:line="265"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ind w:left="640" w:right="70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expenses to average net assets ratio is calculated using the total expenses caption as presented on the consolidated statements of operations, which includes incentive fee and excludes the income tax provision.</w:t>
      </w:r>
    </w:p>
    <w:p>
      <w:pPr>
        <w:ind w:left="640" w:right="48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net investment income to average net assets ratio is calculated using the net investment income caption as presented on the consolidated statements of operations, which includes incentive fee.</w:t>
      </w:r>
    </w:p>
    <w:p>
      <w:pPr>
        <w:ind w:left="640" w:hanging="436"/>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Average net assets is calculated as the average of the net asset balances as of each quarter end during the fiscal year and the prior year end.</w:t>
      </w:r>
    </w:p>
    <w:p>
      <w:pPr>
        <w:spacing w:after="0" w:line="32" w:lineRule="exact"/>
        <w:rPr>
          <w:rFonts w:ascii="Arial" w:cs="Arial" w:eastAsia="Arial" w:hAnsi="Arial"/>
          <w:sz w:val="16"/>
          <w:szCs w:val="16"/>
          <w:color w:val="auto"/>
        </w:rPr>
      </w:pPr>
    </w:p>
    <w:p>
      <w:pPr>
        <w:ind w:left="640" w:right="22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debt outstanding is calculated as the average of the outstanding debt balances as of each quarter end during the fiscal year and the prior year end.</w:t>
      </w:r>
    </w:p>
    <w:p>
      <w:pPr>
        <w:ind w:left="64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is a schedule of supplemental expense ratios to average net assets: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5"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Ratio to average net assets:</w:t>
            </w:r>
          </w:p>
        </w:tc>
        <w:tc>
          <w:tcPr>
            <w:tcW w:w="23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6060" w:type="dxa"/>
            <w:vAlign w:val="bottom"/>
            <w:gridSpan w:val="3"/>
            <w:vMerge w:val="continue"/>
          </w:tcPr>
          <w:p>
            <w:pPr>
              <w:spacing w:after="0"/>
              <w:rPr>
                <w:sz w:val="11"/>
                <w:szCs w:val="11"/>
                <w:color w:val="auto"/>
              </w:rPr>
            </w:pPr>
          </w:p>
        </w:tc>
        <w:tc>
          <w:tcPr>
            <w:tcW w:w="52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CCEEFF"/>
            </w:tcBorders>
            <w:shd w:val="clear" w:color="auto" w:fill="000000"/>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Expenses other than incentive fee </w:t>
            </w:r>
            <w:r>
              <w:rPr>
                <w:rFonts w:ascii="Arial" w:cs="Arial" w:eastAsia="Arial" w:hAnsi="Arial"/>
                <w:sz w:val="15"/>
                <w:szCs w:val="15"/>
                <w:color w:val="auto"/>
              </w:rPr>
              <w:t>(3)</w:t>
            </w:r>
          </w:p>
        </w:tc>
        <w:tc>
          <w:tcPr>
            <w:tcW w:w="1420" w:type="dxa"/>
            <w:vAlign w:val="bottom"/>
            <w:gridSpan w:val="2"/>
            <w:shd w:val="clear" w:color="auto" w:fill="CCEEFF"/>
          </w:tcPr>
          <w:p>
            <w:pPr>
              <w:jc w:val="right"/>
              <w:ind w:right="760"/>
              <w:spacing w:after="0" w:line="203" w:lineRule="exact"/>
              <w:rPr>
                <w:sz w:val="20"/>
                <w:szCs w:val="20"/>
                <w:color w:val="auto"/>
              </w:rPr>
            </w:pPr>
            <w:r>
              <w:rPr>
                <w:rFonts w:ascii="Arial" w:cs="Arial" w:eastAsia="Arial" w:hAnsi="Arial"/>
                <w:sz w:val="18"/>
                <w:szCs w:val="18"/>
                <w:color w:val="auto"/>
              </w:rPr>
              <w:t>8.1%</w:t>
            </w: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 xml:space="preserve">Incentive fee </w:t>
            </w:r>
            <w:r>
              <w:rPr>
                <w:rFonts w:ascii="Arial" w:cs="Arial" w:eastAsia="Arial" w:hAnsi="Arial"/>
                <w:sz w:val="15"/>
                <w:szCs w:val="15"/>
                <w:color w:val="auto"/>
              </w:rPr>
              <w:t>(3)</w:t>
            </w: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1.4%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(3)(5)</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July 19, 2019, the Company exited its debt investment in Pinnergy, Ltd. The Company received payment in full of $4,000 on its second lien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On July 29, 2019, the Board declared a regular quarterly dividend of $0.39 per share payable on September 20, 2019 to stockholders of record as of September 6, 2019.</w:t>
      </w:r>
    </w:p>
    <w:p>
      <w:pPr>
        <w:spacing w:after="0" w:line="170"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On July 31, 2019, the Company invested $21,500 in a new subordinated debt investment in Allied 100 Group, Inc., an existing portfolio company. 39</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2018, filed with the U.S. Securities and Exchange Commission (“SEC”) on February 28, 2019. The information contained in this section should also be read in conjunction with our unaudited consolidated financial statements and related notes thereto appearing elsewhere in this quarterly report on Form 10-Q.</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i w:val="1"/>
          <w:iCs w:val="1"/>
          <w:color w:val="auto"/>
        </w:rPr>
        <w:t>Except as otherwise specified, references to “we,” “us,” “our,” “Fidus” and “FIC” refer to Fidus Investment Corporation and its consolidated subsidiaries.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200" w:right="20" w:firstLine="992"/>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99" w:lineRule="exact"/>
        <w:rPr>
          <w:sz w:val="20"/>
          <w:szCs w:val="20"/>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expected financing and investments;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left="200" w:right="160" w:firstLine="992"/>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7" w:lineRule="exact"/>
        <w:rPr>
          <w:sz w:val="20"/>
          <w:szCs w:val="20"/>
          <w:color w:val="auto"/>
        </w:rPr>
      </w:pPr>
    </w:p>
    <w:p>
      <w:pPr>
        <w:ind w:left="1620" w:right="120" w:hanging="430"/>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contraction of available credit and/or an inability to access the equity markets could impair our lending and investment activities;</w:t>
      </w:r>
    </w:p>
    <w:p>
      <w:pPr>
        <w:spacing w:after="0" w:line="153" w:lineRule="exact"/>
        <w:rPr>
          <w:rFonts w:ascii="Arial" w:cs="Arial" w:eastAsia="Arial" w:hAnsi="Arial"/>
          <w:sz w:val="16"/>
          <w:szCs w:val="16"/>
          <w:color w:val="auto"/>
        </w:rPr>
      </w:pPr>
    </w:p>
    <w:p>
      <w:pPr>
        <w:ind w:left="1620" w:hanging="430"/>
        <w:spacing w:after="0"/>
        <w:tabs>
          <w:tab w:leader="none" w:pos="1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interest rate volatility could adversely affect our results, particularly because we use leverage as part of our investment strategy;</w:t>
      </w:r>
    </w:p>
    <w:p>
      <w:pPr>
        <w:spacing w:after="0" w:line="153" w:lineRule="exact"/>
        <w:rPr>
          <w:rFonts w:ascii="Arial" w:cs="Arial" w:eastAsia="Arial" w:hAnsi="Arial"/>
          <w:sz w:val="16"/>
          <w:szCs w:val="16"/>
          <w:color w:val="auto"/>
        </w:rPr>
      </w:pPr>
    </w:p>
    <w:p>
      <w:pPr>
        <w:ind w:left="1620" w:right="260" w:hanging="430"/>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the U.S. dollars; and,</w:t>
      </w:r>
    </w:p>
    <w:p>
      <w:pPr>
        <w:spacing w:after="0" w:line="75" w:lineRule="exact"/>
        <w:rPr>
          <w:rFonts w:ascii="Arial" w:cs="Arial" w:eastAsia="Arial" w:hAnsi="Arial"/>
          <w:sz w:val="18"/>
          <w:szCs w:val="18"/>
          <w:color w:val="auto"/>
        </w:rPr>
      </w:pPr>
    </w:p>
    <w:p>
      <w:pPr>
        <w:ind w:left="1620" w:hanging="430"/>
        <w:spacing w:after="0" w:line="308" w:lineRule="auto"/>
        <w:tabs>
          <w:tab w:leader="none" w:pos="1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risks, uncertainties and other factors we identify in </w:t>
      </w:r>
      <w:r>
        <w:rPr>
          <w:rFonts w:ascii="Arial" w:cs="Arial" w:eastAsia="Arial" w:hAnsi="Arial"/>
          <w:sz w:val="17"/>
          <w:szCs w:val="17"/>
          <w:i w:val="1"/>
          <w:iCs w:val="1"/>
          <w:color w:val="auto"/>
        </w:rPr>
        <w:t>Item 1A. – Risk Factors</w:t>
      </w:r>
      <w:r>
        <w:rPr>
          <w:rFonts w:ascii="Arial" w:cs="Arial" w:eastAsia="Arial" w:hAnsi="Arial"/>
          <w:sz w:val="17"/>
          <w:szCs w:val="17"/>
          <w:color w:val="auto"/>
        </w:rPr>
        <w:t xml:space="preserve"> contained in our Annual Report on Form 10-K for the year ended December 31, 2018, elsewhere in this Quarterly Report on Form 10-Q and in our other filings with the SEC.</w:t>
      </w:r>
    </w:p>
    <w:p>
      <w:pPr>
        <w:spacing w:after="0" w:line="147" w:lineRule="exact"/>
        <w:rPr>
          <w:sz w:val="20"/>
          <w:szCs w:val="20"/>
          <w:color w:val="auto"/>
        </w:rPr>
      </w:pPr>
    </w:p>
    <w:p>
      <w:pPr>
        <w:ind w:left="200" w:right="20" w:firstLine="992"/>
        <w:spacing w:after="0" w:line="291" w:lineRule="auto"/>
        <w:rPr>
          <w:sz w:val="20"/>
          <w:szCs w:val="20"/>
          <w:color w:val="auto"/>
        </w:rPr>
      </w:pPr>
      <w:r>
        <w:rPr>
          <w:rFonts w:ascii="Arial" w:cs="Arial" w:eastAsia="Arial" w:hAnsi="Arial"/>
          <w:sz w:val="16"/>
          <w:szCs w:val="16"/>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Arial" w:cs="Arial" w:eastAsia="Arial" w:hAnsi="Arial"/>
          <w:sz w:val="16"/>
          <w:szCs w:val="16"/>
          <w:i w:val="1"/>
          <w:iCs w:val="1"/>
          <w:color w:val="auto"/>
        </w:rPr>
        <w:t xml:space="preserve">Item 1.A – Risk Factors </w:t>
      </w:r>
      <w:r>
        <w:rPr>
          <w:rFonts w:ascii="Arial" w:cs="Arial" w:eastAsia="Arial" w:hAnsi="Arial"/>
          <w:sz w:val="16"/>
          <w:szCs w:val="16"/>
          <w:color w:val="auto"/>
        </w:rPr>
        <w:t>contained in our Annual Report on Form 10-K for the year ended December 31, 2018, filed with the SEC on February 28, 2019.</w:t>
      </w:r>
      <w:r>
        <w:rPr>
          <w:rFonts w:ascii="Arial" w:cs="Arial" w:eastAsia="Arial" w:hAnsi="Arial"/>
          <w:sz w:val="16"/>
          <w:szCs w:val="16"/>
          <w:i w:val="1"/>
          <w:iCs w:val="1"/>
          <w:color w:val="auto"/>
        </w:rPr>
        <w:t xml:space="preserve"> </w:t>
      </w:r>
      <w:r>
        <w:rPr>
          <w:rFonts w:ascii="Arial" w:cs="Arial" w:eastAsia="Arial" w:hAnsi="Arial"/>
          <w:sz w:val="16"/>
          <w:szCs w:val="16"/>
          <w:color w:val="auto"/>
        </w:rPr>
        <w:t>You should not place undue reliance on these forward-looking statements, which apply only as of the date of this Quarterly Report on Form 10-Q.</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Corporate Structure</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FIC was formed as a Maryland corporation on February 14, 2011. We completed our initial public offering, or IPO, in June 2011.</w:t>
      </w:r>
    </w:p>
    <w:p>
      <w:pPr>
        <w:spacing w:after="0" w:line="22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 Fund I, Fund II and Fund III are collectively referred to as the “Funds.”</w:t>
      </w:r>
    </w:p>
    <w:p>
      <w:pPr>
        <w:spacing w:after="0" w:line="17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Fund I, Fund II and Fund III received their SBIC licenses on October 22, 2007, May 28, 2013, and March 21, 2019, respectively. We plan to continue to operate the Funds as SBICs, subject to SBA approval, and to utilize the proceeds of the sale of SBA-guaranteed debentures to enhance returns to our stockholders. We have also made, and continue to make, investments directly through FIC. We believe that utilizing FIC and the Funds as investment vehicles provides us with access to a broader array of investment opportunities.</w:t>
      </w:r>
    </w:p>
    <w:p>
      <w:pPr>
        <w:spacing w:after="0" w:line="187"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the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00" w:right="140" w:firstLine="992"/>
        <w:spacing w:after="0" w:line="297" w:lineRule="auto"/>
        <w:rPr>
          <w:sz w:val="20"/>
          <w:szCs w:val="20"/>
          <w:color w:val="auto"/>
        </w:rPr>
      </w:pPr>
      <w:r>
        <w:rPr>
          <w:rFonts w:ascii="Arial" w:cs="Arial" w:eastAsia="Arial" w:hAnsi="Arial"/>
          <w:sz w:val="16"/>
          <w:szCs w:val="16"/>
          <w:color w:val="auto"/>
        </w:rPr>
        <w:t>We seek to create a diversified investment portfolio that primarily includes debt investments and, to a lesser extent, equity securities. Our investments typically range between $5.0 million to $30.0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58" w:lineRule="exact"/>
        <w:rPr>
          <w:sz w:val="20"/>
          <w:szCs w:val="20"/>
          <w:color w:val="auto"/>
        </w:rPr>
      </w:pPr>
    </w:p>
    <w:p>
      <w:pPr>
        <w:ind w:left="200" w:right="40" w:firstLine="992"/>
        <w:spacing w:after="0" w:line="254" w:lineRule="auto"/>
        <w:rPr>
          <w:sz w:val="20"/>
          <w:szCs w:val="20"/>
          <w:color w:val="auto"/>
        </w:rPr>
      </w:pPr>
      <w:r>
        <w:rPr>
          <w:rFonts w:ascii="Arial" w:cs="Arial" w:eastAsia="Arial" w:hAnsi="Arial"/>
          <w:sz w:val="18"/>
          <w:szCs w:val="18"/>
          <w:i w:val="1"/>
          <w:iCs w:val="1"/>
          <w:color w:val="auto"/>
        </w:rPr>
        <w:t xml:space="preserve">Second Lien Debt. </w:t>
      </w:r>
      <w:r>
        <w:rPr>
          <w:rFonts w:ascii="Arial" w:cs="Arial" w:eastAsia="Arial" w:hAnsi="Arial"/>
          <w:sz w:val="18"/>
          <w:szCs w:val="18"/>
          <w:color w:val="auto"/>
        </w:rPr>
        <w:t>The majority of our debt investments take the form of second lien debt, which includes senior subordinated notes.</w:t>
      </w:r>
      <w:r>
        <w:rPr>
          <w:rFonts w:ascii="Arial" w:cs="Arial" w:eastAsia="Arial" w:hAnsi="Arial"/>
          <w:sz w:val="18"/>
          <w:szCs w:val="18"/>
          <w:i w:val="1"/>
          <w:iCs w:val="1"/>
          <w:color w:val="auto"/>
        </w:rPr>
        <w:t xml:space="preserve"> </w:t>
      </w:r>
      <w:r>
        <w:rPr>
          <w:rFonts w:ascii="Arial" w:cs="Arial" w:eastAsia="Arial" w:hAnsi="Arial"/>
          <w:sz w:val="18"/>
          <w:szCs w:val="18"/>
          <w:color w:val="auto"/>
        </w:rPr>
        <w:t>Second lien 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92"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i w:val="1"/>
          <w:iCs w:val="1"/>
          <w:color w:val="auto"/>
        </w:rPr>
        <w:t xml:space="preserve">Subordinated Debt. </w:t>
      </w:r>
      <w:r>
        <w:rPr>
          <w:rFonts w:ascii="Arial" w:cs="Arial" w:eastAsia="Arial" w:hAnsi="Arial"/>
          <w:sz w:val="18"/>
          <w:szCs w:val="18"/>
          <w:color w:val="auto"/>
        </w:rPr>
        <w:t>These investments are typically structured as unsecured, subordinated notes. Structurally, subordinated debt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ranks 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66" w:lineRule="exact"/>
        <w:rPr>
          <w:sz w:val="20"/>
          <w:szCs w:val="20"/>
          <w:color w:val="auto"/>
        </w:rPr>
      </w:pPr>
    </w:p>
    <w:p>
      <w:pPr>
        <w:ind w:left="200" w:firstLine="992"/>
        <w:spacing w:after="0" w:line="268" w:lineRule="auto"/>
        <w:rPr>
          <w:sz w:val="20"/>
          <w:szCs w:val="20"/>
          <w:color w:val="auto"/>
        </w:rPr>
      </w:pPr>
      <w:r>
        <w:rPr>
          <w:rFonts w:ascii="Arial" w:cs="Arial" w:eastAsia="Arial" w:hAnsi="Arial"/>
          <w:sz w:val="17"/>
          <w:szCs w:val="17"/>
          <w:i w:val="1"/>
          <w:iCs w:val="1"/>
          <w:color w:val="auto"/>
        </w:rPr>
        <w:t>First Lien Debt</w:t>
      </w:r>
      <w:r>
        <w:rPr>
          <w:rFonts w:ascii="Arial" w:cs="Arial" w:eastAsia="Arial" w:hAnsi="Arial"/>
          <w:sz w:val="17"/>
          <w:szCs w:val="17"/>
          <w:color w:val="auto"/>
        </w:rPr>
        <w:t>. To a lesser extent, we also structure some of our debt investments as senior secured or first lien debt investments. First</w:t>
      </w:r>
      <w:r>
        <w:rPr>
          <w:rFonts w:ascii="Arial" w:cs="Arial" w:eastAsia="Arial" w:hAnsi="Arial"/>
          <w:sz w:val="17"/>
          <w:szCs w:val="17"/>
          <w:i w:val="1"/>
          <w:iCs w:val="1"/>
          <w:color w:val="auto"/>
        </w:rPr>
        <w:t xml:space="preserve"> </w:t>
      </w:r>
      <w:r>
        <w:rPr>
          <w:rFonts w:ascii="Arial" w:cs="Arial" w:eastAsia="Arial" w:hAnsi="Arial"/>
          <w:sz w:val="17"/>
          <w:szCs w:val="17"/>
          <w:color w:val="auto"/>
        </w:rPr>
        <w:t>lien debt 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88" w:lineRule="exact"/>
        <w:rPr>
          <w:sz w:val="20"/>
          <w:szCs w:val="20"/>
          <w:color w:val="auto"/>
        </w:rPr>
      </w:pPr>
    </w:p>
    <w:p>
      <w:pPr>
        <w:ind w:left="200" w:right="20" w:firstLine="992"/>
        <w:spacing w:after="0" w:line="286" w:lineRule="auto"/>
        <w:rPr>
          <w:sz w:val="20"/>
          <w:szCs w:val="20"/>
          <w:color w:val="auto"/>
        </w:rPr>
      </w:pPr>
      <w:r>
        <w:rPr>
          <w:rFonts w:ascii="Arial" w:cs="Arial" w:eastAsia="Arial" w:hAnsi="Arial"/>
          <w:sz w:val="17"/>
          <w:szCs w:val="17"/>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fixed interest rate.</w:t>
      </w:r>
    </w:p>
    <w:p>
      <w:pPr>
        <w:spacing w:after="0" w:line="166" w:lineRule="exact"/>
        <w:rPr>
          <w:sz w:val="20"/>
          <w:szCs w:val="20"/>
          <w:color w:val="auto"/>
        </w:rPr>
      </w:pPr>
    </w:p>
    <w:p>
      <w:pPr>
        <w:ind w:left="200" w:right="20" w:firstLine="992"/>
        <w:spacing w:after="0" w:line="270" w:lineRule="auto"/>
        <w:rPr>
          <w:sz w:val="20"/>
          <w:szCs w:val="20"/>
          <w:color w:val="auto"/>
        </w:rPr>
      </w:pPr>
      <w:r>
        <w:rPr>
          <w:rFonts w:ascii="Arial" w:cs="Arial" w:eastAsia="Arial" w:hAnsi="Arial"/>
          <w:sz w:val="17"/>
          <w:szCs w:val="17"/>
          <w:i w:val="1"/>
          <w:iCs w:val="1"/>
          <w:color w:val="auto"/>
        </w:rPr>
        <w:t>Equity Securities</w:t>
      </w:r>
      <w:r>
        <w:rPr>
          <w:rFonts w:ascii="Arial" w:cs="Arial" w:eastAsia="Arial" w:hAnsi="Arial"/>
          <w:sz w:val="17"/>
          <w:szCs w:val="17"/>
          <w:color w:val="auto"/>
        </w:rPr>
        <w:t>. Our equity securities typically consist of either a direct minority equity investment in common or preferred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82"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generate revenue in the form of interest and fee income on debt investments and dividends, if any, on equity investments. Our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whether in the form of second lien, subordinated or first lien loans, typically have terms of five to seven years and most bear interest at a fixed rate, but some bear interest at a floating rate.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8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All investment professionals of our investment advisor and/or its affiliates, when and to the extent engaged in providing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and management services to us, and the compensation and routine overhead expenses allocable to personnel who provide these services to us, are provided and paid for by our investment advisor and not by us. We bear all other out-of-pocket costs and expenses of our operations and transactions, including, without limitation, those relating to:</w:t>
      </w:r>
    </w:p>
    <w:p>
      <w:pPr>
        <w:spacing w:after="0" w:line="92" w:lineRule="exact"/>
        <w:rPr>
          <w:sz w:val="20"/>
          <w:szCs w:val="20"/>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1180" w:right="20" w:hanging="544"/>
        <w:spacing w:after="0" w:line="259"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fees and expenses incurred by our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92"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advisory fees and management fees;</w:t>
      </w:r>
    </w:p>
    <w:p>
      <w:pPr>
        <w:spacing w:after="0" w:line="130" w:lineRule="exact"/>
        <w:rPr>
          <w:rFonts w:ascii="Arial" w:cs="Arial" w:eastAsia="Arial" w:hAnsi="Arial"/>
          <w:sz w:val="18"/>
          <w:szCs w:val="18"/>
          <w:color w:val="auto"/>
        </w:rPr>
      </w:pPr>
    </w:p>
    <w:p>
      <w:pPr>
        <w:ind w:left="1180" w:right="40" w:hanging="544"/>
        <w:spacing w:after="0" w:line="259"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administration fees and expenses, if any, payable under the Administration Agreement (including payments under the Administration Agreement between us and our investment advisor based upon our allocable portion of our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92"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transfer agent, dividend agent and custodial fees and expenses;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costs of registration and listing our shares on any securities exchange;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or other regulators including printing costs;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and mailing costs;</w:t>
      </w:r>
    </w:p>
    <w:p>
      <w:pPr>
        <w:spacing w:after="0" w:line="130" w:lineRule="exact"/>
        <w:rPr>
          <w:rFonts w:ascii="Arial" w:cs="Arial" w:eastAsia="Arial" w:hAnsi="Arial"/>
          <w:sz w:val="18"/>
          <w:szCs w:val="18"/>
          <w:color w:val="auto"/>
        </w:rPr>
      </w:pPr>
    </w:p>
    <w:p>
      <w:pPr>
        <w:ind w:left="1180" w:right="80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officers/errors and omissions liability insurance, and any other insurance premiums;</w:t>
      </w:r>
    </w:p>
    <w:p>
      <w:pPr>
        <w:spacing w:after="0" w:line="75" w:lineRule="exact"/>
        <w:rPr>
          <w:rFonts w:ascii="Arial" w:cs="Arial" w:eastAsia="Arial" w:hAnsi="Arial"/>
          <w:sz w:val="18"/>
          <w:szCs w:val="18"/>
          <w:color w:val="auto"/>
        </w:rPr>
      </w:pPr>
    </w:p>
    <w:p>
      <w:pPr>
        <w:ind w:left="1180" w:right="52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proxy voting expenses;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expenses reasonably incurred by us or our investment advisor in connection with administering our business.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During the six months ended June 30, 2019 and 2018, we invested $128.5 million and $104.0 million, respectively, in debt and equity investments including nine and nine new portfolio companies, respectively. During the six months ended June 30, 2019 and 2018, we received proceeds from sales or repayments, including principal, return of capital dividends and net realized gains (losses), of $75.3 million and $65.3 million, respectively, including exits of four and five portfolio companies, respectively. The following table summarizes investment purchases and sales and repayments of investments by type for the six months ended June 30, 2019 and 2018 (dollars in millions).</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87"/>
              </w:rPr>
              <w:t>Purchases of Investments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1"/>
              </w:rPr>
              <w:t>Sales and Repayments of Investments</w:t>
            </w:r>
          </w:p>
        </w:tc>
      </w:tr>
      <w:tr>
        <w:trPr>
          <w:trHeight w:val="142"/>
        </w:trPr>
        <w:tc>
          <w:tcPr>
            <w:tcW w:w="20" w:type="dxa"/>
            <w:vAlign w:val="bottom"/>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33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$35.1</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Subordinated Debt</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Equity</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Royalty Rights</w:t>
            </w:r>
          </w:p>
        </w:tc>
        <w:tc>
          <w:tcPr>
            <w:tcW w:w="2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128.5</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75.3</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As of June 30, 2019, the fair value of our investment portfolio totaled $697.3 million and consisted of 64 active portfolio companies and four portfolio companies that have sold their underlying operations. As of June 30, 2019, 12 portfolio company’s debt investments bore interest at a variable rate, which represented $121.4 million of our portfolio on a fair value basis, and the</w:t>
      </w:r>
    </w:p>
    <w:p>
      <w:pPr>
        <w:sectPr>
          <w:pgSz w:w="11900" w:h="16838" w:orient="portrait"/>
          <w:cols w:equalWidth="0" w:num="1">
            <w:col w:w="11240"/>
          </w:cols>
          <w:pgMar w:left="240" w:top="459" w:right="419" w:bottom="460" w:gutter="0" w:footer="0" w:header="0"/>
        </w:sectPr>
      </w:pP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240" w:top="459" w:right="419" w:bottom="46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remainder of our debt portfolio was comprised of fixed rate investments. Overall, the portfolio had net unrealized appreciation of $41.8 million as of June 30, 2019. As of June 30, 2019, our average active portfolio company investment at amortized cost was $10.2 million, which excludes investments in the four portfolio companies that have sold their underlying operations.</w:t>
      </w:r>
    </w:p>
    <w:p>
      <w:pPr>
        <w:spacing w:after="0" w:line="18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As of December 31, 2018, the fair value of our investment portfolio totaled $643.0 million and consisted of 60 active portfolio companies and three portfolio companies that have sold their underlying operations. As of December 31, 2018, seven debt investments bore interest at a variable rate, which represented $75.9 million of our portfolio on a fair value basis, and the remainder of our debt portfolio was comprised of fixed rate investments. Overall, the portfolio had net unrealized appreciation of $44.2 million as of December 31, 2018. As of December 31, 2018, our average active portfolio company investment at amortized cost was $10.0 million, which excludes investments in the three portfolio companies that have sold their underlying operations.</w:t>
      </w:r>
    </w:p>
    <w:p>
      <w:pPr>
        <w:spacing w:after="0" w:line="193"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weighted average yield on debt investments as of June 30, 2019 and December 31, 2018 was 12.4% and 12.6%,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June 30, 2019 and December 31, 2018, respectively, including the accretion of OID and debt investment origination fees, but excluding investments on non-accrual status, if any.</w:t>
      </w:r>
    </w:p>
    <w:p>
      <w:pPr>
        <w:spacing w:after="0" w:line="17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shows the portfolio composition by investment type at fair value and cost and as a percentage of total investments (dollars in millions):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Cost</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340" w:type="dxa"/>
            <w:vAlign w:val="bottom"/>
            <w:gridSpan w:val="5"/>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Pr>
          <w:p>
            <w:pPr>
              <w:spacing w:after="0"/>
              <w:rPr>
                <w:sz w:val="10"/>
                <w:szCs w:val="10"/>
                <w:color w:val="auto"/>
              </w:rPr>
            </w:pP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5"/>
          </w:tcPr>
          <w:p>
            <w:pPr>
              <w:jc w:val="center"/>
              <w:ind w:right="248"/>
              <w:spacing w:after="0" w:line="119" w:lineRule="exact"/>
              <w:rPr>
                <w:sz w:val="20"/>
                <w:szCs w:val="20"/>
                <w:color w:val="auto"/>
              </w:rPr>
            </w:pPr>
            <w:r>
              <w:rPr>
                <w:rFonts w:ascii="Arial" w:cs="Arial" w:eastAsia="Arial" w:hAnsi="Arial"/>
                <w:sz w:val="13"/>
                <w:szCs w:val="13"/>
                <w:b w:val="1"/>
                <w:bCs w:val="1"/>
                <w:color w:val="auto"/>
                <w:w w:val="96"/>
              </w:rPr>
              <w:t>June 30,</w:t>
            </w: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$366.5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$385.4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Subordinated Debt</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127.3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127.5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Equity</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122.6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Royalty Rights</w:t>
            </w:r>
          </w:p>
        </w:tc>
        <w:tc>
          <w:tcPr>
            <w:tcW w:w="2040" w:type="dxa"/>
            <w:vAlign w:val="bottom"/>
          </w:tcPr>
          <w:p>
            <w:pPr>
              <w:spacing w:after="0"/>
              <w:rPr>
                <w:sz w:val="19"/>
                <w:szCs w:val="19"/>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697.3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643.0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655.5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598.8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All investments made by the Company as of June 30, 2019 and December 31, 2018 were made in portfolio companies headquartered in the U.S.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Cost</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40" w:type="dxa"/>
            <w:vAlign w:val="bottom"/>
            <w:gridSpan w:val="5"/>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Pr>
          <w:p>
            <w:pPr>
              <w:spacing w:after="0"/>
              <w:rPr>
                <w:sz w:val="10"/>
                <w:szCs w:val="10"/>
                <w:color w:val="auto"/>
              </w:rPr>
            </w:pP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5"/>
          </w:tcPr>
          <w:p>
            <w:pPr>
              <w:jc w:val="center"/>
              <w:ind w:right="248"/>
              <w:spacing w:after="0" w:line="119" w:lineRule="exact"/>
              <w:rPr>
                <w:sz w:val="20"/>
                <w:szCs w:val="20"/>
                <w:color w:val="auto"/>
              </w:rPr>
            </w:pPr>
            <w:r>
              <w:rPr>
                <w:rFonts w:ascii="Arial" w:cs="Arial" w:eastAsia="Arial" w:hAnsi="Arial"/>
                <w:sz w:val="13"/>
                <w:szCs w:val="13"/>
                <w:b w:val="1"/>
                <w:bCs w:val="1"/>
                <w:color w:val="auto"/>
                <w:w w:val="96"/>
              </w:rPr>
              <w:t>June 30,</w:t>
            </w: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$159.2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$141.9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Southeast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153.7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176.8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22.1</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West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697.3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100.0%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643.0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655.5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598.8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40" w:type="dxa"/>
            <w:vAlign w:val="bottom"/>
            <w:gridSpan w:val="2"/>
          </w:tcPr>
          <w:p>
            <w:pPr>
              <w:jc w:val="right"/>
              <w:ind w:right="238"/>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detailed industry composition of our portfolio at fair value and cost as a percentage of total investments:</w:t>
      </w:r>
    </w:p>
    <w:p>
      <w:pPr>
        <w:spacing w:after="0" w:line="25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328"/>
              <w:spacing w:after="0" w:line="119" w:lineRule="exact"/>
              <w:rPr>
                <w:sz w:val="20"/>
                <w:szCs w:val="20"/>
                <w:color w:val="auto"/>
              </w:rPr>
            </w:pPr>
            <w:r>
              <w:rPr>
                <w:rFonts w:ascii="Arial" w:cs="Arial" w:eastAsia="Arial" w:hAnsi="Arial"/>
                <w:sz w:val="13"/>
                <w:szCs w:val="13"/>
                <w:b w:val="1"/>
                <w:bCs w:val="1"/>
                <w:color w:val="auto"/>
                <w:w w:val="92"/>
              </w:rPr>
              <w:t>June 30,</w:t>
            </w:r>
          </w:p>
        </w:tc>
        <w:tc>
          <w:tcPr>
            <w:tcW w:w="10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2"/>
              </w:rPr>
              <w:t>June 30,</w:t>
            </w:r>
          </w:p>
        </w:tc>
        <w:tc>
          <w:tcPr>
            <w:tcW w:w="12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Specialty Distribution</w:t>
            </w:r>
          </w:p>
        </w:tc>
        <w:tc>
          <w:tcPr>
            <w:tcW w:w="1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Information Technology Services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Oil &amp; Gas Services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Healthcare Products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Aerospace &amp; Defense Manufacturing</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Component Manufacturing</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Services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Vending Equipment Manufacturing</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Promotional Products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Consumer Products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Utilities: Services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Industrial Cleaning &amp; Coatings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Packaging</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 Manufacturing</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 Manufacturing</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Oil &amp; Gas Distribution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 Manufacturing</w:t>
            </w:r>
          </w:p>
        </w:tc>
        <w:tc>
          <w:tcPr>
            <w:tcW w:w="22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Restaurants</w:t>
            </w:r>
          </w:p>
        </w:tc>
        <w:tc>
          <w:tcPr>
            <w:tcW w:w="2260" w:type="dxa"/>
            <w:vAlign w:val="bottom"/>
            <w:gridSpan w:val="3"/>
          </w:tcPr>
          <w:p>
            <w:pPr>
              <w:jc w:val="right"/>
              <w:ind w:right="148"/>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Specialty Chemicals</w:t>
            </w:r>
          </w:p>
        </w:tc>
        <w:tc>
          <w:tcPr>
            <w:tcW w:w="1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900" w:type="dxa"/>
            <w:vAlign w:val="bottom"/>
            <w:gridSpan w:val="2"/>
          </w:tcPr>
          <w:p>
            <w:pPr>
              <w:jc w:val="right"/>
              <w:ind w:right="188"/>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360" w:type="dxa"/>
            <w:vAlign w:val="bottom"/>
            <w:vMerge w:val="continue"/>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Percentage is less than 0.1% of respective total.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Asset Quality</w:t>
      </w:r>
    </w:p>
    <w:p>
      <w:pPr>
        <w:spacing w:after="0" w:line="121"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7" w:lineRule="exact"/>
        <w:rPr>
          <w:sz w:val="20"/>
          <w:szCs w:val="20"/>
          <w:color w:val="auto"/>
        </w:rPr>
      </w:pPr>
    </w:p>
    <w:p>
      <w:pPr>
        <w:ind w:left="1180" w:right="280" w:hanging="436"/>
        <w:spacing w:after="0" w:line="264"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86"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86"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86" w:lineRule="exact"/>
        <w:rPr>
          <w:rFonts w:ascii="Arial" w:cs="Arial" w:eastAsia="Arial" w:hAnsi="Arial"/>
          <w:sz w:val="18"/>
          <w:szCs w:val="18"/>
          <w:color w:val="auto"/>
        </w:rPr>
      </w:pPr>
    </w:p>
    <w:p>
      <w:pPr>
        <w:ind w:left="1180" w:right="680" w:hanging="436"/>
        <w:spacing w:after="0" w:line="308" w:lineRule="auto"/>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51" w:lineRule="exact"/>
        <w:rPr>
          <w:rFonts w:ascii="Arial" w:cs="Arial" w:eastAsia="Arial" w:hAnsi="Arial"/>
          <w:sz w:val="17"/>
          <w:szCs w:val="17"/>
          <w:color w:val="auto"/>
        </w:rPr>
      </w:pPr>
    </w:p>
    <w:p>
      <w:pPr>
        <w:ind w:left="1180" w:right="28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60"/>
          </w:cols>
          <w:pgMar w:left="24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distribution of our investments on the 1 to 5 investment rating scale at fair value and cost as of June 30, 2019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(dollars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Investment Rating</w:t>
            </w:r>
          </w:p>
        </w:tc>
        <w:tc>
          <w:tcPr>
            <w:tcW w:w="4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5"/>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Pr>
          <w:p>
            <w:pPr>
              <w:spacing w:after="0"/>
              <w:rPr>
                <w:sz w:val="10"/>
                <w:szCs w:val="10"/>
                <w:color w:val="auto"/>
              </w:rPr>
            </w:pP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5"/>
          </w:tcPr>
          <w:p>
            <w:pPr>
              <w:jc w:val="center"/>
              <w:ind w:right="328"/>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0"/>
                <w:szCs w:val="10"/>
                <w:color w:val="auto"/>
              </w:rPr>
            </w:pPr>
          </w:p>
        </w:tc>
        <w:tc>
          <w:tcPr>
            <w:tcW w:w="1020" w:type="dxa"/>
            <w:vAlign w:val="bottom"/>
            <w:gridSpan w:val="4"/>
          </w:tcPr>
          <w:p>
            <w:pPr>
              <w:jc w:val="center"/>
              <w:ind w:right="1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60" w:type="dxa"/>
            <w:vAlign w:val="bottom"/>
            <w:gridSpan w:val="2"/>
            <w:vMerge w:val="continue"/>
          </w:tcPr>
          <w:p>
            <w:pPr>
              <w:spacing w:after="0"/>
              <w:rPr>
                <w:sz w:val="13"/>
                <w:szCs w:val="13"/>
                <w:color w:val="auto"/>
              </w:rPr>
            </w:pPr>
          </w:p>
        </w:tc>
        <w:tc>
          <w:tcPr>
            <w:tcW w:w="4960" w:type="dxa"/>
            <w:vAlign w:val="bottom"/>
            <w:gridSpan w:val="5"/>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4"/>
          </w:tcPr>
          <w:p>
            <w:pPr>
              <w:jc w:val="right"/>
              <w:spacing w:after="0" w:line="158"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right"/>
              <w:ind w:right="20"/>
              <w:spacing w:after="0" w:line="158"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4260" w:type="dxa"/>
            <w:vAlign w:val="bottom"/>
            <w:gridSpan w:val="2"/>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426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$112.6</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16.2%</w:t>
            </w:r>
          </w:p>
        </w:tc>
        <w:tc>
          <w:tcPr>
            <w:tcW w:w="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$123.8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19.2%</w:t>
            </w:r>
          </w:p>
        </w:tc>
        <w:tc>
          <w:tcPr>
            <w:tcW w:w="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525.5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403.1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519.5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396.2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4</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26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697.3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100.0%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643.0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655.5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100.0%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598.8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Based on our investment rating system, the weighted average rating of our portfolio as of June 30, 2019 and December 31, 2018 was 1.9 and 2.0, respectively, on a fair value basis and 2.2 and 2.2, respectively, on a cost basis.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Non-Accrual</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As of June 30, 2019 and December 31, 2018, we had debt investments in two portfolio companies on non-accrual status, respectively (dollars in millions):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June 30, 2019</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w w:val="96"/>
              </w:rPr>
              <w:t>December 31, 2018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0" w:type="dxa"/>
            <w:vAlign w:val="bottom"/>
          </w:tcPr>
          <w:p>
            <w:pPr>
              <w:spacing w:after="0"/>
              <w:rPr>
                <w:sz w:val="10"/>
                <w:szCs w:val="10"/>
                <w:color w:val="auto"/>
              </w:rPr>
            </w:pPr>
          </w:p>
        </w:tc>
        <w:tc>
          <w:tcPr>
            <w:tcW w:w="680" w:type="dxa"/>
            <w:vAlign w:val="bottom"/>
            <w:gridSpan w:val="2"/>
          </w:tcPr>
          <w:p>
            <w:pPr>
              <w:jc w:val="center"/>
              <w:ind w:right="263"/>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760" w:type="dxa"/>
            <w:vAlign w:val="bottom"/>
            <w:gridSpan w:val="2"/>
            <w:vMerge w:val="restart"/>
          </w:tcPr>
          <w:p>
            <w:pPr>
              <w:jc w:val="right"/>
              <w:ind w:right="343"/>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0"/>
                <w:szCs w:val="10"/>
                <w:color w:val="auto"/>
              </w:rPr>
            </w:pPr>
          </w:p>
        </w:tc>
        <w:tc>
          <w:tcPr>
            <w:tcW w:w="7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58"/>
        </w:trPr>
        <w:tc>
          <w:tcPr>
            <w:tcW w:w="67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jc w:val="center"/>
              <w:ind w:right="263"/>
              <w:spacing w:after="0" w:line="158"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K2 Industrial Services, Inc.</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5"/>
              </w:rPr>
              <w:t>$—</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87"/>
              </w:rPr>
              <w:t>(1)</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w w:val="90"/>
              </w:rPr>
              <w:t>$ —</w:t>
            </w:r>
          </w:p>
        </w:tc>
        <w:tc>
          <w:tcPr>
            <w:tcW w:w="3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87"/>
              </w:rPr>
              <w:t>(1)</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$13.2</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$ 14.3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Oaktree Medical Centre, P.C. (dba Pain Management Associates)</w:t>
            </w:r>
          </w:p>
        </w:tc>
        <w:tc>
          <w:tcPr>
            <w:tcW w:w="20" w:type="dxa"/>
            <w:vAlign w:val="bottom"/>
          </w:tcPr>
          <w:p>
            <w:pPr>
              <w:spacing w:after="0"/>
              <w:rPr>
                <w:sz w:val="18"/>
                <w:szCs w:val="18"/>
                <w:color w:val="auto"/>
              </w:rPr>
            </w:pPr>
          </w:p>
        </w:tc>
        <w:tc>
          <w:tcPr>
            <w:tcW w:w="680" w:type="dxa"/>
            <w:vAlign w:val="bottom"/>
            <w:gridSpan w:val="2"/>
          </w:tcPr>
          <w:p>
            <w:pPr>
              <w:jc w:val="right"/>
              <w:ind w:right="343"/>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GreenFiber, LLC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20.8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$ 29.6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Interest earned while on non-accrual was paid in full at exit.</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Portfolio company debt investments were not on non-accrual status at period end.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three and six months ended June 30, 2019 and 2018</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Below is a summary of the changes in total investment income for the three months ended June 30, 2019 as compared to the same period in 2018 (dollars in millions):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44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vMerge w:val="restart"/>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2019</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2018</w:t>
            </w:r>
          </w:p>
        </w:tc>
        <w:tc>
          <w:tcPr>
            <w:tcW w:w="44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CCEEFF"/>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Fee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Total investment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For the three months ended June 30, 2019, total investment income was $18.1 million, flat with the three months ended June 30, 2018. As reflected in the table above, changes across periods are primarily attributable to the following:</w:t>
      </w:r>
    </w:p>
    <w:p>
      <w:pPr>
        <w:spacing w:after="0" w:line="76" w:lineRule="exact"/>
        <w:rPr>
          <w:sz w:val="20"/>
          <w:szCs w:val="20"/>
          <w:color w:val="auto"/>
        </w:rPr>
      </w:pPr>
    </w:p>
    <w:p>
      <w:pPr>
        <w:ind w:left="1620" w:right="440" w:hanging="322"/>
        <w:spacing w:after="0" w:line="264"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$(0.2) million decrease in total interest income (including payment-in-kind interest income) resulting from a small decrease in weighted average debt yield and the impact of a new non-accrual investment, partially offset by higher average debt investment balances outstanding, during 2019 as compared to 2018.</w:t>
      </w:r>
    </w:p>
    <w:p>
      <w:pPr>
        <w:sectPr>
          <w:pgSz w:w="11900" w:h="16838" w:orient="portrait"/>
          <w:cols w:equalWidth="0" w:num="1">
            <w:col w:w="11240"/>
          </w:cols>
          <w:pgMar w:left="240" w:top="459" w:right="419" w:bottom="1440" w:gutter="0" w:footer="0" w:header="0"/>
        </w:sectPr>
      </w:pP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240" w:top="459" w:right="41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40" w:hanging="322"/>
        <w:spacing w:after="0" w:line="27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$(0.2) million decrease in fee income resulting from a decrease in structuring fees on new investments, during 2019 as compared to 2018.</w:t>
      </w:r>
    </w:p>
    <w:p>
      <w:pPr>
        <w:spacing w:after="0" w:line="75" w:lineRule="exact"/>
        <w:rPr>
          <w:rFonts w:ascii="Arial" w:cs="Arial" w:eastAsia="Arial" w:hAnsi="Arial"/>
          <w:sz w:val="18"/>
          <w:szCs w:val="18"/>
          <w:color w:val="auto"/>
        </w:rPr>
      </w:pPr>
    </w:p>
    <w:p>
      <w:pPr>
        <w:ind w:left="1620" w:right="240" w:hanging="322"/>
        <w:spacing w:after="0" w:line="27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$0.3 million increase in dividend income, during 2019 as compared to 2018, due to increased levels of distributions received from equity investments.</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Below is a summary of the changes in total investment income for the six months ended June 30, 2019 as compared to the same period in 2018 (dollars in millions):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8"/>
              </w:rPr>
              <w:t>Six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4"/>
                <w:szCs w:val="14"/>
                <w:color w:val="auto"/>
              </w:rPr>
            </w:pPr>
          </w:p>
        </w:tc>
        <w:tc>
          <w:tcPr>
            <w:tcW w:w="6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2018</w:t>
            </w:r>
          </w:p>
        </w:tc>
        <w:tc>
          <w:tcPr>
            <w:tcW w:w="6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Fee income</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Total investment income</w:t>
            </w: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38.4</w:t>
            </w:r>
          </w:p>
        </w:tc>
        <w:tc>
          <w:tcPr>
            <w:tcW w:w="5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36.3</w:t>
            </w:r>
          </w:p>
        </w:tc>
        <w:tc>
          <w:tcPr>
            <w:tcW w:w="5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1</w:t>
            </w:r>
          </w:p>
        </w:tc>
        <w:tc>
          <w:tcPr>
            <w:tcW w:w="50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For the six months ended June 30, 2019, total investment income was $38.4 million, an increase of $2.1 million or 5.6%, from the $36.3 million of total investment income for the six months ended June 30, 2018. As reflected in the table above, the increase is primarily attributable to the following:</w:t>
      </w:r>
    </w:p>
    <w:p>
      <w:pPr>
        <w:spacing w:after="0" w:line="29" w:lineRule="exact"/>
        <w:rPr>
          <w:sz w:val="20"/>
          <w:szCs w:val="20"/>
          <w:color w:val="auto"/>
        </w:rPr>
      </w:pPr>
    </w:p>
    <w:p>
      <w:pPr>
        <w:ind w:left="1620" w:right="320" w:hanging="322"/>
        <w:spacing w:after="0" w:line="264"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$1.3 million increase in total interest income (including payment-in-kind interest income) resulting from higher average debt investment balances outstanding, partially offset by a small decrease in weighted average debt yield, during 2019 as compared to 2018.</w:t>
      </w:r>
    </w:p>
    <w:p>
      <w:pPr>
        <w:spacing w:after="0" w:line="86" w:lineRule="exact"/>
        <w:rPr>
          <w:rFonts w:ascii="Arial" w:cs="Arial" w:eastAsia="Arial" w:hAnsi="Arial"/>
          <w:sz w:val="18"/>
          <w:szCs w:val="18"/>
          <w:color w:val="auto"/>
        </w:rPr>
      </w:pPr>
    </w:p>
    <w:p>
      <w:pPr>
        <w:ind w:left="1620" w:right="180" w:hanging="322"/>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$0.5 million increase in fee income resulting from an increase in structuring fees due to a comparative increase in new investments and an increase in prepayment fee income, during 2019 as compared to 2018.</w:t>
      </w:r>
    </w:p>
    <w:p>
      <w:pPr>
        <w:spacing w:after="0" w:line="75" w:lineRule="exact"/>
        <w:rPr>
          <w:rFonts w:ascii="Arial" w:cs="Arial" w:eastAsia="Arial" w:hAnsi="Arial"/>
          <w:sz w:val="18"/>
          <w:szCs w:val="18"/>
          <w:color w:val="auto"/>
        </w:rPr>
      </w:pPr>
    </w:p>
    <w:p>
      <w:pPr>
        <w:ind w:left="1620" w:right="240" w:hanging="322"/>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$0.3 million increase in dividend income, during 2019 as compared to 2018, due to increased levels of distributions received from equity investments.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Below is a summary of the changes in total expenses, including income tax provision, for the three months ended June 30, 2019 as compared to the same period in 2018 (dollars in millions):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Base management fee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Incentive fee - capital gains</w:t>
            </w:r>
          </w:p>
        </w:tc>
        <w:tc>
          <w:tcPr>
            <w:tcW w:w="80" w:type="dxa"/>
            <w:vAlign w:val="bottom"/>
          </w:tcPr>
          <w:p>
            <w:pPr>
              <w:spacing w:after="0"/>
              <w:rPr>
                <w:sz w:val="18"/>
                <w:szCs w:val="18"/>
                <w:color w:val="auto"/>
              </w:rPr>
            </w:pPr>
          </w:p>
        </w:tc>
        <w:tc>
          <w:tcPr>
            <w:tcW w:w="960" w:type="dxa"/>
            <w:vAlign w:val="bottom"/>
            <w:gridSpan w:val="2"/>
          </w:tcPr>
          <w:p>
            <w:pPr>
              <w:jc w:val="right"/>
              <w:ind w:right="40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Total expenses, before income tax provision</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50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Total expenses, including income tax provision</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tcPr>
          <w:p>
            <w:pPr>
              <w:jc w:val="right"/>
              <w:ind w:right="360"/>
              <w:spacing w:after="0"/>
              <w:rPr>
                <w:sz w:val="20"/>
                <w:szCs w:val="20"/>
                <w:color w:val="auto"/>
              </w:rPr>
            </w:pPr>
            <w:r>
              <w:rPr>
                <w:rFonts w:ascii="Arial" w:cs="Arial" w:eastAsia="Arial" w:hAnsi="Arial"/>
                <w:sz w:val="16"/>
                <w:szCs w:val="16"/>
                <w:color w:val="auto"/>
                <w:w w:val="74"/>
              </w:rPr>
              <w:t>)</w:t>
            </w: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50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For the three months ended June 30, 2019, total expenses, including income tax provision, were $8.5 million, a decrease of $(0.7) million, or (8.0)%, from the $9.2 million of total expenses, including income tax provision, for the three months ended June 30, 2018. As reflected in the table above, the increase is primarily attributable to the following:</w:t>
      </w:r>
    </w:p>
    <w:p>
      <w:pPr>
        <w:spacing w:after="0" w:line="87" w:lineRule="exact"/>
        <w:rPr>
          <w:sz w:val="20"/>
          <w:szCs w:val="20"/>
          <w:color w:val="auto"/>
        </w:rPr>
      </w:pPr>
    </w:p>
    <w:p>
      <w:pPr>
        <w:ind w:left="2280" w:right="540" w:hanging="537"/>
        <w:spacing w:after="0" w:line="308" w:lineRule="auto"/>
        <w:tabs>
          <w:tab w:leader="none" w:pos="2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$1.0 million increase in interest and financing expenses due to an increase in average borrowings outstanding and an increase in weighted average interest rate on borrowings during 2019 as compared to 2018.</w:t>
      </w:r>
    </w:p>
    <w:p>
      <w:pPr>
        <w:sectPr>
          <w:pgSz w:w="11900" w:h="16838" w:orient="portrait"/>
          <w:cols w:equalWidth="0" w:num="1">
            <w:col w:w="11220"/>
          </w:cols>
          <w:pgMar w:left="240" w:top="459" w:right="439" w:bottom="1440" w:gutter="0" w:footer="0" w:header="0"/>
        </w:sectPr>
      </w:pP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20"/>
          </w:cols>
          <w:pgMar w:left="240" w:top="459" w:right="4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80" w:hanging="537"/>
        <w:spacing w:after="0" w:line="286" w:lineRule="auto"/>
        <w:tabs>
          <w:tab w:leader="none" w:pos="2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$(1.0) million decrease in the capital gains incentive fee due to a $(5.1) million change in net gain (loss) on investments (net realized gains (losses), plus net change in unrealized appreciation (depreciation) on investments, plus realized losses on extinguishment of debt) during 2019, as compared to the same period in 2018.</w:t>
      </w:r>
    </w:p>
    <w:p>
      <w:pPr>
        <w:spacing w:after="0" w:line="70" w:lineRule="exact"/>
        <w:rPr>
          <w:rFonts w:ascii="Arial" w:cs="Arial" w:eastAsia="Arial" w:hAnsi="Arial"/>
          <w:sz w:val="17"/>
          <w:szCs w:val="17"/>
          <w:color w:val="auto"/>
        </w:rPr>
      </w:pPr>
    </w:p>
    <w:p>
      <w:pPr>
        <w:ind w:left="2280" w:hanging="537"/>
        <w:spacing w:after="0"/>
        <w:tabs>
          <w:tab w:leader="none" w:pos="2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$0.2 million increase in base management fee due to higher average total assets during 2019 as compared to 2018.</w:t>
      </w:r>
    </w:p>
    <w:p>
      <w:pPr>
        <w:spacing w:after="0" w:line="142" w:lineRule="exact"/>
        <w:rPr>
          <w:rFonts w:ascii="Arial" w:cs="Arial" w:eastAsia="Arial" w:hAnsi="Arial"/>
          <w:sz w:val="17"/>
          <w:szCs w:val="17"/>
          <w:color w:val="auto"/>
        </w:rPr>
      </w:pPr>
    </w:p>
    <w:p>
      <w:pPr>
        <w:ind w:left="2280" w:right="400" w:hanging="537"/>
        <w:spacing w:after="0" w:line="342" w:lineRule="auto"/>
        <w:tabs>
          <w:tab w:leader="none" w:pos="2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$(0.9) million decrease in the income incentive fee due to a $(1.2) million decrease in pre-incentive fee net investment income and that amount not exceeding the 2.5% hurdle rate during 2019, as compared to the same period in 2018.</w:t>
      </w:r>
    </w:p>
    <w:p>
      <w:pPr>
        <w:spacing w:after="0" w:line="29" w:lineRule="exact"/>
        <w:rPr>
          <w:rFonts w:ascii="Arial" w:cs="Arial" w:eastAsia="Arial" w:hAnsi="Arial"/>
          <w:sz w:val="16"/>
          <w:szCs w:val="16"/>
          <w:color w:val="auto"/>
        </w:rPr>
      </w:pPr>
    </w:p>
    <w:p>
      <w:pPr>
        <w:ind w:left="2280" w:right="840" w:hanging="537"/>
        <w:spacing w:after="0" w:line="308" w:lineRule="auto"/>
        <w:tabs>
          <w:tab w:leader="none" w:pos="2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$(0.2) million decrease in other general and administrative expenses during 2019, as 2018 included a non-recurring write-off of deferred equity offering costs related to our previous Form N-2 registration statement.</w:t>
      </w:r>
    </w:p>
    <w:p>
      <w:pPr>
        <w:spacing w:after="0" w:line="14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Below is a summary of the changes in total expenses, including income tax provision, for the six months ended June 30, 2019 as compared to the same period in 2018 (dollars in millions):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w w:val="92"/>
              </w:rPr>
              <w:t>Six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5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Base management fee</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Incentive fee - capital gains</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Total expenses, before income tax provision</w:t>
            </w: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Total expenses, including income tax provision</w:t>
            </w: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tcPr>
          <w:p>
            <w:pPr>
              <w:jc w:val="right"/>
              <w:ind w:right="300"/>
              <w:spacing w:after="0"/>
              <w:rPr>
                <w:sz w:val="20"/>
                <w:szCs w:val="20"/>
                <w:color w:val="auto"/>
              </w:rPr>
            </w:pPr>
            <w:r>
              <w:rPr>
                <w:rFonts w:ascii="Arial" w:cs="Arial" w:eastAsia="Arial" w:hAnsi="Arial"/>
                <w:sz w:val="16"/>
                <w:szCs w:val="16"/>
                <w:color w:val="auto"/>
                <w:w w:val="74"/>
              </w:rPr>
              <w:t>)</w:t>
            </w: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19.2</w:t>
            </w:r>
          </w:p>
        </w:tc>
        <w:tc>
          <w:tcPr>
            <w:tcW w:w="2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19.9</w:t>
            </w:r>
          </w:p>
        </w:tc>
        <w:tc>
          <w:tcPr>
            <w:tcW w:w="4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44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For the six months ended June 30, 2019, total expenses, including income tax provision, were $19.2 million, a decrease of $(0.7) million, or (3.5)%, from the $19.9 million of total expenses, including income tax provision, for the six months ended June 30, 2018. As reflected in the table above, the increase is primarily attributable to the following:</w:t>
      </w:r>
    </w:p>
    <w:p>
      <w:pPr>
        <w:spacing w:after="0" w:line="87" w:lineRule="exact"/>
        <w:rPr>
          <w:sz w:val="20"/>
          <w:szCs w:val="20"/>
          <w:color w:val="auto"/>
        </w:rPr>
      </w:pPr>
    </w:p>
    <w:p>
      <w:pPr>
        <w:ind w:left="2280" w:right="540" w:hanging="537"/>
        <w:spacing w:after="0" w:line="308" w:lineRule="auto"/>
        <w:tabs>
          <w:tab w:leader="none" w:pos="22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$1.8 million increase in interest and financing expenses due to an increase in average borrowings outstanding and an increase in weighted average interest rate on borrowings during 2019 as compared to 2018.</w:t>
      </w:r>
    </w:p>
    <w:p>
      <w:pPr>
        <w:spacing w:after="0" w:line="51" w:lineRule="exact"/>
        <w:rPr>
          <w:rFonts w:ascii="Arial" w:cs="Arial" w:eastAsia="Arial" w:hAnsi="Arial"/>
          <w:sz w:val="17"/>
          <w:szCs w:val="17"/>
          <w:color w:val="auto"/>
        </w:rPr>
      </w:pPr>
    </w:p>
    <w:p>
      <w:pPr>
        <w:ind w:left="2280" w:hanging="537"/>
        <w:spacing w:after="0"/>
        <w:tabs>
          <w:tab w:leader="none" w:pos="22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$0.4 million increase in base management fee due to higher average total assets during 2019 as compared to 2018.</w:t>
      </w:r>
    </w:p>
    <w:p>
      <w:pPr>
        <w:spacing w:after="0" w:line="142" w:lineRule="exact"/>
        <w:rPr>
          <w:rFonts w:ascii="Arial" w:cs="Arial" w:eastAsia="Arial" w:hAnsi="Arial"/>
          <w:sz w:val="17"/>
          <w:szCs w:val="17"/>
          <w:color w:val="auto"/>
        </w:rPr>
      </w:pPr>
    </w:p>
    <w:p>
      <w:pPr>
        <w:ind w:left="2280" w:right="20" w:hanging="537"/>
        <w:spacing w:after="0" w:line="277" w:lineRule="auto"/>
        <w:tabs>
          <w:tab w:leader="none" w:pos="2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$0.2 million increase in professional fees due to increased legal, audit and tax compliance costs during 2019 as compared to 2018.</w:t>
      </w:r>
    </w:p>
    <w:p>
      <w:pPr>
        <w:spacing w:after="0" w:line="75" w:lineRule="exact"/>
        <w:rPr>
          <w:rFonts w:ascii="Arial" w:cs="Arial" w:eastAsia="Arial" w:hAnsi="Arial"/>
          <w:sz w:val="18"/>
          <w:szCs w:val="18"/>
          <w:color w:val="auto"/>
        </w:rPr>
      </w:pPr>
    </w:p>
    <w:p>
      <w:pPr>
        <w:ind w:left="2280" w:right="220" w:hanging="537"/>
        <w:spacing w:after="0" w:line="264" w:lineRule="auto"/>
        <w:tabs>
          <w:tab w:leader="none" w:pos="2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$(2.2) million decrease in the capital gains incentive fee due to a $(10.8) million change in net gain (loss) on investments (net realized gains (losses) plus net change in unrealized appreciation (depreciation) on investments) during 2019, as compared to the same period in 2018.</w:t>
      </w:r>
    </w:p>
    <w:p>
      <w:pPr>
        <w:spacing w:after="0" w:line="86" w:lineRule="exact"/>
        <w:rPr>
          <w:rFonts w:ascii="Arial" w:cs="Arial" w:eastAsia="Arial" w:hAnsi="Arial"/>
          <w:sz w:val="18"/>
          <w:szCs w:val="18"/>
          <w:color w:val="auto"/>
        </w:rPr>
      </w:pPr>
    </w:p>
    <w:p>
      <w:pPr>
        <w:ind w:left="2280" w:right="160" w:hanging="537"/>
        <w:spacing w:after="0" w:line="264" w:lineRule="auto"/>
        <w:tabs>
          <w:tab w:leader="none" w:pos="2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$(0.6) million decrease in the income incentive fee due to a $(0.1) million decrease in pre-incentive fee net investment income, during 2019 as compared to the same period in 2018, and the Q2 2019 fee amount not exceeding the 2.5% hurdle rate.</w:t>
      </w:r>
    </w:p>
    <w:p>
      <w:pPr>
        <w:spacing w:after="0" w:line="86" w:lineRule="exact"/>
        <w:rPr>
          <w:rFonts w:ascii="Arial" w:cs="Arial" w:eastAsia="Arial" w:hAnsi="Arial"/>
          <w:sz w:val="18"/>
          <w:szCs w:val="18"/>
          <w:color w:val="auto"/>
        </w:rPr>
      </w:pPr>
    </w:p>
    <w:p>
      <w:pPr>
        <w:ind w:left="2280" w:right="640" w:hanging="537"/>
        <w:spacing w:after="0" w:line="308" w:lineRule="auto"/>
        <w:tabs>
          <w:tab w:leader="none" w:pos="22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$(0.2) million decrease in other general and administrative expenses during 2019, as 2018 included a non-recurring write-off of deferred equity offering costs related to our previous Form N-2 registration statement.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Net investment income increased by $0.7 million, or 7.6%, to $9.6 million during the three months ended June 30, 2019 as compared to the same period in 2018, as a result of the flat total investment income and more than offset by the decrease in total expenses, including income tax provision, of $(0.7) million.</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Net investment income increased by $2.8 million, or 16.7%, to $19.2 million during the six months ended June 30, 2019 as compared to the same period in 2018, as a result of the $2.1 million increase in total investment income and partially offset by the decrease in total expenses, including income tax provision, of $(0.7) million.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Gain (Loss) on Investments</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For the three and six months ended June 30, 2019, the total net realized loss on investments, before income tax provision on realized gains, was $(0.1) million and $(1.7) million, respectively. Income tax provision from realized gains on investments was $0.3 and $0.3 million for the three and six months ended June 30, 2019, respectively. Significant realized gains (losses) for the three and six months ended June 30, 2019 are summarized below (dollars in millions):</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ind w:left="20"/>
              <w:spacing w:after="0"/>
              <w:rPr>
                <w:sz w:val="20"/>
                <w:szCs w:val="20"/>
                <w:color w:val="auto"/>
              </w:rPr>
            </w:pPr>
            <w:r>
              <w:rPr>
                <w:rFonts w:ascii="Arial" w:cs="Arial" w:eastAsia="Arial" w:hAnsi="Arial"/>
                <w:sz w:val="14"/>
                <w:szCs w:val="14"/>
                <w:b w:val="1"/>
                <w:bCs w:val="1"/>
                <w:color w:val="auto"/>
              </w:rPr>
              <w:t>Period Ended June 30, 2019</w:t>
            </w:r>
          </w:p>
        </w:tc>
        <w:tc>
          <w:tcPr>
            <w:tcW w:w="0" w:type="dxa"/>
            <w:vAlign w:val="bottom"/>
          </w:tcPr>
          <w:p>
            <w:pPr>
              <w:spacing w:after="0"/>
              <w:rPr>
                <w:sz w:val="1"/>
                <w:szCs w:val="1"/>
                <w:color w:val="auto"/>
              </w:rPr>
            </w:pPr>
          </w:p>
        </w:tc>
      </w:tr>
      <w:tr>
        <w:trPr>
          <w:trHeight w:val="119"/>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60" w:type="dxa"/>
            <w:vAlign w:val="bottom"/>
          </w:tcPr>
          <w:p>
            <w:pPr>
              <w:spacing w:after="0"/>
              <w:rPr>
                <w:sz w:val="10"/>
                <w:szCs w:val="10"/>
                <w:color w:val="auto"/>
              </w:rPr>
            </w:pPr>
          </w:p>
        </w:tc>
        <w:tc>
          <w:tcPr>
            <w:tcW w:w="406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Three</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Six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7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4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Malabar International</w:t>
            </w:r>
          </w:p>
        </w:tc>
        <w:tc>
          <w:tcPr>
            <w:tcW w:w="26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Escrow distribution</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Trantech Radiator Products, Inc.</w:t>
            </w:r>
          </w:p>
        </w:tc>
        <w:tc>
          <w:tcPr>
            <w:tcW w:w="4320" w:type="dxa"/>
            <w:vAlign w:val="bottom"/>
            <w:gridSpan w:val="3"/>
          </w:tcPr>
          <w:p>
            <w:pPr>
              <w:ind w:left="260"/>
              <w:spacing w:after="0"/>
              <w:rPr>
                <w:sz w:val="20"/>
                <w:szCs w:val="20"/>
                <w:color w:val="auto"/>
              </w:rPr>
            </w:pPr>
            <w:r>
              <w:rPr>
                <w:rFonts w:ascii="Arial" w:cs="Arial" w:eastAsia="Arial" w:hAnsi="Arial"/>
                <w:sz w:val="18"/>
                <w:szCs w:val="18"/>
                <w:color w:val="auto"/>
              </w:rPr>
              <w:t>Exit of portfolio company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Consolidated Infrastructure Group Holdings, LP</w:t>
            </w:r>
          </w:p>
        </w:tc>
        <w:tc>
          <w:tcPr>
            <w:tcW w:w="43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Exit of portfolio 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K2 Industrial Services, Inc.</w:t>
            </w:r>
          </w:p>
        </w:tc>
        <w:tc>
          <w:tcPr>
            <w:tcW w:w="4320" w:type="dxa"/>
            <w:vAlign w:val="bottom"/>
            <w:gridSpan w:val="3"/>
          </w:tcPr>
          <w:p>
            <w:pPr>
              <w:ind w:left="260"/>
              <w:spacing w:after="0"/>
              <w:rPr>
                <w:sz w:val="20"/>
                <w:szCs w:val="20"/>
                <w:color w:val="auto"/>
              </w:rPr>
            </w:pPr>
            <w:r>
              <w:rPr>
                <w:rFonts w:ascii="Arial" w:cs="Arial" w:eastAsia="Arial" w:hAnsi="Arial"/>
                <w:sz w:val="18"/>
                <w:szCs w:val="18"/>
                <w:color w:val="auto"/>
              </w:rPr>
              <w:t>Exit of portfolio company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gridSpan w:val="3"/>
          </w:tcPr>
          <w:p>
            <w:pPr>
              <w:spacing w:after="0"/>
              <w:rPr>
                <w:sz w:val="20"/>
                <w:szCs w:val="20"/>
                <w:color w:val="auto"/>
              </w:rPr>
            </w:pPr>
            <w:r>
              <w:rPr>
                <w:rFonts w:ascii="Arial" w:cs="Arial" w:eastAsia="Arial" w:hAnsi="Arial"/>
                <w:sz w:val="18"/>
                <w:szCs w:val="18"/>
                <w:color w:val="auto"/>
              </w:rPr>
              <w:t>Net realized gain (loss) on investments</w:t>
            </w:r>
          </w:p>
        </w:tc>
        <w:tc>
          <w:tcPr>
            <w:tcW w:w="2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tax provision from realized gains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8080" w:type="dxa"/>
            <w:vAlign w:val="bottom"/>
            <w:gridSpan w:val="6"/>
          </w:tcPr>
          <w:p>
            <w:pPr>
              <w:spacing w:after="0"/>
              <w:rPr>
                <w:sz w:val="20"/>
                <w:szCs w:val="20"/>
                <w:color w:val="auto"/>
              </w:rPr>
            </w:pPr>
            <w:r>
              <w:rPr>
                <w:rFonts w:ascii="Arial" w:cs="Arial" w:eastAsia="Arial" w:hAnsi="Arial"/>
                <w:sz w:val="18"/>
                <w:szCs w:val="18"/>
                <w:color w:val="auto"/>
              </w:rPr>
              <w:t>Net realized gain (loss), net of income tax provision, on investments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120" w:hanging="436"/>
        <w:spacing w:after="0" w:line="257"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three and six months ended June 30, 2018, the total net realized loss on investments, before income tax provision on realized gains, was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$(15.2) million and $(7.9) million, respectively. Income tax provision from realized gains on investments was zero and $1.7 million for the three and six</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months ended June 30, 2018, respectively. Significant realized gains (losses) for the three and six months ended June 30, 2018 are summarized below</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(dollars in millions):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3"/>
              </w:rPr>
              <w:t>Period Ended June 30, 2018</w:t>
            </w:r>
          </w:p>
        </w:tc>
        <w:tc>
          <w:tcPr>
            <w:tcW w:w="0" w:type="dxa"/>
            <w:vAlign w:val="bottom"/>
          </w:tcPr>
          <w:p>
            <w:pPr>
              <w:spacing w:after="0"/>
              <w:rPr>
                <w:sz w:val="1"/>
                <w:szCs w:val="1"/>
                <w:color w:val="auto"/>
              </w:rPr>
            </w:pPr>
          </w:p>
        </w:tc>
      </w:tr>
      <w:tr>
        <w:trPr>
          <w:trHeight w:val="119"/>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620" w:type="dxa"/>
            <w:vAlign w:val="bottom"/>
          </w:tcPr>
          <w:p>
            <w:pPr>
              <w:spacing w:after="0"/>
              <w:rPr>
                <w:sz w:val="10"/>
                <w:szCs w:val="10"/>
                <w:color w:val="auto"/>
              </w:rPr>
            </w:pPr>
          </w:p>
        </w:tc>
        <w:tc>
          <w:tcPr>
            <w:tcW w:w="4100" w:type="dxa"/>
            <w:vAlign w:val="bottom"/>
            <w:gridSpan w:val="2"/>
            <w:vMerge w:val="restart"/>
          </w:tcPr>
          <w:p>
            <w:pPr>
              <w:ind w:left="124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Three</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93"/>
              <w:spacing w:after="0" w:line="119" w:lineRule="exact"/>
              <w:rPr>
                <w:sz w:val="20"/>
                <w:szCs w:val="20"/>
                <w:color w:val="auto"/>
              </w:rPr>
            </w:pPr>
            <w:r>
              <w:rPr>
                <w:rFonts w:ascii="Arial" w:cs="Arial" w:eastAsia="Arial" w:hAnsi="Arial"/>
                <w:sz w:val="13"/>
                <w:szCs w:val="13"/>
                <w:b w:val="1"/>
                <w:bCs w:val="1"/>
                <w:color w:val="auto"/>
              </w:rPr>
              <w:t>Six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44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4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92"/>
              </w:rPr>
              <w:t>Months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World Wide Packaging, LLC</w:t>
            </w:r>
          </w:p>
        </w:tc>
        <w:tc>
          <w:tcPr>
            <w:tcW w:w="62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Exit of portfolio company</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Malabar International</w:t>
            </w:r>
          </w:p>
        </w:tc>
        <w:tc>
          <w:tcPr>
            <w:tcW w:w="4720" w:type="dxa"/>
            <w:vAlign w:val="bottom"/>
            <w:gridSpan w:val="3"/>
          </w:tcPr>
          <w:p>
            <w:pPr>
              <w:ind w:left="620"/>
              <w:spacing w:after="0"/>
              <w:rPr>
                <w:sz w:val="20"/>
                <w:szCs w:val="20"/>
                <w:color w:val="auto"/>
              </w:rPr>
            </w:pPr>
            <w:r>
              <w:rPr>
                <w:rFonts w:ascii="Arial" w:cs="Arial" w:eastAsia="Arial" w:hAnsi="Arial"/>
                <w:sz w:val="18"/>
                <w:szCs w:val="18"/>
                <w:color w:val="auto"/>
              </w:rPr>
              <w:t>Escrow distribution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Express Operations, LLC</w:t>
            </w:r>
          </w:p>
        </w:tc>
        <w:tc>
          <w:tcPr>
            <w:tcW w:w="47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Distributions tax character true-up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IOS Acquisitions, Inc.</w:t>
            </w:r>
          </w:p>
        </w:tc>
        <w:tc>
          <w:tcPr>
            <w:tcW w:w="47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Exit of portfolio 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Inflexxion, Inc.</w:t>
            </w:r>
          </w:p>
        </w:tc>
        <w:tc>
          <w:tcPr>
            <w:tcW w:w="4720" w:type="dxa"/>
            <w:vAlign w:val="bottom"/>
            <w:gridSpan w:val="3"/>
          </w:tcPr>
          <w:p>
            <w:pPr>
              <w:ind w:left="620"/>
              <w:spacing w:after="0"/>
              <w:rPr>
                <w:sz w:val="20"/>
                <w:szCs w:val="20"/>
                <w:color w:val="auto"/>
              </w:rPr>
            </w:pPr>
            <w:r>
              <w:rPr>
                <w:rFonts w:ascii="Arial" w:cs="Arial" w:eastAsia="Arial" w:hAnsi="Arial"/>
                <w:sz w:val="18"/>
                <w:szCs w:val="18"/>
                <w:color w:val="auto"/>
              </w:rPr>
              <w:t>Relinquishment of debt and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 Smiles Holdings, Inc.</w:t>
            </w:r>
          </w:p>
        </w:tc>
        <w:tc>
          <w:tcPr>
            <w:tcW w:w="47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Exit of portfolio 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3440" w:type="dxa"/>
            <w:vAlign w:val="bottom"/>
            <w:gridSpan w:val="3"/>
          </w:tcPr>
          <w:p>
            <w:pPr>
              <w:spacing w:after="0"/>
              <w:rPr>
                <w:sz w:val="20"/>
                <w:szCs w:val="20"/>
                <w:color w:val="auto"/>
              </w:rPr>
            </w:pPr>
            <w:r>
              <w:rPr>
                <w:rFonts w:ascii="Arial" w:cs="Arial" w:eastAsia="Arial" w:hAnsi="Arial"/>
                <w:sz w:val="18"/>
                <w:szCs w:val="18"/>
                <w:color w:val="auto"/>
              </w:rPr>
              <w:t>Net realized gain (loss) on investments</w:t>
            </w:r>
          </w:p>
        </w:tc>
        <w:tc>
          <w:tcPr>
            <w:tcW w:w="6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tax provision from realized gains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160" w:type="dxa"/>
            <w:vAlign w:val="bottom"/>
            <w:gridSpan w:val="6"/>
          </w:tcPr>
          <w:p>
            <w:pPr>
              <w:spacing w:after="0"/>
              <w:rPr>
                <w:sz w:val="20"/>
                <w:szCs w:val="20"/>
                <w:color w:val="auto"/>
              </w:rPr>
            </w:pPr>
            <w:r>
              <w:rPr>
                <w:rFonts w:ascii="Arial" w:cs="Arial" w:eastAsia="Arial" w:hAnsi="Arial"/>
                <w:sz w:val="18"/>
                <w:szCs w:val="18"/>
                <w:color w:val="auto"/>
              </w:rPr>
              <w:t>Net realized gain (loss), net of income tax provision, on investments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120" w:hanging="436"/>
        <w:spacing w:after="0" w:line="257"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ectPr>
          <w:pgSz w:w="11900" w:h="16838" w:orient="portrait"/>
          <w:cols w:equalWidth="0" w:num="1">
            <w:col w:w="11180"/>
          </w:cols>
          <w:pgMar w:left="240" w:top="459" w:right="479" w:bottom="1440" w:gutter="0" w:footer="0" w:header="0"/>
        </w:sectPr>
      </w:pP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80"/>
          </w:cols>
          <w:pgMar w:left="240" w:top="459" w:right="47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During the three and six months ended June 30, 2019 and 2018, we recorded a net change in unrealized appreciation (depreciation) on investments attributable to the following (dollars in millions):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6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Unrealized Appreciation (Depreciation)</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w w:val="83"/>
              </w:rPr>
              <w:t>2019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Exit, sale or restructuring of investments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Fair value adjustments to debt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adjustments to equity investments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8"/>
                <w:szCs w:val="18"/>
                <w:color w:val="auto"/>
              </w:rPr>
              <w:t>Net change in unrealized appreciation (depreciation)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Net increase in net assets resulting from operations during the three months ended June 30, 2019 and 2018 was $3.2 million and $7.6 million, respectively, as a result of the events described above.</w:t>
      </w:r>
    </w:p>
    <w:p>
      <w:pPr>
        <w:spacing w:after="0" w:line="170"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Net increase in net assets resulting from operations during the six months ended June 30, 2019 and 2018 was $14.6 million and $22.7 million, respectively, as a result of the events described above.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of June 30, 2019, we had $21.9 million in cash and cash equivalents and our net assets totaled $398.5 million. We believe that our current cash and cash equivalents on hand, our continued access to SBA-guaranteed debentures, our Credit Facility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six months ended June 30, 2019, we repaid $19.8 million of SBA debentures which would have matured during the period September 1, 2021 through March 1, 2025. Our remaining outstanding SBA debentures continue to mature in 2022 and subsequent years through 2028, which will require repayment on or before the respective maturity dates.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For the six months ended June 30, 2019, we experienced a net decrease in cash and cash equivalents in the amount of $20.1 million. During that period, we used $39.3 million of cash for operating activities, which included the funding of $128.5 million of investments, which were partially offset by proceeds received from sales and repayments of investments of $75.3 million. During the same period, we received proceeds from the issuance of our Public Notes of $69.0 million; which were partially offset by repayments of SBA debentures of $19.8 million, net repayments of $7.0 million of borrowings under our Credit Facility, cash dividends paid to stockholders of $19.1 million, and the payment of deferred financing costs related to our debt financings of $4.0 million.</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left="200" w:right="300" w:firstLine="992"/>
        <w:spacing w:after="0" w:line="277" w:lineRule="auto"/>
        <w:rPr>
          <w:sz w:val="20"/>
          <w:szCs w:val="20"/>
          <w:color w:val="auto"/>
        </w:rPr>
      </w:pPr>
      <w:r>
        <w:rPr>
          <w:rFonts w:ascii="Arial" w:cs="Arial" w:eastAsia="Arial" w:hAnsi="Arial"/>
          <w:sz w:val="18"/>
          <w:szCs w:val="18"/>
          <w:color w:val="auto"/>
        </w:rPr>
        <w:t>We anticipate that we will continue to fund our investment activities on a long-term basis through a combination of additional debt and equity capital.</w:t>
      </w:r>
    </w:p>
    <w:p>
      <w:pPr>
        <w:spacing w:after="0" w:line="279"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SBA debentures</w:t>
      </w:r>
    </w:p>
    <w:p>
      <w:pPr>
        <w:spacing w:after="0" w:line="117" w:lineRule="exact"/>
        <w:rPr>
          <w:sz w:val="20"/>
          <w:szCs w:val="20"/>
          <w:color w:val="auto"/>
        </w:rPr>
      </w:pPr>
    </w:p>
    <w:p>
      <w:pPr>
        <w:ind w:left="200" w:right="80" w:firstLine="992"/>
        <w:spacing w:after="0" w:line="284" w:lineRule="auto"/>
        <w:rPr>
          <w:sz w:val="20"/>
          <w:szCs w:val="20"/>
          <w:color w:val="auto"/>
        </w:rPr>
      </w:pPr>
      <w:r>
        <w:rPr>
          <w:rFonts w:ascii="Arial" w:cs="Arial" w:eastAsia="Arial" w:hAnsi="Arial"/>
          <w:sz w:val="16"/>
          <w:szCs w:val="16"/>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three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June 30, 2019, Fund I, Fund II and Fund III had</w:t>
      </w:r>
    </w:p>
    <w:p>
      <w:pPr>
        <w:spacing w:after="0" w:line="3" w:lineRule="exact"/>
        <w:rPr>
          <w:sz w:val="20"/>
          <w:szCs w:val="20"/>
          <w:color w:val="auto"/>
        </w:rPr>
      </w:pPr>
    </w:p>
    <w:p>
      <w:pPr>
        <w:ind w:left="200" w:right="140"/>
        <w:spacing w:after="0" w:line="254" w:lineRule="auto"/>
        <w:rPr>
          <w:sz w:val="20"/>
          <w:szCs w:val="20"/>
          <w:color w:val="auto"/>
        </w:rPr>
      </w:pPr>
      <w:r>
        <w:rPr>
          <w:rFonts w:ascii="Arial" w:cs="Arial" w:eastAsia="Arial" w:hAnsi="Arial"/>
          <w:sz w:val="18"/>
          <w:szCs w:val="18"/>
          <w:color w:val="auto"/>
        </w:rPr>
        <w:t>$21.3 million, $150.0 million and zero of outstanding SBA debentures, respectively. Fund I has commenced a wind-down plan and can no longer issue additional SBA debentures. Subject to SBA regulatory requirements and approval, Fund III may access up to $175.0 million of additional SBA debentures under the SBIC debenture program. For more information on the SBA debentures, please refer to Note 6 to our consolidated financial statements.</w:t>
      </w:r>
    </w:p>
    <w:p>
      <w:pPr>
        <w:sectPr>
          <w:pgSz w:w="11900" w:h="16838" w:orient="portrait"/>
          <w:cols w:equalWidth="0" w:num="1">
            <w:col w:w="11220"/>
          </w:cols>
          <w:pgMar w:left="240" w:top="459" w:right="439" w:bottom="1440" w:gutter="0" w:footer="0" w:header="0"/>
        </w:sectPr>
      </w:pP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240" w:top="459"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June 2014, we entered into the Credit Facility to provide additional funding for our investment and operational activities. On April 24, 2019, we entered into the Amended Credit Agreement, which amends, restates, and replaces the Credit Facility. The Credit Facility is secured by substantially all of our assets, excluding the assets of the Funds.</w:t>
      </w:r>
    </w:p>
    <w:p>
      <w:pPr>
        <w:spacing w:after="0" w:line="181"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 million to $100.0 million, with an accordion feature that allows for an increase in total commitments up to $250.0 million,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200" w:right="160" w:firstLine="4"/>
        <w:spacing w:after="0" w:line="271" w:lineRule="auto"/>
        <w:tabs>
          <w:tab w:leader="none" w:pos="48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three month LIBOR plus 1.0%, and (D) zero. We pay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The Credit Facility is secured by a first priority security interest in all of our assets, excluding the assets of our SBIC subsidiaries.</w:t>
      </w:r>
    </w:p>
    <w:p>
      <w:pPr>
        <w:spacing w:after="0" w:line="179"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54"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June 30, 2019, we were in compliance with all covenants of the Credit Facility and there were $29.5 million of borrowings outstanding under the Credit Facility.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Public Notes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estimated offering expenses of $0.4 million, were approximately $48.1 million.</w:t>
      </w:r>
    </w:p>
    <w:p>
      <w:pPr>
        <w:spacing w:after="0" w:line="1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2023 Notes will mature on February 1, 2023 and bear interest at a rate of 5.875%. The 2023 Notes may be redeemed in whole or in part at any time or from time to time at our option on or after February 1, 2020. Interest on the 2023 Notes is payable quarterly on February 1, May 1, August 1 and November 1 of each year. The 2023 Notes are listed on the NASDAQ Global Select Market under the trading symbol “FDUSL.” As of June 30, 2019, the outstanding principal balance of the 2023 Notes was $50.0 million.</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On February 8, 2019, we closed the public offering of approximately $60.0 million in aggregate principal amount of our 6.000% notes due 2024, or the “2024 Notes” (and collectively with the 2023 Notes, the “Public Notes”). On February 19, 2019, the underwriters exercised their option to purchase an additional $9.0 million in aggregate principal of the 2024 Notes. The total net proceeds to us from the 2024 Notes, including the exercise of the underwriters’ option, after deducting underwriting discounts of approximately $2.1 million and estimated offering expenses of $0.4 million, were approximately $66.5 million.</w:t>
      </w:r>
    </w:p>
    <w:p>
      <w:pPr>
        <w:spacing w:after="0" w:line="18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2024 Notes will mature on February 15, 2024 and bear interest at a rate of 6.000%. The 2024 Notes may be redeemed in whole or in part at any time or from time to time at our option on or after February 15, 2021. Interest on the 2024 Notes is payable quarterly on February 15, May 15, August 15 and November 15 of each year, beginning May 15, 2019. The 2024 Notes are listed on the NASDAQ Global Select Market under the trading symbol “FDUSZ.” As of June 30, 2019, the outstanding principal balance of the 2024 Notes was $69.0 million.</w:t>
      </w:r>
    </w:p>
    <w:p>
      <w:pPr>
        <w:spacing w:after="0" w:line="17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Public Notes are unsecured obligations and rank pari passu with our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ectPr>
          <w:pgSz w:w="11900" w:h="16838" w:orient="portrait"/>
          <w:cols w:equalWidth="0" w:num="1">
            <w:col w:w="11220"/>
          </w:cols>
          <w:pgMar w:left="240" w:top="459" w:right="439" w:bottom="1440" w:gutter="0" w:footer="0" w:header="0"/>
        </w:sectPr>
      </w:pP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20"/>
          </w:cols>
          <w:pgMar w:left="240" w:top="459" w:right="4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As of June 30, 2019, the weighted average stated interest rates for our SBA debentures, the Public Notes and the Credit Facility were 3.369%, 5.947% and 5.438%, respectively. As of June 30, 2019, we had $70.5 million of unutilized commitment under our Credit Facility, and we were subject to a 0.695% fee on such amount. As of June 30, 2019, the weighted average stated interest rate on total debt outstanding was 4.519%.</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a BDC, we are generally required to meet a coverage ratio of total assets to total senior securities, which include borrowings and any preferred stock we may issue in the future, of at least 200.0%. This requirement limits the amount that we may borrow. We have received exemptive relief from the U.S. Securities and Exchange Commission (“SEC”) to allow us to exclude any indebtedness guaranteed by the SBA and issued by the Funds from the 200.0% asset coverage requirements, which, in turn, will enable us to fund more investments with debt capital. Recent legislation, however, modifies the required minimum asset coverage ratio from 200.0% to 150.0%, if certain requirements are met. Under the legislation,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legislation allows the majority of our independent directors to approve an increase in our leverage capacity, and such approval would become effective after the one-year anniversary of such approval.</w:t>
      </w:r>
    </w:p>
    <w:p>
      <w:pPr>
        <w:spacing w:after="0" w:line="182"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On April 29, 2019, our Board, including a majority of the non-interested directors, approved a minimum asset coverage ratio of 150% under Sections 18(a)(1) and 18(a)(2) of the 1940 Act. As a result, we will become subject to the 150% asset coverage ratio effective as of April 29, 2020. At present time, we do not intend to seek stockholder approval to reduce our asset coverage requirement.</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our board of directors, including Independent Directors, determines that such sale is in the best interests of us and our stockholders, and if our stockholders approve such sale. On June 19, 2019, our stockholders voted to allow us to sell or otherwise issue common stock at a price below net asset value per share for a period of one year ending on the earlier of June 19, 2020 or the date of our 2020 Annual Meeting of Stockholders. We expect to present to our stockholders a similar proposal at our 2020 Annual Meeting of Stockholders. Our stockholders specified that the cumulative number of shares sold in each offering during the one-year period ending on the earlier of June 19, 2020 or the date of our 2020 Annual Meeting of Stockholders may not exceed 25.0% of our outstanding common stock immediately prior to each such sale.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30, 2018, the Board extended the Stock Repurchase Program through December 31, 2019,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and six months ended June 30, 2019. During the three and six months ended June 30, 2018, we repurchased zero and 44,821 shares of common stock, respectively, on the open market for zero and $0.6 million, respectively. Refer to Note 8 to our consolidated financial statements for additional information concerning stock repurchases.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affecting amounts reported in the financial statements. We have identified investment valuation and revenue recognition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6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76" w:lineRule="exact"/>
        <w:rPr>
          <w:sz w:val="20"/>
          <w:szCs w:val="20"/>
          <w:color w:val="auto"/>
        </w:rPr>
      </w:pPr>
    </w:p>
    <w:p>
      <w:pPr>
        <w:ind w:left="1180" w:right="320" w:hanging="436"/>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our investment advisor responsible for the portfolio investment;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our investment advisor;</w:t>
      </w:r>
    </w:p>
    <w:p>
      <w:pPr>
        <w:spacing w:after="0" w:line="142" w:lineRule="exact"/>
        <w:rPr>
          <w:rFonts w:ascii="Arial" w:cs="Arial" w:eastAsia="Arial" w:hAnsi="Arial"/>
          <w:sz w:val="17"/>
          <w:szCs w:val="17"/>
          <w:color w:val="auto"/>
        </w:rPr>
      </w:pPr>
    </w:p>
    <w:p>
      <w:pPr>
        <w:ind w:left="1180" w:right="20" w:hanging="436"/>
        <w:spacing w:after="0" w:line="270" w:lineRule="auto"/>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17 and 16 of our portfolio company investments representing 33.7% and 36.0% of the total portfolio investments at fair value (exclusive of new portfolio company investments made during the three months ended June 30, 2019 and December 31, 2018, respectively) as of June 30, 2019 and December 31, 2018, respectively;</w:t>
      </w:r>
    </w:p>
    <w:p>
      <w:pPr>
        <w:spacing w:after="0" w:line="83" w:lineRule="exact"/>
        <w:rPr>
          <w:rFonts w:ascii="Arial" w:cs="Arial" w:eastAsia="Arial" w:hAnsi="Arial"/>
          <w:sz w:val="17"/>
          <w:szCs w:val="17"/>
          <w:color w:val="auto"/>
        </w:rPr>
      </w:pPr>
    </w:p>
    <w:p>
      <w:pPr>
        <w:ind w:left="1180" w:right="700" w:hanging="436"/>
        <w:spacing w:after="0" w:line="308" w:lineRule="auto"/>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advisor and of the independent valuation firm(s) and responds and supplements the valuation recommendations to reflect any comments; and</w:t>
      </w:r>
    </w:p>
    <w:p>
      <w:pPr>
        <w:spacing w:after="0" w:line="51" w:lineRule="exact"/>
        <w:rPr>
          <w:rFonts w:ascii="Arial" w:cs="Arial" w:eastAsia="Arial" w:hAnsi="Arial"/>
          <w:sz w:val="17"/>
          <w:szCs w:val="17"/>
          <w:color w:val="auto"/>
        </w:rPr>
      </w:pPr>
    </w:p>
    <w:p>
      <w:pPr>
        <w:ind w:left="1180" w:right="80" w:hanging="436"/>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advisor, the independent valuation firm(s) and the audit committee.</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Consistent with the policies and methodologies adopted by our board of directors,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6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8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w:t>
      </w:r>
    </w:p>
    <w:p>
      <w:pPr>
        <w:sectPr>
          <w:pgSz w:w="11900" w:h="16838" w:orient="portrait"/>
          <w:cols w:equalWidth="0" w:num="1">
            <w:col w:w="11220"/>
          </w:cols>
          <w:pgMar w:left="240" w:top="459" w:right="439" w:bottom="1440" w:gutter="0" w:footer="0" w:header="0"/>
        </w:sectPr>
      </w:pP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20"/>
          </w:cols>
          <w:pgMar w:left="240" w:top="459" w:right="4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Where applicable, we consider our ability to influence the capital structure of the portfolio company, as well as the timing of a potential exit.</w:t>
      </w:r>
    </w:p>
    <w:p>
      <w:pPr>
        <w:spacing w:after="0" w:line="16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78"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The fair value of our royalty rights are calculated based on projected future cash flows and the specific provisions contained in the pertinent royalty agreement. The determination of the fair value of such royalty rights is not a significant component of our valuation process.</w:t>
      </w:r>
    </w:p>
    <w:p>
      <w:pPr>
        <w:spacing w:after="0" w:line="124"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 xml:space="preserve">Investments and related investment income. </w:t>
      </w:r>
      <w:r>
        <w:rPr>
          <w:rFonts w:ascii="Arial" w:cs="Arial" w:eastAsia="Arial" w:hAnsi="Arial"/>
          <w:sz w:val="18"/>
          <w:szCs w:val="18"/>
          <w:color w:val="auto"/>
        </w:rPr>
        <w:t>Realized gains or losses on investments are recorded upon the sale or disposition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our board of directors through the application of our valuation policy, as well as reclassifications of any prior period unrealized appreciation or depreciation on exited investments to realized gains or losses on investments.</w:t>
      </w:r>
    </w:p>
    <w:p>
      <w:pPr>
        <w:spacing w:after="0" w:line="193"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i w:val="1"/>
          <w:iCs w:val="1"/>
          <w:color w:val="auto"/>
        </w:rPr>
        <w:t>Interest and dividend income</w:t>
      </w:r>
      <w:r>
        <w:rPr>
          <w:rFonts w:ascii="Arial" w:cs="Arial" w:eastAsia="Arial" w:hAnsi="Arial"/>
          <w:sz w:val="17"/>
          <w:szCs w:val="17"/>
          <w:color w:val="auto"/>
        </w:rPr>
        <w:t>. Interest and dividend income are recorded on the accrual basis to the extent that we expect to collect such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i w:val="1"/>
          <w:iCs w:val="1"/>
          <w:color w:val="auto"/>
        </w:rPr>
        <w:t xml:space="preserve">PIK income. </w:t>
      </w:r>
      <w:r>
        <w:rPr>
          <w:rFonts w:ascii="Arial" w:cs="Arial" w:eastAsia="Arial" w:hAnsi="Arial"/>
          <w:sz w:val="17"/>
          <w:szCs w:val="17"/>
          <w:color w:val="auto"/>
        </w:rPr>
        <w:t>Certain of our investments contain a PIK income provision. The PIK income, computed at the contractual rate specified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79"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we are accruing PIK dividends) are placed on non-accrual status when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interest or dividend payments become materially past due, or when there is reasonable doubt that principal, interest or dividends will be collected.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our debt investments, we will sometimes receive warrants or other equity-related securities (Warrants).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All transaction fees earned in connection with our investments are recognized as fee income and are generally non-recurring.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8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modifies the disclosure requirements on fair value measurements. The guidance is effective for annual and interim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beginning after December 15, 2019. We are currently evaluating the impact this ASU will have on our consolidated financial position or disclosures.</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In March 2019, the SEC issued Final Rule Release No. 33-10618, </w:t>
      </w:r>
      <w:r>
        <w:rPr>
          <w:rFonts w:ascii="Arial" w:cs="Arial" w:eastAsia="Arial" w:hAnsi="Arial"/>
          <w:sz w:val="18"/>
          <w:szCs w:val="18"/>
          <w:i w:val="1"/>
          <w:iCs w:val="1"/>
          <w:color w:val="auto"/>
        </w:rPr>
        <w:t>FAST Act Modernization and Simplification of Regulation S-K</w:t>
      </w:r>
      <w:r>
        <w:rPr>
          <w:rFonts w:ascii="Arial" w:cs="Arial" w:eastAsia="Arial" w:hAnsi="Arial"/>
          <w:sz w:val="18"/>
          <w:szCs w:val="18"/>
          <w:color w:val="auto"/>
        </w:rPr>
        <w:t>, which amends certain SEC disclosure requirements. The amendments are intended to simplify certain disclosure requirements, improve readability and navigability of disclosure documents, and discourage repetition and disclosure of immaterial information. The amendments are effective for all filings submitted on or after May 2, 2019. We adopted the amendments effective May 2, 2019. The amendments do not have a material effect on our consolidated financial position or disclosures.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may be a party to financial instruments with off-balance sheet risk in the normal course of business to meet the financial needs of our portfolio companies. We had off-balance sheet arrangements consisting of outstanding commitments to fund various undrawn revolving loans, other debt investments and capital commitments totaling $9.0 million and $10.9 million as of June 30, 2019 and December 31, 2018, respectively. Such outstanding commitments are summarized in the following table (dollars in millions):</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ind w:left="580"/>
              <w:spacing w:after="0"/>
              <w:rPr>
                <w:sz w:val="20"/>
                <w:szCs w:val="20"/>
                <w:color w:val="auto"/>
              </w:rPr>
            </w:pPr>
            <w:r>
              <w:rPr>
                <w:rFonts w:ascii="Arial" w:cs="Arial" w:eastAsia="Arial" w:hAnsi="Arial"/>
                <w:sz w:val="14"/>
                <w:szCs w:val="14"/>
                <w:b w:val="1"/>
                <w:bCs w:val="1"/>
                <w:color w:val="auto"/>
                <w:w w:val="92"/>
              </w:rPr>
              <w:t>June 30, 2019</w:t>
            </w: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1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Investment</w:t>
            </w: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Total</w:t>
            </w: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Unfunded</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Total</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2"/>
              <w:spacing w:after="0" w:line="119" w:lineRule="exact"/>
              <w:rPr>
                <w:sz w:val="20"/>
                <w:szCs w:val="20"/>
                <w:color w:val="auto"/>
              </w:rPr>
            </w:pPr>
            <w:r>
              <w:rPr>
                <w:rFonts w:ascii="Arial" w:cs="Arial" w:eastAsia="Arial" w:hAnsi="Arial"/>
                <w:sz w:val="13"/>
                <w:szCs w:val="13"/>
                <w:b w:val="1"/>
                <w:bCs w:val="1"/>
                <w:color w:val="auto"/>
                <w:w w:val="98"/>
              </w:rPr>
              <w:t>Unfunded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1540" w:type="dxa"/>
            <w:vAlign w:val="bottom"/>
            <w:gridSpan w:val="4"/>
          </w:tcPr>
          <w:p>
            <w:pPr>
              <w:ind w:left="280"/>
              <w:spacing w:after="0" w:line="158" w:lineRule="exact"/>
              <w:rPr>
                <w:sz w:val="20"/>
                <w:szCs w:val="20"/>
                <w:color w:val="auto"/>
              </w:rPr>
            </w:pPr>
            <w:r>
              <w:rPr>
                <w:rFonts w:ascii="Arial" w:cs="Arial" w:eastAsia="Arial" w:hAnsi="Arial"/>
                <w:sz w:val="14"/>
                <w:szCs w:val="14"/>
                <w:b w:val="1"/>
                <w:bCs w:val="1"/>
                <w:color w:val="auto"/>
              </w:rPr>
              <w:t>Commitment</w:t>
            </w:r>
          </w:p>
        </w:tc>
        <w:tc>
          <w:tcPr>
            <w:tcW w:w="1520" w:type="dxa"/>
            <w:vAlign w:val="bottom"/>
            <w:gridSpan w:val="4"/>
          </w:tcPr>
          <w:p>
            <w:pPr>
              <w:ind w:left="260"/>
              <w:spacing w:after="0" w:line="158" w:lineRule="exact"/>
              <w:rPr>
                <w:sz w:val="20"/>
                <w:szCs w:val="20"/>
                <w:color w:val="auto"/>
              </w:rPr>
            </w:pPr>
            <w:r>
              <w:rPr>
                <w:rFonts w:ascii="Arial" w:cs="Arial" w:eastAsia="Arial" w:hAnsi="Arial"/>
                <w:sz w:val="14"/>
                <w:szCs w:val="14"/>
                <w:b w:val="1"/>
                <w:bCs w:val="1"/>
                <w:color w:val="auto"/>
              </w:rPr>
              <w:t>Commitment</w:t>
            </w:r>
          </w:p>
        </w:tc>
        <w:tc>
          <w:tcPr>
            <w:tcW w:w="1520" w:type="dxa"/>
            <w:vAlign w:val="bottom"/>
            <w:gridSpan w:val="4"/>
          </w:tcPr>
          <w:p>
            <w:pPr>
              <w:ind w:left="260"/>
              <w:spacing w:after="0" w:line="158" w:lineRule="exact"/>
              <w:rPr>
                <w:sz w:val="20"/>
                <w:szCs w:val="20"/>
                <w:color w:val="auto"/>
              </w:rPr>
            </w:pPr>
            <w:r>
              <w:rPr>
                <w:rFonts w:ascii="Arial" w:cs="Arial" w:eastAsia="Arial" w:hAnsi="Arial"/>
                <w:sz w:val="14"/>
                <w:szCs w:val="14"/>
                <w:b w:val="1"/>
                <w:bCs w:val="1"/>
                <w:color w:val="auto"/>
              </w:rPr>
              <w:t>Commitment</w:t>
            </w:r>
          </w:p>
        </w:tc>
        <w:tc>
          <w:tcPr>
            <w:tcW w:w="1320" w:type="dxa"/>
            <w:vAlign w:val="bottom"/>
            <w:gridSpan w:val="4"/>
          </w:tcPr>
          <w:p>
            <w:pPr>
              <w:ind w:left="260"/>
              <w:spacing w:after="0" w:line="15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American AllWaste LLC (dba WasteWater Transport</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Services) - Delayed Draw Commitment - Term</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Loan-B</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1.7</w:t>
            </w:r>
          </w:p>
        </w:tc>
        <w:tc>
          <w:tcPr>
            <w:tcW w:w="4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B&amp;B Roadway and Security Solutions, LLC -</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Common Equity (Units)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FDS Avionics Corp. (dba Flight Display Systems) -</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Revolving Loan</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French Transit, LLC - Revolving Loan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8"/>
                <w:szCs w:val="18"/>
                <w:color w:val="auto"/>
                <w:w w:val="79"/>
              </w:rPr>
              <w:t>0.5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Mesa Line Services, LLC - Delayed Draw Term Loan</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Commitment</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2.2</w:t>
            </w: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Rhino Assembly Company, LLC - Delayed Draw</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Commitment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ind w:left="520"/>
              <w:spacing w:after="0"/>
              <w:rPr>
                <w:sz w:val="20"/>
                <w:szCs w:val="20"/>
                <w:color w:val="auto"/>
              </w:rPr>
            </w:pPr>
            <w:r>
              <w:rPr>
                <w:rFonts w:ascii="Arial" w:cs="Arial" w:eastAsia="Arial" w:hAnsi="Arial"/>
                <w:sz w:val="18"/>
                <w:szCs w:val="18"/>
                <w:color w:val="auto"/>
                <w:w w:val="79"/>
              </w:rPr>
              <w:t>0.9</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Safety Products Group, LLC - Common Equity</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w w:val="99"/>
              </w:rPr>
              <w:t>UBEO, LLC - Delayed Draw Term Loan Commitment</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79"/>
              </w:rPr>
              <w:t>0.8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9.0</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300" w:hanging="436"/>
        <w:spacing w:after="0" w:line="277"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our maximum potential liability related to certain guaranteed obligations stemming from the prior sale of the portfolio company’s underlying operations.</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our consolidated schedules of investments.</w:t>
      </w:r>
    </w:p>
    <w:p>
      <w:pPr>
        <w:sectPr>
          <w:pgSz w:w="11900" w:h="16838" w:orient="portrait"/>
          <w:cols w:equalWidth="0" w:num="1">
            <w:col w:w="11200"/>
          </w:cols>
          <w:pgMar w:left="240" w:top="459" w:right="459" w:bottom="1440" w:gutter="0" w:footer="0" w:header="0"/>
        </w:sectPr>
      </w:pP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00"/>
          </w:cols>
          <w:pgMar w:left="240" w:top="459" w:right="45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1620" w:right="20" w:hanging="322"/>
        <w:spacing w:after="0" w:line="259"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entered into the Investment Advisory Agreement with Fidus Investment Advisors, LLC, as our investment advisor. Pursuant to the agreement our investment advisor manages our day-to-day operating and investing activities. We pay our investment advisor a fee for its services under the Investment Advisory Agreement consisting of two components — a base management fee and an incentive fee. See Note 5 to our consolidated financial statements.</w:t>
      </w:r>
    </w:p>
    <w:p>
      <w:pPr>
        <w:spacing w:after="0" w:line="92" w:lineRule="exact"/>
        <w:rPr>
          <w:rFonts w:ascii="Arial" w:cs="Arial" w:eastAsia="Arial" w:hAnsi="Arial"/>
          <w:sz w:val="18"/>
          <w:szCs w:val="18"/>
          <w:color w:val="auto"/>
        </w:rPr>
      </w:pPr>
    </w:p>
    <w:p>
      <w:pPr>
        <w:ind w:left="1620" w:hanging="322"/>
        <w:spacing w:after="0" w:line="255"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Edward H. Ross, our Chairman and Chief Executive Officer, and Thomas C. Lauer, our President, are managers of Fidus Investment Advisors, LLC. In May 2015, Fidus Investment Advisors, LLC entered into a combination with Fidus Partners, LLC (the “Combination”), by which members of Fidus Investment Advisors LLC and Fidus Partners, LLC (“Partners”) contributed all of their respective membership interest in Fidus Investment Advisors LLC and Partners to a newly formed limited liability company, Fidus Group Holdings, LLC (“Holdings”). As a result, Fidus Investment Advisors LLC is a wholly-owned subsidiary of Holdings, which is a limited liability company organized under the laws of Delaware.</w:t>
      </w:r>
    </w:p>
    <w:p>
      <w:pPr>
        <w:spacing w:after="0" w:line="98" w:lineRule="exact"/>
        <w:rPr>
          <w:rFonts w:ascii="Arial" w:cs="Arial" w:eastAsia="Arial" w:hAnsi="Arial"/>
          <w:sz w:val="18"/>
          <w:szCs w:val="18"/>
          <w:color w:val="auto"/>
        </w:rPr>
      </w:pPr>
    </w:p>
    <w:p>
      <w:pPr>
        <w:ind w:left="1620" w:right="400" w:hanging="322"/>
        <w:spacing w:after="0" w:line="342" w:lineRule="auto"/>
        <w:tabs>
          <w:tab w:leader="none" w:pos="1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entered into the Administration Agreement with Fidus Investment Advisors, LLC to provide us with the office facilities and administrative services necessary to conduct day-to-day operations. See Note 5 to our consolidated financial statements.</w:t>
      </w:r>
    </w:p>
    <w:p>
      <w:pPr>
        <w:spacing w:after="0" w:line="29" w:lineRule="exact"/>
        <w:rPr>
          <w:rFonts w:ascii="Arial" w:cs="Arial" w:eastAsia="Arial" w:hAnsi="Arial"/>
          <w:sz w:val="16"/>
          <w:szCs w:val="16"/>
          <w:color w:val="auto"/>
        </w:rPr>
      </w:pPr>
    </w:p>
    <w:p>
      <w:pPr>
        <w:ind w:left="1620" w:right="1040" w:hanging="322"/>
        <w:spacing w:after="0" w:line="277"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entered into a license agreement with Fidus Partners, LLC, pursuant to which Fidus Partners, LLC has granted us a non-exclusive, royalty-free license to use the name “Fidus.”</w:t>
      </w:r>
    </w:p>
    <w:p>
      <w:pPr>
        <w:spacing w:after="0" w:line="17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The relief permits FIC and Fund I, each of which has elected to be treated as a BDC, to operate effectively as one company, specifically allowing them to: (1) engage in certain transactions with each other; (2) invest in securities in which the other is or proposes to be an investor; (3) file consolidated reports with the SEC; and (4) be subject to modified consolidated asset coverage requirements for senior securities issued by a BDC and its SBIC subsidiary. Fund II and Fund III have not elected to be treated as BDCs and are not party to this exemptive relief. The fourth exemption described above allows us to exclude any indebtedness guaranteed by the SBA and issued by Fund I from the asset coverage requirements applicable to us. Effective June 30, 2014, pursuant to separate exemptive relief from the SEC, any SBA debentures issued by Fund II and Fund III are not considered senior securities for purposes of the asset coverage requirements.</w:t>
      </w:r>
    </w:p>
    <w:p>
      <w:pPr>
        <w:spacing w:after="0" w:line="19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While we may co-invest with investment entities managed by our investment advisor or its affiliates, to the extent permitted by the 1940 Act and the rules and regulations thereunder, the 1940 Act imposes significant limits on co-investment. The SEC staff has granted us relief sought in an exemptive application that expands our ability to co-invest in portfolio companies with other funds managed by our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w:t>
      </w:r>
    </w:p>
    <w:p>
      <w:pPr>
        <w:spacing w:after="0" w:line="167"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In addition, we, Fund I and our investment advisor have each adopted a joint code of ethics pursuant to Rule 17j-1 under the 1940 Act that governs the conduct of our and our investment advisor’s officers, directors and employees. Additionally, our investment advisor has adopted a code of ethics pursuant to rule 204A-1 under the Advisers Act and in accordance with Rule 17j-1(c) under the 1940 Act. We, and Fund I,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July 19, 2019, we exited our debt investment in Pinnergy, Ltd. We received payment in full of $4.0 million on our second lien debt.</w:t>
      </w:r>
    </w:p>
    <w:p>
      <w:pPr>
        <w:spacing w:after="0" w:line="23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 July 29, 2019, our Board declared a regular quarterly dividend of $0.39 per share payable on September 20, 2019 to stockholders of record as of September 6, 2019.</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July 31, 2019, we invested $21.5 million in a new subordinated debt investment in Allied 100 Group, Inc., an existing portfolio company.</w:t>
      </w:r>
    </w:p>
    <w:p>
      <w:pPr>
        <w:spacing w:after="0" w:line="38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affect both our cost of funding and the valuation of our investment portfolio. Our risk management systems and procedures are designed to identify and</w:t>
      </w:r>
    </w:p>
    <w:p>
      <w:pPr>
        <w:sectPr>
          <w:pgSz w:w="11900" w:h="16838" w:orient="portrait"/>
          <w:cols w:equalWidth="0" w:num="1">
            <w:col w:w="11220"/>
          </w:cols>
          <w:pgMar w:left="240" w:top="459" w:right="439" w:bottom="1440" w:gutter="0" w:footer="0" w:header="0"/>
        </w:sectPr>
      </w:pP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20"/>
          </w:cols>
          <w:pgMar w:left="240" w:top="459" w:right="4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4" w:lineRule="auto"/>
        <w:rPr>
          <w:sz w:val="20"/>
          <w:szCs w:val="20"/>
          <w:color w:val="auto"/>
        </w:rPr>
      </w:pPr>
      <w:r>
        <w:rPr>
          <w:rFonts w:ascii="Arial" w:cs="Arial" w:eastAsia="Arial" w:hAnsi="Arial"/>
          <w:sz w:val="16"/>
          <w:szCs w:val="16"/>
          <w:color w:val="auto"/>
        </w:rPr>
        <w:t>analyze our risk, to set appropriate policies and limits and to continually monitor these risks and limits by means of reliable administrative and information systems and other policies and programs. In the future, our investment income may also be affected by changes in various interest rates, including LIBOR and prime rates, to the extent of any debt investments that include floating interest rates. As of June 30, 2019 and December 31, 2018, 12 and seven portfolio company’s debt investments, respectively, bore interest at a variable rate, which represented $121.4 million and $75.9 million of our portfolio on a fair value basis, respectively, and the remainder of our debt portfolio was comprised entirely of fixed rate investments. Our pooled SBA debentures and our Public Notes bear interest at fixed rates. Our Credit Facility bears interest, at our election, at a rate per annum equal to</w:t>
      </w:r>
    </w:p>
    <w:p>
      <w:pPr>
        <w:spacing w:after="0" w:line="5" w:lineRule="exact"/>
        <w:rPr>
          <w:sz w:val="20"/>
          <w:szCs w:val="20"/>
          <w:color w:val="auto"/>
        </w:rPr>
      </w:pPr>
    </w:p>
    <w:p>
      <w:pPr>
        <w:ind w:left="200" w:right="120" w:firstLine="4"/>
        <w:spacing w:after="0" w:line="292" w:lineRule="auto"/>
        <w:tabs>
          <w:tab w:leader="none" w:pos="445" w:val="left"/>
        </w:tabs>
        <w:numPr>
          <w:ilvl w:val="0"/>
          <w:numId w:val="46"/>
        </w:numPr>
        <w:rPr>
          <w:rFonts w:ascii="Arial" w:cs="Arial" w:eastAsia="Arial" w:hAnsi="Arial"/>
          <w:sz w:val="16"/>
          <w:szCs w:val="16"/>
          <w:color w:val="auto"/>
        </w:rPr>
      </w:pPr>
      <w:r>
        <w:rPr>
          <w:rFonts w:ascii="Arial" w:cs="Arial" w:eastAsia="Arial" w:hAnsi="Arial"/>
          <w:sz w:val="16"/>
          <w:szCs w:val="16"/>
          <w:color w:val="auto"/>
        </w:rPr>
        <w:t>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w:t>
      </w:r>
    </w:p>
    <w:p>
      <w:pPr>
        <w:spacing w:after="0" w:line="163"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88"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The following table shows the approximate annualized increase or decrease in the components of net investment income due to hypothetical base rate changes in interest rates, assuming no changes in our investments and borrowings as of June 30, 2019 (dollars in millions):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720" w:type="dxa"/>
            <w:vAlign w:val="bottom"/>
            <w:gridSpan w:val="4"/>
          </w:tcPr>
          <w:p>
            <w:pPr>
              <w:jc w:val="center"/>
              <w:ind w:left="1968"/>
              <w:spacing w:after="0"/>
              <w:rPr>
                <w:sz w:val="20"/>
                <w:szCs w:val="20"/>
                <w:color w:val="auto"/>
              </w:rPr>
            </w:pPr>
            <w:r>
              <w:rPr>
                <w:rFonts w:ascii="Arial" w:cs="Arial" w:eastAsia="Arial" w:hAnsi="Arial"/>
                <w:sz w:val="14"/>
                <w:szCs w:val="14"/>
                <w:b w:val="1"/>
                <w:bCs w:val="1"/>
                <w:color w:val="auto"/>
                <w:w w:val="92"/>
              </w:rPr>
              <w:t>Interest Income</w:t>
            </w:r>
          </w:p>
        </w:tc>
        <w:tc>
          <w:tcPr>
            <w:tcW w:w="17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Interest Expense</w:t>
            </w:r>
          </w:p>
        </w:tc>
        <w:tc>
          <w:tcPr>
            <w:tcW w:w="14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Net Increase</w:t>
            </w:r>
          </w:p>
        </w:tc>
        <w:tc>
          <w:tcPr>
            <w:tcW w:w="13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Net Investment</w:t>
            </w:r>
          </w:p>
        </w:tc>
        <w:tc>
          <w:tcPr>
            <w:tcW w:w="0" w:type="dxa"/>
            <w:vAlign w:val="bottom"/>
          </w:tcPr>
          <w:p>
            <w:pPr>
              <w:spacing w:after="0"/>
              <w:rPr>
                <w:sz w:val="1"/>
                <w:szCs w:val="1"/>
                <w:color w:val="auto"/>
              </w:rPr>
            </w:pPr>
          </w:p>
        </w:tc>
      </w:tr>
      <w:tr>
        <w:trPr>
          <w:trHeight w:val="149"/>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Basis Point Increase (Decrease)</w:t>
            </w: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Increase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Increase</w:t>
            </w:r>
          </w:p>
        </w:tc>
        <w:tc>
          <w:tcPr>
            <w:tcW w:w="1420" w:type="dxa"/>
            <w:vAlign w:val="bottom"/>
            <w:gridSpan w:val="4"/>
            <w:vMerge w:val="continue"/>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40" w:type="dxa"/>
            <w:vAlign w:val="bottom"/>
            <w:gridSpan w:val="2"/>
            <w:vMerge w:val="continue"/>
          </w:tcPr>
          <w:p>
            <w:pPr>
              <w:spacing w:after="0"/>
              <w:rPr>
                <w:sz w:val="13"/>
                <w:szCs w:val="13"/>
                <w:color w:val="auto"/>
              </w:rPr>
            </w:pPr>
          </w:p>
        </w:tc>
        <w:tc>
          <w:tcPr>
            <w:tcW w:w="2400" w:type="dxa"/>
            <w:vAlign w:val="bottom"/>
          </w:tcPr>
          <w:p>
            <w:pPr>
              <w:spacing w:after="0"/>
              <w:rPr>
                <w:sz w:val="13"/>
                <w:szCs w:val="13"/>
                <w:color w:val="auto"/>
              </w:rPr>
            </w:pPr>
          </w:p>
        </w:tc>
        <w:tc>
          <w:tcPr>
            <w:tcW w:w="132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 xml:space="preserve">(Decrease) </w:t>
            </w:r>
            <w:r>
              <w:rPr>
                <w:rFonts w:ascii="Arial" w:cs="Arial" w:eastAsia="Arial" w:hAnsi="Arial"/>
                <w:sz w:val="12"/>
                <w:szCs w:val="12"/>
                <w:b w:val="1"/>
                <w:bCs w:val="1"/>
                <w:color w:val="auto"/>
                <w:w w:val="90"/>
              </w:rPr>
              <w:t>(1)</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9"/>
              </w:rPr>
              <w:t>(Decrease)</w:t>
            </w:r>
          </w:p>
        </w:tc>
        <w:tc>
          <w:tcPr>
            <w:tcW w:w="300" w:type="dxa"/>
            <w:vAlign w:val="bottom"/>
          </w:tcPr>
          <w:p>
            <w:pPr>
              <w:spacing w:after="0"/>
              <w:rPr>
                <w:sz w:val="13"/>
                <w:szCs w:val="13"/>
                <w:color w:val="auto"/>
              </w:rPr>
            </w:pPr>
          </w:p>
        </w:tc>
        <w:tc>
          <w:tcPr>
            <w:tcW w:w="1120" w:type="dxa"/>
            <w:vAlign w:val="bottom"/>
            <w:gridSpan w:val="3"/>
          </w:tcPr>
          <w:p>
            <w:pPr>
              <w:jc w:val="right"/>
              <w:ind w:right="420"/>
              <w:spacing w:after="0" w:line="158" w:lineRule="exact"/>
              <w:rPr>
                <w:sz w:val="20"/>
                <w:szCs w:val="20"/>
                <w:color w:val="auto"/>
              </w:rPr>
            </w:pPr>
            <w:r>
              <w:rPr>
                <w:rFonts w:ascii="Arial" w:cs="Arial" w:eastAsia="Arial" w:hAnsi="Arial"/>
                <w:sz w:val="14"/>
                <w:szCs w:val="14"/>
                <w:b w:val="1"/>
                <w:bCs w:val="1"/>
                <w:color w:val="auto"/>
                <w:w w:val="94"/>
              </w:rPr>
              <w:t>(Decrease)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7"/>
              </w:rPr>
              <w:t xml:space="preserve">Income </w:t>
            </w:r>
            <w:r>
              <w:rPr>
                <w:rFonts w:ascii="Arial" w:cs="Arial" w:eastAsia="Arial" w:hAnsi="Arial"/>
                <w:sz w:val="12"/>
                <w:szCs w:val="12"/>
                <w:b w:val="1"/>
                <w:bCs w:val="1"/>
                <w:color w:val="auto"/>
                <w:w w:val="97"/>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(200)</w:t>
            </w:r>
          </w:p>
        </w:tc>
        <w:tc>
          <w:tcPr>
            <w:tcW w:w="24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24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(1.3)</w:t>
            </w:r>
          </w:p>
        </w:tc>
        <w:tc>
          <w:tcPr>
            <w:tcW w:w="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(0.6)</w:t>
            </w:r>
          </w:p>
        </w:tc>
        <w:tc>
          <w:tcPr>
            <w:tcW w:w="3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(0.7)</w:t>
            </w: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(150)</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(50)</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100</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150</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200</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300</w:t>
            </w: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436"/>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Certain of our variable rate debt investments have a LIBOR interest rate floor, which lessens the impact of decreases in interest rates.</w:t>
      </w:r>
    </w:p>
    <w:p>
      <w:pPr>
        <w:spacing w:after="0" w:line="34" w:lineRule="exact"/>
        <w:rPr>
          <w:rFonts w:ascii="Arial" w:cs="Arial" w:eastAsia="Arial" w:hAnsi="Arial"/>
          <w:sz w:val="17"/>
          <w:szCs w:val="17"/>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the impact of income incentive fee at 20.0% on net increase (decrease) in net interest.</w:t>
      </w:r>
    </w:p>
    <w:p>
      <w:pPr>
        <w:spacing w:after="0" w:line="35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2019 that have materially affected, or are reasonably likely to materially affect, our internal control over financial reporting.</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760"/>
          </w:cols>
          <w:pgMar w:left="240" w:top="459" w:right="8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and our investment advisor is not, currently subject to any material legal proceedings.</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In addition to other information set forth in this report, including the risk factor below, you should carefully consider the “Risk Factors” discussed in our Form 10-K for the year ended December 31, 2018 and filed with the SEC on February 28, 2019, which are incorporated herein by reference. These Risk Factors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 legislation may allow us to incur additional leverage.</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1940 Act generally prohibits us from incurring indebtedness unless immediately after such borrowing we have an asset coverage for total borrowings of at least 200% (i.e., the amount of debt may not exceed 50% of the value of our assets). However, the Small Business Credit Availability Act, which was signed into law on March 23, 2018, has modified the 1940 Act by allowing a BDC to increase the maximum amount of leverage it may incur from an asset coverage ratio of 200% to an asset coverage ratio of 150%, if certain requirements are met. Under the legislation,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legislation allows the majority of our independent directors to approve an increase in our leverage capacity, and such approval would become effective after one year. In either case, we would be required to make certain disclosures on our website and in SEC filings regarding, among other things, the receipt of approval to increase our leverage, our leverage capacity and usage, and risks related to leverage.</w:t>
      </w:r>
    </w:p>
    <w:p>
      <w:pPr>
        <w:spacing w:after="0" w:line="16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As a result of this legislation,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6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On April 29, 2019, our Board, including a majority of the non-interested directors, approved a minimum asset coverage ratio of 150% under Sections 18(a)(1) and 18(a)(2) of the 1940 Act. As a result, we will become subject to the 150% asset coverage ratio effective as of April 29, 2020. At present time, we do not intend to seek stockholder approval to reduce our asset coverage requirement.</w:t>
      </w:r>
    </w:p>
    <w:p>
      <w:pPr>
        <w:spacing w:after="0" w:line="32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of Unregistered Securities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30, 2018, the Board extended the Stock Repurchase Program through December 31, 2019,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three and six months ended June 30, 2019, we did not make any repurchases of common stock under the Stock Repurchase Program.</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information regarding such repurchases of our common stock (dollars in millions, except per share data):</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660" w:type="dxa"/>
            <w:vAlign w:val="bottom"/>
          </w:tcPr>
          <w:p>
            <w:pPr>
              <w:spacing w:after="0"/>
              <w:rPr>
                <w:sz w:val="14"/>
                <w:szCs w:val="14"/>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left="588"/>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660" w:type="dxa"/>
            <w:vAlign w:val="bottom"/>
          </w:tcPr>
          <w:p>
            <w:pPr>
              <w:spacing w:after="0"/>
              <w:rPr>
                <w:sz w:val="12"/>
                <w:szCs w:val="12"/>
                <w:color w:val="auto"/>
              </w:rPr>
            </w:pPr>
          </w:p>
        </w:tc>
        <w:tc>
          <w:tcPr>
            <w:tcW w:w="13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Yet Be Purchased</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300" w:type="dxa"/>
            <w:vAlign w:val="bottom"/>
            <w:gridSpan w:val="3"/>
          </w:tcPr>
          <w:p>
            <w:pPr>
              <w:jc w:val="center"/>
              <w:ind w:left="579"/>
              <w:spacing w:after="0" w:line="149" w:lineRule="exact"/>
              <w:rPr>
                <w:sz w:val="20"/>
                <w:szCs w:val="20"/>
                <w:color w:val="auto"/>
              </w:rPr>
            </w:pPr>
            <w:r>
              <w:rPr>
                <w:rFonts w:ascii="Arial" w:cs="Arial" w:eastAsia="Arial" w:hAnsi="Arial"/>
                <w:sz w:val="14"/>
                <w:szCs w:val="14"/>
                <w:b w:val="1"/>
                <w:bCs w:val="1"/>
                <w:color w:val="auto"/>
                <w:w w:val="94"/>
              </w:rPr>
              <w:t>Price Paid</w:t>
            </w: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Under the Stock</w:t>
            </w:r>
          </w:p>
        </w:tc>
        <w:tc>
          <w:tcPr>
            <w:tcW w:w="0" w:type="dxa"/>
            <w:vAlign w:val="bottom"/>
          </w:tcPr>
          <w:p>
            <w:pPr>
              <w:spacing w:after="0"/>
              <w:rPr>
                <w:sz w:val="1"/>
                <w:szCs w:val="1"/>
                <w:color w:val="auto"/>
              </w:rPr>
            </w:pPr>
          </w:p>
        </w:tc>
      </w:tr>
      <w:tr>
        <w:trPr>
          <w:trHeight w:val="158"/>
        </w:trPr>
        <w:tc>
          <w:tcPr>
            <w:tcW w:w="3780" w:type="dxa"/>
            <w:vAlign w:val="bottom"/>
            <w:gridSpan w:val="3"/>
            <w:vMerge w:val="continue"/>
          </w:tcPr>
          <w:p>
            <w:pPr>
              <w:spacing w:after="0"/>
              <w:rPr>
                <w:sz w:val="13"/>
                <w:szCs w:val="13"/>
                <w:color w:val="auto"/>
              </w:rPr>
            </w:pPr>
          </w:p>
        </w:tc>
        <w:tc>
          <w:tcPr>
            <w:tcW w:w="1400" w:type="dxa"/>
            <w:vAlign w:val="bottom"/>
            <w:gridSpan w:val="2"/>
          </w:tcPr>
          <w:p>
            <w:pPr>
              <w:jc w:val="center"/>
              <w:ind w:left="468"/>
              <w:spacing w:after="0" w:line="158" w:lineRule="exact"/>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12"/>
                <w:szCs w:val="12"/>
                <w:b w:val="1"/>
                <w:bCs w:val="1"/>
                <w:color w:val="auto"/>
                <w:w w:val="90"/>
              </w:rPr>
              <w:t>(1)</w:t>
            </w:r>
          </w:p>
        </w:tc>
        <w:tc>
          <w:tcPr>
            <w:tcW w:w="660" w:type="dxa"/>
            <w:vAlign w:val="bottom"/>
          </w:tcPr>
          <w:p>
            <w:pPr>
              <w:spacing w:after="0"/>
              <w:rPr>
                <w:sz w:val="13"/>
                <w:szCs w:val="13"/>
                <w:color w:val="auto"/>
              </w:rPr>
            </w:pPr>
          </w:p>
        </w:tc>
        <w:tc>
          <w:tcPr>
            <w:tcW w:w="6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Per Share</w:t>
            </w:r>
          </w:p>
        </w:tc>
        <w:tc>
          <w:tcPr>
            <w:tcW w:w="66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Programs</w:t>
            </w:r>
          </w:p>
        </w:tc>
        <w:tc>
          <w:tcPr>
            <w:tcW w:w="2020" w:type="dxa"/>
            <w:vAlign w:val="bottom"/>
            <w:gridSpan w:val="4"/>
          </w:tcPr>
          <w:p>
            <w:pPr>
              <w:jc w:val="right"/>
              <w:ind w:right="60"/>
              <w:spacing w:after="0" w:line="158" w:lineRule="exact"/>
              <w:rPr>
                <w:sz w:val="20"/>
                <w:szCs w:val="20"/>
                <w:color w:val="auto"/>
              </w:rPr>
            </w:pPr>
            <w:r>
              <w:rPr>
                <w:rFonts w:ascii="Arial" w:cs="Arial" w:eastAsia="Arial" w:hAnsi="Arial"/>
                <w:sz w:val="14"/>
                <w:szCs w:val="14"/>
                <w:b w:val="1"/>
                <w:bCs w:val="1"/>
                <w:color w:val="auto"/>
              </w:rPr>
              <w:t>Repurchase Program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2019 through January 31, 2019</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February 1, 2019 through February 28, 2019</w:t>
            </w:r>
          </w:p>
        </w:tc>
        <w:tc>
          <w:tcPr>
            <w:tcW w:w="58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2019 through March 31, 2019</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April 1, 2019 through April 30, 2019</w:t>
            </w:r>
          </w:p>
        </w:tc>
        <w:tc>
          <w:tcPr>
            <w:tcW w:w="58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2019 through May 31, 2019</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June 1, 2019 through June 30, 2019</w:t>
            </w:r>
          </w:p>
        </w:tc>
        <w:tc>
          <w:tcPr>
            <w:tcW w:w="580" w:type="dxa"/>
            <w:vAlign w:val="bottom"/>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line="26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Excludes shares purchased on the open market and reissued in order to satisfy the dividend reinvestment plan (“DRIP”) obligation to deliver shares of common stock in lieu of issuing new shares. During the six months ended June 30, 2019, we purchased and reissued shares of common stock to satisfy the DRIP obligation as follows:</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4"/>
                <w:szCs w:val="14"/>
                <w:color w:val="auto"/>
              </w:rPr>
            </w:pPr>
          </w:p>
        </w:tc>
        <w:tc>
          <w:tcPr>
            <w:tcW w:w="9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Average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Price Paid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820" w:type="dxa"/>
            <w:vAlign w:val="bottom"/>
            <w:gridSpan w:val="3"/>
            <w:vMerge w:val="continue"/>
          </w:tcPr>
          <w:p>
            <w:pPr>
              <w:spacing w:after="0"/>
              <w:rPr>
                <w:sz w:val="13"/>
                <w:szCs w:val="13"/>
                <w:color w:val="auto"/>
              </w:rPr>
            </w:pPr>
          </w:p>
        </w:tc>
        <w:tc>
          <w:tcPr>
            <w:tcW w:w="110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87"/>
              </w:rPr>
              <w:t>and Reissued</w:t>
            </w:r>
          </w:p>
        </w:tc>
        <w:tc>
          <w:tcPr>
            <w:tcW w:w="280" w:type="dxa"/>
            <w:vAlign w:val="bottom"/>
          </w:tcPr>
          <w:p>
            <w:pPr>
              <w:spacing w:after="0"/>
              <w:rPr>
                <w:sz w:val="13"/>
                <w:szCs w:val="13"/>
                <w:color w:val="auto"/>
              </w:rPr>
            </w:pPr>
          </w:p>
        </w:tc>
        <w:tc>
          <w:tcPr>
            <w:tcW w:w="920" w:type="dxa"/>
            <w:vAlign w:val="bottom"/>
            <w:gridSpan w:val="3"/>
          </w:tcPr>
          <w:p>
            <w:pPr>
              <w:jc w:val="right"/>
              <w:ind w:right="300"/>
              <w:spacing w:after="0" w:line="158" w:lineRule="exact"/>
              <w:rPr>
                <w:sz w:val="20"/>
                <w:szCs w:val="20"/>
                <w:color w:val="auto"/>
              </w:rPr>
            </w:pPr>
            <w:r>
              <w:rPr>
                <w:rFonts w:ascii="Arial" w:cs="Arial" w:eastAsia="Arial" w:hAnsi="Arial"/>
                <w:sz w:val="14"/>
                <w:szCs w:val="14"/>
                <w:b w:val="1"/>
                <w:bCs w:val="1"/>
                <w:color w:val="auto"/>
                <w:w w:val="91"/>
              </w:rPr>
              <w:t>Per Share</w:t>
            </w:r>
          </w:p>
        </w:tc>
        <w:tc>
          <w:tcPr>
            <w:tcW w:w="260" w:type="dxa"/>
            <w:vAlign w:val="bottom"/>
          </w:tcPr>
          <w:p>
            <w:pPr>
              <w:spacing w:after="0"/>
              <w:rPr>
                <w:sz w:val="13"/>
                <w:szCs w:val="13"/>
                <w:color w:val="auto"/>
              </w:rPr>
            </w:pPr>
          </w:p>
        </w:tc>
        <w:tc>
          <w:tcPr>
            <w:tcW w:w="880" w:type="dxa"/>
            <w:vAlign w:val="bottom"/>
            <w:gridSpan w:val="3"/>
          </w:tcPr>
          <w:p>
            <w:pPr>
              <w:jc w:val="right"/>
              <w:ind w:right="60"/>
              <w:spacing w:after="0" w:line="158" w:lineRule="exact"/>
              <w:rPr>
                <w:sz w:val="20"/>
                <w:szCs w:val="20"/>
                <w:color w:val="auto"/>
              </w:rPr>
            </w:pPr>
            <w:r>
              <w:rPr>
                <w:rFonts w:ascii="Arial" w:cs="Arial" w:eastAsia="Arial" w:hAnsi="Arial"/>
                <w:sz w:val="14"/>
                <w:szCs w:val="14"/>
                <w:b w:val="1"/>
                <w:bCs w:val="1"/>
                <w:color w:val="auto"/>
                <w:w w:val="92"/>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1, 2019 through March 31, 2019</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21,855</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15.25</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June 1, 2019 through June 30, 2019</w:t>
            </w:r>
          </w:p>
        </w:tc>
        <w:tc>
          <w:tcPr>
            <w:tcW w:w="840" w:type="dxa"/>
            <w:vAlign w:val="bottom"/>
          </w:tcPr>
          <w:p>
            <w:pPr>
              <w:jc w:val="right"/>
              <w:spacing w:after="0"/>
              <w:rPr>
                <w:sz w:val="20"/>
                <w:szCs w:val="20"/>
                <w:color w:val="auto"/>
              </w:rPr>
            </w:pPr>
            <w:r>
              <w:rPr>
                <w:rFonts w:ascii="Arial" w:cs="Arial" w:eastAsia="Arial" w:hAnsi="Arial"/>
                <w:sz w:val="18"/>
                <w:szCs w:val="18"/>
                <w:color w:val="auto"/>
              </w:rPr>
              <w:t>14,067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16.23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35,922</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Refer to Note 8 to our consolidated financial statements for additional information concerning stock repurchases under our Stock Repurchase Program.</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r>
        <w:rPr>
          <w:rFonts w:ascii="Arial" w:cs="Arial" w:eastAsia="Arial" w:hAnsi="Arial"/>
          <w:sz w:val="16"/>
          <w:szCs w:val="16"/>
          <w:b w:val="1"/>
          <w:bCs w:val="1"/>
          <w:i w:val="1"/>
          <w:iCs w:val="1"/>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240" w:top="459" w:right="5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20" w:type="dxa"/>
            <w:vAlign w:val="bottom"/>
            <w:gridSpan w:val="9"/>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18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Chief Executive Officer Certification Pursuant to Rule 13a-14 of the Securities Exchange Act of 1934, as adopted pursuant to Section</w:t>
              </w:r>
            </w:hyperlink>
          </w:p>
        </w:tc>
        <w:tc>
          <w:tcPr>
            <w:tcW w:w="260" w:type="dxa"/>
            <w:vAlign w:val="bottom"/>
            <w:gridSpan w:val="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302 of the Sarbanes-Oxley Act of 2002.</w:t>
              </w:r>
            </w:hyperlink>
          </w:p>
        </w:tc>
        <w:tc>
          <w:tcPr>
            <w:tcW w:w="7060" w:type="dxa"/>
            <w:vAlign w:val="bottom"/>
            <w:gridSpan w:val="5"/>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Chief Financial Officer Certification Pursuant to Rule 13a-14 of the Securities Exchange Act of 1934, as adopted pursuant to Section 302</w:t>
              </w:r>
            </w:hyperlink>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40" w:type="dxa"/>
            <w:vAlign w:val="bottom"/>
            <w:gridSpan w:val="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of the Sarbanes-Oxley Act of 2002.</w:t>
              </w:r>
            </w:hyperlink>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Certification pursuant to Section 1350, Chapter 63 of Title 18, United States Code, as adopted pursuant to Section 906 of the Sarbanes-</w:t>
              </w:r>
            </w:hyperlink>
          </w:p>
        </w:tc>
        <w:tc>
          <w:tcPr>
            <w:tcW w:w="20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Oxley Act of 2002.</w:t>
              </w:r>
            </w:hyperlink>
          </w:p>
        </w:tc>
        <w:tc>
          <w:tcPr>
            <w:tcW w:w="8540" w:type="dxa"/>
            <w:vAlign w:val="bottom"/>
            <w:gridSpan w:val="7"/>
          </w:tcPr>
          <w:p>
            <w:pPr>
              <w:spacing w:after="0"/>
              <w:rPr>
                <w:sz w:val="17"/>
                <w:szCs w:val="17"/>
                <w:color w:val="auto"/>
              </w:rPr>
            </w:pPr>
          </w:p>
        </w:tc>
      </w:tr>
      <w:tr>
        <w:trPr>
          <w:trHeight w:val="385"/>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gridSpan w:val="5"/>
          </w:tcPr>
          <w:p>
            <w:pPr>
              <w:jc w:val="right"/>
              <w:ind w:right="200"/>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FIDUS INVESTMENT CORPORATION</w:t>
      </w:r>
    </w:p>
    <w:p>
      <w:pPr>
        <w:spacing w:after="0" w:line="229" w:lineRule="exact"/>
        <w:rPr>
          <w:sz w:val="20"/>
          <w:szCs w:val="20"/>
          <w:color w:val="auto"/>
        </w:rPr>
      </w:pPr>
    </w:p>
    <w:p>
      <w:pPr>
        <w:ind w:left="200"/>
        <w:spacing w:after="0"/>
        <w:tabs>
          <w:tab w:leader="none" w:pos="6140" w:val="left"/>
        </w:tabs>
        <w:rPr>
          <w:sz w:val="20"/>
          <w:szCs w:val="20"/>
          <w:color w:val="auto"/>
        </w:rPr>
      </w:pPr>
      <w:r>
        <w:rPr>
          <w:rFonts w:ascii="Arial" w:cs="Arial" w:eastAsia="Arial" w:hAnsi="Arial"/>
          <w:sz w:val="18"/>
          <w:szCs w:val="18"/>
          <w:color w:val="auto"/>
        </w:rPr>
        <w:t>Date: August 1, 2019</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2156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200"/>
        <w:spacing w:after="0"/>
        <w:tabs>
          <w:tab w:leader="none" w:pos="6140" w:val="left"/>
        </w:tabs>
        <w:rPr>
          <w:sz w:val="20"/>
          <w:szCs w:val="20"/>
          <w:color w:val="auto"/>
        </w:rPr>
      </w:pPr>
      <w:r>
        <w:rPr>
          <w:rFonts w:ascii="Arial" w:cs="Arial" w:eastAsia="Arial" w:hAnsi="Arial"/>
          <w:sz w:val="18"/>
          <w:szCs w:val="18"/>
          <w:color w:val="auto"/>
        </w:rPr>
        <w:t>Date: August 1, 2019</w:t>
      </w:r>
      <w:r>
        <w:rPr>
          <w:sz w:val="20"/>
          <w:szCs w:val="20"/>
          <w:color w:val="auto"/>
        </w:rPr>
        <w:tab/>
      </w:r>
      <w:r>
        <w:rPr>
          <w:rFonts w:ascii="Arial" w:cs="Arial" w:eastAsia="Arial" w:hAnsi="Arial"/>
          <w:sz w:val="17"/>
          <w:szCs w:val="17"/>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21564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480"/>
          </w:cols>
          <w:pgMar w:left="240" w:top="459" w:right="117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Executive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H. Ross, as Chief Executive Officer of Fidus Investment Corporation, certify that:</w:t>
      </w:r>
    </w:p>
    <w:p>
      <w:pPr>
        <w:spacing w:after="0" w:line="131" w:lineRule="exact"/>
        <w:rPr>
          <w:sz w:val="20"/>
          <w:szCs w:val="20"/>
          <w:color w:val="auto"/>
        </w:rPr>
      </w:pPr>
    </w:p>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91" w:lineRule="auto"/>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80" w:right="560" w:hanging="544"/>
        <w:spacing w:after="0" w:line="342" w:lineRule="auto"/>
        <w:tabs>
          <w:tab w:leader="none" w:pos="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Financial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Shelby E. Sherard, as Chief Financial Officer of Fidus Investment Corporation, certify that:</w:t>
      </w:r>
    </w:p>
    <w:p>
      <w:pPr>
        <w:spacing w:after="0" w:line="131" w:lineRule="exact"/>
        <w:rPr>
          <w:sz w:val="20"/>
          <w:szCs w:val="20"/>
          <w:color w:val="auto"/>
        </w:rPr>
      </w:pPr>
    </w:p>
    <w:p>
      <w:pPr>
        <w:ind w:left="440" w:hanging="436"/>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91" w:lineRule="auto"/>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80" w:right="560" w:hanging="544"/>
        <w:spacing w:after="0" w:line="342" w:lineRule="auto"/>
        <w:tabs>
          <w:tab w:leader="none" w:pos="9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on Form 10-Q of Fidus Investment Corporation (the “Company”) for the quarterly period ended June 30, 2019,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92" w:lineRule="exact"/>
        <w:rPr>
          <w:sz w:val="20"/>
          <w:szCs w:val="20"/>
          <w:color w:val="auto"/>
        </w:rPr>
      </w:pPr>
    </w:p>
    <w:p>
      <w:pPr>
        <w:ind w:left="980" w:hanging="54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80" w:right="380" w:hanging="54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August 1, 2019</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lowerLetter"/>
      <w:start w:val="2"/>
    </w:lvl>
  </w:abstractNum>
  <w:abstractNum w:abstractNumId="4">
    <w:nsid w:val="2CA88611"/>
    <w:multiLevelType w:val="hybridMultilevel"/>
    <w:lvl w:ilvl="0">
      <w:lvlJc w:val="left"/>
      <w:lvlText w:val="(%1)"/>
      <w:numFmt w:val="lowerLetter"/>
      <w:start w:val="27"/>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1)"/>
      <w:numFmt w:val="lowerLetter"/>
      <w:start w:val="16"/>
    </w:lvl>
  </w:abstractNum>
  <w:abstractNum w:abstractNumId="7">
    <w:nsid w:val="3A95F874"/>
    <w:multiLevelType w:val="hybridMultilevel"/>
    <w:lvl w:ilvl="0">
      <w:lvlJc w:val="left"/>
      <w:lvlText w:val="(%1)"/>
      <w:numFmt w:val="lowerLetter"/>
      <w:start w:val="19"/>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lowerRoman"/>
      <w:start w:val="1"/>
    </w:lvl>
  </w:abstractNum>
  <w:abstractNum w:abstractNumId="16">
    <w:nsid w:val="614FD4A1"/>
    <w:multiLevelType w:val="hybridMultilevel"/>
    <w:lvl w:ilvl="0">
      <w:lvlJc w:val="left"/>
      <w:lvlText w:val="(%1)"/>
      <w:numFmt w:val="upperLetter"/>
      <w:start w:val="3"/>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upperLetter"/>
      <w:start w:val="3"/>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2019-12-28T09:13:54Z</dcterms:created>
  <dcterms:modified xsi:type="dcterms:W3CDTF">2019-12-28T09:13:54Z</dcterms:modified>
</cp:coreProperties>
</file>