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74"/>
        <w:spacing w:after="0"/>
        <w:rPr>
          <w:sz w:val="20"/>
          <w:szCs w:val="20"/>
          <w:color w:val="auto"/>
        </w:rPr>
      </w:pPr>
      <w:r>
        <w:rPr>
          <w:rFonts w:ascii="Arial" w:cs="Arial" w:eastAsia="Arial" w:hAnsi="Arial"/>
          <w:sz w:val="28"/>
          <w:szCs w:val="28"/>
          <w:b w:val="1"/>
          <w:bCs w:val="1"/>
          <w:color w:val="auto"/>
        </w:rPr>
        <w:t>UNITED STATES</w:t>
      </w:r>
    </w:p>
    <w:p>
      <w:pPr>
        <w:spacing w:after="0" w:line="98" w:lineRule="exact"/>
        <w:rPr>
          <w:sz w:val="24"/>
          <w:szCs w:val="24"/>
          <w:color w:val="auto"/>
        </w:rPr>
      </w:pPr>
    </w:p>
    <w:p>
      <w:pPr>
        <w:jc w:val="center"/>
        <w:ind w:right="-74"/>
        <w:spacing w:after="0"/>
        <w:rPr>
          <w:sz w:val="20"/>
          <w:szCs w:val="20"/>
          <w:color w:val="auto"/>
        </w:rPr>
      </w:pPr>
      <w:r>
        <w:rPr>
          <w:rFonts w:ascii="Arial" w:cs="Arial" w:eastAsia="Arial" w:hAnsi="Arial"/>
          <w:sz w:val="28"/>
          <w:szCs w:val="28"/>
          <w:b w:val="1"/>
          <w:bCs w:val="1"/>
          <w:color w:val="auto"/>
        </w:rPr>
        <w:t>SECURITIES AND EXCHANGE COMMISSION</w:t>
      </w:r>
    </w:p>
    <w:p>
      <w:pPr>
        <w:spacing w:after="0" w:line="91" w:lineRule="exact"/>
        <w:rPr>
          <w:sz w:val="24"/>
          <w:szCs w:val="24"/>
          <w:color w:val="auto"/>
        </w:rPr>
      </w:pPr>
    </w:p>
    <w:p>
      <w:pPr>
        <w:jc w:val="center"/>
        <w:ind w:right="-74"/>
        <w:spacing w:after="0"/>
        <w:rPr>
          <w:sz w:val="20"/>
          <w:szCs w:val="20"/>
          <w:color w:val="auto"/>
        </w:rPr>
      </w:pPr>
      <w:r>
        <w:rPr>
          <w:rFonts w:ascii="Arial" w:cs="Arial" w:eastAsia="Arial" w:hAnsi="Arial"/>
          <w:sz w:val="24"/>
          <w:szCs w:val="24"/>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ind w:left="3855"/>
        <w:spacing w:after="0"/>
        <w:rPr>
          <w:sz w:val="20"/>
          <w:szCs w:val="20"/>
          <w:color w:val="auto"/>
        </w:rPr>
      </w:pPr>
      <w:r>
        <w:rPr>
          <w:rFonts w:ascii="Arial" w:cs="Arial" w:eastAsia="Arial" w:hAnsi="Arial"/>
          <w:sz w:val="20"/>
          <w:szCs w:val="20"/>
          <w:color w:val="auto"/>
        </w:rPr>
        <w:t>________________</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74"/>
        <w:spacing w:after="0"/>
        <w:rPr>
          <w:sz w:val="20"/>
          <w:szCs w:val="20"/>
          <w:color w:val="auto"/>
        </w:rPr>
      </w:pPr>
      <w:r>
        <w:rPr>
          <w:rFonts w:ascii="Arial" w:cs="Arial" w:eastAsia="Arial" w:hAnsi="Arial"/>
          <w:sz w:val="36"/>
          <w:szCs w:val="36"/>
          <w:b w:val="1"/>
          <w:bCs w:val="1"/>
          <w:color w:val="auto"/>
        </w:rPr>
        <w:t>Form 10-K</w:t>
      </w:r>
    </w:p>
    <w:p>
      <w:pPr>
        <w:spacing w:after="0" w:line="240" w:lineRule="exact"/>
        <w:rPr>
          <w:sz w:val="24"/>
          <w:szCs w:val="24"/>
          <w:color w:val="auto"/>
        </w:rPr>
      </w:pPr>
    </w:p>
    <w:p>
      <w:pPr>
        <w:jc w:val="center"/>
        <w:ind w:right="-74"/>
        <w:spacing w:after="0"/>
        <w:rPr>
          <w:sz w:val="20"/>
          <w:szCs w:val="20"/>
          <w:color w:val="auto"/>
        </w:rPr>
      </w:pPr>
      <w:r>
        <w:rPr>
          <w:rFonts w:ascii="Arial" w:cs="Arial" w:eastAsia="Arial" w:hAnsi="Arial"/>
          <w:sz w:val="15"/>
          <w:szCs w:val="15"/>
          <w:color w:val="auto"/>
        </w:rPr>
        <w:t>(Mark One)</w:t>
      </w:r>
    </w:p>
    <w:p>
      <w:pPr>
        <w:spacing w:after="0" w:line="129" w:lineRule="exact"/>
        <w:rPr>
          <w:sz w:val="24"/>
          <w:szCs w:val="24"/>
          <w:color w:val="auto"/>
        </w:rPr>
      </w:pPr>
    </w:p>
    <w:p>
      <w:pPr>
        <w:ind w:left="3235" w:hanging="3235"/>
        <w:spacing w:after="0" w:line="323" w:lineRule="auto"/>
        <w:tabs>
          <w:tab w:leader="none" w:pos="512" w:val="left"/>
        </w:tabs>
        <w:numPr>
          <w:ilvl w:val="0"/>
          <w:numId w:val="1"/>
        </w:numPr>
        <w:rPr>
          <w:rFonts w:ascii="MS PGothic" w:cs="MS PGothic" w:eastAsia="MS PGothic" w:hAnsi="MS PGothic"/>
          <w:sz w:val="24"/>
          <w:szCs w:val="24"/>
          <w:color w:val="auto"/>
        </w:rPr>
      </w:pPr>
      <w:r>
        <w:rPr>
          <w:rFonts w:ascii="Arial" w:cs="Arial" w:eastAsia="Arial" w:hAnsi="Arial"/>
          <w:sz w:val="24"/>
          <w:szCs w:val="24"/>
          <w:b w:val="1"/>
          <w:bCs w:val="1"/>
          <w:color w:val="auto"/>
        </w:rPr>
        <w:t>ANNUAL REPORT PURSUANT TO SECTION 13 OR 15(d) OF THE SECURITIES EXCHANGE ACT OF 1934</w:t>
      </w:r>
    </w:p>
    <w:p>
      <w:pPr>
        <w:spacing w:after="0" w:line="79" w:lineRule="exact"/>
        <w:rPr>
          <w:sz w:val="24"/>
          <w:szCs w:val="24"/>
          <w:color w:val="auto"/>
        </w:rPr>
      </w:pPr>
    </w:p>
    <w:p>
      <w:pPr>
        <w:jc w:val="center"/>
        <w:ind w:right="-74"/>
        <w:spacing w:after="0"/>
        <w:rPr>
          <w:sz w:val="20"/>
          <w:szCs w:val="20"/>
          <w:color w:val="auto"/>
        </w:rPr>
      </w:pPr>
      <w:r>
        <w:rPr>
          <w:rFonts w:ascii="Arial" w:cs="Arial" w:eastAsia="Arial" w:hAnsi="Arial"/>
          <w:sz w:val="24"/>
          <w:szCs w:val="24"/>
          <w:b w:val="1"/>
          <w:bCs w:val="1"/>
          <w:color w:val="auto"/>
        </w:rPr>
        <w:t>For the fiscal year ended December 31, 2025</w:t>
      </w:r>
    </w:p>
    <w:p>
      <w:pPr>
        <w:spacing w:after="0" w:line="174" w:lineRule="exact"/>
        <w:rPr>
          <w:sz w:val="24"/>
          <w:szCs w:val="24"/>
          <w:color w:val="auto"/>
        </w:rPr>
      </w:pPr>
    </w:p>
    <w:p>
      <w:pPr>
        <w:jc w:val="center"/>
        <w:ind w:right="-74"/>
        <w:spacing w:after="0"/>
        <w:rPr>
          <w:sz w:val="20"/>
          <w:szCs w:val="20"/>
          <w:color w:val="auto"/>
        </w:rPr>
      </w:pPr>
      <w:r>
        <w:rPr>
          <w:rFonts w:ascii="Arial" w:cs="Arial" w:eastAsia="Arial" w:hAnsi="Arial"/>
          <w:sz w:val="24"/>
          <w:szCs w:val="24"/>
          <w:b w:val="1"/>
          <w:bCs w:val="1"/>
          <w:color w:val="auto"/>
        </w:rPr>
        <w:t>OR</w:t>
      </w:r>
    </w:p>
    <w:p>
      <w:pPr>
        <w:spacing w:after="0" w:line="200" w:lineRule="exact"/>
        <w:rPr>
          <w:sz w:val="24"/>
          <w:szCs w:val="24"/>
          <w:color w:val="auto"/>
        </w:rPr>
      </w:pPr>
    </w:p>
    <w:p>
      <w:pPr>
        <w:spacing w:after="0" w:line="228" w:lineRule="exact"/>
        <w:rPr>
          <w:sz w:val="24"/>
          <w:szCs w:val="24"/>
          <w:color w:val="auto"/>
        </w:rPr>
      </w:pPr>
    </w:p>
    <w:p>
      <w:pPr>
        <w:ind w:left="2475" w:right="500" w:hanging="1966"/>
        <w:spacing w:after="0" w:line="302" w:lineRule="auto"/>
        <w:tabs>
          <w:tab w:leader="none" w:pos="1019" w:val="left"/>
        </w:tabs>
        <w:numPr>
          <w:ilvl w:val="0"/>
          <w:numId w:val="2"/>
        </w:numPr>
        <w:rPr>
          <w:rFonts w:ascii="MS PGothic" w:cs="MS PGothic" w:eastAsia="MS PGothic" w:hAnsi="MS PGothic"/>
          <w:sz w:val="24"/>
          <w:szCs w:val="24"/>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03" w:lineRule="exact"/>
        <w:rPr>
          <w:sz w:val="24"/>
          <w:szCs w:val="24"/>
          <w:color w:val="auto"/>
        </w:rPr>
      </w:pPr>
    </w:p>
    <w:p>
      <w:pPr>
        <w:ind w:left="2275"/>
        <w:spacing w:after="0"/>
        <w:tabs>
          <w:tab w:leader="none" w:pos="6155" w:val="left"/>
        </w:tabs>
        <w:rPr>
          <w:sz w:val="20"/>
          <w:szCs w:val="20"/>
          <w:color w:val="auto"/>
        </w:rPr>
      </w:pPr>
      <w:r>
        <w:rPr>
          <w:rFonts w:ascii="Arial" w:cs="Arial" w:eastAsia="Arial" w:hAnsi="Arial"/>
          <w:sz w:val="24"/>
          <w:szCs w:val="24"/>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74" w:lineRule="exact"/>
        <w:rPr>
          <w:sz w:val="24"/>
          <w:szCs w:val="24"/>
          <w:color w:val="auto"/>
        </w:rPr>
      </w:pPr>
    </w:p>
    <w:p>
      <w:pPr>
        <w:jc w:val="center"/>
        <w:ind w:right="-74"/>
        <w:spacing w:after="0"/>
        <w:rPr>
          <w:sz w:val="20"/>
          <w:szCs w:val="20"/>
          <w:color w:val="auto"/>
        </w:rPr>
      </w:pPr>
      <w:r>
        <w:rPr>
          <w:rFonts w:ascii="Arial" w:cs="Arial" w:eastAsia="Arial" w:hAnsi="Arial"/>
          <w:sz w:val="24"/>
          <w:szCs w:val="24"/>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412115</wp:posOffset>
            </wp:positionV>
            <wp:extent cx="94170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1705"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74"/>
        <w:spacing w:after="0"/>
        <w:rPr>
          <w:sz w:val="20"/>
          <w:szCs w:val="20"/>
          <w:color w:val="auto"/>
        </w:rPr>
      </w:pPr>
      <w:r>
        <w:rPr>
          <w:rFonts w:ascii="Arial" w:cs="Arial" w:eastAsia="Arial" w:hAnsi="Arial"/>
          <w:sz w:val="48"/>
          <w:szCs w:val="48"/>
          <w:b w:val="1"/>
          <w:bCs w:val="1"/>
          <w:color w:val="auto"/>
        </w:rPr>
        <w:t>FIDUS INVESTMENT CORPORATION</w:t>
      </w:r>
    </w:p>
    <w:p>
      <w:pPr>
        <w:spacing w:after="0" w:line="126" w:lineRule="exact"/>
        <w:rPr>
          <w:sz w:val="24"/>
          <w:szCs w:val="24"/>
          <w:color w:val="auto"/>
        </w:rPr>
      </w:pPr>
    </w:p>
    <w:p>
      <w:pPr>
        <w:jc w:val="center"/>
        <w:ind w:right="-74"/>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tbl>
      <w:tblPr>
        <w:tblLayout w:type="fixed"/>
        <w:tblInd w:w="835" w:type="dxa"/>
        <w:tblCellMar>
          <w:top w:w="0" w:type="dxa"/>
          <w:left w:w="0" w:type="dxa"/>
          <w:bottom w:w="0" w:type="dxa"/>
          <w:right w:w="0" w:type="dxa"/>
        </w:tblCellMar>
      </w:tblPr>
      <w:tr>
        <w:trPr>
          <w:trHeight w:val="230"/>
        </w:trPr>
        <w:tc>
          <w:tcPr>
            <w:tcW w:w="5680" w:type="dxa"/>
            <w:vAlign w:val="bottom"/>
          </w:tcPr>
          <w:p>
            <w:pPr>
              <w:jc w:val="center"/>
              <w:ind w:right="2613"/>
              <w:spacing w:after="0"/>
              <w:rPr>
                <w:sz w:val="20"/>
                <w:szCs w:val="20"/>
                <w:color w:val="auto"/>
              </w:rPr>
            </w:pPr>
            <w:r>
              <w:rPr>
                <w:rFonts w:ascii="Arial" w:cs="Arial" w:eastAsia="Arial" w:hAnsi="Arial"/>
                <w:sz w:val="20"/>
                <w:szCs w:val="20"/>
                <w:b w:val="1"/>
                <w:bCs w:val="1"/>
                <w:color w:val="auto"/>
                <w:w w:val="97"/>
              </w:rPr>
              <w:t>Maryland</w:t>
            </w:r>
          </w:p>
        </w:tc>
        <w:tc>
          <w:tcPr>
            <w:tcW w:w="1200" w:type="dxa"/>
            <w:vAlign w:val="bottom"/>
          </w:tcPr>
          <w:p>
            <w:pPr>
              <w:jc w:val="right"/>
              <w:ind w:right="15"/>
              <w:spacing w:after="0"/>
              <w:rPr>
                <w:sz w:val="20"/>
                <w:szCs w:val="20"/>
                <w:color w:val="auto"/>
              </w:rPr>
            </w:pPr>
            <w:r>
              <w:rPr>
                <w:rFonts w:ascii="Arial" w:cs="Arial" w:eastAsia="Arial" w:hAnsi="Arial"/>
                <w:sz w:val="20"/>
                <w:szCs w:val="20"/>
                <w:b w:val="1"/>
                <w:bCs w:val="1"/>
                <w:color w:val="auto"/>
              </w:rPr>
              <w:t>27-5017321</w:t>
            </w:r>
          </w:p>
        </w:tc>
      </w:tr>
      <w:tr>
        <w:trPr>
          <w:trHeight w:val="236"/>
        </w:trPr>
        <w:tc>
          <w:tcPr>
            <w:tcW w:w="5680" w:type="dxa"/>
            <w:vAlign w:val="bottom"/>
          </w:tcPr>
          <w:p>
            <w:pPr>
              <w:jc w:val="center"/>
              <w:ind w:right="2613"/>
              <w:spacing w:after="0"/>
              <w:rPr>
                <w:sz w:val="20"/>
                <w:szCs w:val="20"/>
                <w:color w:val="auto"/>
              </w:rPr>
            </w:pPr>
            <w:r>
              <w:rPr>
                <w:rFonts w:ascii="Arial" w:cs="Arial" w:eastAsia="Arial" w:hAnsi="Arial"/>
                <w:sz w:val="15"/>
                <w:szCs w:val="15"/>
                <w:b w:val="1"/>
                <w:bCs w:val="1"/>
                <w:color w:val="auto"/>
                <w:w w:val="91"/>
              </w:rPr>
              <w:t>(State or Other Jurisdiction of</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3"/>
              </w:rPr>
              <w:t>(I.R.S. Employer</w:t>
            </w:r>
          </w:p>
        </w:tc>
      </w:tr>
      <w:tr>
        <w:trPr>
          <w:trHeight w:val="225"/>
        </w:trPr>
        <w:tc>
          <w:tcPr>
            <w:tcW w:w="5680" w:type="dxa"/>
            <w:vAlign w:val="bottom"/>
          </w:tcPr>
          <w:p>
            <w:pPr>
              <w:jc w:val="center"/>
              <w:ind w:right="2613"/>
              <w:spacing w:after="0"/>
              <w:rPr>
                <w:sz w:val="20"/>
                <w:szCs w:val="20"/>
                <w:color w:val="auto"/>
              </w:rPr>
            </w:pPr>
            <w:r>
              <w:rPr>
                <w:rFonts w:ascii="Arial" w:cs="Arial" w:eastAsia="Arial" w:hAnsi="Arial"/>
                <w:sz w:val="15"/>
                <w:szCs w:val="15"/>
                <w:b w:val="1"/>
                <w:bCs w:val="1"/>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3"/>
              </w:rPr>
              <w:t>Identification No.)</w:t>
            </w:r>
          </w:p>
        </w:tc>
      </w:tr>
      <w:tr>
        <w:trPr>
          <w:trHeight w:val="649"/>
        </w:trPr>
        <w:tc>
          <w:tcPr>
            <w:tcW w:w="5680" w:type="dxa"/>
            <w:vAlign w:val="bottom"/>
          </w:tcPr>
          <w:p>
            <w:pPr>
              <w:jc w:val="center"/>
              <w:ind w:right="2593"/>
              <w:spacing w:after="0"/>
              <w:rPr>
                <w:sz w:val="20"/>
                <w:szCs w:val="20"/>
                <w:color w:val="auto"/>
              </w:rPr>
            </w:pPr>
            <w:r>
              <w:rPr>
                <w:rFonts w:ascii="Arial" w:cs="Arial" w:eastAsia="Arial" w:hAnsi="Arial"/>
                <w:sz w:val="20"/>
                <w:szCs w:val="20"/>
                <w:b w:val="1"/>
                <w:bCs w:val="1"/>
                <w:color w:val="auto"/>
                <w:w w:val="90"/>
              </w:rPr>
              <w:t>1603 Orrington Avenue, Suite 1005</w:t>
            </w:r>
          </w:p>
        </w:tc>
        <w:tc>
          <w:tcPr>
            <w:tcW w:w="1200" w:type="dxa"/>
            <w:vAlign w:val="bottom"/>
          </w:tcPr>
          <w:p>
            <w:pPr>
              <w:spacing w:after="0"/>
              <w:rPr>
                <w:sz w:val="24"/>
                <w:szCs w:val="24"/>
                <w:color w:val="auto"/>
              </w:rPr>
            </w:pPr>
          </w:p>
        </w:tc>
      </w:tr>
      <w:tr>
        <w:trPr>
          <w:trHeight w:val="300"/>
        </w:trPr>
        <w:tc>
          <w:tcPr>
            <w:tcW w:w="5680" w:type="dxa"/>
            <w:vAlign w:val="bottom"/>
          </w:tcPr>
          <w:p>
            <w:pPr>
              <w:jc w:val="center"/>
              <w:ind w:right="2593"/>
              <w:spacing w:after="0"/>
              <w:rPr>
                <w:sz w:val="20"/>
                <w:szCs w:val="20"/>
                <w:color w:val="auto"/>
              </w:rPr>
            </w:pPr>
            <w:r>
              <w:rPr>
                <w:rFonts w:ascii="Arial" w:cs="Arial" w:eastAsia="Arial" w:hAnsi="Arial"/>
                <w:sz w:val="20"/>
                <w:szCs w:val="20"/>
                <w:b w:val="1"/>
                <w:bCs w:val="1"/>
                <w:color w:val="auto"/>
                <w:w w:val="89"/>
              </w:rPr>
              <w:t>Evanston, Illinois</w:t>
            </w:r>
          </w:p>
        </w:tc>
        <w:tc>
          <w:tcPr>
            <w:tcW w:w="1200" w:type="dxa"/>
            <w:vAlign w:val="bottom"/>
          </w:tcPr>
          <w:p>
            <w:pPr>
              <w:jc w:val="right"/>
              <w:ind w:right="255"/>
              <w:spacing w:after="0"/>
              <w:rPr>
                <w:sz w:val="20"/>
                <w:szCs w:val="20"/>
                <w:color w:val="auto"/>
              </w:rPr>
            </w:pPr>
            <w:r>
              <w:rPr>
                <w:rFonts w:ascii="Arial" w:cs="Arial" w:eastAsia="Arial" w:hAnsi="Arial"/>
                <w:sz w:val="20"/>
                <w:szCs w:val="20"/>
                <w:b w:val="1"/>
                <w:bCs w:val="1"/>
                <w:color w:val="auto"/>
              </w:rPr>
              <w:t>60201</w:t>
            </w:r>
          </w:p>
        </w:tc>
      </w:tr>
      <w:tr>
        <w:trPr>
          <w:trHeight w:val="236"/>
        </w:trPr>
        <w:tc>
          <w:tcPr>
            <w:tcW w:w="5680" w:type="dxa"/>
            <w:vAlign w:val="bottom"/>
          </w:tcPr>
          <w:p>
            <w:pPr>
              <w:jc w:val="center"/>
              <w:ind w:right="2593"/>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4"/>
              </w:rPr>
              <w:t>(Zip Code)</w:t>
            </w:r>
          </w:p>
        </w:tc>
      </w:tr>
      <w:tr>
        <w:trPr>
          <w:trHeight w:val="379"/>
        </w:trPr>
        <w:tc>
          <w:tcPr>
            <w:tcW w:w="5680" w:type="dxa"/>
            <w:vAlign w:val="bottom"/>
          </w:tcPr>
          <w:p>
            <w:pPr>
              <w:jc w:val="right"/>
              <w:ind w:right="1113"/>
              <w:spacing w:after="0"/>
              <w:rPr>
                <w:sz w:val="20"/>
                <w:szCs w:val="20"/>
                <w:color w:val="auto"/>
              </w:rPr>
            </w:pPr>
            <w:r>
              <w:rPr>
                <w:rFonts w:ascii="Arial" w:cs="Arial" w:eastAsia="Arial" w:hAnsi="Arial"/>
                <w:sz w:val="20"/>
                <w:szCs w:val="20"/>
                <w:b w:val="1"/>
                <w:bCs w:val="1"/>
                <w:color w:val="auto"/>
              </w:rPr>
              <w:t>(847) 859-3940</w:t>
            </w:r>
          </w:p>
        </w:tc>
        <w:tc>
          <w:tcPr>
            <w:tcW w:w="1200" w:type="dxa"/>
            <w:vAlign w:val="bottom"/>
          </w:tcPr>
          <w:p>
            <w:pPr>
              <w:spacing w:after="0"/>
              <w:rPr>
                <w:sz w:val="24"/>
                <w:szCs w:val="24"/>
                <w:color w:val="auto"/>
              </w:rPr>
            </w:pPr>
          </w:p>
        </w:tc>
      </w:tr>
      <w:tr>
        <w:trPr>
          <w:trHeight w:val="290"/>
        </w:trPr>
        <w:tc>
          <w:tcPr>
            <w:tcW w:w="5680" w:type="dxa"/>
            <w:vAlign w:val="bottom"/>
          </w:tcPr>
          <w:p>
            <w:pPr>
              <w:jc w:val="center"/>
              <w:ind w:left="1953"/>
              <w:spacing w:after="0"/>
              <w:rPr>
                <w:sz w:val="20"/>
                <w:szCs w:val="20"/>
                <w:color w:val="auto"/>
              </w:rPr>
            </w:pPr>
            <w:r>
              <w:rPr>
                <w:rFonts w:ascii="Arial" w:cs="Arial" w:eastAsia="Arial" w:hAnsi="Arial"/>
                <w:sz w:val="15"/>
                <w:szCs w:val="15"/>
                <w:b w:val="1"/>
                <w:bCs w:val="1"/>
                <w:color w:val="auto"/>
                <w:w w:val="91"/>
              </w:rPr>
              <w:t>(Registrant’s Telephone Number, including Area Code)</w:t>
            </w:r>
          </w:p>
        </w:tc>
        <w:tc>
          <w:tcPr>
            <w:tcW w:w="1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2505710</wp:posOffset>
            </wp:positionH>
            <wp:positionV relativeFrom="paragraph">
              <wp:posOffset>413385</wp:posOffset>
            </wp:positionV>
            <wp:extent cx="94170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1705"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74"/>
        <w:spacing w:after="0"/>
        <w:rPr>
          <w:sz w:val="20"/>
          <w:szCs w:val="20"/>
          <w:color w:val="auto"/>
        </w:rPr>
      </w:pPr>
      <w:r>
        <w:rPr>
          <w:rFonts w:ascii="Arial" w:cs="Arial" w:eastAsia="Arial" w:hAnsi="Arial"/>
          <w:sz w:val="20"/>
          <w:szCs w:val="20"/>
          <w:b w:val="1"/>
          <w:bCs w:val="1"/>
          <w:color w:val="auto"/>
        </w:rPr>
        <w:t>Securities registered pursuant to Section 12(b) of the Act:</w:t>
      </w:r>
    </w:p>
    <w:p>
      <w:pPr>
        <w:sectPr>
          <w:pgSz w:w="11900" w:h="16838" w:orient="portrait"/>
          <w:cols w:equalWidth="0" w:num="1">
            <w:col w:w="9295"/>
          </w:cols>
          <w:pgMar w:left="1265" w:top="1440" w:right="134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
        <w:spacing w:after="0"/>
        <w:rPr>
          <w:sz w:val="20"/>
          <w:szCs w:val="20"/>
          <w:color w:val="auto"/>
        </w:rPr>
      </w:pPr>
      <w:r>
        <w:rPr>
          <w:rFonts w:ascii="Arial" w:cs="Arial" w:eastAsia="Arial" w:hAnsi="Arial"/>
          <w:sz w:val="20"/>
          <w:szCs w:val="20"/>
          <w:color w:val="auto"/>
        </w:rPr>
        <w:t>1 / 68</w:t>
      </w:r>
    </w:p>
    <w:p>
      <w:pPr>
        <w:sectPr>
          <w:pgSz w:w="11900" w:h="16838" w:orient="portrait"/>
          <w:cols w:equalWidth="0" w:num="1">
            <w:col w:w="9295"/>
          </w:cols>
          <w:pgMar w:left="1265" w:top="1440" w:right="1346" w:bottom="0" w:gutter="0" w:footer="0" w:header="0"/>
          <w:type w:val="continuous"/>
        </w:sectPr>
      </w:pPr>
    </w:p>
    <w:bookmarkStart w:id="1" w:name="page2"/>
    <w:bookmarkEnd w:id="1"/>
    <w:p>
      <w:pPr>
        <w:ind w:left="10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3286760" cy="679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760" cy="679450"/>
                    </a:xfrm>
                    <a:prstGeom prst="rect">
                      <a:avLst/>
                    </a:prstGeom>
                    <a:noFill/>
                  </pic:spPr>
                </pic:pic>
              </a:graphicData>
            </a:graphic>
          </wp:anchor>
        </w:drawing>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-184785</wp:posOffset>
            </wp:positionV>
            <wp:extent cx="2693670" cy="666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670" cy="66675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3">
            <w:col w:w="2840" w:space="720"/>
            <w:col w:w="1500" w:space="720"/>
            <w:col w:w="3580"/>
          </w:cols>
          <w:pgMar w:left="1260" w:top="1265" w:right="1286" w:bottom="0" w:gutter="0" w:footer="0" w:header="0"/>
        </w:sectPr>
      </w:pPr>
    </w:p>
    <w:p>
      <w:pPr>
        <w:ind w:left="120"/>
        <w:spacing w:after="0"/>
        <w:rPr>
          <w:sz w:val="20"/>
          <w:szCs w:val="20"/>
          <w:color w:val="auto"/>
        </w:rPr>
      </w:pPr>
      <w:r>
        <w:rPr>
          <w:rFonts w:ascii="Arial" w:cs="Arial" w:eastAsia="Arial" w:hAnsi="Arial"/>
          <w:sz w:val="18"/>
          <w:szCs w:val="18"/>
          <w:color w:val="auto"/>
        </w:rPr>
        <w:t>Common Stock, par value $0.001 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FDUS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NASDAQ Global Select Market</w:t>
      </w:r>
    </w:p>
    <w:p>
      <w:pPr>
        <w:spacing w:after="0" w:line="93" w:lineRule="exact"/>
        <w:rPr>
          <w:sz w:val="20"/>
          <w:szCs w:val="20"/>
          <w:color w:val="auto"/>
        </w:rPr>
      </w:pPr>
    </w:p>
    <w:p>
      <w:pPr>
        <w:sectPr>
          <w:pgSz w:w="11900" w:h="16838" w:orient="portrait"/>
          <w:cols w:equalWidth="0" w:num="3">
            <w:col w:w="3240" w:space="720"/>
            <w:col w:w="1100" w:space="720"/>
            <w:col w:w="3580"/>
          </w:cols>
          <w:pgMar w:left="1260" w:top="1265" w:right="1286" w:bottom="0" w:gutter="0" w:footer="0" w:header="0"/>
          <w:type w:val="continuous"/>
        </w:sectPr>
      </w:pPr>
    </w:p>
    <w:p>
      <w:pPr>
        <w:ind w:left="1420"/>
        <w:spacing w:after="0"/>
        <w:rPr>
          <w:sz w:val="20"/>
          <w:szCs w:val="20"/>
          <w:color w:val="auto"/>
        </w:rPr>
      </w:pPr>
      <w:r>
        <w:rPr>
          <w:rFonts w:ascii="Arial" w:cs="Arial" w:eastAsia="Arial" w:hAnsi="Arial"/>
          <w:sz w:val="16"/>
          <w:szCs w:val="16"/>
          <w:color w:val="auto"/>
        </w:rPr>
        <w:t>share</w:t>
      </w:r>
    </w:p>
    <w:p>
      <w:pPr>
        <w:sectPr>
          <w:pgSz w:w="11900" w:h="16838" w:orient="portrait"/>
          <w:cols w:equalWidth="0" w:num="1">
            <w:col w:w="9360"/>
          </w:cols>
          <w:pgMar w:left="1260" w:top="1265"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407035</wp:posOffset>
            </wp:positionV>
            <wp:extent cx="94170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170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0" w:firstLine="400"/>
        <w:spacing w:after="0" w:line="302" w:lineRule="auto"/>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w:t>
      </w:r>
    </w:p>
    <w:p>
      <w:pPr>
        <w:spacing w:after="0" w:line="96" w:lineRule="exact"/>
        <w:rPr>
          <w:sz w:val="20"/>
          <w:szCs w:val="20"/>
          <w:color w:val="auto"/>
        </w:rPr>
      </w:pPr>
    </w:p>
    <w:p>
      <w:pPr>
        <w:ind w:left="440"/>
        <w:spacing w:after="0" w:line="230" w:lineRule="exact"/>
        <w:tabs>
          <w:tab w:leader="none" w:pos="132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Indicate by check mark if the registrant is not required to file reports pursuant to Section 13 or 15(d) of the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Act.</w:t>
      </w:r>
    </w:p>
    <w:p>
      <w:pPr>
        <w:spacing w:after="0" w:line="244" w:lineRule="exact"/>
        <w:rPr>
          <w:sz w:val="20"/>
          <w:szCs w:val="20"/>
          <w:color w:val="auto"/>
        </w:rPr>
      </w:pPr>
    </w:p>
    <w:p>
      <w:pPr>
        <w:ind w:left="500"/>
        <w:spacing w:after="0" w:line="240" w:lineRule="exact"/>
        <w:tabs>
          <w:tab w:leader="none" w:pos="136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rFonts w:ascii="Arial" w:cs="Arial" w:eastAsia="Arial" w:hAnsi="Arial"/>
          <w:sz w:val="20"/>
          <w:szCs w:val="20"/>
          <w:color w:val="auto"/>
        </w:rPr>
        <w:tab/>
        <w:t xml:space="preserve">No  </w:t>
      </w:r>
      <w:r>
        <w:rPr>
          <w:rFonts w:ascii="MS PGothic" w:cs="MS PGothic" w:eastAsia="MS PGothic" w:hAnsi="MS PGothic"/>
          <w:sz w:val="20"/>
          <w:szCs w:val="20"/>
          <w:color w:val="auto"/>
        </w:rPr>
        <w:t>☒</w:t>
      </w:r>
    </w:p>
    <w:p>
      <w:pPr>
        <w:spacing w:after="0" w:line="277" w:lineRule="exact"/>
        <w:rPr>
          <w:sz w:val="20"/>
          <w:szCs w:val="20"/>
          <w:color w:val="auto"/>
        </w:rPr>
      </w:pPr>
    </w:p>
    <w:p>
      <w:pPr>
        <w:ind w:firstLine="400"/>
        <w:spacing w:after="0" w:line="281" w:lineRule="exact"/>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 / 68</w:t>
      </w:r>
    </w:p>
    <w:p>
      <w:pPr>
        <w:sectPr>
          <w:pgSz w:w="11900" w:h="16838" w:orient="portrait"/>
          <w:cols w:equalWidth="0" w:num="1">
            <w:col w:w="9360"/>
          </w:cols>
          <w:pgMar w:left="1260" w:top="1265" w:right="128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 w:right="100" w:firstLine="400"/>
        <w:spacing w:after="0" w:line="27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6" w:lineRule="exact"/>
        <w:rPr>
          <w:sz w:val="20"/>
          <w:szCs w:val="20"/>
          <w:color w:val="auto"/>
        </w:rPr>
      </w:pPr>
    </w:p>
    <w:p>
      <w:pPr>
        <w:ind w:left="6" w:right="80" w:firstLine="400"/>
        <w:spacing w:after="0" w:line="309"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25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4380" w:type="dxa"/>
            <w:vAlign w:val="bottom"/>
          </w:tcPr>
          <w:p>
            <w:pPr>
              <w:ind w:left="2060"/>
              <w:spacing w:after="0"/>
              <w:rPr>
                <w:sz w:val="20"/>
                <w:szCs w:val="20"/>
                <w:color w:val="auto"/>
              </w:rPr>
            </w:pPr>
            <w:r>
              <w:rPr>
                <w:rFonts w:ascii="Arial" w:cs="Arial" w:eastAsia="Arial" w:hAnsi="Arial"/>
                <w:sz w:val="20"/>
                <w:szCs w:val="20"/>
                <w:color w:val="auto"/>
              </w:rPr>
              <w:t>Accelerated filer</w:t>
            </w:r>
          </w:p>
        </w:tc>
        <w:tc>
          <w:tcPr>
            <w:tcW w:w="300" w:type="dxa"/>
            <w:vAlign w:val="bottom"/>
          </w:tcPr>
          <w:p>
            <w:pPr>
              <w:ind w:left="12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663"/>
        </w:trPr>
        <w:tc>
          <w:tcPr>
            <w:tcW w:w="2060" w:type="dxa"/>
            <w:vAlign w:val="bottom"/>
          </w:tcPr>
          <w:p>
            <w:pPr>
              <w:spacing w:after="0"/>
              <w:rPr>
                <w:sz w:val="20"/>
                <w:szCs w:val="20"/>
                <w:color w:val="auto"/>
              </w:rPr>
            </w:pPr>
            <w:r>
              <w:rPr>
                <w:rFonts w:ascii="Arial" w:cs="Arial" w:eastAsia="Arial" w:hAnsi="Arial"/>
                <w:sz w:val="20"/>
                <w:szCs w:val="20"/>
                <w:color w:val="auto"/>
              </w:rPr>
              <w:t>Non-accelerated filer</w:t>
            </w:r>
          </w:p>
        </w:tc>
        <w:tc>
          <w:tcPr>
            <w:tcW w:w="25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4380" w:type="dxa"/>
            <w:vAlign w:val="bottom"/>
          </w:tcPr>
          <w:p>
            <w:pPr>
              <w:ind w:left="2060"/>
              <w:spacing w:after="0"/>
              <w:rPr>
                <w:sz w:val="20"/>
                <w:szCs w:val="20"/>
                <w:color w:val="auto"/>
              </w:rPr>
            </w:pPr>
            <w:r>
              <w:rPr>
                <w:rFonts w:ascii="Arial" w:cs="Arial" w:eastAsia="Arial" w:hAnsi="Arial"/>
                <w:sz w:val="20"/>
                <w:szCs w:val="20"/>
                <w:color w:val="auto"/>
                <w:w w:val="96"/>
              </w:rPr>
              <w:t>Smaller reporting company</w:t>
            </w:r>
          </w:p>
        </w:tc>
        <w:tc>
          <w:tcPr>
            <w:tcW w:w="300" w:type="dxa"/>
            <w:vAlign w:val="bottom"/>
          </w:tcPr>
          <w:p>
            <w:pPr>
              <w:ind w:left="12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600"/>
        </w:trPr>
        <w:tc>
          <w:tcPr>
            <w:tcW w:w="2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80" w:type="dxa"/>
            <w:vAlign w:val="bottom"/>
          </w:tcPr>
          <w:p>
            <w:pPr>
              <w:ind w:left="2060"/>
              <w:spacing w:after="0"/>
              <w:rPr>
                <w:sz w:val="20"/>
                <w:szCs w:val="20"/>
                <w:color w:val="auto"/>
              </w:rPr>
            </w:pPr>
            <w:r>
              <w:rPr>
                <w:rFonts w:ascii="Arial" w:cs="Arial" w:eastAsia="Arial" w:hAnsi="Arial"/>
                <w:sz w:val="20"/>
                <w:szCs w:val="20"/>
                <w:color w:val="auto"/>
                <w:w w:val="96"/>
              </w:rPr>
              <w:t>Emerging growth company</w:t>
            </w:r>
          </w:p>
        </w:tc>
        <w:tc>
          <w:tcPr>
            <w:tcW w:w="300" w:type="dxa"/>
            <w:vAlign w:val="bottom"/>
          </w:tcPr>
          <w:p>
            <w:pPr>
              <w:ind w:left="12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56" w:lineRule="exact"/>
        <w:rPr>
          <w:sz w:val="20"/>
          <w:szCs w:val="20"/>
          <w:color w:val="auto"/>
        </w:rPr>
      </w:pPr>
    </w:p>
    <w:p>
      <w:pPr>
        <w:ind w:left="6" w:right="60" w:firstLine="400"/>
        <w:spacing w:after="0" w:line="276"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57" w:lineRule="exact"/>
        <w:rPr>
          <w:sz w:val="20"/>
          <w:szCs w:val="20"/>
          <w:color w:val="auto"/>
        </w:rPr>
      </w:pPr>
    </w:p>
    <w:p>
      <w:pPr>
        <w:ind w:left="6" w:right="120" w:firstLine="400"/>
        <w:spacing w:after="0" w:line="27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81" w:lineRule="exact"/>
        <w:rPr>
          <w:sz w:val="20"/>
          <w:szCs w:val="20"/>
          <w:color w:val="auto"/>
        </w:rPr>
      </w:pPr>
    </w:p>
    <w:p>
      <w:pPr>
        <w:ind w:left="6" w:right="260" w:firstLine="400"/>
        <w:spacing w:after="0" w:line="276" w:lineRule="exact"/>
        <w:rPr>
          <w:sz w:val="20"/>
          <w:szCs w:val="20"/>
          <w:color w:val="auto"/>
        </w:rPr>
      </w:pPr>
      <w:r>
        <w:rPr>
          <w:rFonts w:ascii="Arial" w:cs="Arial" w:eastAsia="Arial" w:hAnsi="Arial"/>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pacing w:after="0" w:line="257" w:lineRule="exact"/>
        <w:rPr>
          <w:sz w:val="20"/>
          <w:szCs w:val="20"/>
          <w:color w:val="auto"/>
        </w:rPr>
      </w:pPr>
    </w:p>
    <w:p>
      <w:pPr>
        <w:ind w:left="6" w:firstLine="400"/>
        <w:spacing w:after="0" w:line="276" w:lineRule="exact"/>
        <w:rPr>
          <w:sz w:val="20"/>
          <w:szCs w:val="20"/>
          <w:color w:val="auto"/>
        </w:rPr>
      </w:pPr>
      <w:r>
        <w:rPr>
          <w:rFonts w:ascii="Arial" w:cs="Arial" w:eastAsia="Arial" w:hAnsi="Arial"/>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color w:val="auto"/>
        </w:rPr>
        <w:t>☐</w:t>
      </w:r>
    </w:p>
    <w:p>
      <w:pPr>
        <w:spacing w:after="0" w:line="257" w:lineRule="exact"/>
        <w:rPr>
          <w:sz w:val="20"/>
          <w:szCs w:val="20"/>
          <w:color w:val="auto"/>
        </w:rPr>
      </w:pPr>
    </w:p>
    <w:p>
      <w:pPr>
        <w:ind w:left="406"/>
        <w:spacing w:after="0"/>
        <w:tabs>
          <w:tab w:leader="none" w:pos="8826" w:val="left"/>
        </w:tabs>
        <w:rPr>
          <w:sz w:val="20"/>
          <w:szCs w:val="20"/>
          <w:color w:val="auto"/>
        </w:rPr>
      </w:pPr>
      <w:r>
        <w:rPr>
          <w:rFonts w:ascii="Arial" w:cs="Arial" w:eastAsia="Arial" w:hAnsi="Arial"/>
          <w:sz w:val="19"/>
          <w:szCs w:val="19"/>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w:t>
      </w:r>
    </w:p>
    <w:p>
      <w:pPr>
        <w:spacing w:after="0" w:line="73" w:lineRule="exact"/>
        <w:rPr>
          <w:sz w:val="20"/>
          <w:szCs w:val="20"/>
          <w:color w:val="auto"/>
        </w:rPr>
      </w:pPr>
    </w:p>
    <w:p>
      <w:pPr>
        <w:ind w:left="426" w:hanging="426"/>
        <w:spacing w:after="0" w:line="230" w:lineRule="exact"/>
        <w:tabs>
          <w:tab w:leader="none" w:pos="426"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 xml:space="preserve">No  </w:t>
      </w:r>
      <w:r>
        <w:rPr>
          <w:rFonts w:ascii="MS PGothic" w:cs="MS PGothic" w:eastAsia="MS PGothic" w:hAnsi="MS PGothic"/>
          <w:sz w:val="20"/>
          <w:szCs w:val="20"/>
          <w:color w:val="auto"/>
        </w:rPr>
        <w:t>☒</w:t>
      </w:r>
    </w:p>
    <w:p>
      <w:pPr>
        <w:spacing w:after="0" w:line="280" w:lineRule="exact"/>
        <w:rPr>
          <w:sz w:val="20"/>
          <w:szCs w:val="20"/>
          <w:color w:val="auto"/>
        </w:rPr>
      </w:pPr>
    </w:p>
    <w:p>
      <w:pPr>
        <w:ind w:left="6" w:right="20" w:firstLine="400"/>
        <w:spacing w:after="0" w:line="352" w:lineRule="auto"/>
        <w:rPr>
          <w:sz w:val="20"/>
          <w:szCs w:val="20"/>
          <w:color w:val="auto"/>
        </w:rPr>
      </w:pPr>
      <w:r>
        <w:rPr>
          <w:rFonts w:ascii="Arial" w:cs="Arial" w:eastAsia="Arial" w:hAnsi="Arial"/>
          <w:sz w:val="18"/>
          <w:szCs w:val="18"/>
          <w:color w:val="auto"/>
        </w:rPr>
        <w:t>The aggregate market value of common stock held by non-affiliates of the registrant on June 30, 2025 based on the closing price of $20.20 on the NASDAQ Global Select Market was $707,641,471. For the purpose of calculating this amount only, all directors and executive officers of the registrant have been treated as affiliates. There were 37,954,364 shares of the registrant’s common stock outstanding as of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346710</wp:posOffset>
            </wp:positionV>
            <wp:extent cx="94170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170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
        <w:spacing w:after="0"/>
        <w:rPr>
          <w:sz w:val="20"/>
          <w:szCs w:val="20"/>
          <w:color w:val="auto"/>
        </w:rPr>
      </w:pPr>
      <w:r>
        <w:rPr>
          <w:rFonts w:ascii="Arial" w:cs="Arial" w:eastAsia="Arial" w:hAnsi="Arial"/>
          <w:sz w:val="20"/>
          <w:szCs w:val="20"/>
          <w:b w:val="1"/>
          <w:bCs w:val="1"/>
          <w:color w:val="auto"/>
        </w:rPr>
        <w:t>DOCUMENTS INCORPORATED BY REFERENCE</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 / 68</w:t>
      </w:r>
    </w:p>
    <w:p>
      <w:pPr>
        <w:sectPr>
          <w:pgSz w:w="11900" w:h="16838" w:orient="portrait"/>
          <w:cols w:equalWidth="0" w:num="1">
            <w:col w:w="9366"/>
          </w:cols>
          <w:pgMar w:left="1254" w:top="1440" w:right="1286" w:bottom="0" w:gutter="0" w:footer="0" w:header="0"/>
          <w:type w:val="continuous"/>
        </w:sectPr>
      </w:pPr>
    </w:p>
    <w:bookmarkStart w:id="3" w:name="page4"/>
    <w:bookmarkEnd w:id="3"/>
    <w:p>
      <w:pPr>
        <w:ind w:firstLine="400"/>
        <w:spacing w:after="0" w:line="310" w:lineRule="auto"/>
        <w:rPr>
          <w:sz w:val="20"/>
          <w:szCs w:val="20"/>
          <w:color w:val="auto"/>
        </w:rPr>
      </w:pPr>
      <w:r>
        <w:rPr>
          <w:rFonts w:ascii="Arial" w:cs="Arial" w:eastAsia="Arial" w:hAnsi="Arial"/>
          <w:sz w:val="20"/>
          <w:szCs w:val="20"/>
          <w:color w:val="auto"/>
        </w:rPr>
        <w:t>Portions of the registrant’s proxy statement to be filed with the U.S. Securities and Exchange Commission pursuant to Regulation 14A in connection with the registrant’s 2026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596773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 / 68</w:t>
      </w:r>
    </w:p>
    <w:p>
      <w:pPr>
        <w:sectPr>
          <w:pgSz w:w="11900" w:h="16838" w:orient="portrait"/>
          <w:cols w:equalWidth="0" w:num="1">
            <w:col w:w="9300"/>
          </w:cols>
          <w:pgMar w:left="1260" w:top="1173" w:right="1346"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gridSpan w:val="6"/>
          </w:tcPr>
          <w:p>
            <w:pPr>
              <w:ind w:left="420"/>
              <w:spacing w:after="0"/>
              <w:rPr>
                <w:sz w:val="20"/>
                <w:szCs w:val="20"/>
                <w:color w:val="auto"/>
              </w:rPr>
            </w:pPr>
            <w:r>
              <w:rPr>
                <w:rFonts w:ascii="Arial" w:cs="Arial" w:eastAsia="Arial" w:hAnsi="Arial"/>
                <w:sz w:val="20"/>
                <w:szCs w:val="20"/>
                <w:b w:val="1"/>
                <w:bCs w:val="1"/>
                <w:color w:val="auto"/>
              </w:rPr>
              <w:t>TABLE OF CONTENTS</w:t>
            </w:r>
          </w:p>
        </w:tc>
        <w:tc>
          <w:tcPr>
            <w:tcW w:w="800" w:type="dxa"/>
            <w:vAlign w:val="bottom"/>
          </w:tcPr>
          <w:p>
            <w:pPr>
              <w:spacing w:after="0"/>
              <w:rPr>
                <w:sz w:val="19"/>
                <w:szCs w:val="19"/>
                <w:color w:val="auto"/>
              </w:rPr>
            </w:pPr>
          </w:p>
        </w:tc>
      </w:tr>
      <w:tr>
        <w:trPr>
          <w:trHeight w:val="874"/>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85"/>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6"/>
          </w:tcPr>
          <w:p>
            <w:pPr>
              <w:jc w:val="center"/>
              <w:ind w:right="2500"/>
              <w:spacing w:after="0"/>
              <w:rPr>
                <w:sz w:val="20"/>
                <w:szCs w:val="20"/>
                <w:color w:val="auto"/>
              </w:rPr>
            </w:pPr>
            <w:r>
              <w:rPr>
                <w:rFonts w:ascii="Arial" w:cs="Arial" w:eastAsia="Arial" w:hAnsi="Arial"/>
                <w:sz w:val="18"/>
                <w:szCs w:val="18"/>
                <w:b w:val="1"/>
                <w:bCs w:val="1"/>
                <w:color w:val="auto"/>
              </w:rPr>
              <w:t>PART I</w:t>
            </w:r>
          </w:p>
        </w:tc>
        <w:tc>
          <w:tcPr>
            <w:tcW w:w="800" w:type="dxa"/>
            <w:vAlign w:val="bottom"/>
          </w:tcPr>
          <w:p>
            <w:pPr>
              <w:spacing w:after="0"/>
              <w:rPr>
                <w:sz w:val="24"/>
                <w:szCs w:val="24"/>
                <w:color w:val="auto"/>
              </w:rPr>
            </w:pPr>
          </w:p>
        </w:tc>
      </w:tr>
      <w:tr>
        <w:trPr>
          <w:trHeight w:val="52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7400" w:type="dxa"/>
            <w:vAlign w:val="bottom"/>
            <w:gridSpan w:val="17"/>
          </w:tcPr>
          <w:p>
            <w:pPr>
              <w:spacing w:after="0"/>
              <w:rPr>
                <w:sz w:val="20"/>
                <w:szCs w:val="20"/>
                <w:color w:val="auto"/>
              </w:rPr>
            </w:pPr>
            <w:r>
              <w:rPr>
                <w:rFonts w:ascii="Arial" w:cs="Arial" w:eastAsia="Arial" w:hAnsi="Arial"/>
                <w:sz w:val="18"/>
                <w:szCs w:val="18"/>
                <w:color w:val="auto"/>
              </w:rPr>
              <w:t>Business.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Risk Factors.</w:t>
            </w:r>
          </w:p>
        </w:tc>
        <w:tc>
          <w:tcPr>
            <w:tcW w:w="644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21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Unresolved Staff Comments.</w:t>
            </w:r>
          </w:p>
        </w:tc>
        <w:tc>
          <w:tcPr>
            <w:tcW w:w="530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1C.</w:t>
            </w:r>
          </w:p>
        </w:tc>
        <w:tc>
          <w:tcPr>
            <w:tcW w:w="10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Cybersecurity</w:t>
            </w:r>
          </w:p>
        </w:tc>
        <w:tc>
          <w:tcPr>
            <w:tcW w:w="638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Properties.</w:t>
            </w:r>
          </w:p>
        </w:tc>
        <w:tc>
          <w:tcPr>
            <w:tcW w:w="66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7400" w:type="dxa"/>
            <w:vAlign w:val="bottom"/>
            <w:gridSpan w:val="17"/>
          </w:tcPr>
          <w:p>
            <w:pPr>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7400" w:type="dxa"/>
            <w:vAlign w:val="bottom"/>
            <w:gridSpan w:val="17"/>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38"/>
        </w:trPr>
        <w:tc>
          <w:tcPr>
            <w:tcW w:w="1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6"/>
          </w:tcPr>
          <w:p>
            <w:pPr>
              <w:jc w:val="center"/>
              <w:ind w:right="2500"/>
              <w:spacing w:after="0"/>
              <w:rPr>
                <w:sz w:val="20"/>
                <w:szCs w:val="20"/>
                <w:color w:val="auto"/>
              </w:rPr>
            </w:pPr>
            <w:r>
              <w:rPr>
                <w:rFonts w:ascii="Arial" w:cs="Arial" w:eastAsia="Arial" w:hAnsi="Arial"/>
                <w:sz w:val="18"/>
                <w:szCs w:val="18"/>
                <w:b w:val="1"/>
                <w:bCs w:val="1"/>
                <w:color w:val="auto"/>
              </w:rPr>
              <w:t>PART II</w:t>
            </w:r>
          </w:p>
        </w:tc>
        <w:tc>
          <w:tcPr>
            <w:tcW w:w="800" w:type="dxa"/>
            <w:vAlign w:val="bottom"/>
          </w:tcPr>
          <w:p>
            <w:pPr>
              <w:spacing w:after="0"/>
              <w:rPr>
                <w:sz w:val="24"/>
                <w:szCs w:val="24"/>
                <w:color w:val="auto"/>
              </w:rPr>
            </w:pPr>
          </w:p>
        </w:tc>
      </w:tr>
      <w:tr>
        <w:trPr>
          <w:trHeight w:val="522"/>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740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 Equity</w:t>
            </w:r>
          </w:p>
        </w:tc>
        <w:tc>
          <w:tcPr>
            <w:tcW w:w="80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Securities.</w:t>
            </w:r>
          </w:p>
        </w:tc>
        <w:tc>
          <w:tcPr>
            <w:tcW w:w="6500" w:type="dxa"/>
            <w:vAlign w:val="bottom"/>
            <w:gridSpan w:val="12"/>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Reserved.</w:t>
            </w:r>
          </w:p>
        </w:tc>
        <w:tc>
          <w:tcPr>
            <w:tcW w:w="668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52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1"/>
              </w:rPr>
              <w:t>Management’s Discussion and Analysis of Financial Condition and Results of Operations.</w:t>
            </w:r>
          </w:p>
        </w:tc>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740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10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3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9"/>
              </w:rPr>
              <w:t>Consolidated Financial Statements and Supplementary Data.</w:t>
            </w:r>
          </w:p>
        </w:tc>
        <w:tc>
          <w:tcPr>
            <w:tcW w:w="30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7400" w:type="dxa"/>
            <w:vAlign w:val="bottom"/>
            <w:gridSpan w:val="17"/>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18"/>
                <w:szCs w:val="18"/>
                <w:color w:val="auto"/>
                <w:w w:val="88"/>
              </w:rPr>
              <w:t>Controls and Procedures.</w:t>
            </w:r>
          </w:p>
        </w:tc>
        <w:tc>
          <w:tcPr>
            <w:tcW w:w="4700" w:type="dxa"/>
            <w:vAlign w:val="bottom"/>
            <w:tcBorders>
              <w:top w:val="single" w:sz="8" w:color="auto"/>
            </w:tcBorders>
            <w:gridSpan w:val="7"/>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740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10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9C.</w:t>
            </w:r>
          </w:p>
        </w:tc>
        <w:tc>
          <w:tcPr>
            <w:tcW w:w="7400" w:type="dxa"/>
            <w:vAlign w:val="bottom"/>
            <w:gridSpan w:val="17"/>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808"/>
        </w:trPr>
        <w:tc>
          <w:tcPr>
            <w:tcW w:w="1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25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522"/>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7400" w:type="dxa"/>
            <w:vAlign w:val="bottom"/>
            <w:gridSpan w:val="17"/>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18"/>
                <w:szCs w:val="18"/>
                <w:color w:val="auto"/>
                <w:w w:val="90"/>
              </w:rPr>
              <w:t>Executive Compensation.</w:t>
            </w:r>
          </w:p>
        </w:tc>
        <w:tc>
          <w:tcPr>
            <w:tcW w:w="2280" w:type="dxa"/>
            <w:vAlign w:val="bottom"/>
            <w:tcBorders>
              <w:top w:val="single" w:sz="8" w:color="auto"/>
            </w:tcBorders>
            <w:gridSpan w:val="2"/>
          </w:tcPr>
          <w:p>
            <w:pPr>
              <w:spacing w:after="0"/>
              <w:rPr>
                <w:sz w:val="24"/>
                <w:szCs w:val="24"/>
                <w:color w:val="auto"/>
              </w:rPr>
            </w:pPr>
          </w:p>
        </w:tc>
        <w:tc>
          <w:tcPr>
            <w:tcW w:w="326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-7352030</wp:posOffset>
            </wp:positionV>
            <wp:extent cx="4032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225" cy="9525"/>
                    </a:xfrm>
                    <a:prstGeom prst="rect">
                      <a:avLst/>
                    </a:prstGeom>
                    <a:noFill/>
                  </pic:spPr>
                </pic:pic>
              </a:graphicData>
            </a:graphic>
          </wp:anchor>
        </w:drawing>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 / 68</w:t>
      </w:r>
    </w:p>
    <w:p>
      <w:pPr>
        <w:sectPr>
          <w:pgSz w:w="11900" w:h="16838" w:orient="portrait"/>
          <w:cols w:equalWidth="0" w:num="1">
            <w:col w:w="9300"/>
          </w:cols>
          <w:pgMar w:left="1260" w:top="1440" w:right="1346"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600" w:type="dxa"/>
            <w:vAlign w:val="bottom"/>
            <w:gridSpan w:val="7"/>
          </w:tcPr>
          <w:p>
            <w:pPr>
              <w:spacing w:after="0"/>
              <w:rPr>
                <w:sz w:val="20"/>
                <w:szCs w:val="20"/>
                <w:color w:val="auto"/>
              </w:rPr>
            </w:pPr>
            <w:r>
              <w:rPr>
                <w:rFonts w:ascii="Arial" w:cs="Arial" w:eastAsia="Arial" w:hAnsi="Arial"/>
                <w:sz w:val="18"/>
                <w:szCs w:val="18"/>
                <w:color w:val="auto"/>
                <w:w w:val="94"/>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Principal Accountant Fees and Services.</w:t>
            </w:r>
          </w:p>
        </w:tc>
        <w:tc>
          <w:tcPr>
            <w:tcW w:w="21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538"/>
        </w:trPr>
        <w:tc>
          <w:tcPr>
            <w:tcW w:w="11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740" w:type="dxa"/>
            <w:vAlign w:val="bottom"/>
            <w:gridSpan w:val="4"/>
          </w:tcPr>
          <w:p>
            <w:pPr>
              <w:ind w:left="22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7600" w:type="dxa"/>
            <w:vAlign w:val="bottom"/>
            <w:gridSpan w:val="7"/>
          </w:tcPr>
          <w:p>
            <w:pPr>
              <w:spacing w:after="0"/>
              <w:rPr>
                <w:sz w:val="20"/>
                <w:szCs w:val="20"/>
                <w:color w:val="auto"/>
              </w:rPr>
            </w:pPr>
            <w:r>
              <w:rPr>
                <w:rFonts w:ascii="Arial" w:cs="Arial" w:eastAsia="Arial" w:hAnsi="Arial"/>
                <w:sz w:val="18"/>
                <w:szCs w:val="18"/>
                <w:color w:val="auto"/>
              </w:rPr>
              <w:t>Exhibits and Financial Statement Schedules.</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655"/>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Form 10-K Summary.</w:t>
            </w:r>
          </w:p>
        </w:tc>
        <w:tc>
          <w:tcPr>
            <w:tcW w:w="4440" w:type="dxa"/>
            <w:vAlign w:val="bottom"/>
            <w:gridSpan w:val="3"/>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4"/>
                <w:szCs w:val="24"/>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42"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 / 68</w:t>
      </w:r>
    </w:p>
    <w:p>
      <w:pPr>
        <w:sectPr>
          <w:pgSz w:w="11900" w:h="16838" w:orient="portrait"/>
          <w:cols w:equalWidth="0" w:num="1">
            <w:col w:w="9300"/>
          </w:cols>
          <w:pgMar w:left="1260" w:top="1142" w:right="1346"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NOTE REGARDING FORWARD LOOKING STATEMENTS</w:t>
      </w:r>
    </w:p>
    <w:p>
      <w:pPr>
        <w:spacing w:after="0" w:line="260" w:lineRule="exact"/>
        <w:rPr>
          <w:sz w:val="20"/>
          <w:szCs w:val="20"/>
          <w:color w:val="auto"/>
        </w:rPr>
      </w:pPr>
    </w:p>
    <w:p>
      <w:pPr>
        <w:jc w:val="both"/>
        <w:ind w:firstLine="426"/>
        <w:spacing w:after="0" w:line="311" w:lineRule="auto"/>
        <w:rPr>
          <w:sz w:val="20"/>
          <w:szCs w:val="20"/>
          <w:color w:val="auto"/>
        </w:rPr>
      </w:pPr>
      <w:r>
        <w:rPr>
          <w:rFonts w:ascii="Arial" w:cs="Arial" w:eastAsia="Arial" w:hAnsi="Arial"/>
          <w:sz w:val="20"/>
          <w:szCs w:val="20"/>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172" w:lineRule="exact"/>
        <w:rPr>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future operating results;</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the financial and lending markets;</w:t>
      </w:r>
    </w:p>
    <w:p>
      <w:pPr>
        <w:spacing w:after="0" w:line="259"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business prospects and the prospects of our portfolio companies, including our and their ability to achieve our respective objectives;</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impact of investments that we expect to make;</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contractual arrangements and relationships with third parties;</w:t>
      </w:r>
    </w:p>
    <w:p>
      <w:pPr>
        <w:spacing w:after="0" w:line="259" w:lineRule="exact"/>
        <w:rPr>
          <w:rFonts w:ascii="Arial" w:cs="Arial" w:eastAsia="Arial" w:hAnsi="Arial"/>
          <w:sz w:val="20"/>
          <w:szCs w:val="20"/>
          <w:color w:val="auto"/>
        </w:rPr>
      </w:pPr>
    </w:p>
    <w:p>
      <w:pPr>
        <w:ind w:left="620" w:right="2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dependence of our future success on the general economy and its impact on the industries in which we invest;</w:t>
      </w:r>
    </w:p>
    <w:p>
      <w:pPr>
        <w:spacing w:after="0" w:line="140"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 economic downturn and its impacts on the ability of our portfolio companies to operate and the investment opportunities available to us;</w:t>
      </w:r>
    </w:p>
    <w:p>
      <w:pPr>
        <w:spacing w:after="0" w:line="140" w:lineRule="exact"/>
        <w:rPr>
          <w:rFonts w:ascii="Arial" w:cs="Arial" w:eastAsia="Arial" w:hAnsi="Arial"/>
          <w:sz w:val="20"/>
          <w:szCs w:val="20"/>
          <w:color w:val="auto"/>
        </w:rPr>
      </w:pPr>
    </w:p>
    <w:p>
      <w:pPr>
        <w:jc w:val="both"/>
        <w:ind w:left="620" w:hanging="313"/>
        <w:spacing w:after="0" w:line="425"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geopolitical conditions, including ongoing conflict between Ukraine and Russia, the ongoing turmoil in Europe and in the Middle East, and U.S. and China relations, and its impact on financial market volatility, global economic markets, and various sectors, industries and markets for commodities globally;</w:t>
      </w:r>
    </w:p>
    <w:p>
      <w:pPr>
        <w:spacing w:after="0" w:line="100" w:lineRule="exact"/>
        <w:rPr>
          <w:rFonts w:ascii="Arial" w:cs="Arial" w:eastAsia="Arial" w:hAnsi="Arial"/>
          <w:sz w:val="18"/>
          <w:szCs w:val="18"/>
          <w:color w:val="auto"/>
        </w:rPr>
      </w:pPr>
    </w:p>
    <w:p>
      <w:pPr>
        <w:ind w:left="62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uncertainty associated with the imposition of tariffs and trade barriers and changes in trade policies and its impact on our portfolio companies and our financial condition;</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ability of our portfolio companies to achieve their objectives;</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expected financing and investments;</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adequacy of our cash resources and working capital;</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timing of cash flows, if any, from the operations of our portfolio companies;</w:t>
      </w:r>
    </w:p>
    <w:p>
      <w:pPr>
        <w:spacing w:after="0" w:line="259"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ability of the Investment Advisor to locate suitable investments for us and to monitor and administer our investments;</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ability of our Investment Advisor to attract and retain highly talented professionals;</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regulatory structure and tax treatment;</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 / 68</w:t>
      </w:r>
    </w:p>
    <w:p>
      <w:pPr>
        <w:sectPr>
          <w:pgSz w:w="11900" w:h="16838" w:orient="portrait"/>
          <w:cols w:equalWidth="0" w:num="1">
            <w:col w:w="9340"/>
          </w:cols>
          <w:pgMar w:left="1260" w:top="1440" w:right="1306" w:bottom="0" w:gutter="0" w:footer="0" w:header="0"/>
          <w:type w:val="continuous"/>
        </w:sectPr>
      </w:pPr>
    </w:p>
    <w:bookmarkStart w:id="7" w:name="page8"/>
    <w:bookmarkEnd w:id="7"/>
    <w:p>
      <w:pPr>
        <w:ind w:left="620" w:hanging="313"/>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operate as a BDC and a RIC and each of the SBIC Funds to operate as an SBIC;</w:t>
      </w:r>
    </w:p>
    <w:p>
      <w:pPr>
        <w:spacing w:after="0" w:line="250" w:lineRule="exact"/>
        <w:rPr>
          <w:rFonts w:ascii="Arial" w:cs="Arial" w:eastAsia="Arial" w:hAnsi="Arial"/>
          <w:sz w:val="20"/>
          <w:szCs w:val="20"/>
          <w:color w:val="auto"/>
        </w:rPr>
      </w:pPr>
    </w:p>
    <w:p>
      <w:pPr>
        <w:ind w:left="620" w:hanging="313"/>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timing, form and amount of any dividend distributions;</w:t>
      </w:r>
    </w:p>
    <w:p>
      <w:pPr>
        <w:spacing w:after="0" w:line="259"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impact of interest rate volatility and the elevated level of inflation on our business and portfolio companies;</w:t>
      </w:r>
    </w:p>
    <w:p>
      <w:pPr>
        <w:spacing w:after="0" w:line="140"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valuation of any investments in portfolio companies, particularly those having no liquid trading market; and</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recover unrealized losses.</w:t>
      </w:r>
    </w:p>
    <w:p>
      <w:pPr>
        <w:spacing w:after="0" w:line="274" w:lineRule="exact"/>
        <w:rPr>
          <w:sz w:val="20"/>
          <w:szCs w:val="20"/>
          <w:color w:val="auto"/>
        </w:rPr>
      </w:pPr>
    </w:p>
    <w:p>
      <w:pPr>
        <w:jc w:val="both"/>
        <w:ind w:right="20" w:firstLine="426"/>
        <w:spacing w:after="0" w:line="355"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7" w:lineRule="exact"/>
        <w:rPr>
          <w:sz w:val="20"/>
          <w:szCs w:val="20"/>
          <w:color w:val="auto"/>
        </w:rPr>
      </w:pPr>
    </w:p>
    <w:p>
      <w:pPr>
        <w:jc w:val="both"/>
        <w:ind w:left="620" w:right="40" w:hanging="313"/>
        <w:spacing w:after="0" w:line="372"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w:t>
      </w:r>
    </w:p>
    <w:p>
      <w:pPr>
        <w:spacing w:after="0" w:line="134"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contraction of available credit and/or an inability to access the equity markets could impair our lending and investment activities;</w:t>
      </w:r>
    </w:p>
    <w:p>
      <w:pPr>
        <w:spacing w:after="0" w:line="140" w:lineRule="exact"/>
        <w:rPr>
          <w:rFonts w:ascii="Arial" w:cs="Arial" w:eastAsia="Arial" w:hAnsi="Arial"/>
          <w:sz w:val="20"/>
          <w:szCs w:val="20"/>
          <w:color w:val="auto"/>
        </w:rPr>
      </w:pPr>
    </w:p>
    <w:p>
      <w:pPr>
        <w:ind w:left="620" w:hanging="31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investment strategy;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2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68</w:t>
      </w:r>
    </w:p>
    <w:p>
      <w:pPr>
        <w:sectPr>
          <w:pgSz w:w="11900" w:h="16838" w:orient="portrait"/>
          <w:cols w:equalWidth="0" w:num="1">
            <w:col w:w="9340"/>
          </w:cols>
          <w:pgMar w:left="1260" w:top="1328" w:right="1306"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20" w:right="60" w:hanging="313"/>
        <w:spacing w:after="0" w:line="370" w:lineRule="auto"/>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elevated level of inflation could adversely affect our business, results of operations and financial condition of our portfolio companies, which may, in turn, impact the valuation of such portfolio companies; and</w:t>
      </w:r>
    </w:p>
    <w:p>
      <w:pPr>
        <w:spacing w:after="0" w:line="136" w:lineRule="exact"/>
        <w:rPr>
          <w:rFonts w:ascii="Arial" w:cs="Arial" w:eastAsia="Arial" w:hAnsi="Arial"/>
          <w:sz w:val="20"/>
          <w:szCs w:val="20"/>
          <w:color w:val="auto"/>
        </w:rPr>
      </w:pPr>
    </w:p>
    <w:p>
      <w:pPr>
        <w:ind w:left="620" w:right="80" w:hanging="313"/>
        <w:spacing w:after="0" w:line="397" w:lineRule="auto"/>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risks, uncertainties and other factors we identify in Item 1A. – Risk Factors contained in our Annual Report on Form 10-K for the year ended December 31, 2025 and in our other filings with the SEC.</w:t>
      </w:r>
    </w:p>
    <w:p>
      <w:pPr>
        <w:spacing w:after="0" w:line="132" w:lineRule="exact"/>
        <w:rPr>
          <w:sz w:val="20"/>
          <w:szCs w:val="20"/>
          <w:color w:val="auto"/>
        </w:rPr>
      </w:pPr>
    </w:p>
    <w:p>
      <w:pPr>
        <w:jc w:val="both"/>
        <w:ind w:firstLine="392"/>
        <w:spacing w:after="0" w:line="329" w:lineRule="auto"/>
        <w:rPr>
          <w:sz w:val="20"/>
          <w:szCs w:val="20"/>
          <w:color w:val="auto"/>
        </w:rPr>
      </w:pPr>
      <w:r>
        <w:rPr>
          <w:rFonts w:ascii="Arial" w:cs="Arial" w:eastAsia="Arial" w:hAnsi="Arial"/>
          <w:sz w:val="19"/>
          <w:szCs w:val="19"/>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I and elsewhere in this Annual Report. You should not place undue reliance on these forward-looking statements as a prediction of actual results, which apply only as of the date of this Annual Report.</w:t>
      </w:r>
    </w:p>
    <w:p>
      <w:pPr>
        <w:jc w:val="center"/>
        <w:spacing w:after="0" w:line="234" w:lineRule="auto"/>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68</w:t>
      </w:r>
    </w:p>
    <w:p>
      <w:pPr>
        <w:sectPr>
          <w:pgSz w:w="11900" w:h="16838" w:orient="portrait"/>
          <w:cols w:equalWidth="0" w:num="1">
            <w:col w:w="9400"/>
          </w:cols>
          <w:pgMar w:left="1260" w:top="1440" w:right="1246"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380" w:lineRule="exact"/>
        <w:rPr>
          <w:sz w:val="20"/>
          <w:szCs w:val="20"/>
          <w:color w:val="auto"/>
        </w:rPr>
      </w:pPr>
    </w:p>
    <w:p>
      <w:pPr>
        <w:jc w:val="both"/>
        <w:ind w:right="60" w:firstLine="627"/>
        <w:spacing w:after="0" w:line="329" w:lineRule="auto"/>
        <w:rPr>
          <w:sz w:val="20"/>
          <w:szCs w:val="20"/>
          <w:color w:val="auto"/>
        </w:rPr>
      </w:pPr>
      <w:r>
        <w:rPr>
          <w:rFonts w:ascii="Arial" w:cs="Arial" w:eastAsia="Arial" w:hAnsi="Arial"/>
          <w:sz w:val="19"/>
          <w:szCs w:val="19"/>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conditions. The forward-looking statements involve risks and uncertainties for us and our portfolio companies and actual results could differ materially from those projected in the forward-looking statements for any reason, including those factors discussed in Item 1A. “Risk Factors” and elsewhere in this Annual Report.</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 Business.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70" w:lineRule="exact"/>
        <w:rPr>
          <w:sz w:val="20"/>
          <w:szCs w:val="20"/>
          <w:color w:val="auto"/>
        </w:rPr>
      </w:pPr>
    </w:p>
    <w:p>
      <w:pPr>
        <w:jc w:val="both"/>
        <w:ind w:right="40" w:firstLine="549"/>
        <w:spacing w:after="0" w:line="329" w:lineRule="auto"/>
        <w:rPr>
          <w:sz w:val="20"/>
          <w:szCs w:val="20"/>
          <w:color w:val="auto"/>
        </w:rPr>
      </w:pPr>
      <w:r>
        <w:rPr>
          <w:rFonts w:ascii="Arial" w:cs="Arial" w:eastAsia="Arial" w:hAnsi="Arial"/>
          <w:sz w:val="19"/>
          <w:szCs w:val="19"/>
          <w:color w:val="auto"/>
        </w:rPr>
        <w:t>Fidus Investment Corporation, a Maryland Corporation, operates as an externally managed business development company (“BDC”) under the Investment Company Act of 1940, as amended (“1940 Act”). FIC completed its initial public offering, or IPO, in June 2011. In addition, FIC has elected, and intends to qualify annually, to be treated as a regulated investment company (“RIC”) for U.S. federal income tax purposes under subchapter M of the Internal Revenue Code of 1986, as amended (the “Code”). As of December 31, 2025, our shares were listed on the NASDAQ Global Select Market under the symbol “FDUS.”</w:t>
      </w:r>
    </w:p>
    <w:p>
      <w:pPr>
        <w:spacing w:after="0" w:line="183" w:lineRule="exact"/>
        <w:rPr>
          <w:sz w:val="20"/>
          <w:szCs w:val="20"/>
          <w:color w:val="auto"/>
        </w:rPr>
      </w:pPr>
    </w:p>
    <w:p>
      <w:pPr>
        <w:ind w:firstLine="549"/>
        <w:spacing w:after="0" w:line="349" w:lineRule="auto"/>
        <w:rPr>
          <w:sz w:val="20"/>
          <w:szCs w:val="20"/>
          <w:color w:val="auto"/>
        </w:rPr>
      </w:pPr>
      <w:r>
        <w:rPr>
          <w:rFonts w:ascii="Arial" w:cs="Arial" w:eastAsia="Arial" w:hAnsi="Arial"/>
          <w:sz w:val="18"/>
          <w:szCs w:val="18"/>
          <w:color w:val="auto"/>
        </w:rPr>
        <w:t>FIC may make investments directly or through its two wholly-owned investment company subsidiaries, Fidus Mezzanine Capital III, L.P. (“Fund III”) and Fidus Mezzanine Capital IV, L.P. (“Fund IV” and together with Fund III, the “SBIC Funds”). Fidus Investment GP, LLC, the general partner of the SBIC Funds, is also a wholly owned subsidiary of FIC. The SBIC Funds are licensed by the U.S. Small Business Administration (the “SBA”) to operate as small business investment companies (“SBICs”). The SBIC Funds utilize the proceeds of the issuance of SBA-guaranteed debentures to enhance returns to our stockholders. Fidus Mezzanine Capital, L.P. (“Fund I”) and Fidus Mezzanine Capital II, L.P. (“Fund II”) have both completed their wind-down plans, can no longer issue additional SBA-guaranteed debentures, and relinquished their SBIC licenses on March 20, 2020 and March 7, 2024, respectively.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 under the program. For two or more SBICs under common control, the maximum amount of outstanding SBA debentures cannot exceed $350.0 million.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ind w:right="180" w:firstLine="555"/>
        <w:spacing w:after="0" w:line="349" w:lineRule="auto"/>
        <w:rPr>
          <w:sz w:val="20"/>
          <w:szCs w:val="20"/>
          <w:color w:val="auto"/>
        </w:rPr>
      </w:pPr>
      <w:r>
        <w:rPr>
          <w:rFonts w:ascii="Arial" w:cs="Arial" w:eastAsia="Arial" w:hAnsi="Arial"/>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68</w:t>
      </w:r>
    </w:p>
    <w:p>
      <w:pPr>
        <w:sectPr>
          <w:pgSz w:w="11900" w:h="16838" w:orient="portrait"/>
          <w:cols w:equalWidth="0" w:num="1">
            <w:col w:w="9400"/>
          </w:cols>
          <w:pgMar w:left="1260" w:top="1440" w:right="1246" w:bottom="0" w:gutter="0" w:footer="0" w:header="0"/>
          <w:type w:val="continuous"/>
        </w:sectPr>
      </w:pPr>
    </w:p>
    <w:bookmarkStart w:id="10" w:name="page11"/>
    <w:bookmarkEnd w:id="10"/>
    <w:p>
      <w:pPr>
        <w:jc w:val="both"/>
        <w:ind w:right="6" w:firstLine="555"/>
        <w:spacing w:after="0" w:line="329" w:lineRule="auto"/>
        <w:rPr>
          <w:sz w:val="20"/>
          <w:szCs w:val="20"/>
          <w:color w:val="auto"/>
        </w:rPr>
      </w:pPr>
      <w:r>
        <w:rPr>
          <w:rFonts w:ascii="Arial" w:cs="Arial" w:eastAsia="Arial" w:hAnsi="Arial"/>
          <w:sz w:val="19"/>
          <w:szCs w:val="19"/>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7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11 / 68</w:t>
      </w:r>
    </w:p>
    <w:p>
      <w:pPr>
        <w:sectPr>
          <w:pgSz w:w="11900" w:h="16838" w:orient="portrait"/>
          <w:cols w:equalWidth="0" w:num="1">
            <w:col w:w="9206"/>
          </w:cols>
          <w:pgMar w:left="1260" w:top="1173" w:right="1440" w:bottom="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140" w:firstLine="551"/>
        <w:spacing w:after="0" w:line="348" w:lineRule="auto"/>
        <w:rPr>
          <w:sz w:val="20"/>
          <w:szCs w:val="20"/>
          <w:color w:val="auto"/>
        </w:rPr>
      </w:pPr>
      <w:r>
        <w:rPr>
          <w:rFonts w:ascii="Arial" w:cs="Arial" w:eastAsia="Arial" w:hAnsi="Arial"/>
          <w:sz w:val="18"/>
          <w:szCs w:val="18"/>
          <w:color w:val="auto"/>
        </w:rPr>
        <w:t>As of December 31, 2025, we had debt and equity investments in 103 portfolio companies with an aggregate fair value of $1.3 billion. The weighted average yield on our debt investments as of December 31, 2025 was 12.6%.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2025, including accretion of original issue discount (“OID”) and loan origination fees, but excluding investments on non-accrual status and investments recorded as a secured borrowing. There can be no assurance that the weighted average yield will remain at its current level. For the year ended December 31, 2025, our total return based on net asset value (“NAV”) per share was 12.0% and our total return based on market value was 0.6%. For the year ended December 31, 2024, our total return based on NAV was 12.4% and our total return based on market value was 20.1%. Total return based on NAV per share equals the change in NAV per share during the period, plus dividends paid per share during the period, less other non-operating changes during the period, and divided by beginning NAV per share for the period. Non-operating changes include any items that affect NAV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70"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 xml:space="preserve">Our headquarters are in Evanston, Illinois, and our website is </w:t>
      </w:r>
      <w:r>
        <w:rPr>
          <w:rFonts w:ascii="Arial" w:cs="Arial" w:eastAsia="Arial" w:hAnsi="Arial"/>
          <w:sz w:val="19"/>
          <w:szCs w:val="19"/>
          <w:i w:val="1"/>
          <w:iCs w:val="1"/>
          <w:color w:val="auto"/>
        </w:rPr>
        <w:t>www.fdus.com</w:t>
      </w:r>
      <w:r>
        <w:rPr>
          <w:rFonts w:ascii="Arial" w:cs="Arial" w:eastAsia="Arial" w:hAnsi="Arial"/>
          <w:sz w:val="19"/>
          <w:szCs w:val="19"/>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 website at </w:t>
      </w:r>
      <w:r>
        <w:rPr>
          <w:rFonts w:ascii="Arial" w:cs="Arial" w:eastAsia="Arial" w:hAnsi="Arial"/>
          <w:sz w:val="19"/>
          <w:szCs w:val="19"/>
          <w:i w:val="1"/>
          <w:iCs w:val="1"/>
          <w:color w:val="auto"/>
        </w:rPr>
        <w:t>www.sec.gov</w:t>
      </w:r>
      <w:r>
        <w:rPr>
          <w:rFonts w:ascii="Arial" w:cs="Arial" w:eastAsia="Arial" w:hAnsi="Arial"/>
          <w:sz w:val="19"/>
          <w:szCs w:val="19"/>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Advisor</w:t>
      </w:r>
    </w:p>
    <w:p>
      <w:pPr>
        <w:spacing w:after="0" w:line="170" w:lineRule="exact"/>
        <w:rPr>
          <w:sz w:val="20"/>
          <w:szCs w:val="20"/>
          <w:color w:val="auto"/>
        </w:rPr>
      </w:pPr>
    </w:p>
    <w:p>
      <w:pPr>
        <w:jc w:val="both"/>
        <w:ind w:right="180" w:firstLine="555"/>
        <w:spacing w:after="0" w:line="329" w:lineRule="auto"/>
        <w:rPr>
          <w:sz w:val="20"/>
          <w:szCs w:val="20"/>
          <w:color w:val="auto"/>
        </w:rPr>
      </w:pPr>
      <w:r>
        <w:rPr>
          <w:rFonts w:ascii="Arial" w:cs="Arial" w:eastAsia="Arial" w:hAnsi="Arial"/>
          <w:sz w:val="19"/>
          <w:szCs w:val="19"/>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68</w:t>
      </w:r>
    </w:p>
    <w:p>
      <w:pPr>
        <w:sectPr>
          <w:pgSz w:w="11900" w:h="16838" w:orient="portrait"/>
          <w:cols w:equalWidth="0" w:num="1">
            <w:col w:w="9400"/>
          </w:cols>
          <w:pgMar w:left="1260" w:top="1440" w:right="1246" w:bottom="0" w:gutter="0" w:footer="0" w:header="0"/>
          <w:type w:val="continuous"/>
        </w:sectPr>
      </w:pPr>
    </w:p>
    <w:bookmarkStart w:id="12" w:name="page13"/>
    <w:bookmarkEnd w:id="12"/>
    <w:p>
      <w:pPr>
        <w:jc w:val="both"/>
        <w:ind w:firstLine="555"/>
        <w:spacing w:after="0" w:line="329" w:lineRule="auto"/>
        <w:rPr>
          <w:sz w:val="20"/>
          <w:szCs w:val="20"/>
          <w:color w:val="auto"/>
        </w:rPr>
      </w:pPr>
      <w:r>
        <w:rPr>
          <w:rFonts w:ascii="Arial" w:cs="Arial" w:eastAsia="Arial" w:hAnsi="Arial"/>
          <w:sz w:val="19"/>
          <w:szCs w:val="19"/>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 Investment Advisory Agreement.”</w:t>
      </w:r>
    </w:p>
    <w:p>
      <w:pPr>
        <w:spacing w:after="0" w:line="187" w:lineRule="exact"/>
        <w:rPr>
          <w:sz w:val="20"/>
          <w:szCs w:val="20"/>
          <w:color w:val="auto"/>
        </w:rPr>
      </w:pPr>
    </w:p>
    <w:p>
      <w:pPr>
        <w:jc w:val="both"/>
        <w:ind w:right="40" w:firstLine="551"/>
        <w:spacing w:after="0" w:line="329" w:lineRule="auto"/>
        <w:rPr>
          <w:sz w:val="20"/>
          <w:szCs w:val="20"/>
          <w:color w:val="auto"/>
        </w:rPr>
      </w:pPr>
      <w:r>
        <w:rPr>
          <w:rFonts w:ascii="Arial" w:cs="Arial" w:eastAsia="Arial" w:hAnsi="Arial"/>
          <w:sz w:val="19"/>
          <w:szCs w:val="19"/>
          <w:color w:val="auto"/>
        </w:rPr>
        <w:t>Among other things, our board of directors is charged with protecting our interests by monitoring how our investment advisor addresses conflicts of interest associated with its management services and compensation.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13 / 68</w:t>
      </w:r>
    </w:p>
    <w:p>
      <w:pPr>
        <w:sectPr>
          <w:pgSz w:w="11900" w:h="16838" w:orient="portrait"/>
          <w:cols w:equalWidth="0" w:num="1">
            <w:col w:w="9260"/>
          </w:cols>
          <w:pgMar w:left="1260" w:top="1173" w:right="1386" w:bottom="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160" w:firstLine="555"/>
        <w:spacing w:after="0" w:line="310" w:lineRule="auto"/>
        <w:rPr>
          <w:sz w:val="20"/>
          <w:szCs w:val="20"/>
          <w:color w:val="auto"/>
        </w:rPr>
      </w:pPr>
      <w:r>
        <w:rPr>
          <w:rFonts w:ascii="Arial" w:cs="Arial" w:eastAsia="Arial" w:hAnsi="Arial"/>
          <w:sz w:val="20"/>
          <w:szCs w:val="20"/>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70" w:lineRule="exact"/>
        <w:rPr>
          <w:sz w:val="20"/>
          <w:szCs w:val="20"/>
          <w:color w:val="auto"/>
        </w:rPr>
      </w:pPr>
    </w:p>
    <w:p>
      <w:pPr>
        <w:jc w:val="both"/>
        <w:ind w:right="80" w:firstLine="549"/>
        <w:spacing w:after="0" w:line="302" w:lineRule="auto"/>
        <w:rPr>
          <w:sz w:val="20"/>
          <w:szCs w:val="20"/>
          <w:color w:val="auto"/>
        </w:rPr>
      </w:pPr>
      <w:r>
        <w:rPr>
          <w:rFonts w:ascii="Arial" w:cs="Arial" w:eastAsia="Arial" w:hAnsi="Arial"/>
          <w:sz w:val="20"/>
          <w:szCs w:val="20"/>
          <w:color w:val="auto"/>
        </w:rPr>
        <w:t>We intend to accomplish our goal of becoming one of the premier providers of capital to and value-added partner of lower middle-market companies by:</w:t>
      </w:r>
    </w:p>
    <w:p>
      <w:pPr>
        <w:spacing w:after="0" w:line="201" w:lineRule="exact"/>
        <w:rPr>
          <w:sz w:val="20"/>
          <w:szCs w:val="20"/>
          <w:color w:val="auto"/>
        </w:rPr>
      </w:pPr>
    </w:p>
    <w:p>
      <w:pPr>
        <w:jc w:val="both"/>
        <w:ind w:right="60" w:firstLine="549"/>
        <w:spacing w:after="0" w:line="350" w:lineRule="auto"/>
        <w:rPr>
          <w:sz w:val="20"/>
          <w:szCs w:val="20"/>
          <w:color w:val="auto"/>
        </w:rPr>
      </w:pPr>
      <w:r>
        <w:rPr>
          <w:rFonts w:ascii="Arial" w:cs="Arial" w:eastAsia="Arial" w:hAnsi="Arial"/>
          <w:sz w:val="18"/>
          <w:szCs w:val="18"/>
          <w:i w:val="1"/>
          <w:iCs w:val="1"/>
          <w:color w:val="auto"/>
        </w:rPr>
        <w:t>Leveraging the Experience of Our Investment Advisor</w:t>
      </w:r>
      <w:r>
        <w:rPr>
          <w:rFonts w:ascii="Arial" w:cs="Arial" w:eastAsia="Arial" w:hAnsi="Arial"/>
          <w:sz w:val="18"/>
          <w:szCs w:val="18"/>
          <w:color w:val="auto"/>
        </w:rPr>
        <w:t>. Our investment advisor’s investment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have significant experience investing in, 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65" w:lineRule="exact"/>
        <w:rPr>
          <w:sz w:val="20"/>
          <w:szCs w:val="20"/>
          <w:color w:val="auto"/>
        </w:rPr>
      </w:pPr>
    </w:p>
    <w:p>
      <w:pPr>
        <w:jc w:val="both"/>
        <w:ind w:firstLine="549"/>
        <w:spacing w:after="0" w:line="311" w:lineRule="auto"/>
        <w:rPr>
          <w:sz w:val="20"/>
          <w:szCs w:val="20"/>
          <w:color w:val="auto"/>
        </w:rPr>
      </w:pPr>
      <w:r>
        <w:rPr>
          <w:rFonts w:ascii="Arial" w:cs="Arial" w:eastAsia="Arial" w:hAnsi="Arial"/>
          <w:sz w:val="20"/>
          <w:szCs w:val="20"/>
          <w:i w:val="1"/>
          <w:iCs w:val="1"/>
          <w:color w:val="auto"/>
        </w:rPr>
        <w:t>Capitalizing on Our Strong Transaction Sourcing Network</w:t>
      </w:r>
      <w:r>
        <w:rPr>
          <w:rFonts w:ascii="Arial" w:cs="Arial" w:eastAsia="Arial" w:hAnsi="Arial"/>
          <w:sz w:val="20"/>
          <w:szCs w:val="20"/>
          <w:color w:val="auto"/>
        </w:rPr>
        <w:t>. Our investment advisor’s investment</w:t>
      </w:r>
      <w:r>
        <w:rPr>
          <w:rFonts w:ascii="Arial" w:cs="Arial" w:eastAsia="Arial" w:hAnsi="Arial"/>
          <w:sz w:val="20"/>
          <w:szCs w:val="20"/>
          <w:i w:val="1"/>
          <w:iCs w:val="1"/>
          <w:color w:val="auto"/>
        </w:rPr>
        <w:t xml:space="preserve"> </w:t>
      </w:r>
      <w:r>
        <w:rPr>
          <w:rFonts w:ascii="Arial" w:cs="Arial" w:eastAsia="Arial" w:hAnsi="Arial"/>
          <w:sz w:val="20"/>
          <w:szCs w:val="20"/>
          <w:color w:val="auto"/>
        </w:rPr>
        <w:t>professionals possess an extensive network of 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92" w:lineRule="exact"/>
        <w:rPr>
          <w:sz w:val="20"/>
          <w:szCs w:val="20"/>
          <w:color w:val="auto"/>
        </w:rPr>
      </w:pPr>
    </w:p>
    <w:p>
      <w:pPr>
        <w:jc w:val="both"/>
        <w:ind w:right="20" w:firstLine="549"/>
        <w:spacing w:after="0" w:line="329" w:lineRule="auto"/>
        <w:rPr>
          <w:sz w:val="20"/>
          <w:szCs w:val="20"/>
          <w:color w:val="auto"/>
        </w:rPr>
      </w:pPr>
      <w:r>
        <w:rPr>
          <w:rFonts w:ascii="Arial" w:cs="Arial" w:eastAsia="Arial" w:hAnsi="Arial"/>
          <w:sz w:val="19"/>
          <w:szCs w:val="19"/>
          <w:i w:val="1"/>
          <w:iCs w:val="1"/>
          <w:color w:val="auto"/>
        </w:rPr>
        <w:t>Serving as a Value-Added Partner with Customized Financing Solutions</w:t>
      </w:r>
      <w:r>
        <w:rPr>
          <w:rFonts w:ascii="Arial" w:cs="Arial" w:eastAsia="Arial" w:hAnsi="Arial"/>
          <w:sz w:val="19"/>
          <w:szCs w:val="19"/>
          <w:color w:val="auto"/>
        </w:rPr>
        <w:t>. We follow a partnership-oriented</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approach and focus on 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unitranche or first lien senior secured loans, typically coupled with an equity interest; however, on a selective basis we may invest in second lien and subordinated debt securities.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86" w:lineRule="exact"/>
        <w:rPr>
          <w:sz w:val="20"/>
          <w:szCs w:val="20"/>
          <w:color w:val="auto"/>
        </w:rPr>
      </w:pPr>
    </w:p>
    <w:p>
      <w:pPr>
        <w:jc w:val="both"/>
        <w:ind w:right="60" w:firstLine="549"/>
        <w:spacing w:after="0" w:line="350" w:lineRule="auto"/>
        <w:rPr>
          <w:sz w:val="20"/>
          <w:szCs w:val="20"/>
          <w:color w:val="auto"/>
        </w:rPr>
      </w:pPr>
      <w:r>
        <w:rPr>
          <w:rFonts w:ascii="Arial" w:cs="Arial" w:eastAsia="Arial" w:hAnsi="Arial"/>
          <w:sz w:val="18"/>
          <w:szCs w:val="18"/>
          <w:i w:val="1"/>
          <w:iCs w:val="1"/>
          <w:color w:val="auto"/>
        </w:rPr>
        <w:t>Employing Rigorous Due Diligence and Underwriting Processes Focused on Capital Preservation</w:t>
      </w:r>
      <w:r>
        <w:rPr>
          <w:rFonts w:ascii="Arial" w:cs="Arial" w:eastAsia="Arial" w:hAnsi="Arial"/>
          <w:sz w:val="18"/>
          <w:szCs w:val="18"/>
          <w:color w:val="auto"/>
        </w:rPr>
        <w:t>.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 follows a disciplined 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68</w:t>
      </w:r>
    </w:p>
    <w:p>
      <w:pPr>
        <w:sectPr>
          <w:pgSz w:w="11900" w:h="16838" w:orient="portrait"/>
          <w:cols w:equalWidth="0" w:num="1">
            <w:col w:w="9400"/>
          </w:cols>
          <w:pgMar w:left="1260" w:top="1440" w:right="1246" w:bottom="0" w:gutter="0" w:footer="0" w:header="0"/>
          <w:type w:val="continuous"/>
        </w:sectPr>
      </w:pPr>
    </w:p>
    <w:bookmarkStart w:id="14" w:name="page15"/>
    <w:bookmarkEnd w:id="14"/>
    <w:p>
      <w:pPr>
        <w:jc w:val="both"/>
        <w:spacing w:after="0" w:line="321" w:lineRule="auto"/>
        <w:rPr>
          <w:sz w:val="20"/>
          <w:szCs w:val="20"/>
          <w:color w:val="auto"/>
        </w:rPr>
      </w:pPr>
      <w:r>
        <w:rPr>
          <w:rFonts w:ascii="Arial" w:cs="Arial" w:eastAsia="Arial" w:hAnsi="Arial"/>
          <w:sz w:val="20"/>
          <w:szCs w:val="20"/>
          <w:color w:val="auto"/>
        </w:rPr>
        <w:t>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202"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i w:val="1"/>
          <w:iCs w:val="1"/>
          <w:color w:val="auto"/>
        </w:rPr>
        <w:t>Actively Managing our Portfolio</w:t>
      </w:r>
      <w:r>
        <w:rPr>
          <w:rFonts w:ascii="Arial" w:cs="Arial" w:eastAsia="Arial" w:hAnsi="Arial"/>
          <w:sz w:val="19"/>
          <w:szCs w:val="19"/>
          <w:color w:val="auto"/>
        </w:rPr>
        <w:t>. We believe that our investment advisor’s initial and ongoing portfolio</w:t>
      </w:r>
      <w:r>
        <w:rPr>
          <w:rFonts w:ascii="Arial" w:cs="Arial" w:eastAsia="Arial" w:hAnsi="Arial"/>
          <w:sz w:val="19"/>
          <w:szCs w:val="19"/>
          <w:i w:val="1"/>
          <w:iCs w:val="1"/>
          <w:color w:val="auto"/>
        </w:rPr>
        <w:t xml:space="preserve"> </w:t>
      </w:r>
      <w:r>
        <w:rPr>
          <w:rFonts w:ascii="Arial" w:cs="Arial" w:eastAsia="Arial" w:hAnsi="Arial"/>
          <w:sz w:val="19"/>
          <w:szCs w:val="19"/>
          <w:color w:val="auto"/>
        </w:rPr>
        <w:t>review process allows us to effectively 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covenants, including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83"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i w:val="1"/>
          <w:iCs w:val="1"/>
          <w:color w:val="auto"/>
        </w:rPr>
        <w:t>Maintaining Portfolio Diversification</w:t>
      </w:r>
      <w:r>
        <w:rPr>
          <w:rFonts w:ascii="Arial" w:cs="Arial" w:eastAsia="Arial" w:hAnsi="Arial"/>
          <w:sz w:val="19"/>
          <w:szCs w:val="19"/>
          <w:color w:val="auto"/>
        </w:rPr>
        <w:t>. We seek to maintain a portfolio of investments that is appropriately</w:t>
      </w:r>
      <w:r>
        <w:rPr>
          <w:rFonts w:ascii="Arial" w:cs="Arial" w:eastAsia="Arial" w:hAnsi="Arial"/>
          <w:sz w:val="19"/>
          <w:szCs w:val="19"/>
          <w:i w:val="1"/>
          <w:iCs w:val="1"/>
          <w:color w:val="auto"/>
        </w:rPr>
        <w:t xml:space="preserve"> </w:t>
      </w:r>
      <w:r>
        <w:rPr>
          <w:rFonts w:ascii="Arial" w:cs="Arial" w:eastAsia="Arial" w:hAnsi="Arial"/>
          <w:sz w:val="19"/>
          <w:szCs w:val="19"/>
          <w:color w:val="auto"/>
        </w:rPr>
        <w:t>diversified among companies, 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aerospace, and defense manufacturing, transportation services, information technology services and niche manufacturing. We believe that investing across various industries helps mitigate the potential effects of negative economic events for particular companies, regions and industries.</w:t>
      </w:r>
    </w:p>
    <w:p>
      <w:pPr>
        <w:spacing w:after="0" w:line="183" w:lineRule="exact"/>
        <w:rPr>
          <w:sz w:val="20"/>
          <w:szCs w:val="20"/>
          <w:color w:val="auto"/>
        </w:rPr>
      </w:pPr>
    </w:p>
    <w:p>
      <w:pPr>
        <w:jc w:val="both"/>
        <w:ind w:right="20" w:firstLine="549"/>
        <w:spacing w:after="0" w:line="307" w:lineRule="auto"/>
        <w:rPr>
          <w:sz w:val="20"/>
          <w:szCs w:val="20"/>
          <w:color w:val="auto"/>
        </w:rPr>
      </w:pPr>
      <w:r>
        <w:rPr>
          <w:rFonts w:ascii="Arial" w:cs="Arial" w:eastAsia="Arial" w:hAnsi="Arial"/>
          <w:sz w:val="20"/>
          <w:szCs w:val="20"/>
          <w:i w:val="1"/>
          <w:iCs w:val="1"/>
          <w:color w:val="auto"/>
        </w:rPr>
        <w:t>Benefiting from Lower Cost of Capital</w:t>
      </w:r>
      <w:r>
        <w:rPr>
          <w:rFonts w:ascii="Arial" w:cs="Arial" w:eastAsia="Arial" w:hAnsi="Arial"/>
          <w:sz w:val="20"/>
          <w:szCs w:val="20"/>
          <w:color w:val="auto"/>
        </w:rPr>
        <w:t>. The SBIC Funds’ SBIC licenses allow us to issue SBA-guaranteed</w:t>
      </w:r>
      <w:r>
        <w:rPr>
          <w:rFonts w:ascii="Arial" w:cs="Arial" w:eastAsia="Arial" w:hAnsi="Arial"/>
          <w:sz w:val="20"/>
          <w:szCs w:val="20"/>
          <w:i w:val="1"/>
          <w:iCs w:val="1"/>
          <w:color w:val="auto"/>
        </w:rPr>
        <w:t xml:space="preserve"> </w:t>
      </w:r>
      <w:r>
        <w:rPr>
          <w:rFonts w:ascii="Arial" w:cs="Arial" w:eastAsia="Arial" w:hAnsi="Arial"/>
          <w:sz w:val="20"/>
          <w:szCs w:val="20"/>
          <w:color w:val="auto"/>
        </w:rPr>
        <w:t>debentures. These SBA debentures carry long-term fixed rates that are generally lower than rates on comparable bank and public debt. Because lower-cost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 / 68</w:t>
      </w:r>
    </w:p>
    <w:p>
      <w:pPr>
        <w:sectPr>
          <w:pgSz w:w="11900" w:h="16838" w:orient="portrait"/>
          <w:cols w:equalWidth="0" w:num="1">
            <w:col w:w="9340"/>
          </w:cols>
          <w:pgMar w:left="1260" w:top="1173" w:right="1306" w:bottom="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SBA leverage is a significant part of our funding strategy, our relative cost of debt capital should be lower than many of our competitors. For two or more SBICs under common control, the maximum amount of outstanding SBA debentures cannot exceed $350.0 million.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Investments</w:t>
      </w:r>
    </w:p>
    <w:p>
      <w:pPr>
        <w:spacing w:after="0" w:line="170" w:lineRule="exact"/>
        <w:rPr>
          <w:sz w:val="20"/>
          <w:szCs w:val="20"/>
          <w:color w:val="auto"/>
        </w:rPr>
      </w:pPr>
    </w:p>
    <w:p>
      <w:pPr>
        <w:jc w:val="both"/>
        <w:ind w:right="60" w:firstLine="549"/>
        <w:spacing w:after="0" w:line="311" w:lineRule="auto"/>
        <w:rPr>
          <w:sz w:val="20"/>
          <w:szCs w:val="20"/>
          <w:color w:val="auto"/>
        </w:rPr>
      </w:pPr>
      <w:r>
        <w:rPr>
          <w:rFonts w:ascii="Arial" w:cs="Arial" w:eastAsia="Arial" w:hAnsi="Arial"/>
          <w:sz w:val="20"/>
          <w:szCs w:val="20"/>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94" w:lineRule="exact"/>
        <w:rPr>
          <w:sz w:val="20"/>
          <w:szCs w:val="20"/>
          <w:color w:val="auto"/>
        </w:rPr>
      </w:pPr>
    </w:p>
    <w:p>
      <w:pPr>
        <w:jc w:val="both"/>
        <w:ind w:firstLine="549"/>
        <w:spacing w:after="0" w:line="348" w:lineRule="auto"/>
        <w:rPr>
          <w:sz w:val="20"/>
          <w:szCs w:val="20"/>
          <w:color w:val="auto"/>
        </w:rPr>
      </w:pPr>
      <w:r>
        <w:rPr>
          <w:rFonts w:ascii="Arial" w:cs="Arial" w:eastAsia="Arial" w:hAnsi="Arial"/>
          <w:sz w:val="18"/>
          <w:szCs w:val="18"/>
          <w:i w:val="1"/>
          <w:iCs w:val="1"/>
          <w:color w:val="auto"/>
        </w:rPr>
        <w:t>First Lien Debt</w:t>
      </w:r>
      <w:r>
        <w:rPr>
          <w:rFonts w:ascii="Arial" w:cs="Arial" w:eastAsia="Arial" w:hAnsi="Arial"/>
          <w:sz w:val="18"/>
          <w:szCs w:val="18"/>
          <w:color w:val="auto"/>
        </w:rPr>
        <w:t>. We structure some of our investments as senior secured or first lien debt investments. First</w:t>
      </w:r>
      <w:r>
        <w:rPr>
          <w:rFonts w:ascii="Arial" w:cs="Arial" w:eastAsia="Arial" w:hAnsi="Arial"/>
          <w:sz w:val="18"/>
          <w:szCs w:val="18"/>
          <w:i w:val="1"/>
          <w:iCs w:val="1"/>
          <w:color w:val="auto"/>
        </w:rPr>
        <w:t xml:space="preserve"> </w:t>
      </w:r>
      <w:r>
        <w:rPr>
          <w:rFonts w:ascii="Arial" w:cs="Arial" w:eastAsia="Arial" w:hAnsi="Arial"/>
          <w:sz w:val="18"/>
          <w:szCs w:val="18"/>
          <w:color w:val="auto"/>
        </w:rPr>
        <w:t>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78" w:lineRule="exact"/>
        <w:rPr>
          <w:sz w:val="20"/>
          <w:szCs w:val="20"/>
          <w:color w:val="auto"/>
        </w:rPr>
      </w:pPr>
    </w:p>
    <w:p>
      <w:pPr>
        <w:jc w:val="both"/>
        <w:ind w:right="80" w:firstLine="549"/>
        <w:spacing w:after="0" w:line="352"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spacing w:after="0" w:line="166" w:lineRule="exact"/>
        <w:rPr>
          <w:sz w:val="20"/>
          <w:szCs w:val="20"/>
          <w:color w:val="auto"/>
        </w:rPr>
      </w:pPr>
    </w:p>
    <w:p>
      <w:pPr>
        <w:jc w:val="both"/>
        <w:ind w:right="60" w:firstLine="549"/>
        <w:spacing w:after="0" w:line="329" w:lineRule="auto"/>
        <w:rPr>
          <w:sz w:val="20"/>
          <w:szCs w:val="20"/>
          <w:color w:val="auto"/>
        </w:rPr>
      </w:pPr>
      <w:r>
        <w:rPr>
          <w:rFonts w:ascii="Arial" w:cs="Arial" w:eastAsia="Arial" w:hAnsi="Arial"/>
          <w:sz w:val="19"/>
          <w:szCs w:val="19"/>
          <w:i w:val="1"/>
          <w:iCs w:val="1"/>
          <w:color w:val="auto"/>
        </w:rPr>
        <w:t xml:space="preserve">Second Lien Debt. </w:t>
      </w:r>
      <w:r>
        <w:rPr>
          <w:rFonts w:ascii="Arial" w:cs="Arial" w:eastAsia="Arial" w:hAnsi="Arial"/>
          <w:sz w:val="19"/>
          <w:szCs w:val="19"/>
          <w:color w:val="auto"/>
        </w:rPr>
        <w:t>Some of our debt investments take the form of second lien debt, which includes senior</w:t>
      </w:r>
      <w:r>
        <w:rPr>
          <w:rFonts w:ascii="Arial" w:cs="Arial" w:eastAsia="Arial" w:hAnsi="Arial"/>
          <w:sz w:val="19"/>
          <w:szCs w:val="19"/>
          <w:i w:val="1"/>
          <w:iCs w:val="1"/>
          <w:color w:val="auto"/>
        </w:rPr>
        <w:t xml:space="preserve"> </w:t>
      </w:r>
      <w:r>
        <w:rPr>
          <w:rFonts w:ascii="Arial" w:cs="Arial" w:eastAsia="Arial" w:hAnsi="Arial"/>
          <w:sz w:val="19"/>
          <w:szCs w:val="19"/>
          <w:color w:val="auto"/>
        </w:rPr>
        <w:t>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68</w:t>
      </w:r>
    </w:p>
    <w:p>
      <w:pPr>
        <w:sectPr>
          <w:pgSz w:w="11900" w:h="16838" w:orient="portrait"/>
          <w:cols w:equalWidth="0" w:num="1">
            <w:col w:w="9400"/>
          </w:cols>
          <w:pgMar w:left="1260" w:top="1440" w:right="1246" w:bottom="0" w:gutter="0" w:footer="0" w:header="0"/>
          <w:type w:val="continuous"/>
        </w:sectPr>
      </w:pPr>
    </w:p>
    <w:bookmarkStart w:id="16" w:name="page17"/>
    <w:bookmarkEnd w:id="16"/>
    <w:p>
      <w:pPr>
        <w:jc w:val="both"/>
        <w:ind w:firstLine="549"/>
        <w:spacing w:after="0" w:line="329" w:lineRule="auto"/>
        <w:rPr>
          <w:sz w:val="20"/>
          <w:szCs w:val="20"/>
          <w:color w:val="auto"/>
        </w:rPr>
      </w:pPr>
      <w:r>
        <w:rPr>
          <w:rFonts w:ascii="Arial" w:cs="Arial" w:eastAsia="Arial" w:hAnsi="Arial"/>
          <w:sz w:val="19"/>
          <w:szCs w:val="19"/>
          <w:i w:val="1"/>
          <w:iCs w:val="1"/>
          <w:color w:val="auto"/>
        </w:rPr>
        <w:t xml:space="preserve">Subordinated Debt. </w:t>
      </w:r>
      <w:r>
        <w:rPr>
          <w:rFonts w:ascii="Arial" w:cs="Arial" w:eastAsia="Arial" w:hAnsi="Arial"/>
          <w:sz w:val="19"/>
          <w:szCs w:val="19"/>
          <w:color w:val="auto"/>
        </w:rPr>
        <w:t>These investments are typically structured as unsecured, subordinated notes. Structurally,</w:t>
      </w:r>
      <w:r>
        <w:rPr>
          <w:rFonts w:ascii="Arial" w:cs="Arial" w:eastAsia="Arial" w:hAnsi="Arial"/>
          <w:sz w:val="19"/>
          <w:szCs w:val="19"/>
          <w:i w:val="1"/>
          <w:iCs w:val="1"/>
          <w:color w:val="auto"/>
        </w:rPr>
        <w:t xml:space="preserve"> </w:t>
      </w:r>
      <w:r>
        <w:rPr>
          <w:rFonts w:ascii="Arial" w:cs="Arial" w:eastAsia="Arial" w:hAnsi="Arial"/>
          <w:sz w:val="19"/>
          <w:szCs w:val="19"/>
          <w:color w:val="auto"/>
        </w:rPr>
        <w:t>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on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85" w:lineRule="exact"/>
        <w:rPr>
          <w:sz w:val="20"/>
          <w:szCs w:val="20"/>
          <w:color w:val="auto"/>
        </w:rPr>
      </w:pPr>
    </w:p>
    <w:p>
      <w:pPr>
        <w:jc w:val="both"/>
        <w:ind w:right="60" w:firstLine="551"/>
        <w:spacing w:after="0" w:line="349"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Our equity securities typically consist of either a direct minority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68</w:t>
      </w:r>
    </w:p>
    <w:p>
      <w:pPr>
        <w:sectPr>
          <w:pgSz w:w="11900" w:h="16838" w:orient="portrait"/>
          <w:cols w:equalWidth="0" w:num="1">
            <w:col w:w="9400"/>
          </w:cols>
          <w:pgMar w:left="1260" w:top="1173" w:right="1246" w:bottom="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Consolidated Portfolio</w:t>
      </w:r>
    </w:p>
    <w:p>
      <w:pPr>
        <w:spacing w:after="0" w:line="170" w:lineRule="exact"/>
        <w:rPr>
          <w:sz w:val="20"/>
          <w:szCs w:val="20"/>
          <w:color w:val="auto"/>
        </w:rPr>
      </w:pPr>
    </w:p>
    <w:p>
      <w:pPr>
        <w:jc w:val="both"/>
        <w:ind w:right="60" w:firstLine="549"/>
        <w:spacing w:after="0" w:line="330" w:lineRule="auto"/>
        <w:rPr>
          <w:sz w:val="20"/>
          <w:szCs w:val="20"/>
          <w:color w:val="auto"/>
        </w:rPr>
      </w:pPr>
      <w:r>
        <w:rPr>
          <w:rFonts w:ascii="Arial" w:cs="Arial" w:eastAsia="Arial" w:hAnsi="Arial"/>
          <w:sz w:val="19"/>
          <w:szCs w:val="19"/>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40"/>
              <w:spacing w:after="0"/>
              <w:rPr>
                <w:sz w:val="20"/>
                <w:szCs w:val="20"/>
                <w:color w:val="auto"/>
              </w:rPr>
            </w:pPr>
            <w:r>
              <w:rPr>
                <w:rFonts w:ascii="Arial" w:cs="Arial" w:eastAsia="Arial" w:hAnsi="Arial"/>
                <w:sz w:val="20"/>
                <w:szCs w:val="20"/>
                <w:color w:val="auto"/>
              </w:rPr>
              <w:t>aerospace &amp; defense;</w:t>
            </w:r>
          </w:p>
        </w:tc>
        <w:tc>
          <w:tcPr>
            <w:tcW w:w="1460" w:type="dxa"/>
            <w:vAlign w:val="bottom"/>
          </w:tcPr>
          <w:p>
            <w:pPr>
              <w:ind w:left="1240"/>
              <w:spacing w:after="0"/>
              <w:rPr>
                <w:sz w:val="20"/>
                <w:szCs w:val="20"/>
                <w:color w:val="auto"/>
              </w:rPr>
            </w:pPr>
            <w:r>
              <w:rPr>
                <w:rFonts w:ascii="Arial" w:cs="Arial" w:eastAsia="Arial" w:hAnsi="Arial"/>
                <w:sz w:val="20"/>
                <w:szCs w:val="20"/>
                <w:color w:val="auto"/>
              </w:rPr>
              <w:t>•</w:t>
            </w:r>
          </w:p>
        </w:tc>
        <w:tc>
          <w:tcPr>
            <w:tcW w:w="3200" w:type="dxa"/>
            <w:vAlign w:val="bottom"/>
          </w:tcPr>
          <w:p>
            <w:pPr>
              <w:ind w:left="160"/>
              <w:spacing w:after="0"/>
              <w:rPr>
                <w:sz w:val="20"/>
                <w:szCs w:val="20"/>
                <w:color w:val="auto"/>
              </w:rPr>
            </w:pPr>
            <w:r>
              <w:rPr>
                <w:rFonts w:ascii="Arial" w:cs="Arial" w:eastAsia="Arial" w:hAnsi="Arial"/>
                <w:sz w:val="20"/>
                <w:szCs w:val="20"/>
                <w:color w:val="auto"/>
              </w:rPr>
              <w:t>infrastructure;</w:t>
            </w:r>
          </w:p>
        </w:tc>
      </w:tr>
      <w:tr>
        <w:trPr>
          <w:trHeight w:val="66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40"/>
              <w:spacing w:after="0"/>
              <w:rPr>
                <w:sz w:val="20"/>
                <w:szCs w:val="20"/>
                <w:color w:val="auto"/>
              </w:rPr>
            </w:pPr>
            <w:r>
              <w:rPr>
                <w:rFonts w:ascii="Arial" w:cs="Arial" w:eastAsia="Arial" w:hAnsi="Arial"/>
                <w:sz w:val="20"/>
                <w:szCs w:val="20"/>
                <w:color w:val="auto"/>
              </w:rPr>
              <w:t>business services;</w:t>
            </w:r>
          </w:p>
        </w:tc>
        <w:tc>
          <w:tcPr>
            <w:tcW w:w="1460" w:type="dxa"/>
            <w:vAlign w:val="bottom"/>
          </w:tcPr>
          <w:p>
            <w:pPr>
              <w:ind w:left="1240"/>
              <w:spacing w:after="0"/>
              <w:rPr>
                <w:sz w:val="20"/>
                <w:szCs w:val="20"/>
                <w:color w:val="auto"/>
              </w:rPr>
            </w:pPr>
            <w:r>
              <w:rPr>
                <w:rFonts w:ascii="Arial" w:cs="Arial" w:eastAsia="Arial" w:hAnsi="Arial"/>
                <w:sz w:val="20"/>
                <w:szCs w:val="20"/>
                <w:color w:val="auto"/>
              </w:rPr>
              <w:t>•</w:t>
            </w:r>
          </w:p>
        </w:tc>
        <w:tc>
          <w:tcPr>
            <w:tcW w:w="3200" w:type="dxa"/>
            <w:vAlign w:val="bottom"/>
          </w:tcPr>
          <w:p>
            <w:pPr>
              <w:ind w:left="160"/>
              <w:spacing w:after="0"/>
              <w:rPr>
                <w:sz w:val="20"/>
                <w:szCs w:val="20"/>
                <w:color w:val="auto"/>
              </w:rPr>
            </w:pPr>
            <w:r>
              <w:rPr>
                <w:rFonts w:ascii="Arial" w:cs="Arial" w:eastAsia="Arial" w:hAnsi="Arial"/>
                <w:sz w:val="20"/>
                <w:szCs w:val="20"/>
                <w:color w:val="auto"/>
              </w:rPr>
              <w:t>logistics &amp; transportation;</w:t>
            </w:r>
          </w:p>
        </w:tc>
      </w:tr>
      <w:tr>
        <w:trPr>
          <w:trHeight w:val="66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40"/>
              <w:spacing w:after="0"/>
              <w:rPr>
                <w:sz w:val="20"/>
                <w:szCs w:val="20"/>
                <w:color w:val="auto"/>
              </w:rPr>
            </w:pPr>
            <w:r>
              <w:rPr>
                <w:rFonts w:ascii="Arial" w:cs="Arial" w:eastAsia="Arial" w:hAnsi="Arial"/>
                <w:sz w:val="20"/>
                <w:szCs w:val="20"/>
                <w:color w:val="auto"/>
              </w:rPr>
              <w:t>consumer products / multi-unit;</w:t>
            </w:r>
          </w:p>
        </w:tc>
        <w:tc>
          <w:tcPr>
            <w:tcW w:w="1460" w:type="dxa"/>
            <w:vAlign w:val="bottom"/>
          </w:tcPr>
          <w:p>
            <w:pPr>
              <w:ind w:left="1240"/>
              <w:spacing w:after="0"/>
              <w:rPr>
                <w:sz w:val="20"/>
                <w:szCs w:val="20"/>
                <w:color w:val="auto"/>
              </w:rPr>
            </w:pPr>
            <w:r>
              <w:rPr>
                <w:rFonts w:ascii="Arial" w:cs="Arial" w:eastAsia="Arial" w:hAnsi="Arial"/>
                <w:sz w:val="20"/>
                <w:szCs w:val="20"/>
                <w:color w:val="auto"/>
              </w:rPr>
              <w:t>•</w:t>
            </w:r>
          </w:p>
        </w:tc>
        <w:tc>
          <w:tcPr>
            <w:tcW w:w="3200" w:type="dxa"/>
            <w:vAlign w:val="bottom"/>
          </w:tcPr>
          <w:p>
            <w:pPr>
              <w:ind w:left="160"/>
              <w:spacing w:after="0"/>
              <w:rPr>
                <w:sz w:val="20"/>
                <w:szCs w:val="20"/>
                <w:color w:val="auto"/>
              </w:rPr>
            </w:pPr>
            <w:r>
              <w:rPr>
                <w:rFonts w:ascii="Arial" w:cs="Arial" w:eastAsia="Arial" w:hAnsi="Arial"/>
                <w:sz w:val="20"/>
                <w:szCs w:val="20"/>
                <w:color w:val="auto"/>
              </w:rPr>
              <w:t>niche manufacturing;</w:t>
            </w:r>
          </w:p>
        </w:tc>
      </w:tr>
      <w:tr>
        <w:trPr>
          <w:trHeight w:val="66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40"/>
              <w:spacing w:after="0"/>
              <w:rPr>
                <w:sz w:val="20"/>
                <w:szCs w:val="20"/>
                <w:color w:val="auto"/>
              </w:rPr>
            </w:pPr>
            <w:r>
              <w:rPr>
                <w:rFonts w:ascii="Arial" w:cs="Arial" w:eastAsia="Arial" w:hAnsi="Arial"/>
                <w:sz w:val="20"/>
                <w:szCs w:val="20"/>
                <w:color w:val="auto"/>
              </w:rPr>
              <w:t>consumer services;</w:t>
            </w:r>
          </w:p>
        </w:tc>
        <w:tc>
          <w:tcPr>
            <w:tcW w:w="1460" w:type="dxa"/>
            <w:vAlign w:val="bottom"/>
          </w:tcPr>
          <w:p>
            <w:pPr>
              <w:ind w:left="1240"/>
              <w:spacing w:after="0"/>
              <w:rPr>
                <w:sz w:val="20"/>
                <w:szCs w:val="20"/>
                <w:color w:val="auto"/>
              </w:rPr>
            </w:pPr>
            <w:r>
              <w:rPr>
                <w:rFonts w:ascii="Arial" w:cs="Arial" w:eastAsia="Arial" w:hAnsi="Arial"/>
                <w:sz w:val="20"/>
                <w:szCs w:val="20"/>
                <w:color w:val="auto"/>
              </w:rPr>
              <w:t>•</w:t>
            </w:r>
          </w:p>
        </w:tc>
        <w:tc>
          <w:tcPr>
            <w:tcW w:w="3200" w:type="dxa"/>
            <w:vAlign w:val="bottom"/>
          </w:tcPr>
          <w:p>
            <w:pPr>
              <w:ind w:left="160"/>
              <w:spacing w:after="0"/>
              <w:rPr>
                <w:sz w:val="20"/>
                <w:szCs w:val="20"/>
                <w:color w:val="auto"/>
              </w:rPr>
            </w:pPr>
            <w:r>
              <w:rPr>
                <w:rFonts w:ascii="Arial" w:cs="Arial" w:eastAsia="Arial" w:hAnsi="Arial"/>
                <w:sz w:val="20"/>
                <w:szCs w:val="20"/>
                <w:color w:val="auto"/>
                <w:w w:val="89"/>
              </w:rPr>
              <w:t>software &amp; tech-enabled services; and</w:t>
            </w:r>
          </w:p>
        </w:tc>
      </w:tr>
      <w:tr>
        <w:trPr>
          <w:trHeight w:val="66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40"/>
              <w:spacing w:after="0"/>
              <w:rPr>
                <w:sz w:val="20"/>
                <w:szCs w:val="20"/>
                <w:color w:val="auto"/>
              </w:rPr>
            </w:pPr>
            <w:r>
              <w:rPr>
                <w:rFonts w:ascii="Arial" w:cs="Arial" w:eastAsia="Arial" w:hAnsi="Arial"/>
                <w:sz w:val="20"/>
                <w:szCs w:val="20"/>
                <w:color w:val="auto"/>
              </w:rPr>
              <w:t>healthcare products;</w:t>
            </w:r>
          </w:p>
        </w:tc>
        <w:tc>
          <w:tcPr>
            <w:tcW w:w="1460" w:type="dxa"/>
            <w:vAlign w:val="bottom"/>
          </w:tcPr>
          <w:p>
            <w:pPr>
              <w:ind w:left="1240"/>
              <w:spacing w:after="0"/>
              <w:rPr>
                <w:sz w:val="20"/>
                <w:szCs w:val="20"/>
                <w:color w:val="auto"/>
              </w:rPr>
            </w:pPr>
            <w:r>
              <w:rPr>
                <w:rFonts w:ascii="Arial" w:cs="Arial" w:eastAsia="Arial" w:hAnsi="Arial"/>
                <w:sz w:val="20"/>
                <w:szCs w:val="20"/>
                <w:color w:val="auto"/>
              </w:rPr>
              <w:t>•</w:t>
            </w:r>
          </w:p>
        </w:tc>
        <w:tc>
          <w:tcPr>
            <w:tcW w:w="3200" w:type="dxa"/>
            <w:vAlign w:val="bottom"/>
          </w:tcPr>
          <w:p>
            <w:pPr>
              <w:ind w:left="160"/>
              <w:spacing w:after="0"/>
              <w:rPr>
                <w:sz w:val="20"/>
                <w:szCs w:val="20"/>
                <w:color w:val="auto"/>
              </w:rPr>
            </w:pPr>
            <w:r>
              <w:rPr>
                <w:rFonts w:ascii="Arial" w:cs="Arial" w:eastAsia="Arial" w:hAnsi="Arial"/>
                <w:sz w:val="20"/>
                <w:szCs w:val="20"/>
                <w:color w:val="auto"/>
              </w:rPr>
              <w:t>value-added distribution.</w:t>
            </w:r>
          </w:p>
        </w:tc>
      </w:tr>
    </w:tbl>
    <w:p>
      <w:pPr>
        <w:spacing w:after="0" w:line="200" w:lineRule="exact"/>
        <w:rPr>
          <w:sz w:val="20"/>
          <w:szCs w:val="20"/>
          <w:color w:val="auto"/>
        </w:rPr>
      </w:pPr>
    </w:p>
    <w:p>
      <w:pPr>
        <w:spacing w:after="0" w:line="290" w:lineRule="exact"/>
        <w:rPr>
          <w:sz w:val="20"/>
          <w:szCs w:val="20"/>
          <w:color w:val="auto"/>
        </w:rPr>
      </w:pPr>
    </w:p>
    <w:p>
      <w:pPr>
        <w:ind w:left="600" w:hanging="364"/>
        <w:spacing w:after="0"/>
        <w:tabs>
          <w:tab w:leader="none" w:pos="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industrial;</w:t>
      </w:r>
    </w:p>
    <w:p>
      <w:pPr>
        <w:spacing w:after="0" w:line="200" w:lineRule="exact"/>
        <w:rPr>
          <w:sz w:val="20"/>
          <w:szCs w:val="20"/>
          <w:color w:val="auto"/>
        </w:rPr>
      </w:pPr>
    </w:p>
    <w:p>
      <w:pPr>
        <w:spacing w:after="0" w:line="240" w:lineRule="exact"/>
        <w:rPr>
          <w:sz w:val="20"/>
          <w:szCs w:val="20"/>
          <w:color w:val="auto"/>
        </w:rPr>
      </w:pPr>
    </w:p>
    <w:p>
      <w:pPr>
        <w:jc w:val="both"/>
        <w:ind w:firstLine="549"/>
        <w:spacing w:after="0" w:line="307" w:lineRule="auto"/>
        <w:rPr>
          <w:sz w:val="20"/>
          <w:szCs w:val="20"/>
          <w:color w:val="auto"/>
        </w:rPr>
      </w:pPr>
      <w:r>
        <w:rPr>
          <w:rFonts w:ascii="Arial" w:cs="Arial" w:eastAsia="Arial" w:hAnsi="Arial"/>
          <w:sz w:val="20"/>
          <w:szCs w:val="20"/>
          <w:color w:val="auto"/>
        </w:rPr>
        <w:t>As of December 31, 2025, we had investments in 103 portfolio companies with an aggregate fair value of $1.3 billion. As of December 31, 2024, we had investments in 91 portfolio companies with an aggregate fair value of $1.1 billion.</w:t>
      </w:r>
    </w:p>
    <w:p>
      <w:pPr>
        <w:spacing w:after="0" w:line="197" w:lineRule="exact"/>
        <w:rPr>
          <w:sz w:val="20"/>
          <w:szCs w:val="20"/>
          <w:color w:val="auto"/>
        </w:rPr>
      </w:pPr>
    </w:p>
    <w:p>
      <w:pPr>
        <w:jc w:val="both"/>
        <w:ind w:right="60" w:firstLine="549"/>
        <w:spacing w:after="0" w:line="309" w:lineRule="auto"/>
        <w:rPr>
          <w:sz w:val="20"/>
          <w:szCs w:val="20"/>
          <w:color w:val="auto"/>
        </w:rPr>
      </w:pPr>
      <w:r>
        <w:rPr>
          <w:rFonts w:ascii="Arial" w:cs="Arial" w:eastAsia="Arial" w:hAnsi="Arial"/>
          <w:sz w:val="20"/>
          <w:szCs w:val="20"/>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80" w:type="dxa"/>
            <w:vAlign w:val="bottom"/>
            <w:gridSpan w:val="3"/>
          </w:tcPr>
          <w:p>
            <w:pPr>
              <w:jc w:val="right"/>
              <w:ind w:right="700"/>
              <w:spacing w:after="0"/>
              <w:rPr>
                <w:sz w:val="20"/>
                <w:szCs w:val="20"/>
                <w:color w:val="auto"/>
              </w:rPr>
            </w:pPr>
            <w:r>
              <w:rPr>
                <w:rFonts w:ascii="Arial" w:cs="Arial" w:eastAsia="Arial" w:hAnsi="Arial"/>
                <w:sz w:val="20"/>
                <w:szCs w:val="20"/>
                <w:b w:val="1"/>
                <w:bCs w:val="1"/>
                <w:color w:val="auto"/>
              </w:rPr>
              <w:t>Fair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Cost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0"/>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w w:val="93"/>
              </w:rPr>
              <w:t>December 31,</w:t>
            </w:r>
          </w:p>
        </w:tc>
        <w:tc>
          <w:tcPr>
            <w:tcW w:w="260" w:type="dxa"/>
            <w:vAlign w:val="bottom"/>
          </w:tcPr>
          <w:p>
            <w:pPr>
              <w:spacing w:after="0"/>
              <w:rPr>
                <w:sz w:val="24"/>
                <w:szCs w:val="2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w w:val="93"/>
              </w:rPr>
              <w:t>December 31,</w:t>
            </w:r>
          </w:p>
        </w:tc>
        <w:tc>
          <w:tcPr>
            <w:tcW w:w="260" w:type="dxa"/>
            <w:vAlign w:val="bottom"/>
          </w:tcPr>
          <w:p>
            <w:pPr>
              <w:spacing w:after="0"/>
              <w:rPr>
                <w:sz w:val="24"/>
                <w:szCs w:val="24"/>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20"/>
                <w:szCs w:val="20"/>
                <w:b w:val="1"/>
                <w:bCs w:val="1"/>
                <w:color w:val="auto"/>
              </w:rPr>
              <w:t>December 31,</w:t>
            </w:r>
          </w:p>
        </w:tc>
        <w:tc>
          <w:tcPr>
            <w:tcW w:w="180" w:type="dxa"/>
            <w:vAlign w:val="bottom"/>
          </w:tcPr>
          <w:p>
            <w:pPr>
              <w:spacing w:after="0"/>
              <w:rPr>
                <w:sz w:val="24"/>
                <w:szCs w:val="24"/>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20"/>
                <w:szCs w:val="20"/>
                <w:b w:val="1"/>
                <w:bCs w:val="1"/>
                <w:color w:val="auto"/>
                <w:w w:val="95"/>
              </w:rPr>
              <w:t>December 31,</w:t>
            </w:r>
          </w:p>
        </w:tc>
      </w:tr>
      <w:tr>
        <w:trPr>
          <w:trHeight w:val="300"/>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jc w:val="right"/>
              <w:ind w:right="940"/>
              <w:spacing w:after="0"/>
              <w:rPr>
                <w:sz w:val="20"/>
                <w:szCs w:val="20"/>
                <w:color w:val="auto"/>
              </w:rPr>
            </w:pPr>
            <w:r>
              <w:rPr>
                <w:rFonts w:ascii="Arial" w:cs="Arial" w:eastAsia="Arial" w:hAnsi="Arial"/>
                <w:sz w:val="20"/>
                <w:szCs w:val="20"/>
                <w:b w:val="1"/>
                <w:bCs w:val="1"/>
                <w:color w:val="auto"/>
                <w:w w:val="85"/>
              </w:rPr>
              <w:t>2025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780" w:type="dxa"/>
            <w:vAlign w:val="bottom"/>
          </w:tcPr>
          <w:p>
            <w:pPr>
              <w:spacing w:after="0"/>
              <w:rPr>
                <w:sz w:val="24"/>
                <w:szCs w:val="24"/>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20"/>
                <w:szCs w:val="20"/>
                <w:color w:val="auto"/>
                <w:w w:val="96"/>
              </w:rPr>
              <w:t>United States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
        </w:trPr>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0"/>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Midwest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162.4</w:t>
            </w: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120.5</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114.4</w:t>
            </w:r>
          </w:p>
        </w:tc>
        <w:tc>
          <w:tcPr>
            <w:tcW w:w="1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73.6</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r>
      <w:tr>
        <w:trPr>
          <w:trHeight w:val="259"/>
        </w:trPr>
        <w:tc>
          <w:tcPr>
            <w:tcW w:w="1180" w:type="dxa"/>
            <w:vAlign w:val="bottom"/>
          </w:tcPr>
          <w:p>
            <w:pPr>
              <w:spacing w:after="0"/>
              <w:rPr>
                <w:sz w:val="20"/>
                <w:szCs w:val="20"/>
                <w:color w:val="auto"/>
              </w:rPr>
            </w:pPr>
            <w:r>
              <w:rPr>
                <w:rFonts w:ascii="Arial" w:cs="Arial" w:eastAsia="Arial" w:hAnsi="Arial"/>
                <w:sz w:val="20"/>
                <w:szCs w:val="20"/>
                <w:color w:val="auto"/>
              </w:rPr>
              <w:t>Southeast</w:t>
            </w:r>
          </w:p>
        </w:tc>
        <w:tc>
          <w:tcPr>
            <w:tcW w:w="240" w:type="dxa"/>
            <w:vAlign w:val="bottom"/>
          </w:tcPr>
          <w:p>
            <w:pPr>
              <w:spacing w:after="0"/>
              <w:rPr>
                <w:sz w:val="22"/>
                <w:szCs w:val="22"/>
                <w:color w:val="auto"/>
              </w:rPr>
            </w:pPr>
          </w:p>
        </w:tc>
        <w:tc>
          <w:tcPr>
            <w:tcW w:w="940" w:type="dxa"/>
            <w:vAlign w:val="bottom"/>
          </w:tcPr>
          <w:p>
            <w:pPr>
              <w:jc w:val="right"/>
              <w:ind w:right="200"/>
              <w:spacing w:after="0"/>
              <w:rPr>
                <w:sz w:val="20"/>
                <w:szCs w:val="20"/>
                <w:color w:val="auto"/>
              </w:rPr>
            </w:pPr>
            <w:r>
              <w:rPr>
                <w:rFonts w:ascii="Arial" w:cs="Arial" w:eastAsia="Arial" w:hAnsi="Arial"/>
                <w:sz w:val="20"/>
                <w:szCs w:val="20"/>
                <w:color w:val="auto"/>
              </w:rPr>
              <w:t>387.2</w:t>
            </w:r>
          </w:p>
        </w:tc>
        <w:tc>
          <w:tcPr>
            <w:tcW w:w="800" w:type="dxa"/>
            <w:vAlign w:val="bottom"/>
          </w:tcPr>
          <w:p>
            <w:pPr>
              <w:jc w:val="right"/>
              <w:ind w:right="200"/>
              <w:spacing w:after="0"/>
              <w:rPr>
                <w:sz w:val="20"/>
                <w:szCs w:val="20"/>
                <w:color w:val="auto"/>
              </w:rPr>
            </w:pPr>
            <w:r>
              <w:rPr>
                <w:rFonts w:ascii="Arial" w:cs="Arial" w:eastAsia="Arial" w:hAnsi="Arial"/>
                <w:sz w:val="20"/>
                <w:szCs w:val="20"/>
                <w:color w:val="auto"/>
              </w:rPr>
              <w:t>29.1</w:t>
            </w:r>
          </w:p>
        </w:tc>
        <w:tc>
          <w:tcPr>
            <w:tcW w:w="260" w:type="dxa"/>
            <w:vAlign w:val="bottom"/>
          </w:tcPr>
          <w:p>
            <w:pPr>
              <w:spacing w:after="0"/>
              <w:rPr>
                <w:sz w:val="22"/>
                <w:szCs w:val="22"/>
                <w:color w:val="auto"/>
              </w:rPr>
            </w:pPr>
          </w:p>
        </w:tc>
        <w:tc>
          <w:tcPr>
            <w:tcW w:w="920" w:type="dxa"/>
            <w:vAlign w:val="bottom"/>
          </w:tcPr>
          <w:p>
            <w:pPr>
              <w:jc w:val="right"/>
              <w:ind w:right="180"/>
              <w:spacing w:after="0"/>
              <w:rPr>
                <w:sz w:val="20"/>
                <w:szCs w:val="20"/>
                <w:color w:val="auto"/>
              </w:rPr>
            </w:pPr>
            <w:r>
              <w:rPr>
                <w:rFonts w:ascii="Arial" w:cs="Arial" w:eastAsia="Arial" w:hAnsi="Arial"/>
                <w:sz w:val="20"/>
                <w:szCs w:val="20"/>
                <w:color w:val="auto"/>
              </w:rPr>
              <w:t>339.7</w:t>
            </w:r>
          </w:p>
        </w:tc>
        <w:tc>
          <w:tcPr>
            <w:tcW w:w="820" w:type="dxa"/>
            <w:vAlign w:val="bottom"/>
          </w:tcPr>
          <w:p>
            <w:pPr>
              <w:jc w:val="right"/>
              <w:ind w:right="200"/>
              <w:spacing w:after="0"/>
              <w:rPr>
                <w:sz w:val="20"/>
                <w:szCs w:val="20"/>
                <w:color w:val="auto"/>
              </w:rPr>
            </w:pPr>
            <w:r>
              <w:rPr>
                <w:rFonts w:ascii="Arial" w:cs="Arial" w:eastAsia="Arial" w:hAnsi="Arial"/>
                <w:sz w:val="20"/>
                <w:szCs w:val="20"/>
                <w:color w:val="auto"/>
              </w:rPr>
              <w:t>31.2</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379.9</w:t>
            </w:r>
          </w:p>
        </w:tc>
        <w:tc>
          <w:tcPr>
            <w:tcW w:w="1440" w:type="dxa"/>
            <w:vAlign w:val="bottom"/>
          </w:tcPr>
          <w:p>
            <w:pPr>
              <w:jc w:val="right"/>
              <w:ind w:right="180"/>
              <w:spacing w:after="0"/>
              <w:rPr>
                <w:sz w:val="20"/>
                <w:szCs w:val="20"/>
                <w:color w:val="auto"/>
              </w:rPr>
            </w:pPr>
            <w:r>
              <w:rPr>
                <w:rFonts w:ascii="Arial" w:cs="Arial" w:eastAsia="Arial" w:hAnsi="Arial"/>
                <w:sz w:val="20"/>
                <w:szCs w:val="20"/>
                <w:color w:val="auto"/>
              </w:rPr>
              <w:t>29.3</w:t>
            </w:r>
          </w:p>
        </w:tc>
        <w:tc>
          <w:tcPr>
            <w:tcW w:w="180" w:type="dxa"/>
            <w:vAlign w:val="bottom"/>
          </w:tcPr>
          <w:p>
            <w:pPr>
              <w:spacing w:after="0"/>
              <w:rPr>
                <w:sz w:val="22"/>
                <w:szCs w:val="22"/>
                <w:color w:val="auto"/>
              </w:rPr>
            </w:pPr>
          </w:p>
        </w:tc>
        <w:tc>
          <w:tcPr>
            <w:tcW w:w="960" w:type="dxa"/>
            <w:vAlign w:val="bottom"/>
          </w:tcPr>
          <w:p>
            <w:pPr>
              <w:jc w:val="right"/>
              <w:ind w:right="220"/>
              <w:spacing w:after="0"/>
              <w:rPr>
                <w:sz w:val="20"/>
                <w:szCs w:val="20"/>
                <w:color w:val="auto"/>
              </w:rPr>
            </w:pPr>
            <w:r>
              <w:rPr>
                <w:rFonts w:ascii="Arial" w:cs="Arial" w:eastAsia="Arial" w:hAnsi="Arial"/>
                <w:sz w:val="20"/>
                <w:szCs w:val="20"/>
                <w:color w:val="auto"/>
              </w:rPr>
              <w:t>337.8</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31.4</w:t>
            </w:r>
          </w:p>
        </w:tc>
      </w:tr>
      <w:tr>
        <w:trPr>
          <w:trHeight w:val="41"/>
        </w:trPr>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0"/>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Northeast</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263.1</w:t>
            </w:r>
          </w:p>
        </w:tc>
        <w:tc>
          <w:tcPr>
            <w:tcW w:w="80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19.9</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211.8</w:t>
            </w:r>
          </w:p>
        </w:tc>
        <w:tc>
          <w:tcPr>
            <w:tcW w:w="8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262.7</w:t>
            </w:r>
          </w:p>
        </w:tc>
        <w:tc>
          <w:tcPr>
            <w:tcW w:w="14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20.2</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202.2</w:t>
            </w:r>
          </w:p>
        </w:tc>
        <w:tc>
          <w:tcPr>
            <w:tcW w:w="78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18.8</w:t>
            </w:r>
          </w:p>
        </w:tc>
      </w:tr>
      <w:tr>
        <w:trPr>
          <w:trHeight w:val="259"/>
        </w:trPr>
        <w:tc>
          <w:tcPr>
            <w:tcW w:w="1180" w:type="dxa"/>
            <w:vAlign w:val="bottom"/>
          </w:tcPr>
          <w:p>
            <w:pPr>
              <w:spacing w:after="0"/>
              <w:rPr>
                <w:sz w:val="20"/>
                <w:szCs w:val="20"/>
                <w:color w:val="auto"/>
              </w:rPr>
            </w:pPr>
            <w:r>
              <w:rPr>
                <w:rFonts w:ascii="Arial" w:cs="Arial" w:eastAsia="Arial" w:hAnsi="Arial"/>
                <w:sz w:val="20"/>
                <w:szCs w:val="20"/>
                <w:color w:val="auto"/>
              </w:rPr>
              <w:t>West</w:t>
            </w:r>
          </w:p>
        </w:tc>
        <w:tc>
          <w:tcPr>
            <w:tcW w:w="240" w:type="dxa"/>
            <w:vAlign w:val="bottom"/>
          </w:tcPr>
          <w:p>
            <w:pPr>
              <w:spacing w:after="0"/>
              <w:rPr>
                <w:sz w:val="22"/>
                <w:szCs w:val="22"/>
                <w:color w:val="auto"/>
              </w:rPr>
            </w:pPr>
          </w:p>
        </w:tc>
        <w:tc>
          <w:tcPr>
            <w:tcW w:w="940" w:type="dxa"/>
            <w:vAlign w:val="bottom"/>
          </w:tcPr>
          <w:p>
            <w:pPr>
              <w:jc w:val="right"/>
              <w:ind w:right="200"/>
              <w:spacing w:after="0"/>
              <w:rPr>
                <w:sz w:val="20"/>
                <w:szCs w:val="20"/>
                <w:color w:val="auto"/>
              </w:rPr>
            </w:pPr>
            <w:r>
              <w:rPr>
                <w:rFonts w:ascii="Arial" w:cs="Arial" w:eastAsia="Arial" w:hAnsi="Arial"/>
                <w:sz w:val="20"/>
                <w:szCs w:val="20"/>
                <w:color w:val="auto"/>
              </w:rPr>
              <w:t>213.1</w:t>
            </w:r>
          </w:p>
        </w:tc>
        <w:tc>
          <w:tcPr>
            <w:tcW w:w="800" w:type="dxa"/>
            <w:vAlign w:val="bottom"/>
          </w:tcPr>
          <w:p>
            <w:pPr>
              <w:jc w:val="right"/>
              <w:ind w:right="200"/>
              <w:spacing w:after="0"/>
              <w:rPr>
                <w:sz w:val="20"/>
                <w:szCs w:val="20"/>
                <w:color w:val="auto"/>
              </w:rPr>
            </w:pPr>
            <w:r>
              <w:rPr>
                <w:rFonts w:ascii="Arial" w:cs="Arial" w:eastAsia="Arial" w:hAnsi="Arial"/>
                <w:sz w:val="20"/>
                <w:szCs w:val="20"/>
                <w:color w:val="auto"/>
              </w:rPr>
              <w:t>16.1</w:t>
            </w:r>
          </w:p>
        </w:tc>
        <w:tc>
          <w:tcPr>
            <w:tcW w:w="260" w:type="dxa"/>
            <w:vAlign w:val="bottom"/>
          </w:tcPr>
          <w:p>
            <w:pPr>
              <w:spacing w:after="0"/>
              <w:rPr>
                <w:sz w:val="22"/>
                <w:szCs w:val="22"/>
                <w:color w:val="auto"/>
              </w:rPr>
            </w:pPr>
          </w:p>
        </w:tc>
        <w:tc>
          <w:tcPr>
            <w:tcW w:w="920" w:type="dxa"/>
            <w:vAlign w:val="bottom"/>
          </w:tcPr>
          <w:p>
            <w:pPr>
              <w:jc w:val="right"/>
              <w:ind w:right="180"/>
              <w:spacing w:after="0"/>
              <w:rPr>
                <w:sz w:val="20"/>
                <w:szCs w:val="20"/>
                <w:color w:val="auto"/>
              </w:rPr>
            </w:pPr>
            <w:r>
              <w:rPr>
                <w:rFonts w:ascii="Arial" w:cs="Arial" w:eastAsia="Arial" w:hAnsi="Arial"/>
                <w:sz w:val="20"/>
                <w:szCs w:val="20"/>
                <w:color w:val="auto"/>
              </w:rPr>
              <w:t>194.6</w:t>
            </w:r>
          </w:p>
        </w:tc>
        <w:tc>
          <w:tcPr>
            <w:tcW w:w="820" w:type="dxa"/>
            <w:vAlign w:val="bottom"/>
          </w:tcPr>
          <w:p>
            <w:pPr>
              <w:jc w:val="right"/>
              <w:ind w:right="200"/>
              <w:spacing w:after="0"/>
              <w:rPr>
                <w:sz w:val="20"/>
                <w:szCs w:val="20"/>
                <w:color w:val="auto"/>
              </w:rPr>
            </w:pPr>
            <w:r>
              <w:rPr>
                <w:rFonts w:ascii="Arial" w:cs="Arial" w:eastAsia="Arial" w:hAnsi="Arial"/>
                <w:sz w:val="20"/>
                <w:szCs w:val="20"/>
                <w:color w:val="auto"/>
              </w:rPr>
              <w:t>17.8</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232.8</w:t>
            </w:r>
          </w:p>
        </w:tc>
        <w:tc>
          <w:tcPr>
            <w:tcW w:w="1440" w:type="dxa"/>
            <w:vAlign w:val="bottom"/>
          </w:tcPr>
          <w:p>
            <w:pPr>
              <w:jc w:val="right"/>
              <w:ind w:right="180"/>
              <w:spacing w:after="0"/>
              <w:rPr>
                <w:sz w:val="20"/>
                <w:szCs w:val="20"/>
                <w:color w:val="auto"/>
              </w:rPr>
            </w:pPr>
            <w:r>
              <w:rPr>
                <w:rFonts w:ascii="Arial" w:cs="Arial" w:eastAsia="Arial" w:hAnsi="Arial"/>
                <w:sz w:val="20"/>
                <w:szCs w:val="20"/>
                <w:color w:val="auto"/>
              </w:rPr>
              <w:t>17.9</w:t>
            </w:r>
          </w:p>
        </w:tc>
        <w:tc>
          <w:tcPr>
            <w:tcW w:w="180" w:type="dxa"/>
            <w:vAlign w:val="bottom"/>
          </w:tcPr>
          <w:p>
            <w:pPr>
              <w:spacing w:after="0"/>
              <w:rPr>
                <w:sz w:val="22"/>
                <w:szCs w:val="22"/>
                <w:color w:val="auto"/>
              </w:rPr>
            </w:pPr>
          </w:p>
        </w:tc>
        <w:tc>
          <w:tcPr>
            <w:tcW w:w="960" w:type="dxa"/>
            <w:vAlign w:val="bottom"/>
          </w:tcPr>
          <w:p>
            <w:pPr>
              <w:jc w:val="right"/>
              <w:ind w:right="220"/>
              <w:spacing w:after="0"/>
              <w:rPr>
                <w:sz w:val="20"/>
                <w:szCs w:val="20"/>
                <w:color w:val="auto"/>
              </w:rPr>
            </w:pPr>
            <w:r>
              <w:rPr>
                <w:rFonts w:ascii="Arial" w:cs="Arial" w:eastAsia="Arial" w:hAnsi="Arial"/>
                <w:sz w:val="20"/>
                <w:szCs w:val="20"/>
                <w:color w:val="auto"/>
              </w:rPr>
              <w:t>232.3</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21.6</w:t>
            </w:r>
          </w:p>
        </w:tc>
      </w:tr>
      <w:tr>
        <w:trPr>
          <w:trHeight w:val="41"/>
        </w:trPr>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0"/>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Southwest</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283.0</w:t>
            </w:r>
          </w:p>
        </w:tc>
        <w:tc>
          <w:tcPr>
            <w:tcW w:w="80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21.4</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211.4</w:t>
            </w:r>
          </w:p>
        </w:tc>
        <w:tc>
          <w:tcPr>
            <w:tcW w:w="8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293.6</w:t>
            </w:r>
          </w:p>
        </w:tc>
        <w:tc>
          <w:tcPr>
            <w:tcW w:w="14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22.6</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216.8</w:t>
            </w:r>
          </w:p>
        </w:tc>
        <w:tc>
          <w:tcPr>
            <w:tcW w:w="78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20.2</w:t>
            </w:r>
          </w:p>
        </w:tc>
      </w:tr>
      <w:tr>
        <w:trPr>
          <w:trHeight w:val="269"/>
        </w:trPr>
        <w:tc>
          <w:tcPr>
            <w:tcW w:w="1180" w:type="dxa"/>
            <w:vAlign w:val="bottom"/>
          </w:tcPr>
          <w:p>
            <w:pPr>
              <w:spacing w:after="0"/>
              <w:rPr>
                <w:sz w:val="20"/>
                <w:szCs w:val="20"/>
                <w:color w:val="auto"/>
              </w:rPr>
            </w:pPr>
            <w:r>
              <w:rPr>
                <w:rFonts w:ascii="Arial" w:cs="Arial" w:eastAsia="Arial" w:hAnsi="Arial"/>
                <w:sz w:val="20"/>
                <w:szCs w:val="20"/>
                <w:color w:val="auto"/>
              </w:rPr>
              <w:t>Canada</w:t>
            </w:r>
          </w:p>
        </w:tc>
        <w:tc>
          <w:tcPr>
            <w:tcW w:w="240" w:type="dxa"/>
            <w:vAlign w:val="bottom"/>
          </w:tcPr>
          <w:p>
            <w:pPr>
              <w:spacing w:after="0"/>
              <w:rPr>
                <w:sz w:val="23"/>
                <w:szCs w:val="23"/>
                <w:color w:val="auto"/>
              </w:rPr>
            </w:pPr>
          </w:p>
        </w:tc>
        <w:tc>
          <w:tcPr>
            <w:tcW w:w="940" w:type="dxa"/>
            <w:vAlign w:val="bottom"/>
          </w:tcPr>
          <w:p>
            <w:pPr>
              <w:jc w:val="right"/>
              <w:ind w:right="200"/>
              <w:spacing w:after="0"/>
              <w:rPr>
                <w:sz w:val="20"/>
                <w:szCs w:val="20"/>
                <w:color w:val="auto"/>
              </w:rPr>
            </w:pPr>
            <w:r>
              <w:rPr>
                <w:rFonts w:ascii="Arial" w:cs="Arial" w:eastAsia="Arial" w:hAnsi="Arial"/>
                <w:sz w:val="20"/>
                <w:szCs w:val="20"/>
                <w:color w:val="auto"/>
              </w:rPr>
              <w:t>16.0</w:t>
            </w:r>
          </w:p>
        </w:tc>
        <w:tc>
          <w:tcPr>
            <w:tcW w:w="800" w:type="dxa"/>
            <w:vAlign w:val="bottom"/>
          </w:tcPr>
          <w:p>
            <w:pPr>
              <w:jc w:val="right"/>
              <w:ind w:right="200"/>
              <w:spacing w:after="0"/>
              <w:rPr>
                <w:sz w:val="20"/>
                <w:szCs w:val="20"/>
                <w:color w:val="auto"/>
              </w:rPr>
            </w:pPr>
            <w:r>
              <w:rPr>
                <w:rFonts w:ascii="Arial" w:cs="Arial" w:eastAsia="Arial" w:hAnsi="Arial"/>
                <w:sz w:val="20"/>
                <w:szCs w:val="20"/>
                <w:color w:val="auto"/>
              </w:rPr>
              <w:t>1.2</w:t>
            </w:r>
          </w:p>
        </w:tc>
        <w:tc>
          <w:tcPr>
            <w:tcW w:w="260" w:type="dxa"/>
            <w:vAlign w:val="bottom"/>
          </w:tcPr>
          <w:p>
            <w:pPr>
              <w:spacing w:after="0"/>
              <w:rPr>
                <w:sz w:val="23"/>
                <w:szCs w:val="23"/>
                <w:color w:val="auto"/>
              </w:rPr>
            </w:pPr>
          </w:p>
        </w:tc>
        <w:tc>
          <w:tcPr>
            <w:tcW w:w="920" w:type="dxa"/>
            <w:vAlign w:val="bottom"/>
          </w:tcPr>
          <w:p>
            <w:pPr>
              <w:jc w:val="right"/>
              <w:ind w:right="180"/>
              <w:spacing w:after="0"/>
              <w:rPr>
                <w:sz w:val="20"/>
                <w:szCs w:val="20"/>
                <w:color w:val="auto"/>
              </w:rPr>
            </w:pPr>
            <w:r>
              <w:rPr>
                <w:rFonts w:ascii="Arial" w:cs="Arial" w:eastAsia="Arial" w:hAnsi="Arial"/>
                <w:sz w:val="20"/>
                <w:szCs w:val="20"/>
                <w:color w:val="auto"/>
              </w:rPr>
              <w:t>12.5</w:t>
            </w:r>
          </w:p>
        </w:tc>
        <w:tc>
          <w:tcPr>
            <w:tcW w:w="820" w:type="dxa"/>
            <w:vAlign w:val="bottom"/>
          </w:tcPr>
          <w:p>
            <w:pPr>
              <w:jc w:val="right"/>
              <w:ind w:right="200"/>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15.9</w:t>
            </w:r>
          </w:p>
        </w:tc>
        <w:tc>
          <w:tcPr>
            <w:tcW w:w="1440" w:type="dxa"/>
            <w:vAlign w:val="bottom"/>
          </w:tcPr>
          <w:p>
            <w:pPr>
              <w:jc w:val="right"/>
              <w:ind w:right="180"/>
              <w:spacing w:after="0"/>
              <w:rPr>
                <w:sz w:val="20"/>
                <w:szCs w:val="20"/>
                <w:color w:val="auto"/>
              </w:rPr>
            </w:pPr>
            <w:r>
              <w:rPr>
                <w:rFonts w:ascii="Arial" w:cs="Arial" w:eastAsia="Arial" w:hAnsi="Arial"/>
                <w:sz w:val="20"/>
                <w:szCs w:val="20"/>
                <w:color w:val="auto"/>
              </w:rPr>
              <w:t>1.2</w:t>
            </w:r>
          </w:p>
        </w:tc>
        <w:tc>
          <w:tcPr>
            <w:tcW w:w="180" w:type="dxa"/>
            <w:vAlign w:val="bottom"/>
          </w:tcPr>
          <w:p>
            <w:pPr>
              <w:spacing w:after="0"/>
              <w:rPr>
                <w:sz w:val="23"/>
                <w:szCs w:val="23"/>
                <w:color w:val="auto"/>
              </w:rPr>
            </w:pPr>
          </w:p>
        </w:tc>
        <w:tc>
          <w:tcPr>
            <w:tcW w:w="960" w:type="dxa"/>
            <w:vAlign w:val="bottom"/>
          </w:tcPr>
          <w:p>
            <w:pPr>
              <w:jc w:val="right"/>
              <w:ind w:right="220"/>
              <w:spacing w:after="0"/>
              <w:rPr>
                <w:sz w:val="20"/>
                <w:szCs w:val="20"/>
                <w:color w:val="auto"/>
              </w:rPr>
            </w:pPr>
            <w:r>
              <w:rPr>
                <w:rFonts w:ascii="Arial" w:cs="Arial" w:eastAsia="Arial" w:hAnsi="Arial"/>
                <w:sz w:val="20"/>
                <w:szCs w:val="20"/>
                <w:color w:val="auto"/>
              </w:rPr>
              <w:t>12.5</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1.2</w:t>
            </w:r>
          </w:p>
        </w:tc>
      </w:tr>
      <w:tr>
        <w:trPr>
          <w:trHeight w:val="41"/>
        </w:trPr>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25"/>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w w:val="92"/>
              </w:rPr>
              <w:t>1,324.8</w:t>
            </w: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7"/>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w w:val="92"/>
              </w:rPr>
              <w:t>1,090.5</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1,299.3</w:t>
            </w:r>
          </w:p>
        </w:tc>
        <w:tc>
          <w:tcPr>
            <w:tcW w:w="1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w w:val="92"/>
              </w:rPr>
              <w:t>1,075.2</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7"/>
              </w:rPr>
              <w:t>100.0%</w:t>
            </w:r>
          </w:p>
        </w:tc>
      </w:tr>
      <w:tr>
        <w:trPr>
          <w:trHeight w:val="559"/>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jc w:val="right"/>
              <w:ind w:right="260"/>
              <w:spacing w:after="0"/>
              <w:rPr>
                <w:sz w:val="20"/>
                <w:szCs w:val="20"/>
                <w:color w:val="auto"/>
              </w:rPr>
            </w:pPr>
            <w:r>
              <w:rPr>
                <w:rFonts w:ascii="Arial" w:cs="Arial" w:eastAsia="Arial" w:hAnsi="Arial"/>
                <w:sz w:val="20"/>
                <w:szCs w:val="20"/>
                <w:color w:val="auto"/>
              </w:rPr>
              <w:t>10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-2306955</wp:posOffset>
            </wp:positionV>
            <wp:extent cx="497395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3955" cy="635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-1919605</wp:posOffset>
            </wp:positionV>
            <wp:extent cx="497395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3955" cy="635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-579755</wp:posOffset>
            </wp:positionV>
            <wp:extent cx="497395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3955" cy="635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-382905</wp:posOffset>
            </wp:positionV>
            <wp:extent cx="508000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8000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68</w:t>
      </w:r>
    </w:p>
    <w:p>
      <w:pPr>
        <w:sectPr>
          <w:pgSz w:w="11900" w:h="16838" w:orient="portrait"/>
          <w:cols w:equalWidth="0" w:num="1">
            <w:col w:w="9400"/>
          </w:cols>
          <w:pgMar w:left="1260" w:top="1440" w:right="1246"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68</w:t>
      </w:r>
    </w:p>
    <w:p>
      <w:pPr>
        <w:sectPr>
          <w:pgSz w:w="11900" w:h="16838" w:orient="portrait"/>
          <w:cols w:equalWidth="0" w:num="1">
            <w:col w:w="9026"/>
          </w:cols>
          <w:pgMar w:left="1440" w:top="1440" w:right="1440" w:bottom="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60" w:firstLine="551"/>
        <w:spacing w:after="0" w:line="302" w:lineRule="auto"/>
        <w:rPr>
          <w:sz w:val="20"/>
          <w:szCs w:val="20"/>
          <w:color w:val="auto"/>
        </w:rPr>
      </w:pPr>
      <w:r>
        <w:rPr>
          <w:rFonts w:ascii="Arial" w:cs="Arial" w:eastAsia="Arial" w:hAnsi="Arial"/>
          <w:sz w:val="20"/>
          <w:szCs w:val="20"/>
          <w:color w:val="auto"/>
        </w:rPr>
        <w:t>The following table shows the detailed industry segment composition of our portfolio at fair value and cost as a percentage of total investments.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3260" w:type="dxa"/>
            <w:vAlign w:val="bottom"/>
            <w:gridSpan w:val="2"/>
          </w:tcPr>
          <w:p>
            <w:pPr>
              <w:jc w:val="right"/>
              <w:ind w:right="1120"/>
              <w:spacing w:after="0"/>
              <w:rPr>
                <w:sz w:val="20"/>
                <w:szCs w:val="20"/>
                <w:color w:val="auto"/>
              </w:rPr>
            </w:pPr>
            <w:r>
              <w:rPr>
                <w:rFonts w:ascii="Arial" w:cs="Arial" w:eastAsia="Arial" w:hAnsi="Arial"/>
                <w:sz w:val="20"/>
                <w:szCs w:val="20"/>
                <w:b w:val="1"/>
                <w:bCs w:val="1"/>
                <w:color w:val="auto"/>
              </w:rPr>
              <w:t>Fair Value</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Cost</w:t>
            </w:r>
          </w:p>
        </w:tc>
        <w:tc>
          <w:tcPr>
            <w:tcW w:w="1600" w:type="dxa"/>
            <w:vAlign w:val="bottom"/>
          </w:tcPr>
          <w:p>
            <w:pPr>
              <w:spacing w:after="0"/>
              <w:rPr>
                <w:sz w:val="19"/>
                <w:szCs w:val="19"/>
                <w:color w:val="auto"/>
              </w:rPr>
            </w:pPr>
          </w:p>
        </w:tc>
      </w:tr>
      <w:tr>
        <w:trPr>
          <w:trHeight w:val="324"/>
        </w:trPr>
        <w:tc>
          <w:tcPr>
            <w:tcW w:w="2880" w:type="dxa"/>
            <w:vAlign w:val="bottom"/>
          </w:tcPr>
          <w:p>
            <w:pPr>
              <w:spacing w:after="0"/>
              <w:rPr>
                <w:sz w:val="24"/>
                <w:szCs w:val="24"/>
                <w:color w:val="auto"/>
              </w:rPr>
            </w:pPr>
          </w:p>
        </w:tc>
        <w:tc>
          <w:tcPr>
            <w:tcW w:w="1680" w:type="dxa"/>
            <w:vAlign w:val="bottom"/>
          </w:tcPr>
          <w:p>
            <w:pPr>
              <w:jc w:val="right"/>
              <w:ind w:right="220"/>
              <w:spacing w:after="0"/>
              <w:rPr>
                <w:sz w:val="20"/>
                <w:szCs w:val="20"/>
                <w:color w:val="auto"/>
              </w:rPr>
            </w:pPr>
            <w:r>
              <w:rPr>
                <w:rFonts w:ascii="Arial" w:cs="Arial" w:eastAsia="Arial" w:hAnsi="Arial"/>
                <w:sz w:val="20"/>
                <w:szCs w:val="20"/>
                <w:b w:val="1"/>
                <w:bCs w:val="1"/>
                <w:color w:val="auto"/>
              </w:rPr>
              <w:t>December 31,</w:t>
            </w:r>
          </w:p>
        </w:tc>
        <w:tc>
          <w:tcPr>
            <w:tcW w:w="1580" w:type="dxa"/>
            <w:vAlign w:val="bottom"/>
          </w:tcPr>
          <w:p>
            <w:pPr>
              <w:jc w:val="right"/>
              <w:ind w:right="220"/>
              <w:spacing w:after="0"/>
              <w:rPr>
                <w:sz w:val="20"/>
                <w:szCs w:val="20"/>
                <w:color w:val="auto"/>
              </w:rPr>
            </w:pPr>
            <w:r>
              <w:rPr>
                <w:rFonts w:ascii="Arial" w:cs="Arial" w:eastAsia="Arial" w:hAnsi="Arial"/>
                <w:sz w:val="20"/>
                <w:szCs w:val="20"/>
                <w:b w:val="1"/>
                <w:bCs w:val="1"/>
                <w:color w:val="auto"/>
                <w:w w:val="95"/>
              </w:rPr>
              <w:t>December 31,</w:t>
            </w:r>
          </w:p>
        </w:tc>
        <w:tc>
          <w:tcPr>
            <w:tcW w:w="1660" w:type="dxa"/>
            <w:vAlign w:val="bottom"/>
          </w:tcPr>
          <w:p>
            <w:pPr>
              <w:jc w:val="right"/>
              <w:ind w:right="300"/>
              <w:spacing w:after="0"/>
              <w:rPr>
                <w:sz w:val="20"/>
                <w:szCs w:val="20"/>
                <w:color w:val="auto"/>
              </w:rPr>
            </w:pPr>
            <w:r>
              <w:rPr>
                <w:rFonts w:ascii="Arial" w:cs="Arial" w:eastAsia="Arial" w:hAnsi="Arial"/>
                <w:sz w:val="20"/>
                <w:szCs w:val="20"/>
                <w:b w:val="1"/>
                <w:bCs w:val="1"/>
                <w:color w:val="auto"/>
                <w:w w:val="95"/>
              </w:rPr>
              <w:t>December 31,</w:t>
            </w:r>
          </w:p>
        </w:tc>
        <w:tc>
          <w:tcPr>
            <w:tcW w:w="1600" w:type="dxa"/>
            <w:vAlign w:val="bottom"/>
          </w:tcPr>
          <w:p>
            <w:pPr>
              <w:jc w:val="right"/>
              <w:ind w:right="320"/>
              <w:spacing w:after="0"/>
              <w:rPr>
                <w:sz w:val="20"/>
                <w:szCs w:val="20"/>
                <w:color w:val="auto"/>
              </w:rPr>
            </w:pPr>
            <w:r>
              <w:rPr>
                <w:rFonts w:ascii="Arial" w:cs="Arial" w:eastAsia="Arial" w:hAnsi="Arial"/>
                <w:sz w:val="20"/>
                <w:szCs w:val="20"/>
                <w:b w:val="1"/>
                <w:bCs w:val="1"/>
                <w:color w:val="auto"/>
                <w:w w:val="89"/>
              </w:rPr>
              <w:t>December 31,</w:t>
            </w:r>
          </w:p>
        </w:tc>
      </w:tr>
      <w:tr>
        <w:trPr>
          <w:trHeight w:val="324"/>
        </w:trPr>
        <w:tc>
          <w:tcPr>
            <w:tcW w:w="288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1680" w:type="dxa"/>
            <w:vAlign w:val="bottom"/>
          </w:tcPr>
          <w:p>
            <w:pPr>
              <w:jc w:val="right"/>
              <w:ind w:right="600"/>
              <w:spacing w:after="0"/>
              <w:rPr>
                <w:sz w:val="20"/>
                <w:szCs w:val="20"/>
                <w:color w:val="auto"/>
              </w:rPr>
            </w:pPr>
            <w:r>
              <w:rPr>
                <w:rFonts w:ascii="Arial" w:cs="Arial" w:eastAsia="Arial" w:hAnsi="Arial"/>
                <w:sz w:val="20"/>
                <w:szCs w:val="20"/>
                <w:b w:val="1"/>
                <w:bCs w:val="1"/>
                <w:color w:val="auto"/>
              </w:rPr>
              <w:t>2025</w:t>
            </w:r>
          </w:p>
        </w:tc>
        <w:tc>
          <w:tcPr>
            <w:tcW w:w="1580" w:type="dxa"/>
            <w:vAlign w:val="bottom"/>
          </w:tcPr>
          <w:p>
            <w:pPr>
              <w:jc w:val="right"/>
              <w:ind w:right="600"/>
              <w:spacing w:after="0"/>
              <w:rPr>
                <w:sz w:val="20"/>
                <w:szCs w:val="20"/>
                <w:color w:val="auto"/>
              </w:rPr>
            </w:pPr>
            <w:r>
              <w:rPr>
                <w:rFonts w:ascii="Arial" w:cs="Arial" w:eastAsia="Arial" w:hAnsi="Arial"/>
                <w:sz w:val="20"/>
                <w:szCs w:val="20"/>
                <w:b w:val="1"/>
                <w:bCs w:val="1"/>
                <w:color w:val="auto"/>
              </w:rPr>
              <w:t>2024</w:t>
            </w:r>
          </w:p>
        </w:tc>
        <w:tc>
          <w:tcPr>
            <w:tcW w:w="1660" w:type="dxa"/>
            <w:vAlign w:val="bottom"/>
          </w:tcPr>
          <w:p>
            <w:pPr>
              <w:jc w:val="right"/>
              <w:ind w:right="680"/>
              <w:spacing w:after="0"/>
              <w:rPr>
                <w:sz w:val="20"/>
                <w:szCs w:val="20"/>
                <w:color w:val="auto"/>
              </w:rPr>
            </w:pPr>
            <w:r>
              <w:rPr>
                <w:rFonts w:ascii="Arial" w:cs="Arial" w:eastAsia="Arial" w:hAnsi="Arial"/>
                <w:sz w:val="20"/>
                <w:szCs w:val="20"/>
                <w:b w:val="1"/>
                <w:bCs w:val="1"/>
                <w:color w:val="auto"/>
              </w:rPr>
              <w:t>2025</w:t>
            </w:r>
          </w:p>
        </w:tc>
        <w:tc>
          <w:tcPr>
            <w:tcW w:w="1600" w:type="dxa"/>
            <w:vAlign w:val="bottom"/>
          </w:tcPr>
          <w:p>
            <w:pPr>
              <w:jc w:val="right"/>
              <w:ind w:right="700"/>
              <w:spacing w:after="0"/>
              <w:rPr>
                <w:sz w:val="20"/>
                <w:szCs w:val="20"/>
                <w:color w:val="auto"/>
              </w:rPr>
            </w:pPr>
            <w:r>
              <w:rPr>
                <w:rFonts w:ascii="Arial" w:cs="Arial" w:eastAsia="Arial" w:hAnsi="Arial"/>
                <w:sz w:val="20"/>
                <w:szCs w:val="20"/>
                <w:b w:val="1"/>
                <w:bCs w:val="1"/>
                <w:color w:val="auto"/>
              </w:rPr>
              <w:t>2024</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8"/>
              </w:rPr>
              <w:t>Information Technology Services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34.0%</w:t>
            </w: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20"/>
                <w:szCs w:val="20"/>
                <w:color w:val="auto"/>
              </w:rPr>
              <w:t>37.6%</w:t>
            </w:r>
          </w:p>
        </w:tc>
        <w:tc>
          <w:tcPr>
            <w:tcW w:w="16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37.8%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Business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13.3</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12.6</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13.3</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12.4</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Specialty Distribution</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6.7</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2.8</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6.8</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Healthcare Products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6.6</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8.1</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3.8</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4.6</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Utilities: Services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5.5</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4.9</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5.3</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4.7</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Healthcare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5.1</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4.7</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5.5</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4.0</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Component Manufacturing</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4.8</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7.7</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5.4</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7.4</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w w:val="99"/>
              </w:rPr>
              <w:t>Building Products Manufacturing</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3.7</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3.9</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3.5</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4.5</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Consumer Services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3.7</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3.3</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3.9</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3.3</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Retail</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3.1</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4.7</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3.0</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4.5</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4"/>
        </w:trPr>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Aerospace &amp; Defense</w:t>
            </w:r>
          </w:p>
        </w:tc>
        <w:tc>
          <w:tcPr>
            <w:tcW w:w="16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321"/>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Manufacturing</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2.6</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1.8</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2.8</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2.2</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Environmental Industries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2.6</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2.6</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2.3</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2.8</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Promotional Products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2.0</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2.4</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1.9</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2.3</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Industrial Cleaning &amp; Coatings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1.2</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1.2</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1.4</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1.3</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Consumer Products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0.9</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1.7</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0.9</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1.8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Oil &amp; Gas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0.7</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0.9</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0.8</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0.9</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Transportation Services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0.7</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2.0</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0.7</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2.0</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Industrial Product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0.6</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0.7</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0.6</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0.7</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30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Utility Equipment Manufacturing</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0.5</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0.5</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r>
      <w:tr>
        <w:trPr>
          <w:trHeight w:val="319"/>
        </w:trPr>
        <w:tc>
          <w:tcPr>
            <w:tcW w:w="2880" w:type="dxa"/>
            <w:vAlign w:val="bottom"/>
          </w:tcPr>
          <w:p>
            <w:pPr>
              <w:spacing w:after="0"/>
              <w:rPr>
                <w:sz w:val="20"/>
                <w:szCs w:val="20"/>
                <w:color w:val="auto"/>
              </w:rPr>
            </w:pPr>
            <w:r>
              <w:rPr>
                <w:rFonts w:ascii="Arial" w:cs="Arial" w:eastAsia="Arial" w:hAnsi="Arial"/>
                <w:sz w:val="20"/>
                <w:szCs w:val="20"/>
                <w:color w:val="auto"/>
              </w:rPr>
              <w:t>Total</w:t>
            </w:r>
          </w:p>
        </w:tc>
        <w:tc>
          <w:tcPr>
            <w:tcW w:w="1680" w:type="dxa"/>
            <w:vAlign w:val="bottom"/>
          </w:tcPr>
          <w:p>
            <w:pPr>
              <w:jc w:val="right"/>
              <w:spacing w:after="0"/>
              <w:rPr>
                <w:sz w:val="20"/>
                <w:szCs w:val="20"/>
                <w:color w:val="auto"/>
              </w:rPr>
            </w:pPr>
            <w:r>
              <w:rPr>
                <w:rFonts w:ascii="Arial" w:cs="Arial" w:eastAsia="Arial" w:hAnsi="Arial"/>
                <w:sz w:val="20"/>
                <w:szCs w:val="20"/>
                <w:color w:val="auto"/>
              </w:rPr>
              <w:t>100.0%</w:t>
            </w:r>
          </w:p>
        </w:tc>
        <w:tc>
          <w:tcPr>
            <w:tcW w:w="1580" w:type="dxa"/>
            <w:vAlign w:val="bottom"/>
          </w:tcPr>
          <w:p>
            <w:pPr>
              <w:jc w:val="right"/>
              <w:spacing w:after="0"/>
              <w:rPr>
                <w:sz w:val="20"/>
                <w:szCs w:val="20"/>
                <w:color w:val="auto"/>
              </w:rPr>
            </w:pPr>
            <w:r>
              <w:rPr>
                <w:rFonts w:ascii="Arial" w:cs="Arial" w:eastAsia="Arial" w:hAnsi="Arial"/>
                <w:sz w:val="20"/>
                <w:szCs w:val="20"/>
                <w:color w:val="auto"/>
              </w:rPr>
              <w:t>100.0%</w:t>
            </w:r>
          </w:p>
        </w:tc>
        <w:tc>
          <w:tcPr>
            <w:tcW w:w="1660" w:type="dxa"/>
            <w:vAlign w:val="bottom"/>
          </w:tcPr>
          <w:p>
            <w:pPr>
              <w:jc w:val="right"/>
              <w:ind w:right="80"/>
              <w:spacing w:after="0"/>
              <w:rPr>
                <w:sz w:val="20"/>
                <w:szCs w:val="20"/>
                <w:color w:val="auto"/>
              </w:rPr>
            </w:pPr>
            <w:r>
              <w:rPr>
                <w:rFonts w:ascii="Arial" w:cs="Arial" w:eastAsia="Arial" w:hAnsi="Arial"/>
                <w:sz w:val="20"/>
                <w:szCs w:val="20"/>
                <w:color w:val="auto"/>
              </w:rPr>
              <w:t>100.0%</w:t>
            </w:r>
          </w:p>
        </w:tc>
        <w:tc>
          <w:tcPr>
            <w:tcW w:w="1600" w:type="dxa"/>
            <w:vAlign w:val="bottom"/>
          </w:tcPr>
          <w:p>
            <w:pPr>
              <w:jc w:val="right"/>
              <w:ind w:right="100"/>
              <w:spacing w:after="0"/>
              <w:rPr>
                <w:sz w:val="20"/>
                <w:szCs w:val="20"/>
                <w:color w:val="auto"/>
              </w:rPr>
            </w:pPr>
            <w:r>
              <w:rPr>
                <w:rFonts w:ascii="Arial" w:cs="Arial" w:eastAsia="Arial" w:hAnsi="Arial"/>
                <w:sz w:val="20"/>
                <w:szCs w:val="20"/>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-4603750</wp:posOffset>
            </wp:positionV>
            <wp:extent cx="379539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95395" cy="635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-4197985</wp:posOffset>
            </wp:positionV>
            <wp:extent cx="37953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95395" cy="635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-208280</wp:posOffset>
            </wp:positionV>
            <wp:extent cx="391033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10330" cy="635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-1905</wp:posOffset>
            </wp:positionV>
            <wp:extent cx="3795395"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95395" cy="2857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Criteria/Guidelines</w:t>
      </w:r>
    </w:p>
    <w:p>
      <w:pPr>
        <w:spacing w:after="0" w:line="170" w:lineRule="exact"/>
        <w:rPr>
          <w:sz w:val="20"/>
          <w:szCs w:val="20"/>
          <w:color w:val="auto"/>
        </w:rPr>
      </w:pPr>
    </w:p>
    <w:p>
      <w:pPr>
        <w:jc w:val="both"/>
        <w:ind w:right="60" w:firstLine="401"/>
        <w:spacing w:after="0" w:line="307" w:lineRule="auto"/>
        <w:rPr>
          <w:sz w:val="20"/>
          <w:szCs w:val="20"/>
          <w:color w:val="auto"/>
        </w:rPr>
      </w:pPr>
      <w:r>
        <w:rPr>
          <w:rFonts w:ascii="Arial" w:cs="Arial" w:eastAsia="Arial" w:hAnsi="Arial"/>
          <w:sz w:val="20"/>
          <w:szCs w:val="20"/>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97" w:lineRule="exact"/>
        <w:rPr>
          <w:sz w:val="20"/>
          <w:szCs w:val="20"/>
          <w:color w:val="auto"/>
        </w:rPr>
      </w:pPr>
    </w:p>
    <w:p>
      <w:pPr>
        <w:jc w:val="both"/>
        <w:ind w:right="60" w:firstLine="401"/>
        <w:spacing w:after="0" w:line="311" w:lineRule="auto"/>
        <w:rPr>
          <w:sz w:val="20"/>
          <w:szCs w:val="20"/>
          <w:color w:val="auto"/>
        </w:rPr>
      </w:pPr>
      <w:r>
        <w:rPr>
          <w:rFonts w:ascii="Arial" w:cs="Arial" w:eastAsia="Arial" w:hAnsi="Arial"/>
          <w:sz w:val="20"/>
          <w:szCs w:val="20"/>
          <w:i w:val="1"/>
          <w:iCs w:val="1"/>
          <w:color w:val="auto"/>
        </w:rPr>
        <w:t xml:space="preserve">Value Orientation / Positive Cash Flow. </w:t>
      </w:r>
      <w:r>
        <w:rPr>
          <w:rFonts w:ascii="Arial" w:cs="Arial" w:eastAsia="Arial" w:hAnsi="Arial"/>
          <w:sz w:val="20"/>
          <w:szCs w:val="20"/>
          <w:color w:val="auto"/>
        </w:rPr>
        <w:t>Our investment advisor places a premium on analysis of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fundamentals from an investor’s 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92" w:lineRule="exact"/>
        <w:rPr>
          <w:sz w:val="20"/>
          <w:szCs w:val="20"/>
          <w:color w:val="auto"/>
        </w:rPr>
      </w:pPr>
    </w:p>
    <w:p>
      <w:pPr>
        <w:jc w:val="both"/>
        <w:ind w:right="60" w:firstLine="400"/>
        <w:spacing w:after="0" w:line="330" w:lineRule="auto"/>
        <w:rPr>
          <w:sz w:val="20"/>
          <w:szCs w:val="20"/>
          <w:color w:val="auto"/>
        </w:rPr>
      </w:pPr>
      <w:r>
        <w:rPr>
          <w:rFonts w:ascii="Arial" w:cs="Arial" w:eastAsia="Arial" w:hAnsi="Arial"/>
          <w:sz w:val="19"/>
          <w:szCs w:val="19"/>
          <w:i w:val="1"/>
          <w:iCs w:val="1"/>
          <w:color w:val="auto"/>
        </w:rPr>
        <w:t>Experienced Management Teams with Meaningful Equity Ownership</w:t>
      </w:r>
      <w:r>
        <w:rPr>
          <w:rFonts w:ascii="Arial" w:cs="Arial" w:eastAsia="Arial" w:hAnsi="Arial"/>
          <w:sz w:val="19"/>
          <w:szCs w:val="19"/>
          <w:color w:val="auto"/>
        </w:rPr>
        <w:t>. We target portfolio companies that have</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teams with significant 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68</w:t>
      </w:r>
    </w:p>
    <w:p>
      <w:pPr>
        <w:sectPr>
          <w:pgSz w:w="11900" w:h="16838" w:orient="portrait"/>
          <w:cols w:equalWidth="0" w:num="1">
            <w:col w:w="9400"/>
          </w:cols>
          <w:pgMar w:left="1260" w:top="1440" w:right="1246" w:bottom="0" w:gutter="0" w:footer="0" w:header="0"/>
          <w:type w:val="continuous"/>
        </w:sectPr>
      </w:pPr>
    </w:p>
    <w:bookmarkStart w:id="20" w:name="page21"/>
    <w:bookmarkEnd w:id="20"/>
    <w:p>
      <w:pPr>
        <w:jc w:val="both"/>
        <w:ind w:firstLine="400"/>
        <w:spacing w:after="0" w:line="309" w:lineRule="auto"/>
        <w:rPr>
          <w:sz w:val="20"/>
          <w:szCs w:val="20"/>
          <w:color w:val="auto"/>
        </w:rPr>
      </w:pPr>
      <w:r>
        <w:rPr>
          <w:rFonts w:ascii="Arial" w:cs="Arial" w:eastAsia="Arial" w:hAnsi="Arial"/>
          <w:sz w:val="20"/>
          <w:szCs w:val="20"/>
          <w:i w:val="1"/>
          <w:iCs w:val="1"/>
          <w:color w:val="auto"/>
        </w:rPr>
        <w:t>Niche Market Leaders with Defensible Market Positions</w:t>
      </w:r>
      <w:r>
        <w:rPr>
          <w:rFonts w:ascii="Arial" w:cs="Arial" w:eastAsia="Arial" w:hAnsi="Arial"/>
          <w:sz w:val="20"/>
          <w:szCs w:val="20"/>
          <w:color w:val="auto"/>
        </w:rPr>
        <w:t>. We seek to invest in portfolio companies that have</w:t>
      </w:r>
      <w:r>
        <w:rPr>
          <w:rFonts w:ascii="Arial" w:cs="Arial" w:eastAsia="Arial" w:hAnsi="Arial"/>
          <w:sz w:val="20"/>
          <w:szCs w:val="20"/>
          <w:i w:val="1"/>
          <w:iCs w:val="1"/>
          <w:color w:val="auto"/>
        </w:rPr>
        <w:t xml:space="preserve"> </w:t>
      </w:r>
      <w:r>
        <w:rPr>
          <w:rFonts w:ascii="Arial" w:cs="Arial" w:eastAsia="Arial" w:hAnsi="Arial"/>
          <w:sz w:val="20"/>
          <w:szCs w:val="20"/>
          <w:color w:val="auto"/>
        </w:rPr>
        <w:t>developed defensible and/or leading positions within their respective markets or market niches and are well-positioned to capitalize on growth opportunities. We favor companies that demonstrate significant competitive advantages, which we believe helps to protect their market position and profitability.</w:t>
      </w:r>
    </w:p>
    <w:p>
      <w:pPr>
        <w:spacing w:after="0" w:line="196" w:lineRule="exact"/>
        <w:rPr>
          <w:sz w:val="20"/>
          <w:szCs w:val="20"/>
          <w:color w:val="auto"/>
        </w:rPr>
      </w:pPr>
    </w:p>
    <w:p>
      <w:pPr>
        <w:jc w:val="both"/>
        <w:ind w:right="80" w:firstLine="400"/>
        <w:spacing w:after="0" w:line="330" w:lineRule="auto"/>
        <w:rPr>
          <w:sz w:val="20"/>
          <w:szCs w:val="20"/>
          <w:color w:val="auto"/>
        </w:rPr>
      </w:pPr>
      <w:r>
        <w:rPr>
          <w:rFonts w:ascii="Arial" w:cs="Arial" w:eastAsia="Arial" w:hAnsi="Arial"/>
          <w:sz w:val="19"/>
          <w:szCs w:val="19"/>
          <w:i w:val="1"/>
          <w:iCs w:val="1"/>
          <w:color w:val="auto"/>
        </w:rPr>
        <w:t xml:space="preserve">Diversified Customer and Supplier Base. </w:t>
      </w:r>
      <w:r>
        <w:rPr>
          <w:rFonts w:ascii="Arial" w:cs="Arial" w:eastAsia="Arial" w:hAnsi="Arial"/>
          <w:sz w:val="19"/>
          <w:szCs w:val="19"/>
          <w:color w:val="auto"/>
        </w:rPr>
        <w:t>We prefer to invest in portfolio companies that have a diversified</w:t>
      </w:r>
      <w:r>
        <w:rPr>
          <w:rFonts w:ascii="Arial" w:cs="Arial" w:eastAsia="Arial" w:hAnsi="Arial"/>
          <w:sz w:val="19"/>
          <w:szCs w:val="19"/>
          <w:i w:val="1"/>
          <w:iCs w:val="1"/>
          <w:color w:val="auto"/>
        </w:rPr>
        <w:t xml:space="preserve"> </w:t>
      </w:r>
      <w:r>
        <w:rPr>
          <w:rFonts w:ascii="Arial" w:cs="Arial" w:eastAsia="Arial" w:hAnsi="Arial"/>
          <w:sz w:val="19"/>
          <w:szCs w:val="19"/>
          <w:color w:val="auto"/>
        </w:rPr>
        <w:t>customer and supplier base. Companies with a diversified customer and supplier base are generally better able to endure economic downturns, industry consolidation and shifting customer preferences.</w:t>
      </w:r>
    </w:p>
    <w:p>
      <w:pPr>
        <w:spacing w:after="0" w:line="179" w:lineRule="exact"/>
        <w:rPr>
          <w:sz w:val="20"/>
          <w:szCs w:val="20"/>
          <w:color w:val="auto"/>
        </w:rPr>
      </w:pPr>
    </w:p>
    <w:p>
      <w:pPr>
        <w:jc w:val="both"/>
        <w:ind w:right="80" w:firstLine="400"/>
        <w:spacing w:after="0" w:line="347" w:lineRule="auto"/>
        <w:rPr>
          <w:sz w:val="20"/>
          <w:szCs w:val="20"/>
          <w:color w:val="auto"/>
        </w:rPr>
      </w:pPr>
      <w:r>
        <w:rPr>
          <w:rFonts w:ascii="Arial" w:cs="Arial" w:eastAsia="Arial" w:hAnsi="Arial"/>
          <w:sz w:val="18"/>
          <w:szCs w:val="18"/>
          <w:i w:val="1"/>
          <w:iCs w:val="1"/>
          <w:color w:val="auto"/>
        </w:rPr>
        <w:t>Significant Equity Value</w:t>
      </w:r>
      <w:r>
        <w:rPr>
          <w:rFonts w:ascii="Arial" w:cs="Arial" w:eastAsia="Arial" w:hAnsi="Arial"/>
          <w:sz w:val="18"/>
          <w:szCs w:val="18"/>
          <w:color w:val="auto"/>
        </w:rPr>
        <w:t>. We believe the existence of significant underlying equity value provides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to our debt investments. With respect to our debt investments, we look for portfolio companies where management/sponsors have provided significant equity funding and where we believe aggregate enterprise value significantly exceeds aggregate indebtedness, after consideration of our investment.</w:t>
      </w:r>
    </w:p>
    <w:p>
      <w:pPr>
        <w:jc w:val="center"/>
        <w:spacing w:after="0" w:line="232" w:lineRule="auto"/>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68</w:t>
      </w:r>
    </w:p>
    <w:p>
      <w:pPr>
        <w:sectPr>
          <w:pgSz w:w="11900" w:h="16838" w:orient="portrait"/>
          <w:cols w:equalWidth="0" w:num="1">
            <w:col w:w="9400"/>
          </w:cols>
          <w:pgMar w:left="1260" w:top="1173" w:right="1246" w:bottom="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firstLine="401"/>
        <w:spacing w:after="0" w:line="329" w:lineRule="auto"/>
        <w:rPr>
          <w:sz w:val="20"/>
          <w:szCs w:val="20"/>
          <w:color w:val="auto"/>
        </w:rPr>
      </w:pPr>
      <w:r>
        <w:rPr>
          <w:rFonts w:ascii="Arial" w:cs="Arial" w:eastAsia="Arial" w:hAnsi="Arial"/>
          <w:sz w:val="19"/>
          <w:szCs w:val="19"/>
          <w:i w:val="1"/>
          <w:iCs w:val="1"/>
          <w:color w:val="auto"/>
        </w:rPr>
        <w:t xml:space="preserve">Viable Exit Strategy. </w:t>
      </w:r>
      <w:r>
        <w:rPr>
          <w:rFonts w:ascii="Arial" w:cs="Arial" w:eastAsia="Arial" w:hAnsi="Arial"/>
          <w:sz w:val="19"/>
          <w:szCs w:val="19"/>
          <w:color w:val="auto"/>
        </w:rPr>
        <w:t>We invest in portfolio companies that we believe will provide steady cash flows to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our debt, ultimately repay our loans 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Committee</w:t>
      </w:r>
    </w:p>
    <w:p>
      <w:pPr>
        <w:spacing w:after="0" w:line="170" w:lineRule="exact"/>
        <w:rPr>
          <w:sz w:val="20"/>
          <w:szCs w:val="20"/>
          <w:color w:val="auto"/>
        </w:rPr>
      </w:pPr>
    </w:p>
    <w:p>
      <w:pPr>
        <w:jc w:val="both"/>
        <w:ind w:right="20" w:firstLine="400"/>
        <w:spacing w:after="0" w:line="351" w:lineRule="auto"/>
        <w:rPr>
          <w:sz w:val="20"/>
          <w:szCs w:val="20"/>
          <w:color w:val="auto"/>
        </w:rPr>
      </w:pPr>
      <w:r>
        <w:rPr>
          <w:rFonts w:ascii="Arial" w:cs="Arial" w:eastAsia="Arial" w:hAnsi="Arial"/>
          <w:sz w:val="18"/>
          <w:szCs w:val="18"/>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66" w:lineRule="exact"/>
        <w:rPr>
          <w:sz w:val="20"/>
          <w:szCs w:val="20"/>
          <w:color w:val="auto"/>
        </w:rPr>
      </w:pPr>
    </w:p>
    <w:p>
      <w:pPr>
        <w:jc w:val="both"/>
        <w:ind w:right="40" w:firstLine="400"/>
        <w:spacing w:after="0" w:line="307" w:lineRule="auto"/>
        <w:rPr>
          <w:sz w:val="20"/>
          <w:szCs w:val="20"/>
          <w:color w:val="auto"/>
        </w:rPr>
      </w:pPr>
      <w:r>
        <w:rPr>
          <w:rFonts w:ascii="Arial" w:cs="Arial" w:eastAsia="Arial" w:hAnsi="Arial"/>
          <w:sz w:val="20"/>
          <w:szCs w:val="20"/>
          <w:color w:val="auto"/>
        </w:rPr>
        <w:t>The members of the investment committee that evaluate and approve all of our investments are Edward H. Ross, Thomas C. Lauer, John H. Grigg, Robert G. Lesley, Jr., Michael J. Miller, John J. Ross, II, and W. Andrew Worth.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Process Overview</w:t>
      </w:r>
    </w:p>
    <w:p>
      <w:pPr>
        <w:spacing w:after="0" w:line="170" w:lineRule="exact"/>
        <w:rPr>
          <w:sz w:val="20"/>
          <w:szCs w:val="20"/>
          <w:color w:val="auto"/>
        </w:rPr>
      </w:pPr>
    </w:p>
    <w:p>
      <w:pPr>
        <w:jc w:val="both"/>
        <w:ind w:right="20" w:firstLine="401"/>
        <w:spacing w:after="0" w:line="351" w:lineRule="auto"/>
        <w:rPr>
          <w:sz w:val="20"/>
          <w:szCs w:val="20"/>
          <w:color w:val="auto"/>
        </w:rPr>
      </w:pPr>
      <w:r>
        <w:rPr>
          <w:rFonts w:ascii="Arial" w:cs="Arial" w:eastAsia="Arial" w:hAnsi="Arial"/>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307" w:lineRule="exact"/>
        <w:rPr>
          <w:sz w:val="20"/>
          <w:szCs w:val="20"/>
          <w:color w:val="auto"/>
        </w:rPr>
      </w:pPr>
    </w:p>
    <w:p>
      <w:pPr>
        <w:ind w:left="860" w:hanging="338"/>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Investment Generation/Origination;</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Initial Evaluation;</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Due Diligence and Underwriting;</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Documentation and Closing; and</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Active Portfolio Management.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Each of the phases is described in more detail below.</w:t>
      </w:r>
    </w:p>
    <w:p>
      <w:pPr>
        <w:spacing w:after="0" w:line="260"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i w:val="1"/>
          <w:iCs w:val="1"/>
          <w:color w:val="auto"/>
        </w:rPr>
        <w:t xml:space="preserve">Investment Generation/Origination. </w:t>
      </w:r>
      <w:r>
        <w:rPr>
          <w:rFonts w:ascii="Arial" w:cs="Arial" w:eastAsia="Arial" w:hAnsi="Arial"/>
          <w:sz w:val="20"/>
          <w:szCs w:val="20"/>
          <w:color w:val="auto"/>
        </w:rPr>
        <w:t>Our investment origination efforts are focused on leveraging our</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advisor’s extensive network of 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68</w:t>
      </w:r>
    </w:p>
    <w:p>
      <w:pPr>
        <w:sectPr>
          <w:pgSz w:w="11900" w:h="16838" w:orient="portrait"/>
          <w:cols w:equalWidth="0" w:num="1">
            <w:col w:w="9360"/>
          </w:cols>
          <w:pgMar w:left="1260" w:top="1440" w:right="1286" w:bottom="0" w:gutter="0" w:footer="0" w:header="0"/>
          <w:type w:val="continuous"/>
        </w:sectPr>
      </w:pPr>
    </w:p>
    <w:bookmarkStart w:id="22" w:name="page23"/>
    <w:bookmarkEnd w:id="22"/>
    <w:p>
      <w:pPr>
        <w:jc w:val="both"/>
        <w:ind w:right="40" w:firstLine="401"/>
        <w:spacing w:after="0" w:line="330" w:lineRule="auto"/>
        <w:rPr>
          <w:sz w:val="20"/>
          <w:szCs w:val="20"/>
          <w:color w:val="auto"/>
        </w:rPr>
      </w:pPr>
      <w:r>
        <w:rPr>
          <w:rFonts w:ascii="Arial" w:cs="Arial" w:eastAsia="Arial" w:hAnsi="Arial"/>
          <w:sz w:val="19"/>
          <w:szCs w:val="19"/>
          <w:i w:val="1"/>
          <w:iCs w:val="1"/>
          <w:color w:val="auto"/>
        </w:rPr>
        <w:t xml:space="preserve">Initial Evaluation. </w:t>
      </w:r>
      <w:r>
        <w:rPr>
          <w:rFonts w:ascii="Arial" w:cs="Arial" w:eastAsia="Arial" w:hAnsi="Arial"/>
          <w:sz w:val="19"/>
          <w:szCs w:val="19"/>
          <w:color w:val="auto"/>
        </w:rPr>
        <w:t>After a potential transaction is received by our investment advisor, it will conduct an initial</w:t>
      </w:r>
      <w:r>
        <w:rPr>
          <w:rFonts w:ascii="Arial" w:cs="Arial" w:eastAsia="Arial" w:hAnsi="Arial"/>
          <w:sz w:val="19"/>
          <w:szCs w:val="19"/>
          <w:i w:val="1"/>
          <w:iCs w:val="1"/>
          <w:color w:val="auto"/>
        </w:rPr>
        <w:t xml:space="preserve"> </w:t>
      </w:r>
      <w:r>
        <w:rPr>
          <w:rFonts w:ascii="Arial" w:cs="Arial" w:eastAsia="Arial" w:hAnsi="Arial"/>
          <w:sz w:val="19"/>
          <w:szCs w:val="19"/>
          <w:color w:val="auto"/>
        </w:rPr>
        <w:t>review of the transaction materials to determine whether it meets our investment criteria and complies with SBA regulations (with respect to investments by the SBIC Funds) and other regulatory requirements.</w:t>
      </w:r>
    </w:p>
    <w:p>
      <w:pPr>
        <w:spacing w:after="0" w:line="179" w:lineRule="exact"/>
        <w:rPr>
          <w:sz w:val="20"/>
          <w:szCs w:val="20"/>
          <w:color w:val="auto"/>
        </w:rPr>
      </w:pPr>
    </w:p>
    <w:p>
      <w:pPr>
        <w:jc w:val="both"/>
        <w:ind w:right="60" w:firstLine="401"/>
        <w:spacing w:after="0" w:line="307" w:lineRule="auto"/>
        <w:rPr>
          <w:sz w:val="20"/>
          <w:szCs w:val="20"/>
          <w:color w:val="auto"/>
        </w:rPr>
      </w:pPr>
      <w:r>
        <w:rPr>
          <w:rFonts w:ascii="Arial" w:cs="Arial" w:eastAsia="Arial" w:hAnsi="Arial"/>
          <w:sz w:val="20"/>
          <w:szCs w:val="20"/>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347" w:lineRule="exact"/>
        <w:rPr>
          <w:sz w:val="20"/>
          <w:szCs w:val="20"/>
          <w:color w:val="auto"/>
        </w:rPr>
      </w:pPr>
    </w:p>
    <w:p>
      <w:pPr>
        <w:ind w:left="860" w:right="500" w:hanging="338"/>
        <w:spacing w:after="0" w:line="34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comprehensive financial model based on quantitative analysis of historical financial performance, projections and pro forma adjustments to determine a range of estimated internal rates of return.</w:t>
      </w:r>
    </w:p>
    <w:p>
      <w:pPr>
        <w:spacing w:after="0" w:line="1" w:lineRule="exact"/>
        <w:rPr>
          <w:rFonts w:ascii="Arial" w:cs="Arial" w:eastAsia="Arial" w:hAnsi="Arial"/>
          <w:sz w:val="18"/>
          <w:szCs w:val="18"/>
          <w:color w:val="auto"/>
        </w:rPr>
      </w:pPr>
    </w:p>
    <w:p>
      <w:pPr>
        <w:ind w:left="860" w:right="280" w:hanging="338"/>
        <w:spacing w:after="0" w:line="302"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initial call or meeting with the portfolio company management team, owner, private equity sponsor or other deal partner.</w:t>
      </w:r>
    </w:p>
    <w:p>
      <w:pPr>
        <w:spacing w:after="0" w:line="21" w:lineRule="exact"/>
        <w:rPr>
          <w:rFonts w:ascii="Arial" w:cs="Arial" w:eastAsia="Arial" w:hAnsi="Arial"/>
          <w:sz w:val="20"/>
          <w:szCs w:val="20"/>
          <w:color w:val="auto"/>
        </w:rPr>
      </w:pPr>
    </w:p>
    <w:p>
      <w:pPr>
        <w:ind w:left="860" w:right="840" w:hanging="338"/>
        <w:spacing w:after="0" w:line="302"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brief industry and market analysis, leveraging direct industry expertise from other investment professionals of our investment advisor.</w:t>
      </w:r>
    </w:p>
    <w:p>
      <w:pPr>
        <w:spacing w:after="0" w:line="21" w:lineRule="exact"/>
        <w:rPr>
          <w:rFonts w:ascii="Arial" w:cs="Arial" w:eastAsia="Arial" w:hAnsi="Arial"/>
          <w:sz w:val="20"/>
          <w:szCs w:val="20"/>
          <w:color w:val="auto"/>
        </w:rPr>
      </w:pPr>
    </w:p>
    <w:p>
      <w:pPr>
        <w:ind w:left="860" w:right="800" w:hanging="338"/>
        <w:spacing w:after="0" w:line="302"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Preliminary qualitative analysis of the portfolio company management team’s competencies and backgrounds.</w:t>
      </w:r>
    </w:p>
    <w:p>
      <w:pPr>
        <w:spacing w:after="0" w:line="11" w:lineRule="exact"/>
        <w:rPr>
          <w:rFonts w:ascii="Arial" w:cs="Arial" w:eastAsia="Arial" w:hAnsi="Arial"/>
          <w:sz w:val="20"/>
          <w:szCs w:val="20"/>
          <w:color w:val="auto"/>
        </w:rPr>
      </w:pPr>
    </w:p>
    <w:p>
      <w:pPr>
        <w:ind w:left="860" w:hanging="338"/>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Potential investment structures and pricing terms.</w:t>
      </w:r>
    </w:p>
    <w:p>
      <w:pPr>
        <w:spacing w:after="0" w:line="260" w:lineRule="exact"/>
        <w:rPr>
          <w:sz w:val="20"/>
          <w:szCs w:val="20"/>
          <w:color w:val="auto"/>
        </w:rPr>
      </w:pPr>
    </w:p>
    <w:p>
      <w:pPr>
        <w:jc w:val="both"/>
        <w:ind w:firstLine="551"/>
        <w:spacing w:after="0" w:line="329" w:lineRule="auto"/>
        <w:rPr>
          <w:sz w:val="20"/>
          <w:szCs w:val="20"/>
          <w:color w:val="auto"/>
        </w:rPr>
      </w:pPr>
      <w:r>
        <w:rPr>
          <w:rFonts w:ascii="Arial" w:cs="Arial" w:eastAsia="Arial" w:hAnsi="Arial"/>
          <w:sz w:val="19"/>
          <w:szCs w:val="19"/>
          <w:color w:val="auto"/>
        </w:rPr>
        <w:t>Upon successful completion of the screening process, the deal team prepares a screening memorandum and makes a recommendation to the investment committee. At this time, the investment committee will also consider whether the investment would be made by FIC and/or through the SBIC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jc w:val="center"/>
        <w:spacing w:after="0" w:line="233" w:lineRule="auto"/>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68</w:t>
      </w:r>
    </w:p>
    <w:p>
      <w:pPr>
        <w:sectPr>
          <w:pgSz w:w="11900" w:h="16838" w:orient="portrait"/>
          <w:cols w:equalWidth="0" w:num="1">
            <w:col w:w="9380"/>
          </w:cols>
          <w:pgMar w:left="1260" w:top="1173" w:right="1266" w:bottom="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firstLine="549"/>
        <w:spacing w:after="0" w:line="330" w:lineRule="auto"/>
        <w:rPr>
          <w:sz w:val="20"/>
          <w:szCs w:val="20"/>
          <w:color w:val="auto"/>
        </w:rPr>
      </w:pPr>
      <w:r>
        <w:rPr>
          <w:rFonts w:ascii="Arial" w:cs="Arial" w:eastAsia="Arial" w:hAnsi="Arial"/>
          <w:sz w:val="19"/>
          <w:szCs w:val="19"/>
          <w:i w:val="1"/>
          <w:iCs w:val="1"/>
          <w:color w:val="auto"/>
        </w:rPr>
        <w:t xml:space="preserve">Due Diligence and Underwriting. </w:t>
      </w:r>
      <w:r>
        <w:rPr>
          <w:rFonts w:ascii="Arial" w:cs="Arial" w:eastAsia="Arial" w:hAnsi="Arial"/>
          <w:sz w:val="19"/>
          <w:szCs w:val="19"/>
          <w:color w:val="auto"/>
        </w:rPr>
        <w:t>Our investment advisor has developed a rigorous and disciplined due</w:t>
      </w:r>
      <w:r>
        <w:rPr>
          <w:rFonts w:ascii="Arial" w:cs="Arial" w:eastAsia="Arial" w:hAnsi="Arial"/>
          <w:sz w:val="19"/>
          <w:szCs w:val="19"/>
          <w:i w:val="1"/>
          <w:iCs w:val="1"/>
          <w:color w:val="auto"/>
        </w:rPr>
        <w:t xml:space="preserve"> </w:t>
      </w:r>
      <w:r>
        <w:rPr>
          <w:rFonts w:ascii="Arial" w:cs="Arial" w:eastAsia="Arial" w:hAnsi="Arial"/>
          <w:sz w:val="19"/>
          <w:szCs w:val="19"/>
          <w:color w:val="auto"/>
        </w:rPr>
        <w:t>diligence process that includes a 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318" w:lineRule="exact"/>
        <w:rPr>
          <w:sz w:val="20"/>
          <w:szCs w:val="20"/>
          <w:color w:val="auto"/>
        </w:rPr>
      </w:pPr>
    </w:p>
    <w:p>
      <w:pPr>
        <w:ind w:left="780" w:hanging="308"/>
        <w:spacing w:after="0"/>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Initial or additional site visits and facility tours with management and key personnel.</w:t>
      </w:r>
    </w:p>
    <w:p>
      <w:pPr>
        <w:spacing w:after="0" w:line="70" w:lineRule="exact"/>
        <w:rPr>
          <w:rFonts w:ascii="Arial" w:cs="Arial" w:eastAsia="Arial" w:hAnsi="Arial"/>
          <w:sz w:val="20"/>
          <w:szCs w:val="20"/>
          <w:color w:val="auto"/>
        </w:rPr>
      </w:pPr>
    </w:p>
    <w:p>
      <w:pPr>
        <w:ind w:left="780" w:hanging="308"/>
        <w:spacing w:after="0"/>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 of the business history, operations and strategy.</w:t>
      </w:r>
    </w:p>
    <w:p>
      <w:pPr>
        <w:spacing w:after="0" w:line="70" w:lineRule="exact"/>
        <w:rPr>
          <w:rFonts w:ascii="Arial" w:cs="Arial" w:eastAsia="Arial" w:hAnsi="Arial"/>
          <w:sz w:val="20"/>
          <w:szCs w:val="20"/>
          <w:color w:val="auto"/>
        </w:rPr>
      </w:pPr>
    </w:p>
    <w:p>
      <w:pPr>
        <w:ind w:left="780" w:hanging="308"/>
        <w:spacing w:after="0"/>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depth review of industry and competition.</w:t>
      </w:r>
    </w:p>
    <w:p>
      <w:pPr>
        <w:spacing w:after="0" w:line="79" w:lineRule="exact"/>
        <w:rPr>
          <w:rFonts w:ascii="Arial" w:cs="Arial" w:eastAsia="Arial" w:hAnsi="Arial"/>
          <w:sz w:val="20"/>
          <w:szCs w:val="20"/>
          <w:color w:val="auto"/>
        </w:rPr>
      </w:pPr>
    </w:p>
    <w:p>
      <w:pPr>
        <w:ind w:left="780" w:hanging="308"/>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Analysis of key customers and suppliers, including review of any concentrations and key contracts.</w:t>
      </w:r>
    </w:p>
    <w:p>
      <w:pPr>
        <w:spacing w:after="0" w:line="81" w:lineRule="exact"/>
        <w:rPr>
          <w:rFonts w:ascii="Arial" w:cs="Arial" w:eastAsia="Arial" w:hAnsi="Arial"/>
          <w:sz w:val="19"/>
          <w:szCs w:val="19"/>
          <w:color w:val="auto"/>
        </w:rPr>
      </w:pPr>
    </w:p>
    <w:p>
      <w:pPr>
        <w:ind w:left="780" w:right="80" w:hanging="308"/>
        <w:spacing w:after="0" w:line="307" w:lineRule="auto"/>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Detailed review of historical and projected financial statements, including a review of at least three years of performance (annual and monthly), key financial ratios, revenue, expenses and profitability drivers and sensitivities to management’s financial projections.</w:t>
      </w:r>
    </w:p>
    <w:p>
      <w:pPr>
        <w:spacing w:after="0" w:line="7" w:lineRule="exact"/>
        <w:rPr>
          <w:rFonts w:ascii="Arial" w:cs="Arial" w:eastAsia="Arial" w:hAnsi="Arial"/>
          <w:sz w:val="20"/>
          <w:szCs w:val="20"/>
          <w:color w:val="auto"/>
        </w:rPr>
      </w:pPr>
    </w:p>
    <w:p>
      <w:pPr>
        <w:ind w:left="780" w:hanging="308"/>
        <w:spacing w:after="0"/>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Detailed evaluation of company management, including background checks.</w:t>
      </w:r>
    </w:p>
    <w:p>
      <w:pPr>
        <w:spacing w:after="0" w:line="79" w:lineRule="exact"/>
        <w:rPr>
          <w:rFonts w:ascii="Arial" w:cs="Arial" w:eastAsia="Arial" w:hAnsi="Arial"/>
          <w:sz w:val="20"/>
          <w:szCs w:val="20"/>
          <w:color w:val="auto"/>
        </w:rPr>
      </w:pPr>
    </w:p>
    <w:p>
      <w:pPr>
        <w:ind w:left="780" w:right="600" w:hanging="308"/>
        <w:spacing w:after="0" w:line="34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party reviews of accounting, environmental, legal, insurance, material contracts, competition, industry and market studies and interviews with customers and suppliers, (each as appropriate).</w:t>
      </w:r>
    </w:p>
    <w:p>
      <w:pPr>
        <w:spacing w:after="0" w:line="1" w:lineRule="exact"/>
        <w:rPr>
          <w:rFonts w:ascii="Arial" w:cs="Arial" w:eastAsia="Arial" w:hAnsi="Arial"/>
          <w:sz w:val="18"/>
          <w:szCs w:val="18"/>
          <w:color w:val="auto"/>
        </w:rPr>
      </w:pPr>
    </w:p>
    <w:p>
      <w:pPr>
        <w:ind w:left="780" w:hanging="308"/>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Financial sponsor diligence, if applicable, including portfolio company and other reference checks.</w:t>
      </w:r>
    </w:p>
    <w:p>
      <w:pPr>
        <w:spacing w:after="0" w:line="262" w:lineRule="exact"/>
        <w:rPr>
          <w:sz w:val="20"/>
          <w:szCs w:val="20"/>
          <w:color w:val="auto"/>
        </w:rPr>
      </w:pPr>
    </w:p>
    <w:p>
      <w:pPr>
        <w:jc w:val="both"/>
        <w:ind w:firstLine="549"/>
        <w:spacing w:after="0" w:line="330" w:lineRule="auto"/>
        <w:rPr>
          <w:sz w:val="20"/>
          <w:szCs w:val="20"/>
          <w:color w:val="auto"/>
        </w:rPr>
      </w:pPr>
      <w:r>
        <w:rPr>
          <w:rFonts w:ascii="Arial" w:cs="Arial" w:eastAsia="Arial" w:hAnsi="Arial"/>
          <w:sz w:val="19"/>
          <w:szCs w:val="19"/>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78" w:lineRule="exact"/>
        <w:rPr>
          <w:sz w:val="20"/>
          <w:szCs w:val="20"/>
          <w:color w:val="auto"/>
        </w:rPr>
      </w:pPr>
    </w:p>
    <w:p>
      <w:pPr>
        <w:jc w:val="both"/>
        <w:ind w:right="20" w:firstLine="549"/>
        <w:spacing w:after="0" w:line="330" w:lineRule="auto"/>
        <w:rPr>
          <w:sz w:val="20"/>
          <w:szCs w:val="20"/>
          <w:color w:val="auto"/>
        </w:rPr>
      </w:pPr>
      <w:r>
        <w:rPr>
          <w:rFonts w:ascii="Arial" w:cs="Arial" w:eastAsia="Arial" w:hAnsi="Arial"/>
          <w:sz w:val="19"/>
          <w:szCs w:val="19"/>
          <w:i w:val="1"/>
          <w:iCs w:val="1"/>
          <w:color w:val="auto"/>
        </w:rPr>
        <w:t xml:space="preserve">Documentation and Closing. </w:t>
      </w:r>
      <w:r>
        <w:rPr>
          <w:rFonts w:ascii="Arial" w:cs="Arial" w:eastAsia="Arial" w:hAnsi="Arial"/>
          <w:sz w:val="19"/>
          <w:szCs w:val="19"/>
          <w:color w:val="auto"/>
        </w:rPr>
        <w:t>Our investment advisor works with the management of a potential portfolio</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and its other capital providers, 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pacing w:after="0" w:line="328" w:lineRule="exact"/>
        <w:rPr>
          <w:sz w:val="20"/>
          <w:szCs w:val="20"/>
          <w:color w:val="auto"/>
        </w:rPr>
      </w:pPr>
    </w:p>
    <w:p>
      <w:pPr>
        <w:ind w:left="780" w:right="420" w:hanging="308"/>
        <w:spacing w:after="0" w:line="34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Targeting an optimal total return on our investments (including a combination of current and deferred interest, prepayment penalties and equity participation) that compensates us for credit risk.</w:t>
      </w:r>
    </w:p>
    <w:p>
      <w:pPr>
        <w:spacing w:after="0" w:line="1" w:lineRule="exact"/>
        <w:rPr>
          <w:rFonts w:ascii="Arial" w:cs="Arial" w:eastAsia="Arial" w:hAnsi="Arial"/>
          <w:sz w:val="18"/>
          <w:szCs w:val="18"/>
          <w:color w:val="auto"/>
        </w:rPr>
      </w:pPr>
    </w:p>
    <w:p>
      <w:pPr>
        <w:ind w:left="780" w:right="220" w:hanging="308"/>
        <w:spacing w:after="0" w:line="310" w:lineRule="auto"/>
        <w:tabs>
          <w:tab w:leader="none" w:pos="7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14" w:lineRule="exact"/>
        <w:rPr>
          <w:rFonts w:ascii="Arial" w:cs="Arial" w:eastAsia="Arial" w:hAnsi="Arial"/>
          <w:sz w:val="20"/>
          <w:szCs w:val="20"/>
          <w:color w:val="auto"/>
        </w:rPr>
      </w:pPr>
    </w:p>
    <w:p>
      <w:pPr>
        <w:ind w:left="780" w:right="60" w:hanging="308"/>
        <w:spacing w:after="0" w:line="350"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 / 68</w:t>
      </w:r>
    </w:p>
    <w:p>
      <w:pPr>
        <w:sectPr>
          <w:pgSz w:w="11900" w:h="16838" w:orient="portrait"/>
          <w:cols w:equalWidth="0" w:num="1">
            <w:col w:w="9340"/>
          </w:cols>
          <w:pgMar w:left="1260" w:top="1440" w:right="1306" w:bottom="0" w:gutter="0" w:footer="0" w:header="0"/>
          <w:type w:val="continuous"/>
        </w:sectPr>
      </w:pPr>
    </w:p>
    <w:bookmarkStart w:id="24" w:name="page25"/>
    <w:bookmarkEnd w:id="24"/>
    <w:p>
      <w:pPr>
        <w:jc w:val="both"/>
        <w:ind w:right="40" w:firstLine="549"/>
        <w:spacing w:after="0" w:line="307" w:lineRule="auto"/>
        <w:rPr>
          <w:sz w:val="20"/>
          <w:szCs w:val="20"/>
          <w:color w:val="auto"/>
        </w:rPr>
      </w:pPr>
      <w:r>
        <w:rPr>
          <w:rFonts w:ascii="Arial" w:cs="Arial" w:eastAsia="Arial" w:hAnsi="Arial"/>
          <w:sz w:val="20"/>
          <w:szCs w:val="20"/>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97" w:lineRule="exact"/>
        <w:rPr>
          <w:sz w:val="20"/>
          <w:szCs w:val="20"/>
          <w:color w:val="auto"/>
        </w:rPr>
      </w:pPr>
    </w:p>
    <w:p>
      <w:pPr>
        <w:jc w:val="both"/>
        <w:ind w:firstLine="549"/>
        <w:spacing w:after="0" w:line="330" w:lineRule="auto"/>
        <w:rPr>
          <w:sz w:val="20"/>
          <w:szCs w:val="20"/>
          <w:color w:val="auto"/>
        </w:rPr>
      </w:pPr>
      <w:r>
        <w:rPr>
          <w:rFonts w:ascii="Arial" w:cs="Arial" w:eastAsia="Arial" w:hAnsi="Arial"/>
          <w:sz w:val="19"/>
          <w:szCs w:val="19"/>
          <w:i w:val="1"/>
          <w:iCs w:val="1"/>
          <w:color w:val="auto"/>
        </w:rPr>
        <w:t>Active Portfolio Management</w:t>
      </w:r>
      <w:r>
        <w:rPr>
          <w:rFonts w:ascii="Arial" w:cs="Arial" w:eastAsia="Arial" w:hAnsi="Arial"/>
          <w:sz w:val="19"/>
          <w:szCs w:val="19"/>
          <w:color w:val="auto"/>
        </w:rPr>
        <w:t>. Active portfolio monitoring is a vital part of our investment process and we</w:t>
      </w:r>
      <w:r>
        <w:rPr>
          <w:rFonts w:ascii="Arial" w:cs="Arial" w:eastAsia="Arial" w:hAnsi="Arial"/>
          <w:sz w:val="19"/>
          <w:szCs w:val="19"/>
          <w:i w:val="1"/>
          <w:iCs w:val="1"/>
          <w:color w:val="auto"/>
        </w:rPr>
        <w:t xml:space="preserve"> </w:t>
      </w:r>
      <w:r>
        <w:rPr>
          <w:rFonts w:ascii="Arial" w:cs="Arial" w:eastAsia="Arial" w:hAnsi="Arial"/>
          <w:sz w:val="19"/>
          <w:szCs w:val="19"/>
          <w:color w:val="auto"/>
        </w:rPr>
        <w:t>continuously monitor the status and 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78" w:lineRule="exact"/>
        <w:rPr>
          <w:sz w:val="20"/>
          <w:szCs w:val="20"/>
          <w:color w:val="auto"/>
        </w:rPr>
      </w:pPr>
    </w:p>
    <w:p>
      <w:pPr>
        <w:jc w:val="both"/>
        <w:ind w:right="40" w:firstLine="551"/>
        <w:spacing w:after="0" w:line="329" w:lineRule="auto"/>
        <w:rPr>
          <w:sz w:val="20"/>
          <w:szCs w:val="20"/>
          <w:color w:val="auto"/>
        </w:rPr>
      </w:pPr>
      <w:r>
        <w:rPr>
          <w:rFonts w:ascii="Arial" w:cs="Arial" w:eastAsia="Arial" w:hAnsi="Arial"/>
          <w:sz w:val="19"/>
          <w:szCs w:val="19"/>
          <w:color w:val="auto"/>
        </w:rPr>
        <w:t>As part of the monitoring process, the deal team conducts a comprehensive review of the financial and operating results of each portfolio company that includes a review of the monthly/quarterly financials relative to the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jc w:val="center"/>
        <w:spacing w:after="0" w:line="234" w:lineRule="auto"/>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68</w:t>
      </w:r>
    </w:p>
    <w:p>
      <w:pPr>
        <w:sectPr>
          <w:pgSz w:w="11900" w:h="16838" w:orient="portrait"/>
          <w:cols w:equalWidth="0" w:num="1">
            <w:col w:w="9380"/>
          </w:cols>
          <w:pgMar w:left="1260" w:top="1173" w:right="1266" w:bottom="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Rating System</w:t>
      </w:r>
    </w:p>
    <w:p>
      <w:pPr>
        <w:spacing w:after="0" w:line="170" w:lineRule="exact"/>
        <w:rPr>
          <w:sz w:val="20"/>
          <w:szCs w:val="20"/>
          <w:color w:val="auto"/>
        </w:rPr>
      </w:pPr>
    </w:p>
    <w:p>
      <w:pPr>
        <w:jc w:val="both"/>
        <w:ind w:right="60" w:firstLine="549"/>
        <w:spacing w:after="0" w:line="309" w:lineRule="auto"/>
        <w:rPr>
          <w:sz w:val="20"/>
          <w:szCs w:val="20"/>
          <w:color w:val="auto"/>
        </w:rPr>
      </w:pPr>
      <w:r>
        <w:rPr>
          <w:rFonts w:ascii="Arial" w:cs="Arial" w:eastAsia="Arial" w:hAnsi="Arial"/>
          <w:sz w:val="20"/>
          <w:szCs w:val="20"/>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346" w:lineRule="exact"/>
        <w:rPr>
          <w:sz w:val="20"/>
          <w:szCs w:val="20"/>
          <w:color w:val="auto"/>
        </w:rPr>
      </w:pPr>
    </w:p>
    <w:p>
      <w:pPr>
        <w:ind w:left="1000" w:right="640" w:hanging="536"/>
        <w:spacing w:after="0" w:line="309" w:lineRule="auto"/>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5" w:lineRule="exact"/>
        <w:rPr>
          <w:rFonts w:ascii="Arial" w:cs="Arial" w:eastAsia="Arial" w:hAnsi="Arial"/>
          <w:sz w:val="20"/>
          <w:szCs w:val="20"/>
          <w:color w:val="auto"/>
        </w:rPr>
      </w:pPr>
    </w:p>
    <w:p>
      <w:pPr>
        <w:ind w:left="1000" w:right="480" w:hanging="536"/>
        <w:spacing w:after="0" w:line="309" w:lineRule="auto"/>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15" w:lineRule="exact"/>
        <w:rPr>
          <w:rFonts w:ascii="Arial" w:cs="Arial" w:eastAsia="Arial" w:hAnsi="Arial"/>
          <w:sz w:val="20"/>
          <w:szCs w:val="20"/>
          <w:color w:val="auto"/>
        </w:rPr>
      </w:pPr>
    </w:p>
    <w:p>
      <w:pPr>
        <w:jc w:val="both"/>
        <w:ind w:left="1000" w:right="940" w:hanging="536"/>
        <w:spacing w:after="0" w:line="309" w:lineRule="auto"/>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15" w:lineRule="exact"/>
        <w:rPr>
          <w:rFonts w:ascii="Arial" w:cs="Arial" w:eastAsia="Arial" w:hAnsi="Arial"/>
          <w:sz w:val="20"/>
          <w:szCs w:val="20"/>
          <w:color w:val="auto"/>
        </w:rPr>
      </w:pPr>
    </w:p>
    <w:p>
      <w:pPr>
        <w:ind w:left="1000" w:right="540" w:hanging="536"/>
        <w:spacing w:after="0" w:line="307" w:lineRule="auto"/>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spacing w:after="0" w:line="17" w:lineRule="exact"/>
        <w:rPr>
          <w:rFonts w:ascii="Arial" w:cs="Arial" w:eastAsia="Arial" w:hAnsi="Arial"/>
          <w:sz w:val="20"/>
          <w:szCs w:val="20"/>
          <w:color w:val="auto"/>
        </w:rPr>
      </w:pPr>
    </w:p>
    <w:p>
      <w:pPr>
        <w:ind w:left="1000" w:right="620" w:hanging="536"/>
        <w:spacing w:after="0" w:line="3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54" w:lineRule="exact"/>
        <w:rPr>
          <w:sz w:val="20"/>
          <w:szCs w:val="20"/>
          <w:color w:val="auto"/>
        </w:rPr>
      </w:pPr>
    </w:p>
    <w:p>
      <w:pPr>
        <w:ind w:right="80" w:firstLine="549"/>
        <w:spacing w:after="0" w:line="302" w:lineRule="auto"/>
        <w:rPr>
          <w:sz w:val="20"/>
          <w:szCs w:val="20"/>
          <w:color w:val="auto"/>
        </w:rPr>
      </w:pPr>
      <w:r>
        <w:rPr>
          <w:rFonts w:ascii="Arial" w:cs="Arial" w:eastAsia="Arial" w:hAnsi="Arial"/>
          <w:sz w:val="20"/>
          <w:szCs w:val="20"/>
          <w:color w:val="auto"/>
        </w:rPr>
        <w:t>The following table shows the distribution of our investments on the 1 to 5 investment rating scale at fair value and cost as of December 31, 2025 and 2024 (dollars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0"/>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December 31,</w:t>
            </w:r>
          </w:p>
        </w:tc>
        <w:tc>
          <w:tcPr>
            <w:tcW w:w="360" w:type="dxa"/>
            <w:vAlign w:val="bottom"/>
          </w:tcPr>
          <w:p>
            <w:pPr>
              <w:spacing w:after="0"/>
              <w:rPr>
                <w:sz w:val="24"/>
                <w:szCs w:val="24"/>
                <w:color w:val="auto"/>
              </w:rPr>
            </w:pPr>
          </w:p>
        </w:tc>
        <w:tc>
          <w:tcPr>
            <w:tcW w:w="17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5"/>
              </w:rPr>
              <w:t>December 31,</w:t>
            </w:r>
          </w:p>
        </w:tc>
        <w:tc>
          <w:tcPr>
            <w:tcW w:w="320" w:type="dxa"/>
            <w:vAlign w:val="bottom"/>
          </w:tcPr>
          <w:p>
            <w:pPr>
              <w:spacing w:after="0"/>
              <w:rPr>
                <w:sz w:val="24"/>
                <w:szCs w:val="24"/>
                <w:color w:val="auto"/>
              </w:rPr>
            </w:pPr>
          </w:p>
        </w:tc>
        <w:tc>
          <w:tcPr>
            <w:tcW w:w="17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24"/>
                <w:szCs w:val="24"/>
                <w:color w:val="auto"/>
              </w:rPr>
            </w:pPr>
          </w:p>
        </w:tc>
        <w:tc>
          <w:tcPr>
            <w:tcW w:w="16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14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b w:val="1"/>
                <w:bCs w:val="1"/>
                <w:color w:val="auto"/>
              </w:rPr>
              <w:t>Rating</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840" w:type="dxa"/>
            <w:vAlign w:val="bottom"/>
          </w:tcPr>
          <w:p>
            <w:pPr>
              <w:spacing w:after="0"/>
              <w:rPr>
                <w:sz w:val="23"/>
                <w:szCs w:val="23"/>
                <w:color w:val="auto"/>
              </w:rPr>
            </w:pPr>
          </w:p>
        </w:tc>
      </w:tr>
      <w:tr>
        <w:trPr>
          <w:trHeight w:val="46"/>
        </w:trPr>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68.6</w:t>
            </w:r>
          </w:p>
        </w:tc>
        <w:tc>
          <w:tcPr>
            <w:tcW w:w="8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7.2</w:t>
            </w:r>
          </w:p>
        </w:tc>
        <w:tc>
          <w:tcPr>
            <w:tcW w:w="9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27.2</w:t>
            </w: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2.5%</w:t>
            </w:r>
          </w:p>
        </w:tc>
      </w:tr>
      <w:tr>
        <w:trPr>
          <w:trHeight w:val="234"/>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99"/>
              </w:rPr>
              <w:t>1,145.2</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86.5</w:t>
            </w:r>
          </w:p>
        </w:tc>
        <w:tc>
          <w:tcPr>
            <w:tcW w:w="36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895.9</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82.1</w:t>
            </w:r>
          </w:p>
        </w:tc>
        <w:tc>
          <w:tcPr>
            <w:tcW w:w="3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1,130.8</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886.7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82.6</w:t>
            </w:r>
          </w:p>
        </w:tc>
      </w:tr>
      <w:tr>
        <w:trPr>
          <w:trHeight w:val="36"/>
        </w:trPr>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109.2</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83.7</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118.1</w:t>
            </w:r>
          </w:p>
        </w:tc>
        <w:tc>
          <w:tcPr>
            <w:tcW w:w="9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99.4</w:t>
            </w:r>
          </w:p>
        </w:tc>
        <w:tc>
          <w:tcPr>
            <w:tcW w:w="84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9.2</w:t>
            </w:r>
          </w:p>
        </w:tc>
      </w:tr>
      <w:tr>
        <w:trPr>
          <w:trHeight w:val="234"/>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21.8</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34.6</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3.2</w:t>
            </w:r>
          </w:p>
        </w:tc>
      </w:tr>
      <w:tr>
        <w:trPr>
          <w:trHeight w:val="36"/>
        </w:trPr>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0"/>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0.4</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21.4</w:t>
            </w:r>
          </w:p>
        </w:tc>
        <w:tc>
          <w:tcPr>
            <w:tcW w:w="9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27.3</w:t>
            </w:r>
          </w:p>
        </w:tc>
        <w:tc>
          <w:tcPr>
            <w:tcW w:w="84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2.5</w:t>
            </w:r>
          </w:p>
        </w:tc>
      </w:tr>
      <w:tr>
        <w:trPr>
          <w:trHeight w:val="279"/>
        </w:trPr>
        <w:tc>
          <w:tcPr>
            <w:tcW w:w="114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99"/>
              </w:rPr>
              <w:t>1,324.8</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3"/>
              </w:rPr>
              <w:t>1,090.5</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1,299.3</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8"/>
              </w:rPr>
              <w:t>100.0%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1,075.2</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-1567180</wp:posOffset>
            </wp:positionV>
            <wp:extent cx="48437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4378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-1046480</wp:posOffset>
            </wp:positionV>
            <wp:extent cx="574421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4210" cy="635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-182880</wp:posOffset>
            </wp:positionV>
            <wp:extent cx="493903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9030" cy="635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-5080</wp:posOffset>
            </wp:positionV>
            <wp:extent cx="484378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43780" cy="28575"/>
                    </a:xfrm>
                    <a:prstGeom prst="rect">
                      <a:avLst/>
                    </a:prstGeom>
                    <a:noFill/>
                  </pic:spPr>
                </pic:pic>
              </a:graphicData>
            </a:graphic>
          </wp:anchor>
        </w:drawing>
      </w:r>
    </w:p>
    <w:p>
      <w:pPr>
        <w:spacing w:after="0" w:line="326" w:lineRule="exact"/>
        <w:rPr>
          <w:sz w:val="20"/>
          <w:szCs w:val="20"/>
          <w:color w:val="auto"/>
        </w:rPr>
      </w:pPr>
    </w:p>
    <w:p>
      <w:pPr>
        <w:jc w:val="both"/>
        <w:ind w:right="60" w:firstLine="549"/>
        <w:spacing w:after="0" w:line="363"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2025 and 2024 was 2.0 and 2.0, respectively, on a fair value basis and 2.2 and 2.2, respectively, on a cost basis.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Net Asset Value and Valuation Process</w:t>
      </w:r>
    </w:p>
    <w:p>
      <w:pPr>
        <w:spacing w:after="0" w:line="170" w:lineRule="exact"/>
        <w:rPr>
          <w:sz w:val="20"/>
          <w:szCs w:val="20"/>
          <w:color w:val="auto"/>
        </w:rPr>
      </w:pPr>
    </w:p>
    <w:p>
      <w:pPr>
        <w:jc w:val="both"/>
        <w:ind w:right="60" w:firstLine="549"/>
        <w:spacing w:after="0" w:line="355" w:lineRule="auto"/>
        <w:rPr>
          <w:sz w:val="20"/>
          <w:szCs w:val="20"/>
          <w:color w:val="auto"/>
        </w:rPr>
      </w:pPr>
      <w:r>
        <w:rPr>
          <w:rFonts w:ascii="Arial" w:cs="Arial" w:eastAsia="Arial" w:hAnsi="Arial"/>
          <w:sz w:val="18"/>
          <w:szCs w:val="18"/>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68</w:t>
      </w:r>
    </w:p>
    <w:p>
      <w:pPr>
        <w:sectPr>
          <w:pgSz w:w="11900" w:h="16838" w:orient="portrait"/>
          <w:cols w:equalWidth="0" w:num="1">
            <w:col w:w="9400"/>
          </w:cols>
          <w:pgMar w:left="1260" w:top="1440" w:right="1246" w:bottom="0" w:gutter="0" w:footer="0" w:header="0"/>
          <w:type w:val="continuous"/>
        </w:sectPr>
      </w:pPr>
    </w:p>
    <w:bookmarkStart w:id="26" w:name="page27"/>
    <w:bookmarkEnd w:id="26"/>
    <w:p>
      <w:pPr>
        <w:jc w:val="both"/>
        <w:spacing w:after="0" w:line="350" w:lineRule="auto"/>
        <w:rPr>
          <w:sz w:val="20"/>
          <w:szCs w:val="20"/>
          <w:color w:val="auto"/>
        </w:rPr>
      </w:pPr>
      <w:r>
        <w:rPr>
          <w:rFonts w:ascii="Arial" w:cs="Arial" w:eastAsia="Arial" w:hAnsi="Arial"/>
          <w:sz w:val="18"/>
          <w:szCs w:val="18"/>
          <w:color w:val="auto"/>
        </w:rPr>
        <w:t>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70"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tax treatment.</w:t>
      </w:r>
    </w:p>
    <w:p>
      <w:pPr>
        <w:jc w:val="center"/>
        <w:ind w:right="-39"/>
        <w:spacing w:after="0" w:line="236" w:lineRule="auto"/>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 / 68</w:t>
      </w:r>
    </w:p>
    <w:p>
      <w:pPr>
        <w:sectPr>
          <w:pgSz w:w="11900" w:h="16838" w:orient="portrait"/>
          <w:cols w:equalWidth="0" w:num="1">
            <w:col w:w="9340"/>
          </w:cols>
          <w:pgMar w:left="1260" w:top="1173" w:right="1306" w:bottom="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 w:right="20" w:firstLine="551"/>
        <w:spacing w:after="0" w:line="311" w:lineRule="auto"/>
        <w:rPr>
          <w:sz w:val="20"/>
          <w:szCs w:val="20"/>
          <w:color w:val="auto"/>
        </w:rPr>
      </w:pPr>
      <w:r>
        <w:rPr>
          <w:rFonts w:ascii="Arial" w:cs="Arial" w:eastAsia="Arial" w:hAnsi="Arial"/>
          <w:sz w:val="20"/>
          <w:szCs w:val="20"/>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Human Resource Capital</w:t>
      </w:r>
    </w:p>
    <w:p>
      <w:pPr>
        <w:spacing w:after="0" w:line="170" w:lineRule="exact"/>
        <w:rPr>
          <w:sz w:val="20"/>
          <w:szCs w:val="20"/>
          <w:color w:val="auto"/>
        </w:rPr>
      </w:pPr>
    </w:p>
    <w:p>
      <w:pPr>
        <w:jc w:val="both"/>
        <w:ind w:left="6" w:right="20" w:firstLine="549"/>
        <w:spacing w:after="0" w:line="350" w:lineRule="auto"/>
        <w:rPr>
          <w:sz w:val="20"/>
          <w:szCs w:val="20"/>
          <w:color w:val="auto"/>
        </w:rPr>
      </w:pPr>
      <w:r>
        <w:rPr>
          <w:rFonts w:ascii="Arial" w:cs="Arial" w:eastAsia="Arial" w:hAnsi="Arial"/>
          <w:sz w:val="18"/>
          <w:szCs w:val="18"/>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MANAGEMENT AND OTHER AGREEMENTS</w:t>
      </w:r>
    </w:p>
    <w:p>
      <w:pPr>
        <w:spacing w:after="0" w:line="170" w:lineRule="exact"/>
        <w:rPr>
          <w:sz w:val="20"/>
          <w:szCs w:val="20"/>
          <w:color w:val="auto"/>
        </w:rPr>
      </w:pPr>
    </w:p>
    <w:p>
      <w:pPr>
        <w:jc w:val="both"/>
        <w:ind w:left="6" w:right="20" w:firstLine="549"/>
        <w:spacing w:after="0" w:line="296" w:lineRule="auto"/>
        <w:rPr>
          <w:sz w:val="20"/>
          <w:szCs w:val="20"/>
          <w:color w:val="auto"/>
        </w:rPr>
      </w:pPr>
      <w:r>
        <w:rPr>
          <w:rFonts w:ascii="Arial" w:cs="Arial" w:eastAsia="Arial" w:hAnsi="Arial"/>
          <w:sz w:val="20"/>
          <w:szCs w:val="20"/>
          <w:color w:val="auto"/>
        </w:rPr>
        <w:t>Our investment advisor is located at 1603 Orrington Avenue, Suite 1005, Evanston, Illinois 60201. Our investment advisor also maintains additional office space at 4201 Congress Street, Suite 250, Charlotte, North Carolina 28209, and 1140 Avenue of the Americas,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359" w:lineRule="exact"/>
        <w:rPr>
          <w:sz w:val="20"/>
          <w:szCs w:val="20"/>
          <w:color w:val="auto"/>
        </w:rPr>
      </w:pPr>
    </w:p>
    <w:p>
      <w:pPr>
        <w:ind w:left="546" w:right="1040" w:hanging="546"/>
        <w:spacing w:after="0" w:line="302" w:lineRule="auto"/>
        <w:tabs>
          <w:tab w:leader="none" w:pos="546"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determines the composition of our portfolio, the nature and timing of the changes to our portfolio and the manner of implementing such changes;</w:t>
      </w:r>
    </w:p>
    <w:p>
      <w:pPr>
        <w:spacing w:after="0" w:line="11" w:lineRule="exact"/>
        <w:rPr>
          <w:rFonts w:ascii="Arial" w:cs="Arial" w:eastAsia="Arial" w:hAnsi="Arial"/>
          <w:sz w:val="20"/>
          <w:szCs w:val="20"/>
          <w:color w:val="auto"/>
        </w:rPr>
      </w:pPr>
    </w:p>
    <w:p>
      <w:pPr>
        <w:ind w:left="546" w:hanging="546"/>
        <w:spacing w:after="0"/>
        <w:tabs>
          <w:tab w:leader="none" w:pos="54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assists us in determining what securities we purchase, retain or sell;</w:t>
      </w:r>
    </w:p>
    <w:p>
      <w:pPr>
        <w:spacing w:after="0" w:line="79" w:lineRule="exact"/>
        <w:rPr>
          <w:rFonts w:ascii="Arial" w:cs="Arial" w:eastAsia="Arial" w:hAnsi="Arial"/>
          <w:sz w:val="20"/>
          <w:szCs w:val="20"/>
          <w:color w:val="auto"/>
        </w:rPr>
      </w:pPr>
    </w:p>
    <w:p>
      <w:pPr>
        <w:ind w:left="546" w:right="1840" w:hanging="546"/>
        <w:spacing w:after="0" w:line="329" w:lineRule="auto"/>
        <w:tabs>
          <w:tab w:leader="none" w:pos="546" w:val="left"/>
        </w:tabs>
        <w:numPr>
          <w:ilvl w:val="0"/>
          <w:numId w:val="14"/>
        </w:numPr>
        <w:rPr>
          <w:rFonts w:ascii="Arial" w:cs="Arial" w:eastAsia="Arial" w:hAnsi="Arial"/>
          <w:sz w:val="19"/>
          <w:szCs w:val="19"/>
          <w:color w:val="auto"/>
        </w:rPr>
      </w:pPr>
      <w:r>
        <w:rPr>
          <w:rFonts w:ascii="Arial" w:cs="Arial" w:eastAsia="Arial" w:hAnsi="Arial"/>
          <w:sz w:val="19"/>
          <w:szCs w:val="19"/>
          <w:color w:val="auto"/>
        </w:rPr>
        <w:t>identifies, evaluates and negotiates the structure of the investments we make (including performing due diligence on our prospective portfolio companies); and</w:t>
      </w:r>
    </w:p>
    <w:p>
      <w:pPr>
        <w:ind w:left="546" w:hanging="546"/>
        <w:spacing w:after="0"/>
        <w:tabs>
          <w:tab w:leader="none" w:pos="546"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executes, closes, services and monitors the investments we make.</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Investment Advisory Agreement</w:t>
      </w:r>
    </w:p>
    <w:p>
      <w:pPr>
        <w:spacing w:after="0" w:line="250" w:lineRule="exact"/>
        <w:rPr>
          <w:sz w:val="20"/>
          <w:szCs w:val="20"/>
          <w:color w:val="auto"/>
        </w:rPr>
      </w:pPr>
    </w:p>
    <w:p>
      <w:pPr>
        <w:ind w:left="406"/>
        <w:spacing w:after="0"/>
        <w:rPr>
          <w:sz w:val="20"/>
          <w:szCs w:val="20"/>
          <w:color w:val="auto"/>
        </w:rPr>
      </w:pPr>
      <w:r>
        <w:rPr>
          <w:rFonts w:ascii="Arial" w:cs="Arial" w:eastAsia="Arial" w:hAnsi="Arial"/>
          <w:sz w:val="20"/>
          <w:szCs w:val="20"/>
          <w:b w:val="1"/>
          <w:bCs w:val="1"/>
          <w:i w:val="1"/>
          <w:iCs w:val="1"/>
          <w:color w:val="auto"/>
        </w:rPr>
        <w:t>Management Fee</w:t>
      </w:r>
    </w:p>
    <w:p>
      <w:pPr>
        <w:spacing w:after="0" w:line="170" w:lineRule="exact"/>
        <w:rPr>
          <w:sz w:val="20"/>
          <w:szCs w:val="20"/>
          <w:color w:val="auto"/>
        </w:rPr>
      </w:pPr>
    </w:p>
    <w:p>
      <w:pPr>
        <w:ind w:left="6" w:firstLine="549"/>
        <w:spacing w:after="0" w:line="363" w:lineRule="auto"/>
        <w:rPr>
          <w:sz w:val="20"/>
          <w:szCs w:val="20"/>
          <w:color w:val="auto"/>
        </w:rPr>
      </w:pPr>
      <w:r>
        <w:rPr>
          <w:rFonts w:ascii="Arial" w:cs="Arial" w:eastAsia="Arial" w:hAnsi="Arial"/>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144" w:lineRule="exact"/>
        <w:rPr>
          <w:sz w:val="20"/>
          <w:szCs w:val="20"/>
          <w:color w:val="auto"/>
        </w:rPr>
      </w:pPr>
    </w:p>
    <w:p>
      <w:pPr>
        <w:ind w:left="406"/>
        <w:spacing w:after="0"/>
        <w:rPr>
          <w:sz w:val="20"/>
          <w:szCs w:val="20"/>
          <w:color w:val="auto"/>
        </w:rPr>
      </w:pPr>
      <w:r>
        <w:rPr>
          <w:rFonts w:ascii="Arial" w:cs="Arial" w:eastAsia="Arial" w:hAnsi="Arial"/>
          <w:sz w:val="20"/>
          <w:szCs w:val="20"/>
          <w:i w:val="1"/>
          <w:iCs w:val="1"/>
          <w:color w:val="auto"/>
        </w:rPr>
        <w:t>Base Management Fee</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28 / 68</w:t>
      </w:r>
    </w:p>
    <w:p>
      <w:pPr>
        <w:sectPr>
          <w:pgSz w:w="11900" w:h="16838" w:orient="portrait"/>
          <w:cols w:equalWidth="0" w:num="1">
            <w:col w:w="9366"/>
          </w:cols>
          <w:pgMar w:left="1254" w:top="1440" w:right="1286" w:bottom="0" w:gutter="0" w:footer="0" w:header="0"/>
          <w:type w:val="continuous"/>
        </w:sectPr>
      </w:pPr>
    </w:p>
    <w:bookmarkStart w:id="28" w:name="page29"/>
    <w:bookmarkEnd w:id="28"/>
    <w:p>
      <w:pPr>
        <w:jc w:val="both"/>
        <w:ind w:right="40" w:firstLine="549"/>
        <w:spacing w:after="0" w:line="310" w:lineRule="auto"/>
        <w:rPr>
          <w:sz w:val="20"/>
          <w:szCs w:val="20"/>
          <w:color w:val="auto"/>
        </w:rPr>
      </w:pPr>
      <w:r>
        <w:rPr>
          <w:rFonts w:ascii="Arial" w:cs="Arial" w:eastAsia="Arial" w:hAnsi="Arial"/>
          <w:sz w:val="20"/>
          <w:szCs w:val="20"/>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Incentive Fee</w:t>
      </w:r>
    </w:p>
    <w:p>
      <w:pPr>
        <w:spacing w:after="0" w:line="260" w:lineRule="exact"/>
        <w:rPr>
          <w:sz w:val="20"/>
          <w:szCs w:val="20"/>
          <w:color w:val="auto"/>
        </w:rPr>
      </w:pPr>
    </w:p>
    <w:p>
      <w:pPr>
        <w:jc w:val="both"/>
        <w:ind w:firstLine="551"/>
        <w:spacing w:after="0" w:line="329" w:lineRule="auto"/>
        <w:rPr>
          <w:sz w:val="20"/>
          <w:szCs w:val="20"/>
          <w:color w:val="auto"/>
        </w:rPr>
      </w:pPr>
      <w:r>
        <w:rPr>
          <w:rFonts w:ascii="Arial" w:cs="Arial" w:eastAsia="Arial" w:hAnsi="Arial"/>
          <w:sz w:val="19"/>
          <w:szCs w:val="19"/>
          <w:color w:val="auto"/>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86"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jc w:val="center"/>
        <w:spacing w:after="0" w:line="234" w:lineRule="auto"/>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68</w:t>
      </w:r>
    </w:p>
    <w:p>
      <w:pPr>
        <w:sectPr>
          <w:pgSz w:w="11900" w:h="16838" w:orient="portrait"/>
          <w:cols w:equalWidth="0" w:num="1">
            <w:col w:w="9380"/>
          </w:cols>
          <w:pgMar w:left="1260" w:top="1173" w:right="1266" w:bottom="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549"/>
        <w:spacing w:after="0" w:line="350" w:lineRule="auto"/>
        <w:rPr>
          <w:sz w:val="20"/>
          <w:szCs w:val="20"/>
          <w:color w:val="auto"/>
        </w:rPr>
      </w:pPr>
      <w:r>
        <w:rPr>
          <w:rFonts w:ascii="Arial" w:cs="Arial" w:eastAsia="Arial" w:hAnsi="Arial"/>
          <w:sz w:val="18"/>
          <w:szCs w:val="18"/>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69" w:lineRule="exact"/>
        <w:rPr>
          <w:sz w:val="20"/>
          <w:szCs w:val="20"/>
          <w:color w:val="auto"/>
        </w:rPr>
      </w:pPr>
    </w:p>
    <w:p>
      <w:pPr>
        <w:ind w:right="60" w:firstLine="549"/>
        <w:spacing w:after="0" w:line="302" w:lineRule="auto"/>
        <w:rPr>
          <w:sz w:val="20"/>
          <w:szCs w:val="20"/>
          <w:color w:val="auto"/>
        </w:rPr>
      </w:pPr>
      <w:r>
        <w:rPr>
          <w:rFonts w:ascii="Arial" w:cs="Arial" w:eastAsia="Arial" w:hAnsi="Arial"/>
          <w:sz w:val="20"/>
          <w:szCs w:val="20"/>
          <w:color w:val="auto"/>
        </w:rPr>
        <w:t>We pay our investment advisor an incentive fee with respect to our pre-incentive fee net investment income earned in each calendar quarter as follows:</w:t>
      </w:r>
    </w:p>
    <w:p>
      <w:pPr>
        <w:spacing w:after="0" w:line="351" w:lineRule="exact"/>
        <w:rPr>
          <w:sz w:val="20"/>
          <w:szCs w:val="20"/>
          <w:color w:val="auto"/>
        </w:rPr>
      </w:pPr>
    </w:p>
    <w:p>
      <w:pPr>
        <w:ind w:left="1380" w:right="140" w:hanging="552"/>
        <w:spacing w:after="0" w:line="302" w:lineRule="auto"/>
        <w:tabs>
          <w:tab w:leader="none" w:pos="1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 incentive fee in any calendar quarter in which the pre-incentive fee net investment income does not exceed the hurdle rate of 2.0%;</w:t>
      </w:r>
    </w:p>
    <w:p>
      <w:pPr>
        <w:spacing w:after="0" w:line="21" w:lineRule="exact"/>
        <w:rPr>
          <w:rFonts w:ascii="Arial" w:cs="Arial" w:eastAsia="Arial" w:hAnsi="Arial"/>
          <w:sz w:val="20"/>
          <w:szCs w:val="20"/>
          <w:color w:val="auto"/>
        </w:rPr>
      </w:pPr>
    </w:p>
    <w:p>
      <w:pPr>
        <w:ind w:left="1380" w:right="40" w:hanging="552"/>
        <w:spacing w:after="0" w:line="34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4" w:lineRule="exact"/>
        <w:rPr>
          <w:rFonts w:ascii="Arial" w:cs="Arial" w:eastAsia="Arial" w:hAnsi="Arial"/>
          <w:sz w:val="18"/>
          <w:szCs w:val="18"/>
          <w:color w:val="auto"/>
        </w:rPr>
      </w:pPr>
    </w:p>
    <w:p>
      <w:pPr>
        <w:ind w:left="1380" w:right="240" w:hanging="552"/>
        <w:spacing w:after="0" w:line="302" w:lineRule="auto"/>
        <w:tabs>
          <w:tab w:leader="none" w:pos="1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20.0% of the amount of our pre-incentive fee net investment income, if any, that exceeds 2.5% in any calendar quarter.</w:t>
      </w:r>
    </w:p>
    <w:p>
      <w:pPr>
        <w:spacing w:after="0" w:line="201" w:lineRule="exact"/>
        <w:rPr>
          <w:sz w:val="20"/>
          <w:szCs w:val="20"/>
          <w:color w:val="auto"/>
        </w:rPr>
      </w:pPr>
    </w:p>
    <w:p>
      <w:pPr>
        <w:jc w:val="both"/>
        <w:ind w:right="80" w:firstLine="549"/>
        <w:spacing w:after="0" w:line="302" w:lineRule="auto"/>
        <w:rPr>
          <w:sz w:val="20"/>
          <w:szCs w:val="20"/>
          <w:color w:val="auto"/>
        </w:rPr>
      </w:pPr>
      <w:r>
        <w:rPr>
          <w:rFonts w:ascii="Arial" w:cs="Arial" w:eastAsia="Arial" w:hAnsi="Arial"/>
          <w:sz w:val="20"/>
          <w:szCs w:val="20"/>
          <w:color w:val="auto"/>
        </w:rPr>
        <w:t>These calculations are appropriately prorated for any period of less than three months and adjusted for any share issuances or repurchases during the current quarter.</w:t>
      </w:r>
    </w:p>
    <w:p>
      <w:pPr>
        <w:spacing w:after="0" w:line="201" w:lineRule="exact"/>
        <w:rPr>
          <w:sz w:val="20"/>
          <w:szCs w:val="20"/>
          <w:color w:val="auto"/>
        </w:rPr>
      </w:pPr>
    </w:p>
    <w:p>
      <w:pPr>
        <w:jc w:val="both"/>
        <w:ind w:right="60" w:firstLine="612"/>
        <w:spacing w:after="0" w:line="302" w:lineRule="auto"/>
        <w:rPr>
          <w:sz w:val="20"/>
          <w:szCs w:val="20"/>
          <w:color w:val="auto"/>
        </w:rPr>
      </w:pPr>
      <w:r>
        <w:rPr>
          <w:rFonts w:ascii="Arial" w:cs="Arial" w:eastAsia="Arial" w:hAnsi="Arial"/>
          <w:sz w:val="20"/>
          <w:szCs w:val="20"/>
          <w:color w:val="auto"/>
        </w:rPr>
        <w:t>The following is a graphical representation of the calculation of the quarterly income-related portion of the incentive fee:</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Quarterly Incentive Fee Based on Pre-Incentive Fee Net Investment Income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Pre-incentive fee net investment income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2752725" cy="704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52725"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Percentage of pre-incentive fee net investment income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allocated to income-related portion of incentive fee</w:t>
      </w:r>
    </w:p>
    <w:p>
      <w:pPr>
        <w:spacing w:after="0" w:line="260" w:lineRule="exact"/>
        <w:rPr>
          <w:sz w:val="20"/>
          <w:szCs w:val="20"/>
          <w:color w:val="auto"/>
        </w:rPr>
      </w:pPr>
    </w:p>
    <w:p>
      <w:pPr>
        <w:jc w:val="both"/>
        <w:ind w:right="60" w:firstLine="549"/>
        <w:spacing w:after="0" w:line="374" w:lineRule="auto"/>
        <w:rPr>
          <w:sz w:val="20"/>
          <w:szCs w:val="20"/>
          <w:color w:val="auto"/>
        </w:rPr>
      </w:pPr>
      <w:r>
        <w:rPr>
          <w:rFonts w:ascii="Arial" w:cs="Arial" w:eastAsia="Arial" w:hAnsi="Arial"/>
          <w:sz w:val="17"/>
          <w:szCs w:val="17"/>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68</w:t>
      </w:r>
    </w:p>
    <w:p>
      <w:pPr>
        <w:sectPr>
          <w:pgSz w:w="11900" w:h="16838" w:orient="portrait"/>
          <w:cols w:equalWidth="0" w:num="1">
            <w:col w:w="9400"/>
          </w:cols>
          <w:pgMar w:left="1260" w:top="1440" w:right="1246" w:bottom="0" w:gutter="0" w:footer="0" w:header="0"/>
          <w:type w:val="continuous"/>
        </w:sectPr>
      </w:pPr>
    </w:p>
    <w:bookmarkStart w:id="30" w:name="page31"/>
    <w:bookmarkEnd w:id="30"/>
    <w:p>
      <w:pPr>
        <w:jc w:val="both"/>
        <w:spacing w:after="0" w:line="350" w:lineRule="auto"/>
        <w:rPr>
          <w:sz w:val="20"/>
          <w:szCs w:val="20"/>
          <w:color w:val="auto"/>
        </w:rPr>
      </w:pPr>
      <w:r>
        <w:rPr>
          <w:rFonts w:ascii="Arial" w:cs="Arial" w:eastAsia="Arial" w:hAnsi="Arial"/>
          <w:sz w:val="18"/>
          <w:szCs w:val="18"/>
          <w:color w:val="auto"/>
        </w:rPr>
        <w:t>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Examples of Quarterly Incentive Fee Calculation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Example 1: Income Related Portion of Incentive Fee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Alternative 1</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Assumptions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(including interest, dividends, fees, etc.) = 1.25%</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Hurdle rate </w:t>
      </w:r>
      <w:r>
        <w:rPr>
          <w:rFonts w:ascii="Arial" w:cs="Arial" w:eastAsia="Arial" w:hAnsi="Arial"/>
          <w:sz w:val="12"/>
          <w:szCs w:val="12"/>
          <w:color w:val="auto"/>
        </w:rPr>
        <w:t>(1)</w:t>
      </w:r>
      <w:r>
        <w:rPr>
          <w:rFonts w:ascii="Arial" w:cs="Arial" w:eastAsia="Arial" w:hAnsi="Arial"/>
          <w:sz w:val="20"/>
          <w:szCs w:val="20"/>
          <w:color w:val="auto"/>
        </w:rPr>
        <w:t xml:space="preserve"> = 2.0%</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 / 68</w:t>
      </w:r>
    </w:p>
    <w:p>
      <w:pPr>
        <w:sectPr>
          <w:pgSz w:w="11900" w:h="16838" w:orient="portrait"/>
          <w:cols w:equalWidth="0" w:num="1">
            <w:col w:w="9340"/>
          </w:cols>
          <w:pgMar w:left="1260" w:top="1173" w:right="1306" w:bottom="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Management fee </w:t>
      </w:r>
      <w:r>
        <w:rPr>
          <w:rFonts w:ascii="Arial" w:cs="Arial" w:eastAsia="Arial" w:hAnsi="Arial"/>
          <w:sz w:val="12"/>
          <w:szCs w:val="12"/>
          <w:color w:val="auto"/>
        </w:rPr>
        <w:t>(2)</w:t>
      </w:r>
      <w:r>
        <w:rPr>
          <w:rFonts w:ascii="Arial" w:cs="Arial" w:eastAsia="Arial" w:hAnsi="Arial"/>
          <w:sz w:val="20"/>
          <w:szCs w:val="20"/>
          <w:color w:val="auto"/>
        </w:rPr>
        <w:t xml:space="preserve"> = 0.4375%</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1"/>
          <w:szCs w:val="11"/>
          <w:color w:val="auto"/>
        </w:rPr>
        <w:t>(3)</w:t>
      </w:r>
      <w:r>
        <w:rPr>
          <w:rFonts w:ascii="Arial" w:cs="Arial" w:eastAsia="Arial" w:hAnsi="Arial"/>
          <w:sz w:val="18"/>
          <w:szCs w:val="18"/>
          <w:color w:val="auto"/>
        </w:rPr>
        <w:t xml:space="preserve"> = 0.2%</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Pre-incentive fee net investment income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 (management fee + other expenses)) = 0.6125%</w:t>
      </w:r>
    </w:p>
    <w:p>
      <w:pPr>
        <w:spacing w:after="0" w:line="260" w:lineRule="exact"/>
        <w:rPr>
          <w:sz w:val="20"/>
          <w:szCs w:val="20"/>
          <w:color w:val="auto"/>
        </w:rPr>
      </w:pPr>
    </w:p>
    <w:p>
      <w:pPr>
        <w:ind w:firstLine="400"/>
        <w:spacing w:after="0" w:line="302" w:lineRule="auto"/>
        <w:rPr>
          <w:sz w:val="20"/>
          <w:szCs w:val="20"/>
          <w:color w:val="auto"/>
        </w:rPr>
      </w:pPr>
      <w:r>
        <w:rPr>
          <w:rFonts w:ascii="Arial" w:cs="Arial" w:eastAsia="Arial" w:hAnsi="Arial"/>
          <w:sz w:val="20"/>
          <w:szCs w:val="20"/>
          <w:color w:val="auto"/>
        </w:rPr>
        <w:t>Pre-incentive fee net investment income does not exceed hurdle rate, therefore there is no income-related incentive fee.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Alternative 2</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Assumptions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(including interest, dividends, fees, etc.) = 2.9%</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Hurdle rate </w:t>
      </w:r>
      <w:r>
        <w:rPr>
          <w:rFonts w:ascii="Arial" w:cs="Arial" w:eastAsia="Arial" w:hAnsi="Arial"/>
          <w:sz w:val="12"/>
          <w:szCs w:val="12"/>
          <w:color w:val="auto"/>
        </w:rPr>
        <w:t>(1)</w:t>
      </w:r>
      <w:r>
        <w:rPr>
          <w:rFonts w:ascii="Arial" w:cs="Arial" w:eastAsia="Arial" w:hAnsi="Arial"/>
          <w:sz w:val="20"/>
          <w:szCs w:val="20"/>
          <w:color w:val="auto"/>
        </w:rPr>
        <w:t xml:space="preserve"> = 2.0%</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Management fee </w:t>
      </w:r>
      <w:r>
        <w:rPr>
          <w:rFonts w:ascii="Arial" w:cs="Arial" w:eastAsia="Arial" w:hAnsi="Arial"/>
          <w:sz w:val="12"/>
          <w:szCs w:val="12"/>
          <w:color w:val="auto"/>
        </w:rPr>
        <w:t>(2)</w:t>
      </w:r>
      <w:r>
        <w:rPr>
          <w:rFonts w:ascii="Arial" w:cs="Arial" w:eastAsia="Arial" w:hAnsi="Arial"/>
          <w:sz w:val="20"/>
          <w:szCs w:val="20"/>
          <w:color w:val="auto"/>
        </w:rPr>
        <w:t xml:space="preserve"> = 0.4375%</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1"/>
          <w:szCs w:val="11"/>
          <w:color w:val="auto"/>
        </w:rPr>
        <w:t>(3)</w:t>
      </w:r>
      <w:r>
        <w:rPr>
          <w:rFonts w:ascii="Arial" w:cs="Arial" w:eastAsia="Arial" w:hAnsi="Arial"/>
          <w:sz w:val="18"/>
          <w:szCs w:val="18"/>
          <w:color w:val="auto"/>
        </w:rPr>
        <w:t xml:space="preserve"> = 0.2%</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Pre-incentive fee net investment income</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 (management fee + other expenses)) = 2.2625%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tabs>
          <w:tab w:leader="none" w:pos="1820" w:val="left"/>
        </w:tabs>
        <w:rPr>
          <w:sz w:val="20"/>
          <w:szCs w:val="20"/>
          <w:color w:val="auto"/>
        </w:rPr>
      </w:pPr>
      <w:r>
        <w:rPr>
          <w:rFonts w:ascii="Arial" w:cs="Arial" w:eastAsia="Arial" w:hAnsi="Arial"/>
          <w:sz w:val="20"/>
          <w:szCs w:val="20"/>
          <w:color w:val="auto"/>
        </w:rPr>
        <w:t>Incentive fee</w:t>
      </w:r>
      <w:r>
        <w:rPr>
          <w:sz w:val="20"/>
          <w:szCs w:val="20"/>
          <w:color w:val="auto"/>
        </w:rPr>
        <w:tab/>
      </w:r>
      <w:r>
        <w:rPr>
          <w:rFonts w:ascii="Arial" w:cs="Arial" w:eastAsia="Arial" w:hAnsi="Arial"/>
          <w:sz w:val="18"/>
          <w:szCs w:val="18"/>
          <w:color w:val="auto"/>
        </w:rPr>
        <w:t xml:space="preserve">= 100% × pre-incentive fee net investment income (subject to “catch-up”) </w:t>
      </w:r>
      <w:r>
        <w:rPr>
          <w:rFonts w:ascii="Arial" w:cs="Arial" w:eastAsia="Arial" w:hAnsi="Arial"/>
          <w:sz w:val="22"/>
          <w:szCs w:val="22"/>
          <w:color w:val="auto"/>
          <w:vertAlign w:val="superscript"/>
        </w:rPr>
        <w:t>(4)</w:t>
      </w:r>
    </w:p>
    <w:p>
      <w:pPr>
        <w:spacing w:after="0" w:line="51" w:lineRule="exact"/>
        <w:rPr>
          <w:sz w:val="20"/>
          <w:szCs w:val="20"/>
          <w:color w:val="auto"/>
        </w:rPr>
      </w:pPr>
    </w:p>
    <w:p>
      <w:pPr>
        <w:ind w:left="2020" w:hanging="171"/>
        <w:spacing w:after="0"/>
        <w:tabs>
          <w:tab w:leader="none" w:pos="2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100% × (2.2625% – 2.0%)</w:t>
      </w:r>
    </w:p>
    <w:p>
      <w:pPr>
        <w:spacing w:after="0" w:line="130" w:lineRule="exact"/>
        <w:rPr>
          <w:rFonts w:ascii="Arial" w:cs="Arial" w:eastAsia="Arial" w:hAnsi="Arial"/>
          <w:sz w:val="20"/>
          <w:szCs w:val="20"/>
          <w:color w:val="auto"/>
        </w:rPr>
      </w:pPr>
    </w:p>
    <w:p>
      <w:pPr>
        <w:ind w:left="2020" w:hanging="171"/>
        <w:spacing w:after="0"/>
        <w:tabs>
          <w:tab w:leader="none" w:pos="2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0.2625%</w:t>
      </w:r>
    </w:p>
    <w:p>
      <w:pPr>
        <w:spacing w:after="0" w:line="320" w:lineRule="exact"/>
        <w:rPr>
          <w:sz w:val="20"/>
          <w:szCs w:val="20"/>
          <w:color w:val="auto"/>
        </w:rPr>
      </w:pPr>
    </w:p>
    <w:p>
      <w:pPr>
        <w:ind w:firstLine="400"/>
        <w:spacing w:after="0" w:line="302" w:lineRule="auto"/>
        <w:rPr>
          <w:sz w:val="20"/>
          <w:szCs w:val="20"/>
          <w:color w:val="auto"/>
        </w:rPr>
      </w:pPr>
      <w:r>
        <w:rPr>
          <w:rFonts w:ascii="Arial" w:cs="Arial" w:eastAsia="Arial" w:hAnsi="Arial"/>
          <w:sz w:val="20"/>
          <w:szCs w:val="20"/>
          <w:color w:val="auto"/>
        </w:rPr>
        <w:t>Pre-incentive fee net investment income exceeds the hurdle rate, but does not fully satisfy the “catch-up” provision, therefore the income related portion of the incentive fee is 0.2625%.</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Alternative 3</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Assumptions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(including interest, dividends, fees, etc.) = 3.5%</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Hurdle rate </w:t>
      </w:r>
      <w:r>
        <w:rPr>
          <w:rFonts w:ascii="Arial" w:cs="Arial" w:eastAsia="Arial" w:hAnsi="Arial"/>
          <w:sz w:val="12"/>
          <w:szCs w:val="12"/>
          <w:color w:val="auto"/>
        </w:rPr>
        <w:t>(1)</w:t>
      </w:r>
      <w:r>
        <w:rPr>
          <w:rFonts w:ascii="Arial" w:cs="Arial" w:eastAsia="Arial" w:hAnsi="Arial"/>
          <w:sz w:val="20"/>
          <w:szCs w:val="20"/>
          <w:color w:val="auto"/>
        </w:rPr>
        <w:t xml:space="preserve"> = 2.0%</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Management fee </w:t>
      </w:r>
      <w:r>
        <w:rPr>
          <w:rFonts w:ascii="Arial" w:cs="Arial" w:eastAsia="Arial" w:hAnsi="Arial"/>
          <w:sz w:val="12"/>
          <w:szCs w:val="12"/>
          <w:color w:val="auto"/>
        </w:rPr>
        <w:t>(2)</w:t>
      </w:r>
      <w:r>
        <w:rPr>
          <w:rFonts w:ascii="Arial" w:cs="Arial" w:eastAsia="Arial" w:hAnsi="Arial"/>
          <w:sz w:val="20"/>
          <w:szCs w:val="20"/>
          <w:color w:val="auto"/>
        </w:rPr>
        <w:t xml:space="preserve"> = 0.4375%</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1"/>
          <w:szCs w:val="11"/>
          <w:color w:val="auto"/>
        </w:rPr>
        <w:t>(3)</w:t>
      </w:r>
      <w:r>
        <w:rPr>
          <w:rFonts w:ascii="Arial" w:cs="Arial" w:eastAsia="Arial" w:hAnsi="Arial"/>
          <w:sz w:val="18"/>
          <w:szCs w:val="18"/>
          <w:color w:val="auto"/>
        </w:rPr>
        <w:t xml:space="preserve"> = 0.2%</w:t>
      </w:r>
    </w:p>
    <w:p>
      <w:pPr>
        <w:spacing w:after="0" w:line="3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Pre-incentive fee net investment income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 (management fee + other expenses)) = 2.8625%</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Incentive fee = 100% × pre-incentive fee net investment income (subject to “catch-up”) </w:t>
      </w:r>
      <w:r>
        <w:rPr>
          <w:rFonts w:ascii="Arial" w:cs="Arial" w:eastAsia="Arial" w:hAnsi="Arial"/>
          <w:sz w:val="12"/>
          <w:szCs w:val="12"/>
          <w:color w:val="auto"/>
        </w:rPr>
        <w:t>(4)</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Incentive fee = 100% × “catch-up” + (20.0% × (pre-incentive fee net investment income – 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tabs>
          <w:tab w:leader="none" w:pos="1820" w:val="left"/>
        </w:tabs>
        <w:rPr>
          <w:sz w:val="20"/>
          <w:szCs w:val="20"/>
          <w:color w:val="auto"/>
        </w:rPr>
      </w:pPr>
      <w:r>
        <w:rPr>
          <w:rFonts w:ascii="Arial" w:cs="Arial" w:eastAsia="Arial" w:hAnsi="Arial"/>
          <w:sz w:val="20"/>
          <w:szCs w:val="20"/>
          <w:color w:val="auto"/>
        </w:rPr>
        <w:t>“Catch-up”</w:t>
      </w:r>
      <w:r>
        <w:rPr>
          <w:sz w:val="20"/>
          <w:szCs w:val="20"/>
          <w:color w:val="auto"/>
        </w:rPr>
        <w:tab/>
      </w:r>
      <w:r>
        <w:rPr>
          <w:rFonts w:ascii="Arial" w:cs="Arial" w:eastAsia="Arial" w:hAnsi="Arial"/>
          <w:sz w:val="18"/>
          <w:szCs w:val="18"/>
          <w:color w:val="auto"/>
        </w:rPr>
        <w:t>= 2.5% – 2.0%</w:t>
      </w:r>
    </w:p>
    <w:p>
      <w:pPr>
        <w:spacing w:after="0" w:line="7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 0.5%</w:t>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32 / 68</w:t>
      </w:r>
    </w:p>
    <w:p>
      <w:pPr>
        <w:sectPr>
          <w:pgSz w:w="11900" w:h="16838" w:orient="portrait"/>
          <w:cols w:equalWidth="0" w:num="1">
            <w:col w:w="9300"/>
          </w:cols>
          <w:pgMar w:left="1260" w:top="1440" w:right="1346" w:bottom="0" w:gutter="0" w:footer="0" w:header="0"/>
          <w:type w:val="continuous"/>
        </w:sectPr>
      </w:pPr>
    </w:p>
    <w:bookmarkStart w:id="32" w:name="page33"/>
    <w:bookmarkEnd w:id="32"/>
    <w:p>
      <w:pPr>
        <w:spacing w:after="0" w:line="83" w:lineRule="exact"/>
        <w:rPr>
          <w:sz w:val="20"/>
          <w:szCs w:val="20"/>
          <w:color w:val="auto"/>
        </w:rPr>
      </w:pPr>
    </w:p>
    <w:p>
      <w:pPr>
        <w:ind w:left="406"/>
        <w:spacing w:after="0"/>
        <w:tabs>
          <w:tab w:leader="none" w:pos="1826" w:val="left"/>
        </w:tabs>
        <w:rPr>
          <w:sz w:val="20"/>
          <w:szCs w:val="20"/>
          <w:color w:val="auto"/>
        </w:rPr>
      </w:pPr>
      <w:r>
        <w:rPr>
          <w:rFonts w:ascii="Arial" w:cs="Arial" w:eastAsia="Arial" w:hAnsi="Arial"/>
          <w:sz w:val="20"/>
          <w:szCs w:val="20"/>
          <w:color w:val="auto"/>
        </w:rPr>
        <w:t>Incentive fee</w:t>
      </w:r>
      <w:r>
        <w:rPr>
          <w:sz w:val="20"/>
          <w:szCs w:val="20"/>
          <w:color w:val="auto"/>
        </w:rPr>
        <w:tab/>
      </w:r>
      <w:r>
        <w:rPr>
          <w:rFonts w:ascii="Arial" w:cs="Arial" w:eastAsia="Arial" w:hAnsi="Arial"/>
          <w:sz w:val="18"/>
          <w:szCs w:val="18"/>
          <w:color w:val="auto"/>
        </w:rPr>
        <w:t>= (100% × 0.5%) + (20.0% × (2.8625% – 2.5%))</w:t>
      </w:r>
    </w:p>
    <w:p>
      <w:pPr>
        <w:spacing w:after="0" w:line="70" w:lineRule="exact"/>
        <w:rPr>
          <w:sz w:val="20"/>
          <w:szCs w:val="20"/>
          <w:color w:val="auto"/>
        </w:rPr>
      </w:pPr>
    </w:p>
    <w:p>
      <w:pPr>
        <w:ind w:left="2026" w:hanging="171"/>
        <w:spacing w:after="0"/>
        <w:tabs>
          <w:tab w:leader="none" w:pos="2026" w:val="left"/>
        </w:tabs>
        <w:numPr>
          <w:ilvl w:val="0"/>
          <w:numId w:val="17"/>
        </w:numPr>
        <w:rPr>
          <w:rFonts w:ascii="Arial" w:cs="Arial" w:eastAsia="Arial" w:hAnsi="Arial"/>
          <w:sz w:val="20"/>
          <w:szCs w:val="20"/>
          <w:color w:val="auto"/>
        </w:rPr>
      </w:pPr>
      <w:r>
        <w:rPr>
          <w:rFonts w:ascii="Arial" w:cs="Arial" w:eastAsia="Arial" w:hAnsi="Arial"/>
          <w:sz w:val="20"/>
          <w:szCs w:val="20"/>
          <w:color w:val="auto"/>
        </w:rPr>
        <w:t>0.5% + (20.0% × 0.3625%)</w:t>
      </w:r>
    </w:p>
    <w:p>
      <w:pPr>
        <w:spacing w:after="0" w:line="130" w:lineRule="exact"/>
        <w:rPr>
          <w:rFonts w:ascii="Arial" w:cs="Arial" w:eastAsia="Arial" w:hAnsi="Arial"/>
          <w:sz w:val="20"/>
          <w:szCs w:val="20"/>
          <w:color w:val="auto"/>
        </w:rPr>
      </w:pPr>
    </w:p>
    <w:p>
      <w:pPr>
        <w:ind w:left="2026" w:hanging="171"/>
        <w:spacing w:after="0"/>
        <w:tabs>
          <w:tab w:leader="none" w:pos="2026" w:val="left"/>
        </w:tabs>
        <w:numPr>
          <w:ilvl w:val="0"/>
          <w:numId w:val="17"/>
        </w:numPr>
        <w:rPr>
          <w:rFonts w:ascii="Arial" w:cs="Arial" w:eastAsia="Arial" w:hAnsi="Arial"/>
          <w:sz w:val="20"/>
          <w:szCs w:val="20"/>
          <w:color w:val="auto"/>
        </w:rPr>
      </w:pPr>
      <w:r>
        <w:rPr>
          <w:rFonts w:ascii="Arial" w:cs="Arial" w:eastAsia="Arial" w:hAnsi="Arial"/>
          <w:sz w:val="20"/>
          <w:szCs w:val="20"/>
          <w:color w:val="auto"/>
        </w:rPr>
        <w:t>0.5% + 0.0725%</w:t>
      </w:r>
    </w:p>
    <w:p>
      <w:pPr>
        <w:spacing w:after="0" w:line="130" w:lineRule="exact"/>
        <w:rPr>
          <w:rFonts w:ascii="Arial" w:cs="Arial" w:eastAsia="Arial" w:hAnsi="Arial"/>
          <w:sz w:val="20"/>
          <w:szCs w:val="20"/>
          <w:color w:val="auto"/>
        </w:rPr>
      </w:pPr>
    </w:p>
    <w:p>
      <w:pPr>
        <w:ind w:left="2026" w:hanging="171"/>
        <w:spacing w:after="0"/>
        <w:tabs>
          <w:tab w:leader="none" w:pos="2026" w:val="left"/>
        </w:tabs>
        <w:numPr>
          <w:ilvl w:val="0"/>
          <w:numId w:val="17"/>
        </w:numPr>
        <w:rPr>
          <w:rFonts w:ascii="Arial" w:cs="Arial" w:eastAsia="Arial" w:hAnsi="Arial"/>
          <w:sz w:val="20"/>
          <w:szCs w:val="20"/>
          <w:color w:val="auto"/>
        </w:rPr>
      </w:pPr>
      <w:r>
        <w:rPr>
          <w:rFonts w:ascii="Arial" w:cs="Arial" w:eastAsia="Arial" w:hAnsi="Arial"/>
          <w:sz w:val="20"/>
          <w:szCs w:val="20"/>
          <w:color w:val="auto"/>
        </w:rPr>
        <w:t>0.5725%</w:t>
      </w:r>
    </w:p>
    <w:p>
      <w:pPr>
        <w:spacing w:after="0" w:line="320" w:lineRule="exact"/>
        <w:rPr>
          <w:sz w:val="20"/>
          <w:szCs w:val="20"/>
          <w:color w:val="auto"/>
        </w:rPr>
      </w:pPr>
    </w:p>
    <w:p>
      <w:pPr>
        <w:ind w:left="6" w:firstLine="802"/>
        <w:spacing w:after="0" w:line="302" w:lineRule="auto"/>
        <w:rPr>
          <w:sz w:val="20"/>
          <w:szCs w:val="20"/>
          <w:color w:val="auto"/>
        </w:rPr>
      </w:pPr>
      <w:r>
        <w:rPr>
          <w:rFonts w:ascii="Arial" w:cs="Arial" w:eastAsia="Arial" w:hAnsi="Arial"/>
          <w:sz w:val="20"/>
          <w:szCs w:val="20"/>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24066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6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6" w:hanging="406"/>
        <w:spacing w:after="0"/>
        <w:tabs>
          <w:tab w:leader="none" w:pos="406"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8.0% annualized hurdle rate.</w:t>
      </w:r>
    </w:p>
    <w:p>
      <w:pPr>
        <w:spacing w:after="0" w:line="70" w:lineRule="exact"/>
        <w:rPr>
          <w:rFonts w:ascii="Arial" w:cs="Arial" w:eastAsia="Arial" w:hAnsi="Arial"/>
          <w:sz w:val="20"/>
          <w:szCs w:val="20"/>
          <w:color w:val="auto"/>
        </w:rPr>
      </w:pPr>
    </w:p>
    <w:p>
      <w:pPr>
        <w:ind w:left="406" w:hanging="406"/>
        <w:spacing w:after="0"/>
        <w:tabs>
          <w:tab w:leader="none" w:pos="406"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1.75% annualized base management fee.</w:t>
      </w:r>
    </w:p>
    <w:p>
      <w:pPr>
        <w:spacing w:after="0" w:line="70" w:lineRule="exact"/>
        <w:rPr>
          <w:rFonts w:ascii="Arial" w:cs="Arial" w:eastAsia="Arial" w:hAnsi="Arial"/>
          <w:sz w:val="20"/>
          <w:szCs w:val="20"/>
          <w:color w:val="auto"/>
        </w:rPr>
      </w:pPr>
    </w:p>
    <w:p>
      <w:pPr>
        <w:ind w:left="406" w:hanging="406"/>
        <w:spacing w:after="0"/>
        <w:tabs>
          <w:tab w:leader="none" w:pos="406" w:val="left"/>
        </w:tabs>
        <w:numPr>
          <w:ilvl w:val="0"/>
          <w:numId w:val="18"/>
        </w:numPr>
        <w:rPr>
          <w:rFonts w:ascii="Arial" w:cs="Arial" w:eastAsia="Arial" w:hAnsi="Arial"/>
          <w:sz w:val="20"/>
          <w:szCs w:val="20"/>
          <w:color w:val="auto"/>
        </w:rPr>
      </w:pPr>
      <w:r>
        <w:rPr>
          <w:rFonts w:ascii="Arial" w:cs="Arial" w:eastAsia="Arial" w:hAnsi="Arial"/>
          <w:sz w:val="20"/>
          <w:szCs w:val="20"/>
          <w:color w:val="auto"/>
        </w:rPr>
        <w:t>Excludes organizational and offering expenses.</w:t>
      </w:r>
    </w:p>
    <w:p>
      <w:pPr>
        <w:spacing w:after="0" w:line="79" w:lineRule="exact"/>
        <w:rPr>
          <w:rFonts w:ascii="Arial" w:cs="Arial" w:eastAsia="Arial" w:hAnsi="Arial"/>
          <w:sz w:val="20"/>
          <w:szCs w:val="20"/>
          <w:color w:val="auto"/>
        </w:rPr>
      </w:pPr>
    </w:p>
    <w:p>
      <w:pPr>
        <w:ind w:left="406" w:right="160" w:hanging="406"/>
        <w:spacing w:after="0" w:line="307" w:lineRule="auto"/>
        <w:tabs>
          <w:tab w:leader="none" w:pos="406"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7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Example 2: Capital Gains Portion of Incentive Fee </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w:t>
      </w:r>
    </w:p>
    <w:p>
      <w:pPr>
        <w:spacing w:after="0" w:line="89" w:lineRule="exact"/>
        <w:rPr>
          <w:sz w:val="20"/>
          <w:szCs w:val="20"/>
          <w:color w:val="auto"/>
        </w:rPr>
      </w:pPr>
    </w:p>
    <w:p>
      <w:pPr>
        <w:ind w:left="206"/>
        <w:spacing w:after="0"/>
        <w:rPr>
          <w:sz w:val="20"/>
          <w:szCs w:val="20"/>
          <w:color w:val="auto"/>
        </w:rPr>
      </w:pPr>
      <w:r>
        <w:rPr>
          <w:rFonts w:ascii="Arial" w:cs="Arial" w:eastAsia="Arial" w:hAnsi="Arial"/>
          <w:sz w:val="20"/>
          <w:szCs w:val="20"/>
          <w:b w:val="1"/>
          <w:bCs w:val="1"/>
          <w:i w:val="1"/>
          <w:iCs w:val="1"/>
          <w:color w:val="auto"/>
        </w:rPr>
        <w:t>Alternative 1</w:t>
      </w:r>
    </w:p>
    <w:p>
      <w:pPr>
        <w:spacing w:after="0" w:line="70"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6"/>
          </w:cols>
          <w:pgMar w:left="1254"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33 / 68</w:t>
      </w:r>
    </w:p>
    <w:p>
      <w:pPr>
        <w:sectPr>
          <w:pgSz w:w="11900" w:h="16838" w:orient="portrait"/>
          <w:cols w:equalWidth="0" w:num="1">
            <w:col w:w="9286"/>
          </w:cols>
          <w:pgMar w:left="1254" w:top="1440" w:right="1366" w:bottom="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8140"/>
        <w:spacing w:after="0"/>
        <w:rPr>
          <w:sz w:val="20"/>
          <w:szCs w:val="20"/>
          <w:color w:val="auto"/>
        </w:rPr>
      </w:pPr>
      <w:r>
        <w:rPr>
          <w:rFonts w:ascii="Arial" w:cs="Arial" w:eastAsia="Arial" w:hAnsi="Arial"/>
          <w:sz w:val="20"/>
          <w:szCs w:val="20"/>
          <w:i w:val="1"/>
          <w:iCs w:val="1"/>
          <w:color w:val="auto"/>
        </w:rPr>
        <w:t>Assumptions</w:t>
      </w:r>
    </w:p>
    <w:p>
      <w:pPr>
        <w:spacing w:after="0" w:line="160" w:lineRule="exact"/>
        <w:rPr>
          <w:sz w:val="20"/>
          <w:szCs w:val="20"/>
          <w:color w:val="auto"/>
        </w:rPr>
      </w:pPr>
    </w:p>
    <w:p>
      <w:pPr>
        <w:jc w:val="right"/>
        <w:ind w:right="8160"/>
        <w:spacing w:after="0"/>
        <w:rPr>
          <w:sz w:val="20"/>
          <w:szCs w:val="20"/>
          <w:color w:val="auto"/>
        </w:rPr>
      </w:pPr>
      <w:r>
        <w:rPr>
          <w:rFonts w:ascii="Arial" w:cs="Arial" w:eastAsia="Arial" w:hAnsi="Arial"/>
          <w:sz w:val="20"/>
          <w:szCs w:val="20"/>
          <w:i w:val="1"/>
          <w:iCs w:val="1"/>
          <w:color w:val="auto"/>
        </w:rPr>
        <w:t>Year</w:t>
      </w:r>
    </w:p>
    <w:p>
      <w:pPr>
        <w:spacing w:after="0" w:line="80" w:lineRule="exact"/>
        <w:rPr>
          <w:sz w:val="20"/>
          <w:szCs w:val="20"/>
          <w:color w:val="auto"/>
        </w:rPr>
      </w:pPr>
    </w:p>
    <w:p>
      <w:pPr>
        <w:ind w:left="400" w:right="40"/>
        <w:spacing w:after="0" w:line="302" w:lineRule="auto"/>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 $5.0 million investment made in Company A (“Investment A”), and $7.5 million investment made in</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B (“Investment B”)</w:t>
      </w:r>
    </w:p>
    <w:p>
      <w:pPr>
        <w:spacing w:after="0" w:line="111" w:lineRule="exact"/>
        <w:rPr>
          <w:sz w:val="20"/>
          <w:szCs w:val="20"/>
          <w:color w:val="auto"/>
        </w:rPr>
      </w:pPr>
    </w:p>
    <w:p>
      <w:pPr>
        <w:jc w:val="both"/>
        <w:ind w:left="400" w:firstLine="400"/>
        <w:spacing w:after="0" w:line="302" w:lineRule="auto"/>
        <w:rPr>
          <w:sz w:val="20"/>
          <w:szCs w:val="20"/>
          <w:color w:val="auto"/>
        </w:rPr>
      </w:pPr>
      <w:r>
        <w:rPr>
          <w:rFonts w:ascii="Arial" w:cs="Arial" w:eastAsia="Arial" w:hAnsi="Arial"/>
          <w:sz w:val="20"/>
          <w:szCs w:val="20"/>
          <w:i w:val="1"/>
          <w:iCs w:val="1"/>
          <w:color w:val="auto"/>
        </w:rPr>
        <w:t xml:space="preserve">Year 2 </w:t>
      </w:r>
      <w:r>
        <w:rPr>
          <w:rFonts w:ascii="Arial" w:cs="Arial" w:eastAsia="Arial" w:hAnsi="Arial"/>
          <w:sz w:val="20"/>
          <w:szCs w:val="20"/>
          <w:color w:val="auto"/>
        </w:rPr>
        <w:t>: Investment A sold for $12.5 million and fair market value (“FMV”) of Investment B determined</w:t>
      </w:r>
      <w:r>
        <w:rPr>
          <w:rFonts w:ascii="Arial" w:cs="Arial" w:eastAsia="Arial" w:hAnsi="Arial"/>
          <w:sz w:val="20"/>
          <w:szCs w:val="20"/>
          <w:i w:val="1"/>
          <w:iCs w:val="1"/>
          <w:color w:val="auto"/>
        </w:rPr>
        <w:t xml:space="preserve"> </w:t>
      </w:r>
      <w:r>
        <w:rPr>
          <w:rFonts w:ascii="Arial" w:cs="Arial" w:eastAsia="Arial" w:hAnsi="Arial"/>
          <w:sz w:val="20"/>
          <w:szCs w:val="20"/>
          <w:color w:val="auto"/>
        </w:rPr>
        <w:t>to be $8.0 million</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3 </w:t>
      </w:r>
      <w:r>
        <w:rPr>
          <w:rFonts w:ascii="Arial" w:cs="Arial" w:eastAsia="Arial" w:hAnsi="Arial"/>
          <w:sz w:val="20"/>
          <w:szCs w:val="20"/>
          <w:color w:val="auto"/>
        </w:rPr>
        <w:t>: FMV of Investment B determined to be $6.25 million</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4 </w:t>
      </w:r>
      <w:r>
        <w:rPr>
          <w:rFonts w:ascii="Arial" w:cs="Arial" w:eastAsia="Arial" w:hAnsi="Arial"/>
          <w:sz w:val="20"/>
          <w:szCs w:val="20"/>
          <w:color w:val="auto"/>
        </w:rPr>
        <w:t>: Investment B sold for $7.75 million</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capital gains portion of the incentive fee would be:</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1 </w:t>
      </w:r>
      <w:r>
        <w:rPr>
          <w:rFonts w:ascii="Arial" w:cs="Arial" w:eastAsia="Arial" w:hAnsi="Arial"/>
          <w:sz w:val="20"/>
          <w:szCs w:val="20"/>
          <w:color w:val="auto"/>
        </w:rPr>
        <w:t>: None</w:t>
      </w:r>
    </w:p>
    <w:p>
      <w:pPr>
        <w:spacing w:after="0" w:line="170" w:lineRule="exact"/>
        <w:rPr>
          <w:sz w:val="20"/>
          <w:szCs w:val="20"/>
          <w:color w:val="auto"/>
        </w:rPr>
      </w:pPr>
    </w:p>
    <w:p>
      <w:pPr>
        <w:jc w:val="both"/>
        <w:ind w:left="400" w:right="20" w:firstLine="400"/>
        <w:spacing w:after="0" w:line="302" w:lineRule="auto"/>
        <w:rPr>
          <w:sz w:val="20"/>
          <w:szCs w:val="20"/>
          <w:color w:val="auto"/>
        </w:rPr>
      </w:pPr>
      <w:r>
        <w:rPr>
          <w:rFonts w:ascii="Arial" w:cs="Arial" w:eastAsia="Arial" w:hAnsi="Arial"/>
          <w:sz w:val="20"/>
          <w:szCs w:val="20"/>
          <w:i w:val="1"/>
          <w:iCs w:val="1"/>
          <w:color w:val="auto"/>
        </w:rPr>
        <w:t xml:space="preserve">Year 2 </w:t>
      </w:r>
      <w:r>
        <w:rPr>
          <w:rFonts w:ascii="Arial" w:cs="Arial" w:eastAsia="Arial" w:hAnsi="Arial"/>
          <w:sz w:val="20"/>
          <w:szCs w:val="20"/>
          <w:color w:val="auto"/>
        </w:rPr>
        <w:t>: Capital gains incentive fee of $1.5 million — ($7.5 million realized capital gains on sale of</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A multiplied by 20.0%)</w:t>
      </w:r>
    </w:p>
    <w:p>
      <w:pPr>
        <w:spacing w:after="0" w:line="111" w:lineRule="exact"/>
        <w:rPr>
          <w:sz w:val="20"/>
          <w:szCs w:val="20"/>
          <w:color w:val="auto"/>
        </w:rPr>
      </w:pPr>
    </w:p>
    <w:p>
      <w:pPr>
        <w:jc w:val="both"/>
        <w:ind w:left="400" w:right="20" w:firstLine="400"/>
        <w:spacing w:after="0" w:line="331" w:lineRule="auto"/>
        <w:rPr>
          <w:sz w:val="20"/>
          <w:szCs w:val="20"/>
          <w:color w:val="auto"/>
        </w:rPr>
      </w:pPr>
      <w:r>
        <w:rPr>
          <w:rFonts w:ascii="Arial" w:cs="Arial" w:eastAsia="Arial" w:hAnsi="Arial"/>
          <w:sz w:val="19"/>
          <w:szCs w:val="19"/>
          <w:i w:val="1"/>
          <w:iCs w:val="1"/>
          <w:color w:val="auto"/>
        </w:rPr>
        <w:t xml:space="preserve">Year 3 </w:t>
      </w:r>
      <w:r>
        <w:rPr>
          <w:rFonts w:ascii="Arial" w:cs="Arial" w:eastAsia="Arial" w:hAnsi="Arial"/>
          <w:sz w:val="19"/>
          <w:szCs w:val="19"/>
          <w:color w:val="auto"/>
        </w:rPr>
        <w:t>: None — $1.25 million (20.0% multiplied by ($7.5 million cumulative capital gains less $1.25</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cumulative capital depreciation)) less $1.5 million (previous capital gains fee paid in Year 2)</w:t>
      </w:r>
    </w:p>
    <w:p>
      <w:pPr>
        <w:spacing w:after="0" w:line="87" w:lineRule="exact"/>
        <w:rPr>
          <w:sz w:val="20"/>
          <w:szCs w:val="20"/>
          <w:color w:val="auto"/>
        </w:rPr>
      </w:pPr>
    </w:p>
    <w:p>
      <w:pPr>
        <w:jc w:val="both"/>
        <w:ind w:left="400" w:firstLine="400"/>
        <w:spacing w:after="0" w:line="302" w:lineRule="auto"/>
        <w:rPr>
          <w:sz w:val="20"/>
          <w:szCs w:val="20"/>
          <w:color w:val="auto"/>
        </w:rPr>
      </w:pPr>
      <w:r>
        <w:rPr>
          <w:rFonts w:ascii="Arial" w:cs="Arial" w:eastAsia="Arial" w:hAnsi="Arial"/>
          <w:sz w:val="20"/>
          <w:szCs w:val="20"/>
          <w:i w:val="1"/>
          <w:iCs w:val="1"/>
          <w:color w:val="auto"/>
        </w:rPr>
        <w:t xml:space="preserve">Year 4 </w:t>
      </w:r>
      <w:r>
        <w:rPr>
          <w:rFonts w:ascii="Arial" w:cs="Arial" w:eastAsia="Arial" w:hAnsi="Arial"/>
          <w:sz w:val="20"/>
          <w:szCs w:val="20"/>
          <w:color w:val="auto"/>
        </w:rPr>
        <w:t>: Capital gains incentive fee of $50,000 — $1.55 million ($7.75 million cumulative realized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gains multiplied by 20.0%) less $1.5 million (capital gains incentive fee taken in Year 2)</w:t>
      </w: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Alternative 2</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Assumptions</w:t>
      </w:r>
    </w:p>
    <w:p>
      <w:pPr>
        <w:spacing w:after="0" w:line="170" w:lineRule="exact"/>
        <w:rPr>
          <w:sz w:val="20"/>
          <w:szCs w:val="20"/>
          <w:color w:val="auto"/>
        </w:rPr>
      </w:pPr>
    </w:p>
    <w:p>
      <w:pPr>
        <w:jc w:val="both"/>
        <w:ind w:left="400" w:firstLine="400"/>
        <w:spacing w:after="0" w:line="331" w:lineRule="auto"/>
        <w:rPr>
          <w:sz w:val="20"/>
          <w:szCs w:val="20"/>
          <w:color w:val="auto"/>
        </w:rPr>
      </w:pPr>
      <w:r>
        <w:rPr>
          <w:rFonts w:ascii="Arial" w:cs="Arial" w:eastAsia="Arial" w:hAnsi="Arial"/>
          <w:sz w:val="19"/>
          <w:szCs w:val="19"/>
          <w:i w:val="1"/>
          <w:iCs w:val="1"/>
          <w:color w:val="auto"/>
        </w:rPr>
        <w:t xml:space="preserve">Year 1 </w:t>
      </w:r>
      <w:r>
        <w:rPr>
          <w:rFonts w:ascii="Arial" w:cs="Arial" w:eastAsia="Arial" w:hAnsi="Arial"/>
          <w:sz w:val="19"/>
          <w:szCs w:val="19"/>
          <w:color w:val="auto"/>
        </w:rPr>
        <w:t>: $4.0 million investment made in Company A (“Investment A”), $7.5 million investment made in</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B (“Investment B”) and $6.25 million investment made in Company C (“Investment C”)</w:t>
      </w:r>
    </w:p>
    <w:p>
      <w:pPr>
        <w:spacing w:after="0" w:line="87" w:lineRule="exact"/>
        <w:rPr>
          <w:sz w:val="20"/>
          <w:szCs w:val="20"/>
          <w:color w:val="auto"/>
        </w:rPr>
      </w:pPr>
    </w:p>
    <w:p>
      <w:pPr>
        <w:jc w:val="both"/>
        <w:ind w:left="400" w:right="20" w:firstLine="400"/>
        <w:spacing w:after="0" w:line="302" w:lineRule="auto"/>
        <w:rPr>
          <w:sz w:val="20"/>
          <w:szCs w:val="20"/>
          <w:color w:val="auto"/>
        </w:rPr>
      </w:pPr>
      <w:r>
        <w:rPr>
          <w:rFonts w:ascii="Arial" w:cs="Arial" w:eastAsia="Arial" w:hAnsi="Arial"/>
          <w:sz w:val="20"/>
          <w:szCs w:val="20"/>
          <w:i w:val="1"/>
          <w:iCs w:val="1"/>
          <w:color w:val="auto"/>
        </w:rPr>
        <w:t xml:space="preserve">Year 2 </w:t>
      </w:r>
      <w:r>
        <w:rPr>
          <w:rFonts w:ascii="Arial" w:cs="Arial" w:eastAsia="Arial" w:hAnsi="Arial"/>
          <w:sz w:val="20"/>
          <w:szCs w:val="20"/>
          <w:color w:val="auto"/>
        </w:rPr>
        <w:t>: Investment A sold for $12.5 million, FMV of Investment B determined to be $6.25 million and</w:t>
      </w:r>
      <w:r>
        <w:rPr>
          <w:rFonts w:ascii="Arial" w:cs="Arial" w:eastAsia="Arial" w:hAnsi="Arial"/>
          <w:sz w:val="20"/>
          <w:szCs w:val="20"/>
          <w:i w:val="1"/>
          <w:iCs w:val="1"/>
          <w:color w:val="auto"/>
        </w:rPr>
        <w:t xml:space="preserve"> </w:t>
      </w:r>
      <w:r>
        <w:rPr>
          <w:rFonts w:ascii="Arial" w:cs="Arial" w:eastAsia="Arial" w:hAnsi="Arial"/>
          <w:sz w:val="20"/>
          <w:szCs w:val="20"/>
          <w:color w:val="auto"/>
        </w:rPr>
        <w:t>FMV of Investment C determined to be $6.25 million</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Year 3 </w:t>
      </w:r>
      <w:r>
        <w:rPr>
          <w:rFonts w:ascii="Arial" w:cs="Arial" w:eastAsia="Arial" w:hAnsi="Arial"/>
          <w:sz w:val="19"/>
          <w:szCs w:val="19"/>
          <w:color w:val="auto"/>
        </w:rPr>
        <w:t>: FMV of Investment B determined to be $6.75 million and Investment C sold for $7.5 million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4 </w:t>
      </w:r>
      <w:r>
        <w:rPr>
          <w:rFonts w:ascii="Arial" w:cs="Arial" w:eastAsia="Arial" w:hAnsi="Arial"/>
          <w:sz w:val="20"/>
          <w:szCs w:val="20"/>
          <w:color w:val="auto"/>
        </w:rPr>
        <w:t>: FMV of Investment B determined to be $8.75 million</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5 </w:t>
      </w:r>
      <w:r>
        <w:rPr>
          <w:rFonts w:ascii="Arial" w:cs="Arial" w:eastAsia="Arial" w:hAnsi="Arial"/>
          <w:sz w:val="20"/>
          <w:szCs w:val="20"/>
          <w:color w:val="auto"/>
        </w:rPr>
        <w:t>: Investment B sold for $5.0 million</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capital gains incentive fee, if any, would be:</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1 </w:t>
      </w:r>
      <w:r>
        <w:rPr>
          <w:rFonts w:ascii="Arial" w:cs="Arial" w:eastAsia="Arial" w:hAnsi="Arial"/>
          <w:sz w:val="20"/>
          <w:szCs w:val="20"/>
          <w:color w:val="auto"/>
        </w:rPr>
        <w:t>: None</w:t>
      </w:r>
    </w:p>
    <w:p>
      <w:pPr>
        <w:spacing w:after="0" w:line="170" w:lineRule="exact"/>
        <w:rPr>
          <w:sz w:val="20"/>
          <w:szCs w:val="20"/>
          <w:color w:val="auto"/>
        </w:rPr>
      </w:pPr>
    </w:p>
    <w:p>
      <w:pPr>
        <w:ind w:left="400" w:right="20" w:firstLine="400"/>
        <w:spacing w:after="0" w:line="331" w:lineRule="auto"/>
        <w:rPr>
          <w:sz w:val="20"/>
          <w:szCs w:val="20"/>
          <w:color w:val="auto"/>
        </w:rPr>
      </w:pPr>
      <w:r>
        <w:rPr>
          <w:rFonts w:ascii="Arial" w:cs="Arial" w:eastAsia="Arial" w:hAnsi="Arial"/>
          <w:sz w:val="19"/>
          <w:szCs w:val="19"/>
          <w:i w:val="1"/>
          <w:iCs w:val="1"/>
          <w:color w:val="auto"/>
        </w:rPr>
        <w:t xml:space="preserve">Year 2 </w:t>
      </w:r>
      <w:r>
        <w:rPr>
          <w:rFonts w:ascii="Arial" w:cs="Arial" w:eastAsia="Arial" w:hAnsi="Arial"/>
          <w:sz w:val="19"/>
          <w:szCs w:val="19"/>
          <w:color w:val="auto"/>
        </w:rPr>
        <w:t>: $1.45 million capital gains incentive fee — 20.0% multiplied by $7.25 million ($8.5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realized capital gains on Investment A less $1.25 million unrealized capital depreciation on Investment B)</w:t>
      </w:r>
    </w:p>
    <w:p>
      <w:pPr>
        <w:spacing w:after="0" w:line="87" w:lineRule="exact"/>
        <w:rPr>
          <w:sz w:val="20"/>
          <w:szCs w:val="20"/>
          <w:color w:val="auto"/>
        </w:rPr>
      </w:pPr>
    </w:p>
    <w:p>
      <w:pPr>
        <w:jc w:val="both"/>
        <w:ind w:left="400" w:firstLine="400"/>
        <w:spacing w:after="0" w:line="307" w:lineRule="auto"/>
        <w:rPr>
          <w:sz w:val="20"/>
          <w:szCs w:val="20"/>
          <w:color w:val="auto"/>
        </w:rPr>
      </w:pPr>
      <w:r>
        <w:rPr>
          <w:rFonts w:ascii="Arial" w:cs="Arial" w:eastAsia="Arial" w:hAnsi="Arial"/>
          <w:sz w:val="20"/>
          <w:szCs w:val="20"/>
          <w:i w:val="1"/>
          <w:iCs w:val="1"/>
          <w:color w:val="auto"/>
        </w:rPr>
        <w:t xml:space="preserve">Year 3 </w:t>
      </w:r>
      <w:r>
        <w:rPr>
          <w:rFonts w:ascii="Arial" w:cs="Arial" w:eastAsia="Arial" w:hAnsi="Arial"/>
          <w:sz w:val="20"/>
          <w:szCs w:val="20"/>
          <w:color w:val="auto"/>
        </w:rPr>
        <w:t>: $0.35 million capital gains incentive fee</w:t>
      </w:r>
      <w:r>
        <w:rPr>
          <w:rFonts w:ascii="Arial" w:cs="Arial" w:eastAsia="Arial" w:hAnsi="Arial"/>
          <w:sz w:val="20"/>
          <w:szCs w:val="20"/>
          <w:i w:val="1"/>
          <w:iCs w:val="1"/>
          <w:color w:val="auto"/>
        </w:rPr>
        <w:t xml:space="preserve"> </w:t>
      </w:r>
      <w:r>
        <w:rPr>
          <w:rFonts w:ascii="Arial" w:cs="Arial" w:eastAsia="Arial" w:hAnsi="Arial"/>
          <w:sz w:val="12"/>
          <w:szCs w:val="12"/>
          <w:color w:val="auto"/>
        </w:rPr>
        <w:t>(1)</w:t>
      </w:r>
      <w:r>
        <w:rPr>
          <w:rFonts w:ascii="Arial" w:cs="Arial" w:eastAsia="Arial" w:hAnsi="Arial"/>
          <w:sz w:val="20"/>
          <w:szCs w:val="20"/>
          <w:i w:val="1"/>
          <w:iCs w:val="1"/>
          <w:color w:val="auto"/>
        </w:rPr>
        <w:t xml:space="preserve"> </w:t>
      </w:r>
      <w:r>
        <w:rPr>
          <w:rFonts w:ascii="Arial" w:cs="Arial" w:eastAsia="Arial" w:hAnsi="Arial"/>
          <w:sz w:val="20"/>
          <w:szCs w:val="20"/>
          <w:color w:val="auto"/>
        </w:rPr>
        <w:t>— $1.8 million (20.0% multiplied by $9.0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($9.75 million cumulative realized capital gains less $0.75 million unrealized capital depreciation)) less $1.45 million capital gains incentive fee received in Year 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Year 4 </w:t>
      </w:r>
      <w:r>
        <w:rPr>
          <w:rFonts w:ascii="Arial" w:cs="Arial" w:eastAsia="Arial" w:hAnsi="Arial"/>
          <w:sz w:val="20"/>
          <w:szCs w:val="20"/>
          <w:color w:val="auto"/>
        </w:rPr>
        <w:t>: None</w:t>
      </w:r>
    </w:p>
    <w:p>
      <w:pPr>
        <w:spacing w:after="0" w:line="260" w:lineRule="exact"/>
        <w:rPr>
          <w:sz w:val="20"/>
          <w:szCs w:val="20"/>
          <w:color w:val="auto"/>
        </w:rPr>
      </w:pPr>
    </w:p>
    <w:p>
      <w:pPr>
        <w:jc w:val="both"/>
        <w:ind w:firstLine="802"/>
        <w:spacing w:after="0" w:line="307" w:lineRule="auto"/>
        <w:rPr>
          <w:sz w:val="20"/>
          <w:szCs w:val="20"/>
          <w:color w:val="auto"/>
        </w:rPr>
      </w:pPr>
      <w:r>
        <w:rPr>
          <w:rFonts w:ascii="Arial" w:cs="Arial" w:eastAsia="Arial" w:hAnsi="Arial"/>
          <w:sz w:val="20"/>
          <w:szCs w:val="20"/>
          <w:i w:val="1"/>
          <w:iCs w:val="1"/>
          <w:color w:val="auto"/>
        </w:rPr>
        <w:t xml:space="preserve">Year 5 </w:t>
      </w:r>
      <w:r>
        <w:rPr>
          <w:rFonts w:ascii="Arial" w:cs="Arial" w:eastAsia="Arial" w:hAnsi="Arial"/>
          <w:sz w:val="20"/>
          <w:szCs w:val="20"/>
          <w:color w:val="auto"/>
        </w:rPr>
        <w:t>: None — $1.45 million (20.0% multiplied by $7.25 million (cumulative realized capital gains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$9.75 million less realized capital losses of $2.5 million)) is less than $1.8 million cumulative capital gains incentive fee paid in Year 2 and Year 3 </w:t>
      </w:r>
      <w:r>
        <w:rPr>
          <w:rFonts w:ascii="Arial" w:cs="Arial" w:eastAsia="Arial" w:hAnsi="Arial"/>
          <w:sz w:val="12"/>
          <w:szCs w:val="12"/>
          <w:color w:val="auto"/>
        </w:rPr>
        <w:t>(2)</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 / 68</w:t>
      </w:r>
    </w:p>
    <w:p>
      <w:pPr>
        <w:sectPr>
          <w:pgSz w:w="11900" w:h="16838" w:orient="portrait"/>
          <w:cols w:equalWidth="0" w:num="1">
            <w:col w:w="9340"/>
          </w:cols>
          <w:pgMar w:left="1260" w:top="1440" w:right="1306" w:bottom="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910590</wp:posOffset>
            </wp:positionV>
            <wp:extent cx="24066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665" cy="6350"/>
                    </a:xfrm>
                    <a:prstGeom prst="rect">
                      <a:avLst/>
                    </a:prstGeom>
                    <a:noFill/>
                  </pic:spPr>
                </pic:pic>
              </a:graphicData>
            </a:graphic>
          </wp:anchor>
        </w:drawing>
      </w:r>
    </w:p>
    <w:p>
      <w:pPr>
        <w:spacing w:after="0" w:line="233" w:lineRule="exact"/>
        <w:rPr>
          <w:sz w:val="20"/>
          <w:szCs w:val="20"/>
          <w:color w:val="auto"/>
        </w:rPr>
      </w:pPr>
    </w:p>
    <w:p>
      <w:pPr>
        <w:ind w:left="426" w:right="80" w:hanging="426"/>
        <w:spacing w:after="0" w:line="310" w:lineRule="auto"/>
        <w:tabs>
          <w:tab w:leader="none" w:pos="426"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p>
      <w:pPr>
        <w:spacing w:after="0" w:line="15" w:lineRule="exact"/>
        <w:rPr>
          <w:sz w:val="20"/>
          <w:szCs w:val="20"/>
          <w:color w:val="auto"/>
        </w:rPr>
      </w:pPr>
    </w:p>
    <w:p>
      <w:pPr>
        <w:ind w:left="426" w:right="60" w:hanging="426"/>
        <w:spacing w:after="0" w:line="329" w:lineRule="auto"/>
        <w:tabs>
          <w:tab w:leader="none" w:pos="42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spacing w:after="0" w:line="1" w:lineRule="exact"/>
        <w:rPr>
          <w:rFonts w:ascii="Arial" w:cs="Arial" w:eastAsia="Arial" w:hAnsi="Arial"/>
          <w:sz w:val="19"/>
          <w:szCs w:val="19"/>
          <w:color w:val="auto"/>
        </w:rPr>
      </w:pPr>
    </w:p>
    <w:p>
      <w:pPr>
        <w:ind w:left="426" w:hanging="426"/>
        <w:spacing w:after="0" w:line="330" w:lineRule="auto"/>
        <w:tabs>
          <w:tab w:leader="none" w:pos="42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35 / 68</w:t>
      </w:r>
    </w:p>
    <w:p>
      <w:pPr>
        <w:sectPr>
          <w:pgSz w:w="11900" w:h="16838" w:orient="portrait"/>
          <w:cols w:equalWidth="0" w:num="1">
            <w:col w:w="9386"/>
          </w:cols>
          <w:pgMar w:left="1254" w:top="1440" w:right="1266" w:bottom="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Payment of Our Expenses</w:t>
      </w:r>
    </w:p>
    <w:p>
      <w:pPr>
        <w:spacing w:after="0" w:line="170" w:lineRule="exact"/>
        <w:rPr>
          <w:sz w:val="20"/>
          <w:szCs w:val="20"/>
          <w:color w:val="auto"/>
        </w:rPr>
      </w:pPr>
    </w:p>
    <w:p>
      <w:pPr>
        <w:jc w:val="both"/>
        <w:ind w:right="40" w:firstLine="551"/>
        <w:spacing w:after="0" w:line="351" w:lineRule="auto"/>
        <w:rPr>
          <w:sz w:val="20"/>
          <w:szCs w:val="20"/>
          <w:color w:val="auto"/>
        </w:rPr>
      </w:pPr>
      <w:r>
        <w:rPr>
          <w:rFonts w:ascii="Arial" w:cs="Arial" w:eastAsia="Arial" w:hAnsi="Arial"/>
          <w:sz w:val="18"/>
          <w:szCs w:val="18"/>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Duration and Termination</w:t>
      </w:r>
    </w:p>
    <w:p>
      <w:pPr>
        <w:spacing w:after="0" w:line="260" w:lineRule="exact"/>
        <w:rPr>
          <w:sz w:val="20"/>
          <w:szCs w:val="20"/>
          <w:color w:val="auto"/>
        </w:rPr>
      </w:pPr>
    </w:p>
    <w:p>
      <w:pPr>
        <w:jc w:val="both"/>
        <w:ind w:right="40" w:firstLine="549"/>
        <w:spacing w:after="0" w:line="329" w:lineRule="auto"/>
        <w:rPr>
          <w:sz w:val="20"/>
          <w:szCs w:val="20"/>
          <w:color w:val="auto"/>
        </w:rPr>
      </w:pPr>
      <w:r>
        <w:rPr>
          <w:rFonts w:ascii="Arial" w:cs="Arial" w:eastAsia="Arial" w:hAnsi="Arial"/>
          <w:sz w:val="19"/>
          <w:szCs w:val="19"/>
          <w:color w:val="auto"/>
        </w:rPr>
        <w:t>Most recently, at a meeting of our board of directors on June 11, 2025, our board of directors, including a majority of the Independent Directors, unanimously voted to approve the continuation of the Investment Advisory Agreement to June 20, 2026.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83" w:lineRule="exact"/>
        <w:rPr>
          <w:sz w:val="20"/>
          <w:szCs w:val="20"/>
          <w:color w:val="auto"/>
        </w:rPr>
      </w:pPr>
    </w:p>
    <w:p>
      <w:pPr>
        <w:jc w:val="both"/>
        <w:ind w:right="40" w:firstLine="549"/>
        <w:spacing w:after="0" w:line="309" w:lineRule="auto"/>
        <w:rPr>
          <w:sz w:val="20"/>
          <w:szCs w:val="20"/>
          <w:color w:val="auto"/>
        </w:rPr>
      </w:pPr>
      <w:r>
        <w:rPr>
          <w:rFonts w:ascii="Arial" w:cs="Arial" w:eastAsia="Arial" w:hAnsi="Arial"/>
          <w:sz w:val="20"/>
          <w:szCs w:val="20"/>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226" w:lineRule="exact"/>
        <w:rPr>
          <w:sz w:val="20"/>
          <w:szCs w:val="20"/>
          <w:color w:val="auto"/>
        </w:rPr>
      </w:pPr>
    </w:p>
    <w:p>
      <w:pPr>
        <w:ind w:left="1220" w:right="340" w:hanging="486"/>
        <w:spacing w:after="0" w:line="307" w:lineRule="auto"/>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nature, quality and extent of the advisory and other services (including administrative services provided under the Administrative Agreement as discussed below) provided to us by our investment advisor;</w:t>
      </w:r>
    </w:p>
    <w:p>
      <w:pPr>
        <w:spacing w:after="0" w:line="137" w:lineRule="exact"/>
        <w:rPr>
          <w:rFonts w:ascii="Arial" w:cs="Arial" w:eastAsia="Arial" w:hAnsi="Arial"/>
          <w:sz w:val="20"/>
          <w:szCs w:val="20"/>
          <w:color w:val="auto"/>
        </w:rPr>
      </w:pPr>
    </w:p>
    <w:p>
      <w:pPr>
        <w:ind w:left="1220" w:hanging="486"/>
        <w:spacing w:after="0"/>
        <w:tabs>
          <w:tab w:leader="none" w:pos="1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fee structure of comparable externally managed BDCs with similar investment objectives;</w:t>
      </w:r>
    </w:p>
    <w:p>
      <w:pPr>
        <w:spacing w:after="0" w:line="201" w:lineRule="exact"/>
        <w:rPr>
          <w:rFonts w:ascii="Arial" w:cs="Arial" w:eastAsia="Arial" w:hAnsi="Arial"/>
          <w:sz w:val="19"/>
          <w:szCs w:val="19"/>
          <w:color w:val="auto"/>
        </w:rPr>
      </w:pPr>
    </w:p>
    <w:p>
      <w:pPr>
        <w:ind w:left="1220" w:right="1180" w:hanging="486"/>
        <w:spacing w:after="0" w:line="302" w:lineRule="auto"/>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existing and potential sources of indirect income to our investment advisor from its relationship with us and the profitability of that relationship;</w:t>
      </w:r>
    </w:p>
    <w:p>
      <w:pPr>
        <w:spacing w:after="0" w:line="141" w:lineRule="exact"/>
        <w:rPr>
          <w:rFonts w:ascii="Arial" w:cs="Arial" w:eastAsia="Arial" w:hAnsi="Arial"/>
          <w:sz w:val="20"/>
          <w:szCs w:val="20"/>
          <w:color w:val="auto"/>
        </w:rPr>
      </w:pPr>
    </w:p>
    <w:p>
      <w:pPr>
        <w:ind w:left="1220" w:right="380" w:hanging="486"/>
        <w:spacing w:after="0" w:line="302" w:lineRule="auto"/>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information about the services to be performed and the personnel performing such services under the Investment Advisory Agreement;</w:t>
      </w:r>
    </w:p>
    <w:p>
      <w:pPr>
        <w:spacing w:after="0" w:line="141" w:lineRule="exact"/>
        <w:rPr>
          <w:rFonts w:ascii="Arial" w:cs="Arial" w:eastAsia="Arial" w:hAnsi="Arial"/>
          <w:sz w:val="20"/>
          <w:szCs w:val="20"/>
          <w:color w:val="auto"/>
        </w:rPr>
      </w:pPr>
    </w:p>
    <w:p>
      <w:pPr>
        <w:ind w:left="1220" w:right="520" w:hanging="486"/>
        <w:spacing w:after="0" w:line="302" w:lineRule="auto"/>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organizational capability and financial condition of our investment advisor and its affiliates; and</w:t>
      </w:r>
    </w:p>
    <w:p>
      <w:pPr>
        <w:spacing w:after="0" w:line="131" w:lineRule="exact"/>
        <w:rPr>
          <w:rFonts w:ascii="Arial" w:cs="Arial" w:eastAsia="Arial" w:hAnsi="Arial"/>
          <w:sz w:val="20"/>
          <w:szCs w:val="20"/>
          <w:color w:val="auto"/>
        </w:rPr>
      </w:pPr>
    </w:p>
    <w:p>
      <w:pPr>
        <w:ind w:left="1220" w:hanging="486"/>
        <w:spacing w:after="0"/>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various other matters.</w:t>
      </w:r>
    </w:p>
    <w:p>
      <w:pPr>
        <w:spacing w:after="0" w:line="380" w:lineRule="exact"/>
        <w:rPr>
          <w:sz w:val="20"/>
          <w:szCs w:val="20"/>
          <w:color w:val="auto"/>
        </w:rPr>
      </w:pPr>
    </w:p>
    <w:p>
      <w:pPr>
        <w:jc w:val="both"/>
        <w:ind w:firstLine="549"/>
        <w:spacing w:after="0" w:line="350" w:lineRule="auto"/>
        <w:rPr>
          <w:sz w:val="20"/>
          <w:szCs w:val="20"/>
          <w:color w:val="auto"/>
        </w:rPr>
      </w:pPr>
      <w:r>
        <w:rPr>
          <w:rFonts w:ascii="Arial" w:cs="Arial" w:eastAsia="Arial" w:hAnsi="Arial"/>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 / 68</w:t>
      </w:r>
    </w:p>
    <w:p>
      <w:pPr>
        <w:sectPr>
          <w:pgSz w:w="11900" w:h="16838" w:orient="portrait"/>
          <w:cols w:equalWidth="0" w:num="1">
            <w:col w:w="9380"/>
          </w:cols>
          <w:pgMar w:left="1260" w:top="1440" w:right="1266" w:bottom="0" w:gutter="0" w:footer="0" w:header="0"/>
          <w:type w:val="continuous"/>
        </w:sectPr>
      </w:pPr>
    </w:p>
    <w:bookmarkStart w:id="36" w:name="page37"/>
    <w:bookmarkEnd w:id="36"/>
    <w:p>
      <w:pPr>
        <w:jc w:val="both"/>
        <w:ind w:right="60" w:firstLine="551"/>
        <w:spacing w:after="0" w:line="330" w:lineRule="auto"/>
        <w:rPr>
          <w:sz w:val="20"/>
          <w:szCs w:val="20"/>
          <w:color w:val="auto"/>
        </w:rPr>
      </w:pPr>
      <w:r>
        <w:rPr>
          <w:rFonts w:ascii="Arial" w:cs="Arial" w:eastAsia="Arial" w:hAnsi="Arial"/>
          <w:sz w:val="19"/>
          <w:szCs w:val="19"/>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78" w:lineRule="exact"/>
        <w:rPr>
          <w:sz w:val="20"/>
          <w:szCs w:val="20"/>
          <w:color w:val="auto"/>
        </w:rPr>
      </w:pPr>
    </w:p>
    <w:p>
      <w:pPr>
        <w:jc w:val="both"/>
        <w:ind w:right="40" w:firstLine="549"/>
        <w:spacing w:after="0" w:line="310" w:lineRule="auto"/>
        <w:rPr>
          <w:sz w:val="20"/>
          <w:szCs w:val="20"/>
          <w:color w:val="auto"/>
        </w:rPr>
      </w:pPr>
      <w:r>
        <w:rPr>
          <w:rFonts w:ascii="Arial" w:cs="Arial" w:eastAsia="Arial" w:hAnsi="Arial"/>
          <w:sz w:val="20"/>
          <w:szCs w:val="20"/>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95" w:lineRule="exact"/>
        <w:rPr>
          <w:sz w:val="20"/>
          <w:szCs w:val="20"/>
          <w:color w:val="auto"/>
        </w:rPr>
      </w:pPr>
    </w:p>
    <w:p>
      <w:pPr>
        <w:jc w:val="both"/>
        <w:ind w:right="40" w:firstLine="549"/>
        <w:spacing w:after="0" w:line="309" w:lineRule="auto"/>
        <w:rPr>
          <w:sz w:val="20"/>
          <w:szCs w:val="20"/>
          <w:color w:val="auto"/>
        </w:rPr>
      </w:pPr>
      <w:r>
        <w:rPr>
          <w:rFonts w:ascii="Arial" w:cs="Arial" w:eastAsia="Arial" w:hAnsi="Arial"/>
          <w:sz w:val="20"/>
          <w:szCs w:val="20"/>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Indemnification</w:t>
      </w:r>
    </w:p>
    <w:p>
      <w:pPr>
        <w:spacing w:after="0" w:line="260"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jc w:val="center"/>
        <w:spacing w:after="0" w:line="235" w:lineRule="auto"/>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 / 68</w:t>
      </w:r>
    </w:p>
    <w:p>
      <w:pPr>
        <w:sectPr>
          <w:pgSz w:w="11900" w:h="16838" w:orient="portrait"/>
          <w:cols w:equalWidth="0" w:num="1">
            <w:col w:w="9380"/>
          </w:cols>
          <w:pgMar w:left="1260" w:top="1173" w:right="1266" w:bottom="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 Agreement</w:t>
      </w:r>
    </w:p>
    <w:p>
      <w:pPr>
        <w:spacing w:after="0" w:line="260" w:lineRule="exact"/>
        <w:rPr>
          <w:sz w:val="20"/>
          <w:szCs w:val="20"/>
          <w:color w:val="auto"/>
        </w:rPr>
      </w:pPr>
    </w:p>
    <w:p>
      <w:pPr>
        <w:jc w:val="both"/>
        <w:ind w:firstLine="549"/>
        <w:spacing w:after="0" w:line="348" w:lineRule="auto"/>
        <w:rPr>
          <w:sz w:val="20"/>
          <w:szCs w:val="20"/>
          <w:color w:val="auto"/>
        </w:rPr>
      </w:pPr>
      <w:r>
        <w:rPr>
          <w:rFonts w:ascii="Arial" w:cs="Arial" w:eastAsia="Arial" w:hAnsi="Arial"/>
          <w:sz w:val="18"/>
          <w:szCs w:val="18"/>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78" w:lineRule="exact"/>
        <w:rPr>
          <w:sz w:val="20"/>
          <w:szCs w:val="20"/>
          <w:color w:val="auto"/>
        </w:rPr>
      </w:pPr>
    </w:p>
    <w:p>
      <w:pPr>
        <w:jc w:val="both"/>
        <w:ind w:firstLine="549"/>
        <w:spacing w:after="0" w:line="311" w:lineRule="auto"/>
        <w:rPr>
          <w:sz w:val="20"/>
          <w:szCs w:val="20"/>
          <w:color w:val="auto"/>
        </w:rPr>
      </w:pPr>
      <w:r>
        <w:rPr>
          <w:rFonts w:ascii="Arial" w:cs="Arial" w:eastAsia="Arial" w:hAnsi="Arial"/>
          <w:sz w:val="20"/>
          <w:szCs w:val="20"/>
          <w:color w:val="auto"/>
        </w:rPr>
        <w:t>Most recently, at a meeting of our board of directors on June 11, 2025, our board of directors, including a majority of the Independent Directors, unanimously voted to approve the continuation of the Administration Agreement to June 20, 2026.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198" w:lineRule="exact"/>
        <w:rPr>
          <w:sz w:val="20"/>
          <w:szCs w:val="20"/>
          <w:color w:val="auto"/>
        </w:rPr>
      </w:pPr>
    </w:p>
    <w:p>
      <w:pPr>
        <w:jc w:val="both"/>
        <w:ind w:right="20" w:firstLine="549"/>
        <w:spacing w:after="0" w:line="307" w:lineRule="auto"/>
        <w:rPr>
          <w:sz w:val="20"/>
          <w:szCs w:val="20"/>
          <w:color w:val="auto"/>
        </w:rPr>
      </w:pPr>
      <w:r>
        <w:rPr>
          <w:rFonts w:ascii="Arial" w:cs="Arial" w:eastAsia="Arial" w:hAnsi="Arial"/>
          <w:sz w:val="20"/>
          <w:szCs w:val="20"/>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Indemnification</w:t>
      </w:r>
    </w:p>
    <w:p>
      <w:pPr>
        <w:spacing w:after="0" w:line="260" w:lineRule="exact"/>
        <w:rPr>
          <w:sz w:val="20"/>
          <w:szCs w:val="20"/>
          <w:color w:val="auto"/>
        </w:rPr>
      </w:pPr>
    </w:p>
    <w:p>
      <w:pPr>
        <w:jc w:val="both"/>
        <w:ind w:right="20" w:firstLine="551"/>
        <w:spacing w:after="0" w:line="329" w:lineRule="auto"/>
        <w:rPr>
          <w:sz w:val="20"/>
          <w:szCs w:val="20"/>
          <w:color w:val="auto"/>
        </w:rPr>
      </w:pPr>
      <w:r>
        <w:rPr>
          <w:rFonts w:ascii="Arial" w:cs="Arial" w:eastAsia="Arial" w:hAnsi="Arial"/>
          <w:sz w:val="19"/>
          <w:szCs w:val="19"/>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 / 68</w:t>
      </w:r>
    </w:p>
    <w:p>
      <w:pPr>
        <w:sectPr>
          <w:pgSz w:w="11900" w:h="16838" w:orient="portrait"/>
          <w:cols w:equalWidth="0" w:num="1">
            <w:col w:w="9360"/>
          </w:cols>
          <w:pgMar w:left="1260" w:top="1440" w:right="1286" w:bottom="0" w:gutter="0" w:footer="0" w:header="0"/>
          <w:type w:val="continuous"/>
        </w:sectPr>
      </w:pPr>
    </w:p>
    <w:bookmarkStart w:id="38" w:name="page39"/>
    <w:bookmarkEnd w:id="38"/>
    <w:p>
      <w:pPr>
        <w:jc w:val="both"/>
        <w:ind w:firstLine="549"/>
        <w:spacing w:after="0" w:line="329" w:lineRule="auto"/>
        <w:rPr>
          <w:sz w:val="20"/>
          <w:szCs w:val="20"/>
          <w:color w:val="auto"/>
        </w:rPr>
      </w:pPr>
      <w:r>
        <w:rPr>
          <w:rFonts w:ascii="Arial" w:cs="Arial" w:eastAsia="Arial" w:hAnsi="Arial"/>
          <w:sz w:val="19"/>
          <w:szCs w:val="19"/>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60" w:lineRule="exact"/>
        <w:rPr>
          <w:sz w:val="20"/>
          <w:szCs w:val="20"/>
          <w:color w:val="auto"/>
        </w:rPr>
      </w:pPr>
    </w:p>
    <w:p>
      <w:pPr>
        <w:jc w:val="both"/>
        <w:ind w:right="60" w:firstLine="549"/>
        <w:spacing w:after="0" w:line="347" w:lineRule="auto"/>
        <w:rPr>
          <w:sz w:val="20"/>
          <w:szCs w:val="20"/>
          <w:color w:val="auto"/>
        </w:rPr>
      </w:pPr>
      <w:r>
        <w:rPr>
          <w:rFonts w:ascii="Arial" w:cs="Arial" w:eastAsia="Arial" w:hAnsi="Arial"/>
          <w:sz w:val="18"/>
          <w:szCs w:val="18"/>
          <w:color w:val="auto"/>
        </w:rPr>
        <w:t>We and Fund I have elected to be regulated as BDCs under the 1940 Act and we have elected, and intend to qualify annually,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jc w:val="center"/>
        <w:spacing w:after="0" w:line="235" w:lineRule="auto"/>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68</w:t>
      </w:r>
    </w:p>
    <w:p>
      <w:pPr>
        <w:sectPr>
          <w:pgSz w:w="11900" w:h="16838" w:orient="portrait"/>
          <w:cols w:equalWidth="0" w:num="1">
            <w:col w:w="9400"/>
          </w:cols>
          <w:pgMar w:left="1260" w:top="1173" w:right="1246" w:bottom="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 w:firstLine="551"/>
        <w:spacing w:after="0" w:line="347" w:lineRule="auto"/>
        <w:rPr>
          <w:sz w:val="20"/>
          <w:szCs w:val="20"/>
          <w:color w:val="auto"/>
        </w:rPr>
      </w:pPr>
      <w:r>
        <w:rPr>
          <w:rFonts w:ascii="Arial" w:cs="Arial" w:eastAsia="Arial" w:hAnsi="Arial"/>
          <w:sz w:val="18"/>
          <w:szCs w:val="18"/>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(including Section 3(c)</w:t>
      </w:r>
    </w:p>
    <w:p>
      <w:pPr>
        <w:spacing w:after="0" w:line="7" w:lineRule="exact"/>
        <w:rPr>
          <w:sz w:val="20"/>
          <w:szCs w:val="20"/>
          <w:color w:val="auto"/>
        </w:rPr>
      </w:pPr>
    </w:p>
    <w:p>
      <w:pPr>
        <w:jc w:val="both"/>
        <w:ind w:left="6" w:right="60" w:hanging="6"/>
        <w:spacing w:after="0" w:line="329" w:lineRule="auto"/>
        <w:tabs>
          <w:tab w:leader="none" w:pos="312"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and Section 3(c)(7) funds for this purpose), except for registered money market funds, that exceed the limits imposed by the 1940 Act. Under these limits, we generally cannot acquire more than 3% of the total outstanding voting stock of any investment company, invest more than 5% of the value of our total assets in securities issued by one investment company or invest more than 10% of the value of our total assets in securities issued by investment companies on an aggregate basis.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Qualifying Assets</w:t>
      </w:r>
    </w:p>
    <w:p>
      <w:pPr>
        <w:spacing w:after="0" w:line="170" w:lineRule="exact"/>
        <w:rPr>
          <w:sz w:val="20"/>
          <w:szCs w:val="20"/>
          <w:color w:val="auto"/>
        </w:rPr>
      </w:pPr>
    </w:p>
    <w:p>
      <w:pPr>
        <w:jc w:val="both"/>
        <w:ind w:left="6" w:right="60" w:firstLine="549"/>
        <w:spacing w:after="0" w:line="309" w:lineRule="auto"/>
        <w:rPr>
          <w:sz w:val="20"/>
          <w:szCs w:val="20"/>
          <w:color w:val="auto"/>
        </w:rPr>
      </w:pPr>
      <w:r>
        <w:rPr>
          <w:rFonts w:ascii="Arial" w:cs="Arial" w:eastAsia="Arial" w:hAnsi="Arial"/>
          <w:sz w:val="20"/>
          <w:szCs w:val="20"/>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346" w:lineRule="exact"/>
        <w:rPr>
          <w:sz w:val="20"/>
          <w:szCs w:val="20"/>
          <w:color w:val="auto"/>
        </w:rPr>
      </w:pPr>
    </w:p>
    <w:p>
      <w:pPr>
        <w:ind w:left="766" w:right="180" w:hanging="377"/>
        <w:spacing w:after="0" w:line="329" w:lineRule="auto"/>
        <w:tabs>
          <w:tab w:leader="none" w:pos="766"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ind w:left="1226" w:hanging="371"/>
        <w:spacing w:after="0"/>
        <w:tabs>
          <w:tab w:leader="none" w:pos="1226" w:val="left"/>
        </w:tabs>
        <w:numPr>
          <w:ilvl w:val="1"/>
          <w:numId w:val="23"/>
        </w:numPr>
        <w:rPr>
          <w:rFonts w:ascii="Arial" w:cs="Arial" w:eastAsia="Arial" w:hAnsi="Arial"/>
          <w:sz w:val="20"/>
          <w:szCs w:val="20"/>
          <w:color w:val="auto"/>
        </w:rPr>
      </w:pPr>
      <w:r>
        <w:rPr>
          <w:rFonts w:ascii="Arial" w:cs="Arial" w:eastAsia="Arial" w:hAnsi="Arial"/>
          <w:sz w:val="20"/>
          <w:szCs w:val="20"/>
          <w:color w:val="auto"/>
        </w:rPr>
        <w:t>is organized under the laws of, and has its principal place of business in, the U.S.;</w:t>
      </w:r>
    </w:p>
    <w:p>
      <w:pPr>
        <w:spacing w:after="0" w:line="79" w:lineRule="exact"/>
        <w:rPr>
          <w:rFonts w:ascii="Arial" w:cs="Arial" w:eastAsia="Arial" w:hAnsi="Arial"/>
          <w:sz w:val="20"/>
          <w:szCs w:val="20"/>
          <w:color w:val="auto"/>
        </w:rPr>
      </w:pPr>
    </w:p>
    <w:p>
      <w:pPr>
        <w:ind w:left="1226" w:right="60" w:hanging="371"/>
        <w:spacing w:after="0" w:line="307" w:lineRule="auto"/>
        <w:tabs>
          <w:tab w:leader="none" w:pos="1226" w:val="left"/>
        </w:tabs>
        <w:numPr>
          <w:ilvl w:val="1"/>
          <w:numId w:val="23"/>
        </w:numPr>
        <w:rPr>
          <w:rFonts w:ascii="Arial" w:cs="Arial" w:eastAsia="Arial" w:hAnsi="Arial"/>
          <w:sz w:val="20"/>
          <w:szCs w:val="20"/>
          <w:color w:val="auto"/>
        </w:rPr>
      </w:pPr>
      <w:r>
        <w:rPr>
          <w:rFonts w:ascii="Arial" w:cs="Arial" w:eastAsia="Arial" w:hAnsi="Arial"/>
          <w:sz w:val="20"/>
          <w:szCs w:val="20"/>
          <w:color w:val="auto"/>
        </w:rPr>
        <w:t>is not an investment company (other than a small business investment company wholly-owned by the BDC) or a company that would be an investment company but for certain exclusions under the 1940 Act; and</w:t>
      </w:r>
    </w:p>
    <w:p>
      <w:pPr>
        <w:spacing w:after="0" w:line="7" w:lineRule="exact"/>
        <w:rPr>
          <w:rFonts w:ascii="Arial" w:cs="Arial" w:eastAsia="Arial" w:hAnsi="Arial"/>
          <w:sz w:val="20"/>
          <w:szCs w:val="20"/>
          <w:color w:val="auto"/>
        </w:rPr>
      </w:pPr>
    </w:p>
    <w:p>
      <w:pPr>
        <w:ind w:left="1226" w:hanging="371"/>
        <w:spacing w:after="0"/>
        <w:tabs>
          <w:tab w:leader="none" w:pos="1226" w:val="left"/>
        </w:tabs>
        <w:numPr>
          <w:ilvl w:val="1"/>
          <w:numId w:val="23"/>
        </w:numPr>
        <w:rPr>
          <w:rFonts w:ascii="Arial" w:cs="Arial" w:eastAsia="Arial" w:hAnsi="Arial"/>
          <w:sz w:val="20"/>
          <w:szCs w:val="20"/>
          <w:color w:val="auto"/>
        </w:rPr>
      </w:pPr>
      <w:r>
        <w:rPr>
          <w:rFonts w:ascii="Arial" w:cs="Arial" w:eastAsia="Arial" w:hAnsi="Arial"/>
          <w:sz w:val="20"/>
          <w:szCs w:val="20"/>
          <w:color w:val="auto"/>
        </w:rPr>
        <w:t>satisfies either of the following:</w:t>
      </w:r>
    </w:p>
    <w:p>
      <w:pPr>
        <w:spacing w:after="0" w:line="79" w:lineRule="exact"/>
        <w:rPr>
          <w:rFonts w:ascii="Arial" w:cs="Arial" w:eastAsia="Arial" w:hAnsi="Arial"/>
          <w:sz w:val="20"/>
          <w:szCs w:val="20"/>
          <w:color w:val="auto"/>
        </w:rPr>
      </w:pPr>
    </w:p>
    <w:p>
      <w:pPr>
        <w:ind w:left="1626" w:right="160" w:hanging="304"/>
        <w:spacing w:after="0" w:line="307" w:lineRule="auto"/>
        <w:tabs>
          <w:tab w:leader="none" w:pos="1626" w:val="left"/>
        </w:tabs>
        <w:numPr>
          <w:ilvl w:val="2"/>
          <w:numId w:val="23"/>
        </w:numPr>
        <w:rPr>
          <w:rFonts w:ascii="Arial" w:cs="Arial" w:eastAsia="Arial" w:hAnsi="Arial"/>
          <w:sz w:val="20"/>
          <w:szCs w:val="20"/>
          <w:color w:val="auto"/>
        </w:rPr>
      </w:pPr>
      <w:r>
        <w:rPr>
          <w:rFonts w:ascii="Arial" w:cs="Arial" w:eastAsia="Arial" w:hAnsi="Arial"/>
          <w:sz w:val="20"/>
          <w:szCs w:val="20"/>
          <w:color w:val="auto"/>
        </w:rPr>
        <w:t>does not have any class of securities listed on a national securities exchange or has any class of securities listed on a national securities exchange subject to a $250.0 million market capitalization maximum; or</w:t>
      </w:r>
    </w:p>
    <w:p>
      <w:pPr>
        <w:spacing w:after="0" w:line="17" w:lineRule="exact"/>
        <w:rPr>
          <w:rFonts w:ascii="Arial" w:cs="Arial" w:eastAsia="Arial" w:hAnsi="Arial"/>
          <w:sz w:val="20"/>
          <w:szCs w:val="20"/>
          <w:color w:val="auto"/>
        </w:rPr>
      </w:pPr>
    </w:p>
    <w:p>
      <w:pPr>
        <w:jc w:val="both"/>
        <w:ind w:left="1626" w:right="100" w:hanging="304"/>
        <w:spacing w:after="0" w:line="347" w:lineRule="auto"/>
        <w:tabs>
          <w:tab w:leader="none" w:pos="1626" w:val="left"/>
        </w:tabs>
        <w:numPr>
          <w:ilvl w:val="2"/>
          <w:numId w:val="23"/>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ind w:left="766" w:hanging="377"/>
        <w:spacing w:after="0"/>
        <w:tabs>
          <w:tab w:leader="none" w:pos="766"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Securities of any eligible portfolio company which we control.</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40 / 68</w:t>
      </w:r>
    </w:p>
    <w:p>
      <w:pPr>
        <w:sectPr>
          <w:pgSz w:w="11900" w:h="16838" w:orient="portrait"/>
          <w:cols w:equalWidth="0" w:num="1">
            <w:col w:w="9406"/>
          </w:cols>
          <w:pgMar w:left="1254" w:top="1440" w:right="1246" w:bottom="0" w:gutter="0" w:footer="0" w:header="0"/>
          <w:type w:val="continuous"/>
        </w:sectPr>
      </w:pPr>
    </w:p>
    <w:bookmarkStart w:id="40" w:name="page41"/>
    <w:bookmarkEnd w:id="40"/>
    <w:p>
      <w:pPr>
        <w:ind w:left="760" w:right="60" w:hanging="377"/>
        <w:spacing w:after="0" w:line="329" w:lineRule="auto"/>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 w:lineRule="exact"/>
        <w:rPr>
          <w:rFonts w:ascii="Arial" w:cs="Arial" w:eastAsia="Arial" w:hAnsi="Arial"/>
          <w:sz w:val="19"/>
          <w:szCs w:val="19"/>
          <w:color w:val="auto"/>
        </w:rPr>
      </w:pPr>
    </w:p>
    <w:p>
      <w:pPr>
        <w:jc w:val="both"/>
        <w:ind w:left="760" w:right="60" w:hanging="377"/>
        <w:spacing w:after="0" w:line="307"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 w:lineRule="exact"/>
        <w:rPr>
          <w:rFonts w:ascii="Arial" w:cs="Arial" w:eastAsia="Arial" w:hAnsi="Arial"/>
          <w:sz w:val="20"/>
          <w:szCs w:val="20"/>
          <w:color w:val="auto"/>
        </w:rPr>
      </w:pPr>
    </w:p>
    <w:p>
      <w:pPr>
        <w:ind w:left="760" w:right="600" w:hanging="377"/>
        <w:spacing w:after="0" w:line="302"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Securities received in exchange for or distributed on or with respect to securities described above, or pursuant to the exercise of warrants or rights relating to such securities.</w:t>
      </w:r>
    </w:p>
    <w:p>
      <w:pPr>
        <w:spacing w:after="0" w:line="21" w:lineRule="exact"/>
        <w:rPr>
          <w:rFonts w:ascii="Arial" w:cs="Arial" w:eastAsia="Arial" w:hAnsi="Arial"/>
          <w:sz w:val="20"/>
          <w:szCs w:val="20"/>
          <w:color w:val="auto"/>
        </w:rPr>
      </w:pPr>
    </w:p>
    <w:p>
      <w:pPr>
        <w:ind w:left="760" w:right="220" w:hanging="377"/>
        <w:spacing w:after="0" w:line="302"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Cash, cash equivalents, U.S. government securities or high-quality debt securities that mature in one year or less from the date of investment.</w:t>
      </w:r>
    </w:p>
    <w:p>
      <w:pPr>
        <w:spacing w:after="0" w:line="201" w:lineRule="exact"/>
        <w:rPr>
          <w:sz w:val="20"/>
          <w:szCs w:val="20"/>
          <w:color w:val="auto"/>
        </w:rPr>
      </w:pPr>
    </w:p>
    <w:p>
      <w:pPr>
        <w:jc w:val="both"/>
        <w:ind w:right="60" w:firstLine="549"/>
        <w:spacing w:after="0" w:line="307" w:lineRule="auto"/>
        <w:rPr>
          <w:sz w:val="20"/>
          <w:szCs w:val="20"/>
          <w:color w:val="auto"/>
        </w:rPr>
      </w:pPr>
      <w:r>
        <w:rPr>
          <w:rFonts w:ascii="Arial" w:cs="Arial" w:eastAsia="Arial" w:hAnsi="Arial"/>
          <w:sz w:val="20"/>
          <w:szCs w:val="20"/>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Managerial Assistance to Portfolio Companies</w:t>
      </w:r>
    </w:p>
    <w:p>
      <w:pPr>
        <w:spacing w:after="0" w:line="260"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A BDC must be organized and have its principal place of business in the United States and must be operated for the purpose of making investments in the types of securities described in (a), (b) or (c) above. However, in order to count portfolio securities as qualifying assets for the purpose of the 70% requirement,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in its capacity as our administrator, has agreed to provide such managerial assistance on our behalf to portfolio companies that request this assistance. We may receive fees for these services and will reimburse our investment advisor, in its capacity as our administrator, for its allocated costs in providing such assistance.</w:t>
      </w: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558800</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68</w:t>
      </w:r>
    </w:p>
    <w:p>
      <w:pPr>
        <w:sectPr>
          <w:pgSz w:w="11900" w:h="16838" w:orient="portrait"/>
          <w:cols w:equalWidth="0" w:num="1">
            <w:col w:w="9400"/>
          </w:cols>
          <w:pgMar w:left="1260" w:top="1173" w:right="1246" w:bottom="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Investments</w:t>
      </w:r>
    </w:p>
    <w:p>
      <w:pPr>
        <w:spacing w:after="0" w:line="260" w:lineRule="exact"/>
        <w:rPr>
          <w:sz w:val="20"/>
          <w:szCs w:val="20"/>
          <w:color w:val="auto"/>
        </w:rPr>
      </w:pPr>
    </w:p>
    <w:p>
      <w:pPr>
        <w:jc w:val="both"/>
        <w:ind w:firstLine="549"/>
        <w:spacing w:after="0" w:line="348"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(other than repurchase agreements fully collateralized by U.S. government securities), we would not satisfy the asset diversification requirements detailed in “Taxation as a RIC,” below.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Senior Securities</w:t>
      </w:r>
    </w:p>
    <w:p>
      <w:pPr>
        <w:spacing w:after="0" w:line="260"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We are permitted, under specified conditions, to issue multiple classes of indebtedness and one class of stock senior to our common stock if our asset coverage, as defined in the 1940 Act, is at least equal to 150%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that may have a negative effect on our growth.”</w:t>
      </w:r>
    </w:p>
    <w:p>
      <w:pPr>
        <w:spacing w:after="0" w:line="228" w:lineRule="exact"/>
        <w:rPr>
          <w:sz w:val="20"/>
          <w:szCs w:val="20"/>
          <w:color w:val="auto"/>
        </w:rPr>
      </w:pPr>
    </w:p>
    <w:p>
      <w:pPr>
        <w:jc w:val="both"/>
        <w:ind w:right="20" w:firstLine="551"/>
        <w:spacing w:after="0" w:line="331" w:lineRule="auto"/>
        <w:rPr>
          <w:sz w:val="20"/>
          <w:szCs w:val="20"/>
          <w:color w:val="auto"/>
        </w:rPr>
      </w:pPr>
      <w:r>
        <w:rPr>
          <w:rFonts w:ascii="Arial" w:cs="Arial" w:eastAsia="Arial" w:hAnsi="Arial"/>
          <w:sz w:val="19"/>
          <w:szCs w:val="19"/>
          <w:color w:val="auto"/>
        </w:rPr>
        <w:t>Rule 18f-4 under the 1940 Act relates to the use of derivatives and other transactions that create future payment or delivery obligations by BDCs (and other funds that are registered investment companies). Under Rule 18f-4, BDCs that use derivatives are subject to a value-at-risk leverage limit, certain derivatives risk management program and testing requirements, and requirements related to board reporting. These requirements apply unless the BDC qualifies as a “limited derivatives user,” as defined in Rule 18f-4. A BDC that enters into reverse repurchase agreements or similar financing transactions could either (i) comply with the asset coverage requirements of Section 18, as modified by Section 61 of the 1940 Act, when engaging in reverse repurchase agreements or (ii) choose to treat such agreements as derivative transactions under Rule 18f-4. In addition,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the unfunded commitments as a derivatives transaction subject to the aforementioned requirements of Rule 18f-4.</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 / 68</w:t>
      </w:r>
    </w:p>
    <w:p>
      <w:pPr>
        <w:sectPr>
          <w:pgSz w:w="11900" w:h="16838" w:orient="portrait"/>
          <w:cols w:equalWidth="0" w:num="1">
            <w:col w:w="9360"/>
          </w:cols>
          <w:pgMar w:left="1260" w:top="1440" w:right="1286"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Codes of Ethics</w:t>
      </w:r>
    </w:p>
    <w:p>
      <w:pPr>
        <w:spacing w:after="0" w:line="260"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website at www.sec.gov. The joint code of ethics is also available on our website at </w:t>
      </w:r>
      <w:r>
        <w:rPr>
          <w:rFonts w:ascii="Arial" w:cs="Arial" w:eastAsia="Arial" w:hAnsi="Arial"/>
          <w:sz w:val="19"/>
          <w:szCs w:val="19"/>
          <w:i w:val="1"/>
          <w:iCs w:val="1"/>
          <w:color w:val="auto"/>
        </w:rPr>
        <w:t>www.fdus.com</w:t>
      </w:r>
      <w:r>
        <w:rPr>
          <w:rFonts w:ascii="Arial" w:cs="Arial" w:eastAsia="Arial" w:hAnsi="Arial"/>
          <w:sz w:val="19"/>
          <w:szCs w:val="19"/>
          <w:color w:val="auto"/>
        </w:rPr>
        <w:t>. We have also adopted a code of business conduct that is applicable to all officers, directors and employees of Fidus and our investment advisor that is available on our website</w:t>
      </w:r>
      <w:r>
        <w:rPr>
          <w:rFonts w:ascii="Arial" w:cs="Arial" w:eastAsia="Arial" w:hAnsi="Arial"/>
          <w:sz w:val="19"/>
          <w:szCs w:val="19"/>
          <w:i w:val="1"/>
          <w:i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Voting Policies and Procedures</w:t>
      </w:r>
    </w:p>
    <w:p>
      <w:pPr>
        <w:spacing w:after="0" w:line="260"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jc w:val="center"/>
        <w:ind w:right="-39"/>
        <w:spacing w:after="0" w:line="234" w:lineRule="auto"/>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43 / 68</w:t>
      </w:r>
    </w:p>
    <w:p>
      <w:pPr>
        <w:sectPr>
          <w:pgSz w:w="11900" w:h="16838" w:orient="portrait"/>
          <w:cols w:equalWidth="0" w:num="1">
            <w:col w:w="9340"/>
          </w:cols>
          <w:pgMar w:left="1260" w:top="1163" w:right="1306" w:bottom="0"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Introduction</w:t>
      </w:r>
    </w:p>
    <w:p>
      <w:pPr>
        <w:spacing w:after="0" w:line="260" w:lineRule="exact"/>
        <w:rPr>
          <w:sz w:val="20"/>
          <w:szCs w:val="20"/>
          <w:color w:val="auto"/>
        </w:rPr>
      </w:pPr>
    </w:p>
    <w:p>
      <w:pPr>
        <w:jc w:val="both"/>
        <w:ind w:right="20" w:firstLine="549"/>
        <w:spacing w:after="0" w:line="307" w:lineRule="auto"/>
        <w:rPr>
          <w:sz w:val="20"/>
          <w:szCs w:val="20"/>
          <w:color w:val="auto"/>
        </w:rPr>
      </w:pPr>
      <w:r>
        <w:rPr>
          <w:rFonts w:ascii="Arial" w:cs="Arial" w:eastAsia="Arial" w:hAnsi="Arial"/>
          <w:sz w:val="20"/>
          <w:szCs w:val="20"/>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97" w:lineRule="exact"/>
        <w:rPr>
          <w:sz w:val="20"/>
          <w:szCs w:val="20"/>
          <w:color w:val="auto"/>
        </w:rPr>
      </w:pPr>
    </w:p>
    <w:p>
      <w:pPr>
        <w:ind w:right="80" w:firstLine="549"/>
        <w:spacing w:after="0" w:line="302" w:lineRule="auto"/>
        <w:rPr>
          <w:sz w:val="20"/>
          <w:szCs w:val="20"/>
          <w:color w:val="auto"/>
        </w:rPr>
      </w:pPr>
      <w:r>
        <w:rPr>
          <w:rFonts w:ascii="Arial" w:cs="Arial" w:eastAsia="Arial" w:hAnsi="Arial"/>
          <w:sz w:val="20"/>
          <w:szCs w:val="20"/>
          <w:color w:val="auto"/>
        </w:rPr>
        <w:t>Our investment advisor’s policies and procedures for voting proxies for its investment advisory clients are intended to comply with Section 206 of, and Rule 206(4)-6 under, the Advisers Act.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Proxy Policies</w:t>
      </w:r>
    </w:p>
    <w:p>
      <w:pPr>
        <w:spacing w:after="0" w:line="260" w:lineRule="exact"/>
        <w:rPr>
          <w:sz w:val="20"/>
          <w:szCs w:val="20"/>
          <w:color w:val="auto"/>
        </w:rPr>
      </w:pPr>
    </w:p>
    <w:p>
      <w:pPr>
        <w:jc w:val="both"/>
        <w:ind w:right="40" w:firstLine="549"/>
        <w:spacing w:after="0" w:line="350" w:lineRule="auto"/>
        <w:rPr>
          <w:sz w:val="20"/>
          <w:szCs w:val="20"/>
          <w:color w:val="auto"/>
        </w:rPr>
      </w:pPr>
      <w:r>
        <w:rPr>
          <w:rFonts w:ascii="Arial" w:cs="Arial" w:eastAsia="Arial" w:hAnsi="Arial"/>
          <w:sz w:val="18"/>
          <w:szCs w:val="18"/>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69"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Proxy Voting Records</w:t>
      </w:r>
    </w:p>
    <w:p>
      <w:pPr>
        <w:spacing w:after="0" w:line="260" w:lineRule="exact"/>
        <w:rPr>
          <w:sz w:val="20"/>
          <w:szCs w:val="20"/>
          <w:color w:val="auto"/>
        </w:rPr>
      </w:pPr>
    </w:p>
    <w:p>
      <w:pPr>
        <w:jc w:val="both"/>
        <w:ind w:right="60" w:firstLine="549"/>
        <w:spacing w:after="0" w:line="309" w:lineRule="auto"/>
        <w:rPr>
          <w:sz w:val="20"/>
          <w:szCs w:val="20"/>
          <w:color w:val="auto"/>
        </w:rPr>
      </w:pPr>
      <w:r>
        <w:rPr>
          <w:rFonts w:ascii="Arial" w:cs="Arial" w:eastAsia="Arial" w:hAnsi="Arial"/>
          <w:sz w:val="20"/>
          <w:szCs w:val="20"/>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Policies and Procedures</w:t>
      </w:r>
    </w:p>
    <w:p>
      <w:pPr>
        <w:spacing w:after="0" w:line="260" w:lineRule="exact"/>
        <w:rPr>
          <w:sz w:val="20"/>
          <w:szCs w:val="20"/>
          <w:color w:val="auto"/>
        </w:rPr>
      </w:pPr>
    </w:p>
    <w:p>
      <w:pPr>
        <w:jc w:val="both"/>
        <w:ind w:right="60" w:firstLine="549"/>
        <w:spacing w:after="0" w:line="330" w:lineRule="auto"/>
        <w:rPr>
          <w:sz w:val="20"/>
          <w:szCs w:val="20"/>
          <w:color w:val="auto"/>
        </w:rPr>
      </w:pPr>
      <w:r>
        <w:rPr>
          <w:rFonts w:ascii="Arial" w:cs="Arial" w:eastAsia="Arial" w:hAnsi="Arial"/>
          <w:sz w:val="19"/>
          <w:szCs w:val="19"/>
          <w:color w:val="auto"/>
        </w:rPr>
        <w:t>We, Fund I and our investment advisor have each adopted and implemented written policies and procedures reasonably designed to prevent violation of U.S.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Privacy Principles</w:t>
      </w:r>
    </w:p>
    <w:p>
      <w:pPr>
        <w:spacing w:after="0" w:line="260" w:lineRule="exact"/>
        <w:rPr>
          <w:sz w:val="20"/>
          <w:szCs w:val="20"/>
          <w:color w:val="auto"/>
        </w:rPr>
      </w:pPr>
    </w:p>
    <w:p>
      <w:pPr>
        <w:jc w:val="both"/>
        <w:ind w:firstLine="549"/>
        <w:spacing w:after="0" w:line="355"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68</w:t>
      </w:r>
    </w:p>
    <w:p>
      <w:pPr>
        <w:sectPr>
          <w:pgSz w:w="11900" w:h="16838" w:orient="portrait"/>
          <w:cols w:equalWidth="0" w:num="1">
            <w:col w:w="9400"/>
          </w:cols>
          <w:pgMar w:left="1260" w:top="1440" w:right="1246" w:bottom="0" w:gutter="0" w:footer="0" w:header="0"/>
          <w:type w:val="continuous"/>
        </w:sectPr>
      </w:pPr>
    </w:p>
    <w:bookmarkStart w:id="44" w:name="page45"/>
    <w:bookmarkEnd w:id="44"/>
    <w:p>
      <w:pPr>
        <w:jc w:val="both"/>
        <w:ind w:right="40" w:firstLine="549"/>
        <w:spacing w:after="0" w:line="309" w:lineRule="auto"/>
        <w:rPr>
          <w:sz w:val="20"/>
          <w:szCs w:val="20"/>
          <w:color w:val="auto"/>
        </w:rPr>
      </w:pPr>
      <w:r>
        <w:rPr>
          <w:rFonts w:ascii="Arial" w:cs="Arial" w:eastAsia="Arial" w:hAnsi="Arial"/>
          <w:sz w:val="20"/>
          <w:szCs w:val="20"/>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96" w:lineRule="exact"/>
        <w:rPr>
          <w:sz w:val="20"/>
          <w:szCs w:val="20"/>
          <w:color w:val="auto"/>
        </w:rPr>
      </w:pPr>
    </w:p>
    <w:p>
      <w:pPr>
        <w:jc w:val="both"/>
        <w:ind w:right="40" w:firstLine="549"/>
        <w:spacing w:after="0" w:line="309" w:lineRule="auto"/>
        <w:rPr>
          <w:sz w:val="20"/>
          <w:szCs w:val="20"/>
          <w:color w:val="auto"/>
        </w:rPr>
      </w:pPr>
      <w:r>
        <w:rPr>
          <w:rFonts w:ascii="Arial" w:cs="Arial" w:eastAsia="Arial" w:hAnsi="Arial"/>
          <w:sz w:val="20"/>
          <w:szCs w:val="20"/>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60" w:lineRule="exact"/>
        <w:rPr>
          <w:sz w:val="20"/>
          <w:szCs w:val="20"/>
          <w:color w:val="auto"/>
        </w:rPr>
      </w:pPr>
    </w:p>
    <w:p>
      <w:pPr>
        <w:jc w:val="both"/>
        <w:ind w:firstLine="549"/>
        <w:spacing w:after="0" w:line="347" w:lineRule="auto"/>
        <w:rPr>
          <w:sz w:val="20"/>
          <w:szCs w:val="20"/>
          <w:color w:val="auto"/>
        </w:rPr>
      </w:pPr>
      <w:r>
        <w:rPr>
          <w:rFonts w:ascii="Arial" w:cs="Arial" w:eastAsia="Arial" w:hAnsi="Arial"/>
          <w:sz w:val="18"/>
          <w:szCs w:val="18"/>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jc w:val="center"/>
        <w:spacing w:after="0" w:line="232" w:lineRule="auto"/>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68</w:t>
      </w:r>
    </w:p>
    <w:p>
      <w:pPr>
        <w:sectPr>
          <w:pgSz w:w="11900" w:h="16838" w:orient="portrait"/>
          <w:cols w:equalWidth="0" w:num="1">
            <w:col w:w="9380"/>
          </w:cols>
          <w:pgMar w:left="1260" w:top="1173" w:right="1266" w:bottom="0"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firstLine="551"/>
        <w:spacing w:after="0" w:line="330" w:lineRule="auto"/>
        <w:rPr>
          <w:sz w:val="20"/>
          <w:szCs w:val="20"/>
          <w:color w:val="auto"/>
        </w:rPr>
      </w:pPr>
      <w:r>
        <w:rPr>
          <w:rFonts w:ascii="Arial" w:cs="Arial" w:eastAsia="Arial" w:hAnsi="Arial"/>
          <w:sz w:val="19"/>
          <w:szCs w:val="19"/>
          <w:color w:val="auto"/>
        </w:rPr>
        <w:t>We may also be prohibited under the 1940 Act from knowingly participating in certain transactions with our affiliates without the prior approval of our Independent Directors and, in some cases, prior approval by the SEC. On June 30, 2014, we received an exemptive order from the SEC to permit us to exclude the senior securities issued by any SBIC subsidiary of the Company, including the SBIC Funds, from the definition of senior securities in the 150% asset coverage requirement applicable to the Company under the 1940 Act.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Small Business Administration Regulations</w:t>
      </w:r>
    </w:p>
    <w:p>
      <w:pPr>
        <w:spacing w:after="0" w:line="260" w:lineRule="exact"/>
        <w:rPr>
          <w:sz w:val="20"/>
          <w:szCs w:val="20"/>
          <w:color w:val="auto"/>
        </w:rPr>
      </w:pPr>
    </w:p>
    <w:p>
      <w:pPr>
        <w:jc w:val="both"/>
        <w:ind w:right="40" w:firstLine="549"/>
        <w:spacing w:after="0" w:line="355" w:lineRule="auto"/>
        <w:rPr>
          <w:sz w:val="20"/>
          <w:szCs w:val="20"/>
          <w:color w:val="auto"/>
        </w:rPr>
      </w:pPr>
      <w:r>
        <w:rPr>
          <w:rFonts w:ascii="Arial" w:cs="Arial" w:eastAsia="Arial" w:hAnsi="Arial"/>
          <w:sz w:val="18"/>
          <w:szCs w:val="18"/>
          <w:color w:val="auto"/>
        </w:rPr>
        <w:t>The SBIC Funds are licensed by the SBA to operate as SBICs under Section 301(c) of the Small Business Investment Act of 1958. Fund III and Fund IV received their SBIC licenses on March 21, 2019 and September 30, 2024, respectively. We may issue SBA debentures to fund additional investments through the SBIC Funds.</w:t>
      </w:r>
    </w:p>
    <w:p>
      <w:pPr>
        <w:spacing w:after="0" w:line="162" w:lineRule="exact"/>
        <w:rPr>
          <w:sz w:val="20"/>
          <w:szCs w:val="20"/>
          <w:color w:val="auto"/>
        </w:rPr>
      </w:pPr>
    </w:p>
    <w:p>
      <w:pPr>
        <w:jc w:val="both"/>
        <w:ind w:right="40" w:firstLine="549"/>
        <w:spacing w:after="0" w:line="352" w:lineRule="auto"/>
        <w:rPr>
          <w:sz w:val="20"/>
          <w:szCs w:val="20"/>
          <w:color w:val="auto"/>
        </w:rPr>
      </w:pPr>
      <w:r>
        <w:rPr>
          <w:rFonts w:ascii="Arial" w:cs="Arial" w:eastAsia="Arial" w:hAnsi="Arial"/>
          <w:sz w:val="18"/>
          <w:szCs w:val="18"/>
          <w:color w:val="auto"/>
        </w:rPr>
        <w:t>SBICs are designed to stimulate the flow of private equity capital to eligible "small businesses" as defined by the SBA. Under SBA regulations, SBICs can provide financing in the form of debt and/or equity securities and provide consulting and advisory services to “eligible” small businesses. The SBIC Funds have typically invested in senior subordinated debt, acquired warrants and/or made other equity investments in qualifying small businesses.</w:t>
      </w:r>
    </w:p>
    <w:p>
      <w:pPr>
        <w:spacing w:after="0" w:line="166"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Under current SBA regulations, eligible small businesses generally include businesses that (together with their affiliates) have a tangible net worth not exceeding $24.0 million and have average annual net income after U.S. federal income taxes not exceeding $8.0 million (average net income to be computed without benefit of any carryover loss) for the two most recent fiscal years. In addition, an SBIC must devote 25% of its investment capital to “smaller enterprises” as defined by the SBA. A smaller enterprise generally includes businesses (including their affiliates) that have a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enterprises,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86" w:lineRule="exact"/>
        <w:rPr>
          <w:sz w:val="20"/>
          <w:szCs w:val="20"/>
          <w:color w:val="auto"/>
        </w:rPr>
      </w:pPr>
    </w:p>
    <w:p>
      <w:pPr>
        <w:jc w:val="both"/>
        <w:ind w:firstLine="549"/>
        <w:spacing w:after="0" w:line="311" w:lineRule="auto"/>
        <w:rPr>
          <w:sz w:val="20"/>
          <w:szCs w:val="20"/>
          <w:color w:val="auto"/>
        </w:rPr>
      </w:pPr>
      <w:r>
        <w:rPr>
          <w:rFonts w:ascii="Arial" w:cs="Arial" w:eastAsia="Arial" w:hAnsi="Arial"/>
          <w:sz w:val="20"/>
          <w:szCs w:val="20"/>
          <w:color w:val="auto"/>
        </w:rPr>
        <w:t>The SBA prohibits an SBIC from providing funds to small businesses for certain purposes, such as relending and investments in businesses with the majority of their employees located outside of the U.S. and in businesses engaged in certain prohibited industries, such as project finance, real estate, or certain “passive” (non-operating) companies. In addition, under SBA regulations, without prior SBA approval, an SBIC may not invest more than 30% of its regulatory capital in any one portfolio company or its affiliates (assuming the SBIC intends to draw leverage equal to twice its regulatory capital).</w:t>
      </w:r>
    </w:p>
    <w:p>
      <w:pPr>
        <w:spacing w:after="0" w:line="192" w:lineRule="exact"/>
        <w:rPr>
          <w:sz w:val="20"/>
          <w:szCs w:val="20"/>
          <w:color w:val="auto"/>
        </w:rPr>
      </w:pPr>
    </w:p>
    <w:p>
      <w:pPr>
        <w:jc w:val="both"/>
        <w:ind w:right="40" w:firstLine="549"/>
        <w:spacing w:after="0" w:line="310" w:lineRule="auto"/>
        <w:rPr>
          <w:sz w:val="20"/>
          <w:szCs w:val="20"/>
          <w:color w:val="auto"/>
        </w:rPr>
      </w:pPr>
      <w:r>
        <w:rPr>
          <w:rFonts w:ascii="Arial" w:cs="Arial" w:eastAsia="Arial" w:hAnsi="Arial"/>
          <w:sz w:val="20"/>
          <w:szCs w:val="20"/>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95" w:lineRule="exact"/>
        <w:rPr>
          <w:sz w:val="20"/>
          <w:szCs w:val="20"/>
          <w:color w:val="auto"/>
        </w:rPr>
      </w:pPr>
    </w:p>
    <w:p>
      <w:pPr>
        <w:jc w:val="both"/>
        <w:ind w:right="40" w:firstLine="549"/>
        <w:spacing w:after="0" w:line="355" w:lineRule="auto"/>
        <w:rPr>
          <w:sz w:val="20"/>
          <w:szCs w:val="20"/>
          <w:color w:val="auto"/>
        </w:rPr>
      </w:pPr>
      <w:r>
        <w:rPr>
          <w:rFonts w:ascii="Arial" w:cs="Arial" w:eastAsia="Arial" w:hAnsi="Arial"/>
          <w:sz w:val="18"/>
          <w:szCs w:val="18"/>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 or more of a class of</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 / 68</w:t>
      </w:r>
    </w:p>
    <w:p>
      <w:pPr>
        <w:sectPr>
          <w:pgSz w:w="11900" w:h="16838" w:orient="portrait"/>
          <w:cols w:equalWidth="0" w:num="1">
            <w:col w:w="9380"/>
          </w:cols>
          <w:pgMar w:left="1260" w:top="1440" w:right="1266" w:bottom="0" w:gutter="0" w:footer="0" w:header="0"/>
          <w:type w:val="continuous"/>
        </w:sectPr>
      </w:pPr>
    </w:p>
    <w:bookmarkStart w:id="46" w:name="page47"/>
    <w:bookmarkEnd w:id="46"/>
    <w:p>
      <w:pPr>
        <w:jc w:val="both"/>
        <w:spacing w:after="0" w:line="307" w:lineRule="auto"/>
        <w:rPr>
          <w:sz w:val="20"/>
          <w:szCs w:val="20"/>
          <w:color w:val="auto"/>
        </w:rPr>
      </w:pPr>
      <w:r>
        <w:rPr>
          <w:rFonts w:ascii="Arial" w:cs="Arial" w:eastAsia="Arial" w:hAnsi="Arial"/>
          <w:sz w:val="20"/>
          <w:szCs w:val="20"/>
          <w:color w:val="auto"/>
        </w:rPr>
        <w:t>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97" w:lineRule="exact"/>
        <w:rPr>
          <w:sz w:val="20"/>
          <w:szCs w:val="20"/>
          <w:color w:val="auto"/>
        </w:rPr>
      </w:pPr>
    </w:p>
    <w:p>
      <w:pPr>
        <w:jc w:val="both"/>
        <w:ind w:firstLine="549"/>
        <w:spacing w:after="0" w:line="330" w:lineRule="auto"/>
        <w:rPr>
          <w:sz w:val="20"/>
          <w:szCs w:val="20"/>
          <w:color w:val="auto"/>
        </w:rPr>
      </w:pPr>
      <w:r>
        <w:rPr>
          <w:rFonts w:ascii="Arial" w:cs="Arial" w:eastAsia="Arial" w:hAnsi="Arial"/>
          <w:sz w:val="19"/>
          <w:szCs w:val="19"/>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78"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184" w:lineRule="exact"/>
        <w:rPr>
          <w:sz w:val="20"/>
          <w:szCs w:val="20"/>
          <w:color w:val="auto"/>
        </w:rPr>
      </w:pPr>
    </w:p>
    <w:p>
      <w:pPr>
        <w:jc w:val="both"/>
        <w:ind w:right="20" w:firstLine="549"/>
        <w:spacing w:after="0" w:line="302" w:lineRule="auto"/>
        <w:rPr>
          <w:sz w:val="20"/>
          <w:szCs w:val="20"/>
          <w:color w:val="auto"/>
        </w:rPr>
      </w:pPr>
      <w:r>
        <w:rPr>
          <w:rFonts w:ascii="Arial" w:cs="Arial" w:eastAsia="Arial" w:hAnsi="Arial"/>
          <w:sz w:val="20"/>
          <w:szCs w:val="20"/>
          <w:color w:val="auto"/>
        </w:rPr>
        <w:t>SBICs are periodically examined and audited by the SBA’s staff to determine their compliance with SBA regulations and are periodically required to file certain forms with the SBA.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 / 68</w:t>
      </w:r>
    </w:p>
    <w:p>
      <w:pPr>
        <w:sectPr>
          <w:pgSz w:w="11900" w:h="16838" w:orient="portrait"/>
          <w:cols w:equalWidth="0" w:num="1">
            <w:col w:w="9340"/>
          </w:cols>
          <w:pgMar w:left="1260" w:top="1173" w:right="1306" w:bottom="0"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549"/>
        <w:spacing w:after="0" w:line="302" w:lineRule="auto"/>
        <w:rPr>
          <w:sz w:val="20"/>
          <w:szCs w:val="20"/>
          <w:color w:val="auto"/>
        </w:rPr>
      </w:pPr>
      <w:r>
        <w:rPr>
          <w:rFonts w:ascii="Arial" w:cs="Arial" w:eastAsia="Arial" w:hAnsi="Arial"/>
          <w:sz w:val="20"/>
          <w:szCs w:val="20"/>
          <w:color w:val="auto"/>
        </w:rPr>
        <w:t>Neither the SBA nor the U.S. government or any of its agencies or officers has approved any ownership interest to be issued by us or any obligation that we or any of our subsidiaries may incur.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Sarbanes-Oxley Act of 2002</w:t>
      </w:r>
    </w:p>
    <w:p>
      <w:pPr>
        <w:spacing w:after="0" w:line="260" w:lineRule="exact"/>
        <w:rPr>
          <w:sz w:val="20"/>
          <w:szCs w:val="20"/>
          <w:color w:val="auto"/>
        </w:rPr>
      </w:pPr>
    </w:p>
    <w:p>
      <w:pPr>
        <w:ind w:right="120" w:firstLine="549"/>
        <w:spacing w:after="0" w:line="363" w:lineRule="auto"/>
        <w:rPr>
          <w:sz w:val="20"/>
          <w:szCs w:val="20"/>
          <w:color w:val="auto"/>
        </w:rPr>
      </w:pPr>
      <w:r>
        <w:rPr>
          <w:rFonts w:ascii="Arial" w:cs="Arial" w:eastAsia="Arial" w:hAnsi="Arial"/>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304" w:lineRule="exact"/>
        <w:rPr>
          <w:sz w:val="20"/>
          <w:szCs w:val="20"/>
          <w:color w:val="auto"/>
        </w:rPr>
      </w:pPr>
    </w:p>
    <w:p>
      <w:pPr>
        <w:jc w:val="both"/>
        <w:ind w:left="1260" w:right="300" w:hanging="503"/>
        <w:spacing w:after="0" w:line="307"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17" w:lineRule="exact"/>
        <w:rPr>
          <w:rFonts w:ascii="Arial" w:cs="Arial" w:eastAsia="Arial" w:hAnsi="Arial"/>
          <w:sz w:val="20"/>
          <w:szCs w:val="20"/>
          <w:color w:val="auto"/>
        </w:rPr>
      </w:pPr>
    </w:p>
    <w:p>
      <w:pPr>
        <w:ind w:left="1260" w:right="60" w:hanging="503"/>
        <w:spacing w:after="0" w:line="302"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pursuant to Item 307 under Regulation S-K, our periodic reports must disclose our conclusions about the effectiveness of our disclosure controls and procedures;</w:t>
      </w:r>
    </w:p>
    <w:p>
      <w:pPr>
        <w:spacing w:after="0" w:line="21" w:lineRule="exact"/>
        <w:rPr>
          <w:rFonts w:ascii="Arial" w:cs="Arial" w:eastAsia="Arial" w:hAnsi="Arial"/>
          <w:sz w:val="20"/>
          <w:szCs w:val="20"/>
          <w:color w:val="auto"/>
        </w:rPr>
      </w:pPr>
    </w:p>
    <w:p>
      <w:pPr>
        <w:ind w:left="1260" w:right="360" w:hanging="503"/>
        <w:spacing w:after="0" w:line="329" w:lineRule="auto"/>
        <w:tabs>
          <w:tab w:leader="none" w:pos="12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pursuant to Rule 13a-15 under the Exchange Act, our management must prepare an annual report regarding its assessment of our internal control over financial reporting; and</w:t>
      </w:r>
    </w:p>
    <w:p>
      <w:pPr>
        <w:ind w:left="1260" w:right="120" w:hanging="503"/>
        <w:spacing w:after="0" w:line="310"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95" w:lineRule="exact"/>
        <w:rPr>
          <w:sz w:val="20"/>
          <w:szCs w:val="20"/>
          <w:color w:val="auto"/>
        </w:rPr>
      </w:pPr>
    </w:p>
    <w:p>
      <w:pPr>
        <w:jc w:val="both"/>
        <w:ind w:right="40" w:firstLine="549"/>
        <w:spacing w:after="0" w:line="309" w:lineRule="auto"/>
        <w:rPr>
          <w:sz w:val="20"/>
          <w:szCs w:val="20"/>
          <w:color w:val="auto"/>
        </w:rPr>
      </w:pPr>
      <w:r>
        <w:rPr>
          <w:rFonts w:ascii="Arial" w:cs="Arial" w:eastAsia="Arial" w:hAnsi="Arial"/>
          <w:sz w:val="20"/>
          <w:szCs w:val="20"/>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NASDAQ Global Select Market Corporate Governance Regulations</w:t>
      </w:r>
    </w:p>
    <w:p>
      <w:pPr>
        <w:spacing w:after="0" w:line="260" w:lineRule="exact"/>
        <w:rPr>
          <w:sz w:val="20"/>
          <w:szCs w:val="20"/>
          <w:color w:val="auto"/>
        </w:rPr>
      </w:pPr>
    </w:p>
    <w:p>
      <w:pPr>
        <w:jc w:val="both"/>
        <w:ind w:right="100" w:firstLine="549"/>
        <w:spacing w:after="0" w:line="307" w:lineRule="auto"/>
        <w:rPr>
          <w:sz w:val="20"/>
          <w:szCs w:val="20"/>
          <w:color w:val="auto"/>
        </w:rPr>
      </w:pPr>
      <w:r>
        <w:rPr>
          <w:rFonts w:ascii="Arial" w:cs="Arial" w:eastAsia="Arial" w:hAnsi="Arial"/>
          <w:sz w:val="20"/>
          <w:szCs w:val="20"/>
          <w:color w:val="auto"/>
        </w:rPr>
        <w:t>The NASDAQ Global Select Market has adopted corporate governance regulations with which listed companies must comply. We are in compliance with such corporate governance listing standards applicable to BDCs.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to Be Taxed as a RIC</w:t>
      </w:r>
    </w:p>
    <w:p>
      <w:pPr>
        <w:spacing w:after="0" w:line="260" w:lineRule="exact"/>
        <w:rPr>
          <w:sz w:val="20"/>
          <w:szCs w:val="20"/>
          <w:color w:val="auto"/>
        </w:rPr>
      </w:pPr>
    </w:p>
    <w:p>
      <w:pPr>
        <w:jc w:val="both"/>
        <w:ind w:right="60" w:firstLine="551"/>
        <w:spacing w:after="0" w:line="350" w:lineRule="auto"/>
        <w:rPr>
          <w:sz w:val="20"/>
          <w:szCs w:val="20"/>
          <w:color w:val="auto"/>
        </w:rPr>
      </w:pPr>
      <w:r>
        <w:rPr>
          <w:rFonts w:ascii="Arial" w:cs="Arial" w:eastAsia="Arial" w:hAnsi="Arial"/>
          <w:sz w:val="18"/>
          <w:szCs w:val="18"/>
          <w:color w:val="auto"/>
        </w:rPr>
        <w:t>We have elected and intend to qualify annually as a RIC for U.S. federal income tax purposes; however, no assurance can be given that we will be able to maintain our RIC tax treatment. To qualify as a RIC, we must, among other things, meet certain source-of-income and asset diversification requirements (as described below). In addition, we generally are required to distribute to our stockholders on a timely basis each year, at least 90% of our “investment company taxable income,” which is our net ordinary income plus the excess, if any, of realized net short-term capital gain over realized net long-term capital loss (the “Annual Distribution Requirement”).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Taxation as a RIC</w:t>
      </w:r>
    </w:p>
    <w:p>
      <w:pPr>
        <w:spacing w:after="0" w:line="260" w:lineRule="exact"/>
        <w:rPr>
          <w:sz w:val="20"/>
          <w:szCs w:val="20"/>
          <w:color w:val="auto"/>
        </w:rPr>
      </w:pPr>
    </w:p>
    <w:p>
      <w:pPr>
        <w:jc w:val="both"/>
        <w:ind w:firstLine="549"/>
        <w:spacing w:after="0" w:line="352" w:lineRule="auto"/>
        <w:rPr>
          <w:sz w:val="20"/>
          <w:szCs w:val="20"/>
          <w:color w:val="auto"/>
        </w:rPr>
      </w:pPr>
      <w:r>
        <w:rPr>
          <w:rFonts w:ascii="Arial" w:cs="Arial" w:eastAsia="Arial" w:hAnsi="Arial"/>
          <w:sz w:val="18"/>
          <w:szCs w:val="18"/>
          <w:color w:val="auto"/>
        </w:rPr>
        <w:t>Provided that we maintain our status as a RIC and satisfy the Annual Distribution Requirement, we will not be subject to U.S. federal income tax on the portion of our investment company taxable income and net capital gain that we timely distribute to stockholders as dividends. We will be subject to U.S. federal income tax imposed at corporate rates on any income or capital gain not distributed (or deemed distributed) to our stockholders.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68</w:t>
      </w:r>
    </w:p>
    <w:p>
      <w:pPr>
        <w:sectPr>
          <w:pgSz w:w="11900" w:h="16838" w:orient="portrait"/>
          <w:cols w:equalWidth="0" w:num="1">
            <w:col w:w="9400"/>
          </w:cols>
          <w:pgMar w:left="1260" w:top="1440" w:right="1246" w:bottom="0" w:gutter="0" w:footer="0" w:header="0"/>
          <w:type w:val="continuous"/>
        </w:sectPr>
      </w:pPr>
    </w:p>
    <w:bookmarkStart w:id="48" w:name="page49"/>
    <w:bookmarkEnd w:id="48"/>
    <w:p>
      <w:pPr>
        <w:jc w:val="both"/>
        <w:ind w:firstLine="549"/>
        <w:spacing w:after="0" w:line="330" w:lineRule="auto"/>
        <w:rPr>
          <w:sz w:val="20"/>
          <w:szCs w:val="20"/>
          <w:color w:val="auto"/>
        </w:rPr>
      </w:pPr>
      <w:r>
        <w:rPr>
          <w:rFonts w:ascii="Arial" w:cs="Arial" w:eastAsia="Arial" w:hAnsi="Arial"/>
          <w:sz w:val="19"/>
          <w:szCs w:val="19"/>
          <w:color w:val="auto"/>
        </w:rPr>
        <w:t>In addition we will be subject to a nondeductible 4% U.S. federal excise tax on certain undistributed income unless we distribute in a timely manner an amount at least equal to the sum of (i) 98% of our net ordinary income for each calendar year, (ii) 98.2% of the amount by which our capital gain exceeds our capital loss (adjusted for certain ordinary losses) for the one-year period ending October 31 in that calendar year and (iii) certain undistributed amounts from previous years on which we paid no U.S. federal income tax.</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order to maintain our status as a RIC for U.S. federal income tax purposes, we must, among other things:</w:t>
      </w:r>
    </w:p>
    <w:p>
      <w:pPr>
        <w:spacing w:after="0" w:line="200" w:lineRule="exact"/>
        <w:rPr>
          <w:sz w:val="20"/>
          <w:szCs w:val="20"/>
          <w:color w:val="auto"/>
        </w:rPr>
      </w:pPr>
    </w:p>
    <w:p>
      <w:pPr>
        <w:spacing w:after="0" w:line="223" w:lineRule="exact"/>
        <w:rPr>
          <w:sz w:val="20"/>
          <w:szCs w:val="20"/>
          <w:color w:val="auto"/>
        </w:rPr>
      </w:pPr>
    </w:p>
    <w:p>
      <w:pPr>
        <w:ind w:left="840" w:right="180" w:hanging="318"/>
        <w:spacing w:after="0" w:line="302"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continue to qualify as a BDC or be registered as a management investment company under the 1940 Act at all times during each taxable year;</w:t>
      </w:r>
    </w:p>
    <w:p>
      <w:pPr>
        <w:spacing w:after="0" w:line="21" w:lineRule="exact"/>
        <w:rPr>
          <w:rFonts w:ascii="Arial" w:cs="Arial" w:eastAsia="Arial" w:hAnsi="Arial"/>
          <w:sz w:val="20"/>
          <w:szCs w:val="20"/>
          <w:color w:val="auto"/>
        </w:rPr>
      </w:pPr>
    </w:p>
    <w:p>
      <w:pPr>
        <w:ind w:left="840" w:right="360" w:hanging="318"/>
        <w:spacing w:after="0" w:line="329" w:lineRule="auto"/>
        <w:tabs>
          <w:tab w:leader="none" w:pos="8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derive in each taxable year at least 90% of our gross income from dividends, interest, payments with respect to certain securities loans, gains from the sale or other taxable disposition of stock or other securities or foreign currencies, other income derived with respect to our business of investing in such stock, securities or currencies and net income derived from certain “qualified publicly traded partnership” (as defined in the Code) (the “90% Income Test”);</w:t>
      </w:r>
    </w:p>
    <w:p>
      <w:pPr>
        <w:ind w:left="840" w:hanging="318"/>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satisfy the Annual Distribution Requirement; and</w:t>
      </w:r>
    </w:p>
    <w:p>
      <w:pPr>
        <w:spacing w:after="0" w:line="70" w:lineRule="exact"/>
        <w:rPr>
          <w:rFonts w:ascii="Arial" w:cs="Arial" w:eastAsia="Arial" w:hAnsi="Arial"/>
          <w:sz w:val="20"/>
          <w:szCs w:val="20"/>
          <w:color w:val="auto"/>
        </w:rPr>
      </w:pPr>
    </w:p>
    <w:p>
      <w:pPr>
        <w:ind w:left="840" w:hanging="318"/>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diversify our holdings so that at the end of each quarter of the taxable year:</w:t>
      </w:r>
    </w:p>
    <w:p>
      <w:pPr>
        <w:spacing w:after="0" w:line="79" w:lineRule="exact"/>
        <w:rPr>
          <w:rFonts w:ascii="Arial" w:cs="Arial" w:eastAsia="Arial" w:hAnsi="Arial"/>
          <w:sz w:val="20"/>
          <w:szCs w:val="20"/>
          <w:color w:val="auto"/>
        </w:rPr>
      </w:pPr>
    </w:p>
    <w:p>
      <w:pPr>
        <w:ind w:left="1380" w:right="360" w:hanging="452"/>
        <w:spacing w:after="0" w:line="309" w:lineRule="auto"/>
        <w:tabs>
          <w:tab w:leader="none" w:pos="13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 / 68</w:t>
      </w:r>
    </w:p>
    <w:p>
      <w:pPr>
        <w:sectPr>
          <w:pgSz w:w="11900" w:h="16838" w:orient="portrait"/>
          <w:cols w:equalWidth="0" w:num="1">
            <w:col w:w="9360"/>
          </w:cols>
          <w:pgMar w:left="1260" w:top="1173" w:right="1286" w:bottom="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80" w:right="240" w:hanging="452"/>
        <w:spacing w:after="0" w:line="311" w:lineRule="auto"/>
        <w:tabs>
          <w:tab w:leader="none" w:pos="1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 more than 25% of the value of our assets is invested in (i) the securities, other than U.S. Government securities or securities of other RICs, of one issuer, (ii) the securities, other than securities of other RICs, of two or more issuers that are controlled by us and which are determined, under applicable Code rules, to be engaged in the same or similar or related trades or businesses, or (iii) the securities of one or more “qualified publicly traded partnerships” (the “Diversification Tests”).</w:t>
      </w:r>
    </w:p>
    <w:p>
      <w:pPr>
        <w:spacing w:after="0" w:line="192" w:lineRule="exact"/>
        <w:rPr>
          <w:sz w:val="20"/>
          <w:szCs w:val="20"/>
          <w:color w:val="auto"/>
        </w:rPr>
      </w:pPr>
    </w:p>
    <w:p>
      <w:pPr>
        <w:jc w:val="both"/>
        <w:ind w:right="20" w:firstLine="549"/>
        <w:spacing w:after="0" w:line="311" w:lineRule="auto"/>
        <w:rPr>
          <w:sz w:val="20"/>
          <w:szCs w:val="20"/>
          <w:color w:val="auto"/>
        </w:rPr>
      </w:pPr>
      <w:r>
        <w:rPr>
          <w:rFonts w:ascii="Arial" w:cs="Arial" w:eastAsia="Arial" w:hAnsi="Arial"/>
          <w:sz w:val="20"/>
          <w:szCs w:val="20"/>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such income generally will be treated as qualifying income for purposes of the 90% Income Test only to the extent that such income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94" w:lineRule="exact"/>
        <w:rPr>
          <w:sz w:val="20"/>
          <w:szCs w:val="20"/>
          <w:color w:val="auto"/>
        </w:rPr>
      </w:pPr>
    </w:p>
    <w:p>
      <w:pPr>
        <w:jc w:val="both"/>
        <w:ind w:right="60" w:firstLine="549"/>
        <w:spacing w:after="0" w:line="330" w:lineRule="auto"/>
        <w:rPr>
          <w:sz w:val="20"/>
          <w:szCs w:val="20"/>
          <w:color w:val="auto"/>
        </w:rPr>
      </w:pPr>
      <w:r>
        <w:rPr>
          <w:rFonts w:ascii="Arial" w:cs="Arial" w:eastAsia="Arial" w:hAnsi="Arial"/>
          <w:sz w:val="19"/>
          <w:szCs w:val="19"/>
          <w:color w:val="auto"/>
        </w:rPr>
        <w:t>In order to meet the 90% Income Test, we have established several special purpose corporations, and in the future may establish additional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spacing w:after="0" w:line="178" w:lineRule="exact"/>
        <w:rPr>
          <w:sz w:val="20"/>
          <w:szCs w:val="20"/>
          <w:color w:val="auto"/>
        </w:rPr>
      </w:pPr>
    </w:p>
    <w:p>
      <w:pPr>
        <w:jc w:val="both"/>
        <w:ind w:right="40" w:firstLine="549"/>
        <w:spacing w:after="0" w:line="350" w:lineRule="auto"/>
        <w:rPr>
          <w:sz w:val="20"/>
          <w:szCs w:val="20"/>
          <w:color w:val="auto"/>
        </w:rPr>
      </w:pPr>
      <w:r>
        <w:rPr>
          <w:rFonts w:ascii="Arial" w:cs="Arial" w:eastAsia="Arial" w:hAnsi="Arial"/>
          <w:sz w:val="18"/>
          <w:szCs w:val="18"/>
          <w:color w:val="auto"/>
        </w:rPr>
        <w:t>For U.S. federal income tax purposes, 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65" w:lineRule="exact"/>
        <w:rPr>
          <w:sz w:val="20"/>
          <w:szCs w:val="20"/>
          <w:color w:val="auto"/>
        </w:rPr>
      </w:pPr>
    </w:p>
    <w:p>
      <w:pPr>
        <w:jc w:val="both"/>
        <w:ind w:right="40" w:firstLine="549"/>
        <w:spacing w:after="0" w:line="329" w:lineRule="auto"/>
        <w:rPr>
          <w:sz w:val="20"/>
          <w:szCs w:val="20"/>
          <w:color w:val="auto"/>
        </w:rPr>
      </w:pPr>
      <w:r>
        <w:rPr>
          <w:rFonts w:ascii="Arial" w:cs="Arial" w:eastAsia="Arial" w:hAnsi="Arial"/>
          <w:sz w:val="19"/>
          <w:szCs w:val="19"/>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as a RIC and thus become subject to U.S. federal income tax.</w:t>
      </w:r>
    </w:p>
    <w:p>
      <w:pPr>
        <w:spacing w:after="0" w:line="183"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9"/>
          <w:szCs w:val="19"/>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68</w:t>
      </w:r>
    </w:p>
    <w:p>
      <w:pPr>
        <w:sectPr>
          <w:pgSz w:w="11900" w:h="16838" w:orient="portrait"/>
          <w:cols w:equalWidth="0" w:num="1">
            <w:col w:w="9400"/>
          </w:cols>
          <w:pgMar w:left="1260" w:top="1440" w:right="1246" w:bottom="0" w:gutter="0" w:footer="0" w:header="0"/>
          <w:type w:val="continuous"/>
        </w:sectPr>
      </w:pPr>
    </w:p>
    <w:bookmarkStart w:id="50" w:name="page51"/>
    <w:bookmarkEnd w:id="50"/>
    <w:p>
      <w:pPr>
        <w:jc w:val="both"/>
        <w:ind w:right="20" w:firstLine="549"/>
        <w:spacing w:after="0" w:line="307" w:lineRule="auto"/>
        <w:rPr>
          <w:sz w:val="20"/>
          <w:szCs w:val="20"/>
          <w:color w:val="auto"/>
        </w:rPr>
      </w:pPr>
      <w:r>
        <w:rPr>
          <w:rFonts w:ascii="Arial" w:cs="Arial" w:eastAsia="Arial" w:hAnsi="Arial"/>
          <w:sz w:val="20"/>
          <w:szCs w:val="20"/>
          <w:color w:val="auto"/>
        </w:rPr>
        <w:t>Gain or loss realized by us from warrants acquired by us, as well as any loss attributable to the lapse of such warrants, generally will be treated as capital gain or loss. Such capital gain or loss generally will be long-term or short-term, depending on how long we held a particular warrant.</w:t>
      </w:r>
    </w:p>
    <w:p>
      <w:pPr>
        <w:spacing w:after="0" w:line="197" w:lineRule="exact"/>
        <w:rPr>
          <w:sz w:val="20"/>
          <w:szCs w:val="20"/>
          <w:color w:val="auto"/>
        </w:rPr>
      </w:pPr>
    </w:p>
    <w:p>
      <w:pPr>
        <w:jc w:val="both"/>
        <w:ind w:firstLine="549"/>
        <w:spacing w:after="0" w:line="311" w:lineRule="auto"/>
        <w:rPr>
          <w:sz w:val="20"/>
          <w:szCs w:val="20"/>
          <w:color w:val="auto"/>
        </w:rPr>
      </w:pPr>
      <w:r>
        <w:rPr>
          <w:rFonts w:ascii="Arial" w:cs="Arial" w:eastAsia="Arial" w:hAnsi="Arial"/>
          <w:sz w:val="20"/>
          <w:szCs w:val="20"/>
          <w:color w:val="auto"/>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spacing w:after="0" w:line="198" w:lineRule="exact"/>
        <w:rPr>
          <w:sz w:val="20"/>
          <w:szCs w:val="20"/>
          <w:color w:val="auto"/>
        </w:rPr>
      </w:pPr>
    </w:p>
    <w:p>
      <w:pPr>
        <w:jc w:val="both"/>
        <w:ind w:right="20" w:firstLine="551"/>
        <w:spacing w:after="0" w:line="329" w:lineRule="auto"/>
        <w:rPr>
          <w:sz w:val="20"/>
          <w:szCs w:val="20"/>
          <w:color w:val="auto"/>
        </w:rPr>
      </w:pPr>
      <w:r>
        <w:rPr>
          <w:rFonts w:ascii="Arial" w:cs="Arial" w:eastAsia="Arial" w:hAnsi="Arial"/>
          <w:sz w:val="19"/>
          <w:szCs w:val="19"/>
          <w:color w:val="auto"/>
        </w:rPr>
        <w:t>Although we do not presently expect to do so, we are authorized to borrow funds and to sell assets in order to satisfy the Annual Distribution Requirement and to avoid imposition of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If we are prohibited from making distributions, we may fail to qualify for tax treatment as a RIC and become subject to U.S. federal income tax. Moreover, our ability to dispose of assets to satisfy the Annual Distribution Requirement and to avoid imposition of the 4% U.S. federal excise tax may be limited by (1) the illiquid nature of our portfolio and/or (2) other requirements relating to our status as a RIC, including the Diversification Tests. If we dispose of assets in order to meet the Annual Distribution Requirement or to avoid imposition of the 4% U.S. federal excise tax, we may make such dispositions at times that, from an investment standpoint, are not advantageous.</w:t>
      </w:r>
    </w:p>
    <w:p>
      <w:pPr>
        <w:jc w:val="center"/>
        <w:ind w:right="-19"/>
        <w:spacing w:after="0" w:line="235" w:lineRule="auto"/>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 / 68</w:t>
      </w:r>
    </w:p>
    <w:p>
      <w:pPr>
        <w:sectPr>
          <w:pgSz w:w="11900" w:h="16838" w:orient="portrait"/>
          <w:cols w:equalWidth="0" w:num="1">
            <w:col w:w="9360"/>
          </w:cols>
          <w:pgMar w:left="1260" w:top="1173" w:right="1286" w:bottom="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 w:firstLine="549"/>
        <w:spacing w:after="0" w:line="349" w:lineRule="auto"/>
        <w:rPr>
          <w:sz w:val="20"/>
          <w:szCs w:val="20"/>
          <w:color w:val="auto"/>
        </w:rPr>
      </w:pPr>
      <w:r>
        <w:rPr>
          <w:rFonts w:ascii="Arial" w:cs="Arial" w:eastAsia="Arial" w:hAnsi="Arial"/>
          <w:sz w:val="18"/>
          <w:szCs w:val="18"/>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w:t>
      </w:r>
    </w:p>
    <w:p>
      <w:pPr>
        <w:spacing w:after="0" w:line="166" w:lineRule="exact"/>
        <w:rPr>
          <w:sz w:val="20"/>
          <w:szCs w:val="20"/>
          <w:color w:val="auto"/>
        </w:rPr>
      </w:pPr>
    </w:p>
    <w:p>
      <w:pPr>
        <w:jc w:val="both"/>
        <w:ind w:left="6" w:right="60" w:firstLine="549"/>
        <w:spacing w:after="0" w:line="347" w:lineRule="auto"/>
        <w:rPr>
          <w:sz w:val="20"/>
          <w:szCs w:val="20"/>
          <w:color w:val="auto"/>
        </w:rPr>
      </w:pPr>
      <w:r>
        <w:rPr>
          <w:rFonts w:ascii="Arial" w:cs="Arial" w:eastAsia="Arial" w:hAnsi="Arial"/>
          <w:sz w:val="18"/>
          <w:szCs w:val="18"/>
          <w:color w:val="auto"/>
        </w:rPr>
        <w:t>Certain of our investment practices may be subject to special and complex U.S. federal income tax provisions that may, among other things, (i) disallow, suspend or otherwise limit the allowance of certain losses or deductions,</w:t>
      </w:r>
    </w:p>
    <w:p>
      <w:pPr>
        <w:spacing w:after="0" w:line="1" w:lineRule="exact"/>
        <w:rPr>
          <w:sz w:val="20"/>
          <w:szCs w:val="20"/>
          <w:color w:val="auto"/>
        </w:rPr>
      </w:pPr>
    </w:p>
    <w:p>
      <w:pPr>
        <w:jc w:val="both"/>
        <w:ind w:left="6" w:right="60" w:hanging="6"/>
        <w:spacing w:after="0" w:line="329" w:lineRule="auto"/>
        <w:tabs>
          <w:tab w:leader="none" w:pos="319"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83" w:lineRule="exact"/>
        <w:rPr>
          <w:sz w:val="20"/>
          <w:szCs w:val="20"/>
          <w:color w:val="auto"/>
        </w:rPr>
      </w:pPr>
    </w:p>
    <w:p>
      <w:pPr>
        <w:jc w:val="both"/>
        <w:ind w:left="6" w:right="40" w:firstLine="549"/>
        <w:spacing w:after="0" w:line="349" w:lineRule="auto"/>
        <w:rPr>
          <w:sz w:val="20"/>
          <w:szCs w:val="20"/>
          <w:color w:val="auto"/>
        </w:rPr>
      </w:pPr>
      <w:r>
        <w:rPr>
          <w:rFonts w:ascii="Arial" w:cs="Arial" w:eastAsia="Arial" w:hAnsi="Arial"/>
          <w:sz w:val="18"/>
          <w:szCs w:val="18"/>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in an effort to prevent our disqualification as a RIC.</w:t>
      </w:r>
    </w:p>
    <w:p>
      <w:pPr>
        <w:spacing w:after="0" w:line="169" w:lineRule="exact"/>
        <w:rPr>
          <w:sz w:val="20"/>
          <w:szCs w:val="20"/>
          <w:color w:val="auto"/>
        </w:rPr>
      </w:pPr>
    </w:p>
    <w:p>
      <w:pPr>
        <w:jc w:val="both"/>
        <w:ind w:left="6" w:right="20" w:firstLine="549"/>
        <w:spacing w:after="0" w:line="330" w:lineRule="auto"/>
        <w:rPr>
          <w:sz w:val="20"/>
          <w:szCs w:val="20"/>
          <w:color w:val="auto"/>
        </w:rPr>
      </w:pPr>
      <w:r>
        <w:rPr>
          <w:rFonts w:ascii="Arial" w:cs="Arial" w:eastAsia="Arial" w:hAnsi="Arial"/>
          <w:sz w:val="19"/>
          <w:szCs w:val="19"/>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w:t>
      </w:r>
    </w:p>
    <w:p>
      <w:pPr>
        <w:spacing w:after="0" w:line="178" w:lineRule="exact"/>
        <w:rPr>
          <w:sz w:val="20"/>
          <w:szCs w:val="20"/>
          <w:color w:val="auto"/>
        </w:rPr>
      </w:pPr>
    </w:p>
    <w:p>
      <w:pPr>
        <w:jc w:val="both"/>
        <w:ind w:left="6" w:right="60" w:firstLine="549"/>
        <w:spacing w:after="0" w:line="355" w:lineRule="auto"/>
        <w:rPr>
          <w:sz w:val="20"/>
          <w:szCs w:val="20"/>
          <w:color w:val="auto"/>
        </w:rPr>
      </w:pPr>
      <w:r>
        <w:rPr>
          <w:rFonts w:ascii="Arial" w:cs="Arial" w:eastAsia="Arial" w:hAnsi="Arial"/>
          <w:sz w:val="18"/>
          <w:szCs w:val="18"/>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52 / 68</w:t>
      </w:r>
    </w:p>
    <w:p>
      <w:pPr>
        <w:sectPr>
          <w:pgSz w:w="11900" w:h="16838" w:orient="portrait"/>
          <w:cols w:equalWidth="0" w:num="1">
            <w:col w:w="9406"/>
          </w:cols>
          <w:pgMar w:left="1254" w:top="1440" w:right="1246" w:bottom="0" w:gutter="0" w:footer="0" w:header="0"/>
          <w:type w:val="continuous"/>
        </w:sectPr>
      </w:pPr>
    </w:p>
    <w:bookmarkStart w:id="52" w:name="page53"/>
    <w:bookmarkEnd w:id="52"/>
    <w:p>
      <w:pPr>
        <w:jc w:val="both"/>
        <w:spacing w:after="0" w:line="329" w:lineRule="auto"/>
        <w:rPr>
          <w:sz w:val="20"/>
          <w:szCs w:val="20"/>
          <w:color w:val="auto"/>
        </w:rPr>
      </w:pPr>
      <w:r>
        <w:rPr>
          <w:rFonts w:ascii="Arial" w:cs="Arial" w:eastAsia="Arial" w:hAnsi="Arial"/>
          <w:sz w:val="19"/>
          <w:szCs w:val="19"/>
          <w:color w:val="auto"/>
        </w:rPr>
        <w:t>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their distributions in cash, the cash available for distribution must be allocated among the shareholders electing to receive cash (with the balance of the distribution paid in stock). If we qualify as a publicly offered RIC and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8" w:lineRule="exact"/>
        <w:rPr>
          <w:sz w:val="20"/>
          <w:szCs w:val="20"/>
          <w:color w:val="auto"/>
        </w:rPr>
      </w:pPr>
    </w:p>
    <w:p>
      <w:pPr>
        <w:jc w:val="both"/>
        <w:ind w:right="60" w:firstLine="549"/>
        <w:spacing w:after="0" w:line="311" w:lineRule="auto"/>
        <w:rPr>
          <w:sz w:val="20"/>
          <w:szCs w:val="20"/>
          <w:color w:val="auto"/>
        </w:rPr>
      </w:pPr>
      <w:r>
        <w:rPr>
          <w:rFonts w:ascii="Arial" w:cs="Arial" w:eastAsia="Arial" w:hAnsi="Arial"/>
          <w:sz w:val="20"/>
          <w:szCs w:val="20"/>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68</w:t>
      </w:r>
    </w:p>
    <w:p>
      <w:pPr>
        <w:sectPr>
          <w:pgSz w:w="11900" w:h="16838" w:orient="portrait"/>
          <w:cols w:equalWidth="0" w:num="1">
            <w:col w:w="9400"/>
          </w:cols>
          <w:pgMar w:left="1260" w:top="1173" w:right="1246" w:bottom="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352" w:lineRule="auto"/>
        <w:rPr>
          <w:sz w:val="20"/>
          <w:szCs w:val="20"/>
          <w:color w:val="auto"/>
        </w:rPr>
      </w:pPr>
      <w:r>
        <w:rPr>
          <w:rFonts w:ascii="Arial" w:cs="Arial" w:eastAsia="Arial" w:hAnsi="Arial"/>
          <w:sz w:val="18"/>
          <w:szCs w:val="18"/>
          <w:color w:val="auto"/>
        </w:rPr>
        <w:t>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Failure to Obtain RIC Tax Treatment</w:t>
      </w:r>
    </w:p>
    <w:p>
      <w:pPr>
        <w:spacing w:after="0" w:line="260" w:lineRule="exact"/>
        <w:rPr>
          <w:sz w:val="20"/>
          <w:szCs w:val="20"/>
          <w:color w:val="auto"/>
        </w:rPr>
      </w:pPr>
    </w:p>
    <w:p>
      <w:pPr>
        <w:jc w:val="both"/>
        <w:ind w:firstLine="549"/>
        <w:spacing w:after="0" w:line="349" w:lineRule="auto"/>
        <w:rPr>
          <w:sz w:val="20"/>
          <w:szCs w:val="20"/>
          <w:color w:val="auto"/>
        </w:rPr>
      </w:pPr>
      <w:r>
        <w:rPr>
          <w:rFonts w:ascii="Arial" w:cs="Arial" w:eastAsia="Arial" w:hAnsi="Arial"/>
          <w:sz w:val="18"/>
          <w:szCs w:val="18"/>
          <w:color w:val="auto"/>
        </w:rPr>
        <w:t>If we were unable to maintain our tax treatment as a RIC, and certain relief provisions are unable to be satisfied (which may, among other things, require us to pay U.S. federal income tax or to dispose of certain assets), we would be subject to U.S. federal income tax (and any applicable state and local taxes) on all of our taxable income imposed at corporate rates, on all of our taxable income (including our net capital gains), regardless of whether we make any distributions to our stockholders. In any taxable year that we do not qualify as a RIC, distributions would not be required, but if such distributions are paid, including distributions of net long-term capital gain, they would be taxable to our stockholders as ordinary dividend income to the extent of our current and accumulated earnings and profits. Subject to certain holding period requirements and other limitations under the Code, corporate stockholders would be eligible to claim a dividends received deduction with respect to such dividend and non-corporate stockholders would generally be able to treat such dividend income as “qualified dividend income,” which is subject to reduced rates of U.S. federal income tax. Distributions in excess of our current and accumulated earnings and profits would be treated first as a return of capital to the extent of the stockholder’s adjusted tax basis, and any remaining distributions would be treated as a capital gain.</w:t>
      </w:r>
    </w:p>
    <w:p>
      <w:pPr>
        <w:spacing w:after="0" w:line="167" w:lineRule="exact"/>
        <w:rPr>
          <w:sz w:val="20"/>
          <w:szCs w:val="20"/>
          <w:color w:val="auto"/>
        </w:rPr>
      </w:pPr>
    </w:p>
    <w:p>
      <w:pPr>
        <w:jc w:val="both"/>
        <w:ind w:right="20" w:firstLine="549"/>
        <w:spacing w:after="0" w:line="347" w:lineRule="auto"/>
        <w:rPr>
          <w:sz w:val="20"/>
          <w:szCs w:val="20"/>
          <w:color w:val="auto"/>
        </w:rPr>
      </w:pPr>
      <w:r>
        <w:rPr>
          <w:rFonts w:ascii="Arial" w:cs="Arial" w:eastAsia="Arial" w:hAnsi="Arial"/>
          <w:sz w:val="18"/>
          <w:szCs w:val="18"/>
          <w:color w:val="auto"/>
        </w:rPr>
        <w:t>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a period greater than two taxable years, to requalify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jc w:val="center"/>
        <w:ind w:right="-19"/>
        <w:spacing w:after="0" w:line="235" w:lineRule="auto"/>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 / 68</w:t>
      </w:r>
    </w:p>
    <w:p>
      <w:pPr>
        <w:sectPr>
          <w:pgSz w:w="11900" w:h="16838" w:orient="portrait"/>
          <w:cols w:equalWidth="0" w:num="1">
            <w:col w:w="9360"/>
          </w:cols>
          <w:pgMar w:left="1260" w:top="1440" w:right="1286" w:bottom="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w:t>
      </w:r>
    </w:p>
    <w:p>
      <w:pPr>
        <w:spacing w:after="0" w:line="260" w:lineRule="exact"/>
        <w:rPr>
          <w:sz w:val="20"/>
          <w:szCs w:val="20"/>
          <w:color w:val="auto"/>
        </w:rPr>
      </w:pPr>
    </w:p>
    <w:p>
      <w:pPr>
        <w:jc w:val="both"/>
        <w:ind w:right="20" w:firstLine="392"/>
        <w:spacing w:after="0" w:line="329" w:lineRule="auto"/>
        <w:rPr>
          <w:sz w:val="20"/>
          <w:szCs w:val="20"/>
          <w:color w:val="auto"/>
        </w:rPr>
      </w:pPr>
      <w:r>
        <w:rPr>
          <w:rFonts w:ascii="Arial" w:cs="Arial" w:eastAsia="Arial" w:hAnsi="Arial"/>
          <w:sz w:val="19"/>
          <w:szCs w:val="19"/>
          <w:i w:val="1"/>
          <w:iCs w:val="1"/>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RISK FACTORS</w:t>
      </w:r>
    </w:p>
    <w:p>
      <w:pPr>
        <w:spacing w:after="0" w:line="38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following is a summary of the principal risks that you should carefully consider before investing in our securities. These and other risk factors are described more fully in this “Item 1A. Risk Factors.”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 and Structure</w:t>
      </w:r>
    </w:p>
    <w:p>
      <w:pPr>
        <w:spacing w:after="0" w:line="80" w:lineRule="exact"/>
        <w:rPr>
          <w:sz w:val="20"/>
          <w:szCs w:val="20"/>
          <w:color w:val="auto"/>
        </w:rPr>
      </w:pPr>
    </w:p>
    <w:p>
      <w:pPr>
        <w:ind w:left="620" w:right="6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operate in a highly competitive market for investment opportunities, which could reduce returns and result in losses.</w:t>
      </w:r>
    </w:p>
    <w:p>
      <w:pPr>
        <w:spacing w:after="0" w:line="21" w:lineRule="exact"/>
        <w:rPr>
          <w:rFonts w:ascii="Arial" w:cs="Arial" w:eastAsia="Arial" w:hAnsi="Arial"/>
          <w:sz w:val="20"/>
          <w:szCs w:val="20"/>
          <w:color w:val="auto"/>
        </w:rPr>
      </w:pPr>
    </w:p>
    <w:p>
      <w:pPr>
        <w:ind w:left="620" w:right="6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have potential conflicts of interest related to obligations that our investment advisor may have to other clients.</w:t>
      </w:r>
    </w:p>
    <w:p>
      <w:pPr>
        <w:spacing w:after="0" w:line="11" w:lineRule="exact"/>
        <w:rPr>
          <w:rFonts w:ascii="Arial" w:cs="Arial" w:eastAsia="Arial" w:hAnsi="Arial"/>
          <w:sz w:val="20"/>
          <w:szCs w:val="20"/>
          <w:color w:val="auto"/>
        </w:rPr>
      </w:pPr>
    </w:p>
    <w:p>
      <w:pPr>
        <w:ind w:left="620" w:hanging="313"/>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have conflicts related to other arrangements with our investment advisor.</w:t>
      </w:r>
    </w:p>
    <w:p>
      <w:pPr>
        <w:spacing w:after="0" w:line="70" w:lineRule="exact"/>
        <w:rPr>
          <w:rFonts w:ascii="Arial" w:cs="Arial" w:eastAsia="Arial" w:hAnsi="Arial"/>
          <w:sz w:val="20"/>
          <w:szCs w:val="20"/>
          <w:color w:val="auto"/>
        </w:rPr>
      </w:pPr>
    </w:p>
    <w:p>
      <w:pPr>
        <w:ind w:left="620" w:hanging="313"/>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SBIC Funds are licensed by the SBA, and, therefore, are subject to SBA regulations.</w:t>
      </w:r>
    </w:p>
    <w:p>
      <w:pPr>
        <w:spacing w:after="0" w:line="70" w:lineRule="exact"/>
        <w:rPr>
          <w:rFonts w:ascii="Arial" w:cs="Arial" w:eastAsia="Arial" w:hAnsi="Arial"/>
          <w:sz w:val="20"/>
          <w:szCs w:val="20"/>
          <w:color w:val="auto"/>
        </w:rPr>
      </w:pPr>
    </w:p>
    <w:p>
      <w:pPr>
        <w:ind w:left="620" w:hanging="313"/>
        <w:spacing w:after="0"/>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SBA regulations limit the amount of SBA-guaranteed debt that may be borrowed by an SBIC.</w:t>
      </w:r>
    </w:p>
    <w:p>
      <w:pPr>
        <w:spacing w:after="0" w:line="79" w:lineRule="exact"/>
        <w:rPr>
          <w:rFonts w:ascii="Arial" w:cs="Arial" w:eastAsia="Arial" w:hAnsi="Arial"/>
          <w:sz w:val="20"/>
          <w:szCs w:val="20"/>
          <w:color w:val="auto"/>
        </w:rPr>
      </w:pPr>
    </w:p>
    <w:p>
      <w:pPr>
        <w:ind w:left="620" w:right="6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Global economic, political and market conditions may adversely affect our business, results of operations and financial condition, including our revenue growth and profitability.</w:t>
      </w:r>
    </w:p>
    <w:p>
      <w:pPr>
        <w:spacing w:after="0" w:line="21" w:lineRule="exact"/>
        <w:rPr>
          <w:rFonts w:ascii="Arial" w:cs="Arial" w:eastAsia="Arial" w:hAnsi="Arial"/>
          <w:sz w:val="20"/>
          <w:szCs w:val="20"/>
          <w:color w:val="auto"/>
        </w:rPr>
      </w:pPr>
    </w:p>
    <w:p>
      <w:pPr>
        <w:ind w:left="620" w:right="6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are currently operating in a period of capital markets disruption and economic uncertainty, which may have a negative impact on our business, financial condition and operations.</w:t>
      </w:r>
    </w:p>
    <w:p>
      <w:pPr>
        <w:spacing w:after="0" w:line="21" w:lineRule="exact"/>
        <w:rPr>
          <w:rFonts w:ascii="Arial" w:cs="Arial" w:eastAsia="Arial" w:hAnsi="Arial"/>
          <w:sz w:val="20"/>
          <w:szCs w:val="20"/>
          <w:color w:val="auto"/>
        </w:rPr>
      </w:pPr>
    </w:p>
    <w:p>
      <w:pPr>
        <w:jc w:val="both"/>
        <w:ind w:left="620" w:right="40" w:hanging="313"/>
        <w:spacing w:after="0" w:line="307"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7" w:lineRule="exact"/>
        <w:rPr>
          <w:rFonts w:ascii="Arial" w:cs="Arial" w:eastAsia="Arial" w:hAnsi="Arial"/>
          <w:sz w:val="20"/>
          <w:szCs w:val="20"/>
          <w:color w:val="auto"/>
        </w:rPr>
      </w:pPr>
    </w:p>
    <w:p>
      <w:pPr>
        <w:ind w:left="62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choose to pay dividends in our own stock, in which case you may be required to pay tax in excess of the cash you receive.</w:t>
      </w:r>
    </w:p>
    <w:p>
      <w:pPr>
        <w:spacing w:after="0" w:line="21" w:lineRule="exact"/>
        <w:rPr>
          <w:rFonts w:ascii="Arial" w:cs="Arial" w:eastAsia="Arial" w:hAnsi="Arial"/>
          <w:sz w:val="20"/>
          <w:szCs w:val="20"/>
          <w:color w:val="auto"/>
        </w:rPr>
      </w:pPr>
    </w:p>
    <w:p>
      <w:pPr>
        <w:ind w:left="620" w:right="60" w:hanging="313"/>
        <w:spacing w:after="0" w:line="302"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Due to current market conditions, we may reduce or defer our dividends and choose to incur U.S. federal excise tax in order to preserve cash and maintain flexibility.</w:t>
      </w:r>
    </w:p>
    <w:p>
      <w:pPr>
        <w:spacing w:after="0" w:line="21" w:lineRule="exact"/>
        <w:rPr>
          <w:rFonts w:ascii="Arial" w:cs="Arial" w:eastAsia="Arial" w:hAnsi="Arial"/>
          <w:sz w:val="20"/>
          <w:szCs w:val="20"/>
          <w:color w:val="auto"/>
        </w:rPr>
      </w:pPr>
    </w:p>
    <w:p>
      <w:pPr>
        <w:jc w:val="both"/>
        <w:ind w:left="620" w:right="40" w:hanging="313"/>
        <w:spacing w:after="0" w:line="307" w:lineRule="auto"/>
        <w:tabs>
          <w:tab w:leader="none" w:pos="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failure of cybersecurity protection systems, as well as the occurrence of events unanticipated in our disaster recovery systems and management continuity planning, could impair our ability to conduct business effectively.</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Investments</w:t>
      </w:r>
    </w:p>
    <w:p>
      <w:pPr>
        <w:spacing w:after="0" w:line="80" w:lineRule="exact"/>
        <w:rPr>
          <w:sz w:val="20"/>
          <w:szCs w:val="20"/>
          <w:color w:val="auto"/>
        </w:rPr>
      </w:pPr>
    </w:p>
    <w:p>
      <w:pPr>
        <w:ind w:left="620" w:hanging="313"/>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Economic recessions or downturns could impair our portfolio companies and harm our operating results.</w:t>
      </w:r>
    </w:p>
    <w:p>
      <w:pPr>
        <w:spacing w:after="0" w:line="81" w:lineRule="exact"/>
        <w:rPr>
          <w:rFonts w:ascii="Arial" w:cs="Arial" w:eastAsia="Arial" w:hAnsi="Arial"/>
          <w:sz w:val="19"/>
          <w:szCs w:val="19"/>
          <w:color w:val="auto"/>
        </w:rPr>
      </w:pPr>
    </w:p>
    <w:p>
      <w:pPr>
        <w:ind w:left="620" w:hanging="313"/>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investments in portfolio companies may be risky, and we could lose all or part of our investment.</w:t>
      </w:r>
    </w:p>
    <w:p>
      <w:pPr>
        <w:spacing w:after="0" w:line="71" w:lineRule="exact"/>
        <w:rPr>
          <w:rFonts w:ascii="Arial" w:cs="Arial" w:eastAsia="Arial" w:hAnsi="Arial"/>
          <w:sz w:val="19"/>
          <w:szCs w:val="19"/>
          <w:color w:val="auto"/>
        </w:rPr>
      </w:pPr>
    </w:p>
    <w:p>
      <w:pPr>
        <w:ind w:left="620" w:hanging="313"/>
        <w:spacing w:after="0"/>
        <w:tabs>
          <w:tab w:leader="none" w:pos="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lack of liquidity in our investments may adversely affect our business.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 / 68</w:t>
      </w:r>
    </w:p>
    <w:p>
      <w:pPr>
        <w:sectPr>
          <w:pgSz w:w="11900" w:h="16838" w:orient="portrait"/>
          <w:cols w:equalWidth="0" w:num="1">
            <w:col w:w="9380"/>
          </w:cols>
          <w:pgMar w:left="1260" w:top="1440" w:right="1266" w:bottom="0" w:gutter="0" w:footer="0" w:header="0"/>
          <w:type w:val="continuous"/>
        </w:sectPr>
      </w:pPr>
    </w:p>
    <w:bookmarkStart w:id="55" w:name="page56"/>
    <w:bookmarkEnd w:id="55"/>
    <w:p>
      <w:pPr>
        <w:ind w:left="620" w:right="20" w:hanging="313"/>
        <w:spacing w:after="0" w:line="302" w:lineRule="auto"/>
        <w:tabs>
          <w:tab w:leader="none" w:pos="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We may not have the funds to make additional investments in our portfolio companies that could impair the value of our portfolio.</w:t>
      </w:r>
    </w:p>
    <w:p>
      <w:pPr>
        <w:spacing w:after="0" w:line="11" w:lineRule="exact"/>
        <w:rPr>
          <w:rFonts w:ascii="Arial" w:cs="Arial" w:eastAsia="Arial" w:hAnsi="Arial"/>
          <w:sz w:val="20"/>
          <w:szCs w:val="20"/>
          <w:color w:val="auto"/>
        </w:rPr>
      </w:pPr>
    </w:p>
    <w:p>
      <w:pPr>
        <w:ind w:left="620" w:hanging="313"/>
        <w:spacing w:after="0"/>
        <w:tabs>
          <w:tab w:leader="none" w:pos="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Defaults by our portfolio companies will harm our operating results.</w:t>
      </w:r>
    </w:p>
    <w:p>
      <w:pPr>
        <w:spacing w:after="0" w:line="79" w:lineRule="exact"/>
        <w:rPr>
          <w:rFonts w:ascii="Arial" w:cs="Arial" w:eastAsia="Arial" w:hAnsi="Arial"/>
          <w:sz w:val="20"/>
          <w:szCs w:val="20"/>
          <w:color w:val="auto"/>
        </w:rPr>
      </w:pPr>
    </w:p>
    <w:p>
      <w:pPr>
        <w:ind w:left="620" w:right="40" w:hanging="313"/>
        <w:spacing w:after="0" w:line="331" w:lineRule="auto"/>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We are a non-diversified investment company within the meaning of the 1940 Act; therefore we are not limited with respect to the proportion of our assets that may be invested in securities of a single issuer.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Common Stock</w:t>
      </w:r>
    </w:p>
    <w:p>
      <w:pPr>
        <w:spacing w:after="0" w:line="80" w:lineRule="exact"/>
        <w:rPr>
          <w:sz w:val="20"/>
          <w:szCs w:val="20"/>
          <w:color w:val="auto"/>
        </w:rPr>
      </w:pPr>
    </w:p>
    <w:p>
      <w:pPr>
        <w:ind w:left="620" w:right="20" w:hanging="313"/>
        <w:spacing w:after="0" w:line="302" w:lineRule="auto"/>
        <w:tabs>
          <w:tab w:leader="none" w:pos="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Shares of closed-end investment companies, including business development companies, frequently trade at a discount to their net asset value.</w:t>
      </w:r>
    </w:p>
    <w:p>
      <w:pPr>
        <w:spacing w:after="0" w:line="21" w:lineRule="exact"/>
        <w:rPr>
          <w:rFonts w:ascii="Arial" w:cs="Arial" w:eastAsia="Arial" w:hAnsi="Arial"/>
          <w:sz w:val="20"/>
          <w:szCs w:val="20"/>
          <w:color w:val="auto"/>
        </w:rPr>
      </w:pPr>
    </w:p>
    <w:p>
      <w:pPr>
        <w:ind w:left="620" w:hanging="313"/>
        <w:spacing w:after="0" w:line="329" w:lineRule="auto"/>
        <w:tabs>
          <w:tab w:leader="none" w:pos="6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in the future, we sell common stock at a discount to our net asset value per share, stockholders who do not participate in such sale will experience immediate dilution in an amount that may be material.</w:t>
      </w:r>
    </w:p>
    <w:p>
      <w:pPr>
        <w:ind w:left="620" w:hanging="313"/>
        <w:spacing w:after="0"/>
        <w:tabs>
          <w:tab w:leader="none" w:pos="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net asset value may have changed significantly since our last valuation.</w:t>
      </w:r>
    </w:p>
    <w:p>
      <w:pPr>
        <w:spacing w:after="0" w:line="70" w:lineRule="exact"/>
        <w:rPr>
          <w:rFonts w:ascii="Arial" w:cs="Arial" w:eastAsia="Arial" w:hAnsi="Arial"/>
          <w:sz w:val="20"/>
          <w:szCs w:val="20"/>
          <w:color w:val="auto"/>
        </w:rPr>
      </w:pPr>
    </w:p>
    <w:p>
      <w:pPr>
        <w:ind w:left="620" w:hanging="313"/>
        <w:spacing w:after="0"/>
        <w:tabs>
          <w:tab w:leader="none" w:pos="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market price of our securities may fluctuate significantly.</w:t>
      </w:r>
    </w:p>
    <w:p>
      <w:pPr>
        <w:spacing w:after="0" w:line="79" w:lineRule="exact"/>
        <w:rPr>
          <w:rFonts w:ascii="Arial" w:cs="Arial" w:eastAsia="Arial" w:hAnsi="Arial"/>
          <w:sz w:val="20"/>
          <w:szCs w:val="20"/>
          <w:color w:val="auto"/>
        </w:rPr>
      </w:pPr>
    </w:p>
    <w:p>
      <w:pPr>
        <w:ind w:left="620" w:right="40" w:hanging="313"/>
        <w:spacing w:after="0" w:line="302" w:lineRule="auto"/>
        <w:tabs>
          <w:tab w:leader="none" w:pos="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Sales of substantial amounts of our common stock may have an adverse effect on the market price of our common stock.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 / 68</w:t>
      </w:r>
    </w:p>
    <w:p>
      <w:pPr>
        <w:sectPr>
          <w:pgSz w:w="11900" w:h="16838" w:orient="portrait"/>
          <w:cols w:equalWidth="0" w:num="1">
            <w:col w:w="9360"/>
          </w:cols>
          <w:pgMar w:left="1260" w:top="1173" w:right="1286" w:bottom="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 and Structure</w:t>
      </w:r>
    </w:p>
    <w:p>
      <w:pPr>
        <w:spacing w:after="0" w:line="260"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79" w:lineRule="exact"/>
        <w:rPr>
          <w:sz w:val="20"/>
          <w:szCs w:val="20"/>
          <w:color w:val="auto"/>
        </w:rPr>
      </w:pPr>
    </w:p>
    <w:p>
      <w:pPr>
        <w:jc w:val="both"/>
        <w:ind w:firstLine="400"/>
        <w:spacing w:after="0" w:line="311" w:lineRule="auto"/>
        <w:rPr>
          <w:sz w:val="20"/>
          <w:szCs w:val="20"/>
          <w:color w:val="auto"/>
        </w:rPr>
      </w:pPr>
      <w:r>
        <w:rPr>
          <w:rFonts w:ascii="Arial" w:cs="Arial" w:eastAsia="Arial" w:hAnsi="Arial"/>
          <w:sz w:val="20"/>
          <w:szCs w:val="20"/>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196"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We depend upon the investment professionals of our investment advisor to maintain their relationships with financial institutions, sponsors and other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i w:val="1"/>
          <w:iCs w:val="1"/>
          <w:color w:val="auto"/>
        </w:rPr>
        <w:t>Any failure to manage our business and our future growth effectively could have a material adverse effect on our business, financial condition and results of operations.</w:t>
      </w:r>
    </w:p>
    <w:p>
      <w:pPr>
        <w:spacing w:after="0" w:line="201"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ability to access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suffer credit losses and our investments could be rated below investment grade.</w:t>
      </w:r>
    </w:p>
    <w:p>
      <w:pPr>
        <w:spacing w:after="0" w:line="260"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9"/>
          <w:szCs w:val="19"/>
          <w:color w:val="auto"/>
        </w:rPr>
        <w:t>Private debt in the form of second lien, subordinated, and first lien loans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downturn or recession.</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57 / 68</w:t>
      </w:r>
    </w:p>
    <w:p>
      <w:pPr>
        <w:sectPr>
          <w:pgSz w:w="11900" w:h="16838" w:orient="portrait"/>
          <w:cols w:equalWidth="0" w:num="1">
            <w:col w:w="9340"/>
          </w:cols>
          <w:pgMar w:left="1260" w:top="1440" w:right="1306" w:bottom="0" w:gutter="0" w:footer="0" w:header="0"/>
          <w:type w:val="continuous"/>
        </w:sectPr>
      </w:pPr>
    </w:p>
    <w:bookmarkStart w:id="57" w:name="page58"/>
    <w:bookmarkEnd w:id="57"/>
    <w:p>
      <w:pPr>
        <w:jc w:val="both"/>
        <w:ind w:firstLine="400"/>
        <w:spacing w:after="0" w:line="310" w:lineRule="auto"/>
        <w:rPr>
          <w:sz w:val="20"/>
          <w:szCs w:val="20"/>
          <w:color w:val="auto"/>
        </w:rPr>
      </w:pPr>
      <w:r>
        <w:rPr>
          <w:rFonts w:ascii="Arial" w:cs="Arial" w:eastAsia="Arial" w:hAnsi="Arial"/>
          <w:sz w:val="20"/>
          <w:szCs w:val="20"/>
          <w:color w:val="auto"/>
        </w:rPr>
        <w:t>In addition, investments in our portfolio typically are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195"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97"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Borrowings, also known as leverage, magnify the potential for gain or loss on amounts invested and, therefore, increase the risks associated with investing in us. The SBIC Funds borrow from and issue debt securities to the SBA, and we may borrow from banks and other lenders in the future. The SBA has fixed dollar claims on the SBIC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 / 68</w:t>
      </w:r>
    </w:p>
    <w:p>
      <w:pPr>
        <w:sectPr>
          <w:pgSz w:w="11900" w:h="16838" w:orient="portrait"/>
          <w:cols w:equalWidth="0" w:num="1">
            <w:col w:w="9360"/>
          </w:cols>
          <w:pgMar w:left="1260" w:top="1173" w:right="1286" w:bottom="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 w:right="60" w:firstLine="400"/>
        <w:spacing w:after="0" w:line="307" w:lineRule="auto"/>
        <w:rPr>
          <w:sz w:val="20"/>
          <w:szCs w:val="20"/>
          <w:color w:val="auto"/>
        </w:rPr>
      </w:pPr>
      <w:r>
        <w:rPr>
          <w:rFonts w:ascii="Arial" w:cs="Arial" w:eastAsia="Arial" w:hAnsi="Arial"/>
          <w:sz w:val="20"/>
          <w:szCs w:val="20"/>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97" w:lineRule="exact"/>
        <w:rPr>
          <w:sz w:val="20"/>
          <w:szCs w:val="20"/>
          <w:color w:val="auto"/>
        </w:rPr>
      </w:pPr>
    </w:p>
    <w:p>
      <w:pPr>
        <w:jc w:val="both"/>
        <w:ind w:left="6" w:right="60" w:firstLine="400"/>
        <w:spacing w:after="0" w:line="311" w:lineRule="auto"/>
        <w:rPr>
          <w:sz w:val="20"/>
          <w:szCs w:val="20"/>
          <w:color w:val="auto"/>
        </w:rPr>
      </w:pPr>
      <w:r>
        <w:rPr>
          <w:rFonts w:ascii="Arial" w:cs="Arial" w:eastAsia="Arial" w:hAnsi="Arial"/>
          <w:sz w:val="20"/>
          <w:szCs w:val="20"/>
          <w:color w:val="auto"/>
        </w:rPr>
        <w:t>As a BDC, we are generally required to meet a coverage ratio at least equal to 150% of total assets to total borrowings and other senior securities, which include all of our borrowings (other than the SBIC Funds’ SBA leverage under the terms of SEC exemptive relief) and any preferred stock we may issue in the future. If this ratio declines below 150%, we may not be able to incur additional debt and may need to sell a portion of our investments to repay some debt when it is disadvantageous to do so, and we may not be able to make distributions to our stockholders.</w:t>
      </w:r>
    </w:p>
    <w:p>
      <w:pPr>
        <w:spacing w:after="0" w:line="192" w:lineRule="exact"/>
        <w:rPr>
          <w:sz w:val="20"/>
          <w:szCs w:val="20"/>
          <w:color w:val="auto"/>
        </w:rPr>
      </w:pPr>
    </w:p>
    <w:p>
      <w:pPr>
        <w:jc w:val="both"/>
        <w:ind w:left="6" w:right="80" w:firstLine="400"/>
        <w:spacing w:after="0" w:line="307" w:lineRule="auto"/>
        <w:rPr>
          <w:sz w:val="20"/>
          <w:szCs w:val="20"/>
          <w:color w:val="auto"/>
        </w:rPr>
      </w:pPr>
      <w:r>
        <w:rPr>
          <w:rFonts w:ascii="Arial" w:cs="Arial" w:eastAsia="Arial" w:hAnsi="Arial"/>
          <w:sz w:val="20"/>
          <w:szCs w:val="20"/>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215"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Assumed Return on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7730" cy="171450"/>
                    </a:xfrm>
                    <a:prstGeom prst="rect">
                      <a:avLst/>
                    </a:prstGeom>
                    <a:noFill/>
                  </pic:spPr>
                </pic:pic>
              </a:graphicData>
            </a:graphic>
          </wp:anchor>
        </w:drawing>
      </w:r>
    </w:p>
    <w:p>
      <w:pPr>
        <w:spacing w:after="0" w:line="43"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(Net of Expenses)</w:t>
      </w:r>
    </w:p>
    <w:p>
      <w:pPr>
        <w:spacing w:after="0" w:line="6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(10.0) %</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(5.0) %</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0.0 %</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8"/>
              </w:rPr>
              <w:t>Corresponding return to common stockholder</w:t>
            </w:r>
          </w:p>
        </w:tc>
        <w:tc>
          <w:tcPr>
            <w:tcW w:w="1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(1)</w:t>
            </w:r>
          </w:p>
        </w:tc>
        <w:tc>
          <w:tcPr>
            <w:tcW w:w="12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(23.9) %</w:t>
            </w:r>
          </w:p>
        </w:tc>
        <w:tc>
          <w:tcPr>
            <w:tcW w:w="12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(14.3) %</w:t>
            </w:r>
          </w:p>
        </w:tc>
        <w:tc>
          <w:tcPr>
            <w:tcW w:w="12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(4.6)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35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-348615</wp:posOffset>
            </wp:positionV>
            <wp:extent cx="366268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62680" cy="6350"/>
                    </a:xfrm>
                    <a:prstGeom prst="rect">
                      <a:avLst/>
                    </a:prstGeom>
                    <a:noFill/>
                  </pic:spPr>
                </pic:pic>
              </a:graphicData>
            </a:graphic>
          </wp:anchor>
        </w:drawing>
      </w:r>
    </w:p>
    <w:p>
      <w:pPr>
        <w:spacing w:after="0" w:line="356" w:lineRule="exact"/>
        <w:rPr>
          <w:sz w:val="20"/>
          <w:szCs w:val="20"/>
          <w:color w:val="auto"/>
        </w:rPr>
      </w:pPr>
    </w:p>
    <w:p>
      <w:pPr>
        <w:jc w:val="both"/>
        <w:ind w:left="286" w:right="160" w:hanging="286"/>
        <w:spacing w:after="0" w:line="308" w:lineRule="auto"/>
        <w:tabs>
          <w:tab w:leader="none" w:pos="28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$1.4 billion in total assets, $237.5 million in outstanding SBA debentures, $83.9 million of borrowings outstanding under the SPV Credit Facility (as defined below), $12.0 million in Secured Borrowings, $325.0 million outstanding of our unsecured notes, $741.9 million in net assets as of December 31, 2025, and a weighted average cost of funds of 5.230%.</w:t>
      </w:r>
    </w:p>
    <w:p>
      <w:pPr>
        <w:spacing w:after="0" w:line="320" w:lineRule="exact"/>
        <w:rPr>
          <w:sz w:val="20"/>
          <w:szCs w:val="20"/>
          <w:color w:val="auto"/>
        </w:rPr>
      </w:pPr>
    </w:p>
    <w:p>
      <w:pPr>
        <w:ind w:left="6" w:right="160"/>
        <w:spacing w:after="0" w:line="302" w:lineRule="auto"/>
        <w:rPr>
          <w:sz w:val="20"/>
          <w:szCs w:val="20"/>
          <w:color w:val="auto"/>
        </w:rPr>
      </w:pPr>
      <w:r>
        <w:rPr>
          <w:rFonts w:ascii="Arial" w:cs="Arial" w:eastAsia="Arial" w:hAnsi="Arial"/>
          <w:sz w:val="20"/>
          <w:szCs w:val="20"/>
          <w:b w:val="1"/>
          <w:bCs w:val="1"/>
          <w:i w:val="1"/>
          <w:iCs w:val="1"/>
          <w:color w:val="auto"/>
        </w:rPr>
        <w:t>Effective April 29, 2020, our asset coverage requirement was reduced from 200% to 150%, which could increase the risk of investing in the Company.</w:t>
      </w:r>
    </w:p>
    <w:p>
      <w:pPr>
        <w:spacing w:after="0" w:line="321" w:lineRule="exact"/>
        <w:rPr>
          <w:sz w:val="20"/>
          <w:szCs w:val="20"/>
          <w:color w:val="auto"/>
        </w:rPr>
      </w:pPr>
    </w:p>
    <w:p>
      <w:pPr>
        <w:jc w:val="both"/>
        <w:ind w:left="6" w:right="60" w:firstLine="426"/>
        <w:spacing w:after="0" w:line="311" w:lineRule="auto"/>
        <w:rPr>
          <w:sz w:val="20"/>
          <w:szCs w:val="20"/>
          <w:color w:val="auto"/>
        </w:rPr>
      </w:pPr>
      <w:r>
        <w:rPr>
          <w:rFonts w:ascii="Arial" w:cs="Arial" w:eastAsia="Arial" w:hAnsi="Arial"/>
          <w:sz w:val="20"/>
          <w:szCs w:val="20"/>
          <w:color w:val="auto"/>
        </w:rPr>
        <w:t>The 1940 Act generally prohibits the Company from incurring indebtedness unless immediately after such borrowing we have an asset coverage for total borrowings of at least 200% (i.e., the amount of debt may not exceed 50% of the value of our assets) or 150% if certain requirements under the 1940 Act are met. On April 29, 2019, our Board, including a majority of the independent directors, approved a minimum asset coverage ratio of 150% as set forth in Section 61(a)(2) of the 1940 Act. As a result, we are subject to the 150% asset coverage ratio, effective as of April 29, 2020. We are required to make certain disclosures on our website and in SEC filings regarding, among other things, the receipt of approval to increase our leverage, our leverage capacity and usage, and risks related to leverage.</w:t>
      </w:r>
    </w:p>
    <w:p>
      <w:pPr>
        <w:spacing w:after="0" w:line="316" w:lineRule="exact"/>
        <w:rPr>
          <w:sz w:val="20"/>
          <w:szCs w:val="20"/>
          <w:color w:val="auto"/>
        </w:rPr>
      </w:pPr>
    </w:p>
    <w:p>
      <w:pPr>
        <w:jc w:val="both"/>
        <w:ind w:left="6" w:right="60" w:firstLine="426"/>
        <w:spacing w:after="0" w:line="349" w:lineRule="auto"/>
        <w:rPr>
          <w:sz w:val="20"/>
          <w:szCs w:val="20"/>
          <w:color w:val="auto"/>
        </w:rPr>
      </w:pPr>
      <w:r>
        <w:rPr>
          <w:rFonts w:ascii="Arial" w:cs="Arial" w:eastAsia="Arial" w:hAnsi="Arial"/>
          <w:sz w:val="18"/>
          <w:szCs w:val="18"/>
          <w:color w:val="auto"/>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59 / 68</w:t>
      </w:r>
    </w:p>
    <w:p>
      <w:pPr>
        <w:sectPr>
          <w:pgSz w:w="11900" w:h="16838" w:orient="portrait"/>
          <w:cols w:equalWidth="0" w:num="1">
            <w:col w:w="9406"/>
          </w:cols>
          <w:pgMar w:left="1254" w:top="1440" w:right="1246" w:bottom="0" w:gutter="0" w:footer="0" w:header="0"/>
          <w:type w:val="continuous"/>
        </w:sectPr>
      </w:pPr>
    </w:p>
    <w:bookmarkStart w:id="59" w:name="page60"/>
    <w:bookmarkEnd w:id="59"/>
    <w:p>
      <w:pPr>
        <w:jc w:val="both"/>
        <w:ind w:right="20"/>
        <w:spacing w:after="0" w:line="307" w:lineRule="auto"/>
        <w:rPr>
          <w:sz w:val="20"/>
          <w:szCs w:val="20"/>
          <w:color w:val="auto"/>
        </w:rPr>
      </w:pPr>
      <w:r>
        <w:rPr>
          <w:rFonts w:ascii="Arial" w:cs="Arial" w:eastAsia="Arial" w:hAnsi="Arial"/>
          <w:sz w:val="20"/>
          <w:szCs w:val="20"/>
          <w:color w:val="auto"/>
        </w:rPr>
        <w:t>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197"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179"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9"/>
          <w:szCs w:val="19"/>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200" w:lineRule="exact"/>
        <w:rPr>
          <w:sz w:val="20"/>
          <w:szCs w:val="20"/>
          <w:color w:val="auto"/>
        </w:rPr>
      </w:pPr>
    </w:p>
    <w:p>
      <w:pPr>
        <w:spacing w:after="0" w:line="299" w:lineRule="exact"/>
        <w:rPr>
          <w:sz w:val="20"/>
          <w:szCs w:val="20"/>
          <w:color w:val="auto"/>
        </w:rPr>
      </w:pPr>
    </w:p>
    <w:p>
      <w:pPr>
        <w:ind w:left="860" w:hanging="341"/>
        <w:spacing w:after="0"/>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comparison of the portfolio company’s securities to comparable publicly-traded securities;</w:t>
      </w:r>
    </w:p>
    <w:p>
      <w:pPr>
        <w:spacing w:after="0" w:line="70" w:lineRule="exact"/>
        <w:rPr>
          <w:rFonts w:ascii="Arial" w:cs="Arial" w:eastAsia="Arial" w:hAnsi="Arial"/>
          <w:sz w:val="20"/>
          <w:szCs w:val="20"/>
          <w:color w:val="auto"/>
        </w:rPr>
      </w:pPr>
    </w:p>
    <w:p>
      <w:pPr>
        <w:ind w:left="860" w:hanging="341"/>
        <w:spacing w:after="0"/>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enterprise value of a portfolio company;</w:t>
      </w:r>
    </w:p>
    <w:p>
      <w:pPr>
        <w:spacing w:after="0" w:line="70" w:lineRule="exact"/>
        <w:rPr>
          <w:rFonts w:ascii="Arial" w:cs="Arial" w:eastAsia="Arial" w:hAnsi="Arial"/>
          <w:sz w:val="20"/>
          <w:szCs w:val="20"/>
          <w:color w:val="auto"/>
        </w:rPr>
      </w:pPr>
    </w:p>
    <w:p>
      <w:pPr>
        <w:ind w:left="860" w:hanging="341"/>
        <w:spacing w:after="0"/>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nature and realizable value of any collateral;</w:t>
      </w:r>
    </w:p>
    <w:p>
      <w:pPr>
        <w:spacing w:after="0" w:line="70" w:lineRule="exact"/>
        <w:rPr>
          <w:rFonts w:ascii="Arial" w:cs="Arial" w:eastAsia="Arial" w:hAnsi="Arial"/>
          <w:sz w:val="20"/>
          <w:szCs w:val="20"/>
          <w:color w:val="auto"/>
        </w:rPr>
      </w:pPr>
    </w:p>
    <w:p>
      <w:pPr>
        <w:ind w:left="860" w:hanging="341"/>
        <w:spacing w:after="0"/>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portfolio company’s ability to make payments and its earnings and discounted cash flow;</w:t>
      </w:r>
    </w:p>
    <w:p>
      <w:pPr>
        <w:spacing w:after="0" w:line="70" w:lineRule="exact"/>
        <w:rPr>
          <w:rFonts w:ascii="Arial" w:cs="Arial" w:eastAsia="Arial" w:hAnsi="Arial"/>
          <w:sz w:val="20"/>
          <w:szCs w:val="20"/>
          <w:color w:val="auto"/>
        </w:rPr>
      </w:pPr>
    </w:p>
    <w:p>
      <w:pPr>
        <w:ind w:left="860" w:hanging="341"/>
        <w:spacing w:after="0"/>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markets in which the portfolio company does business; and</w:t>
      </w:r>
    </w:p>
    <w:p>
      <w:pPr>
        <w:spacing w:after="0" w:line="79" w:lineRule="exact"/>
        <w:rPr>
          <w:rFonts w:ascii="Arial" w:cs="Arial" w:eastAsia="Arial" w:hAnsi="Arial"/>
          <w:sz w:val="20"/>
          <w:szCs w:val="20"/>
          <w:color w:val="auto"/>
        </w:rPr>
      </w:pPr>
    </w:p>
    <w:p>
      <w:pPr>
        <w:ind w:left="860" w:right="340" w:hanging="341"/>
        <w:spacing w:after="0" w:line="302" w:lineRule="auto"/>
        <w:tabs>
          <w:tab w:leader="none" w:pos="8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the interest rate environment and the credit markets generally may affect the price at which similar investments may be made in the future and other relevant factors.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 / 68</w:t>
      </w:r>
    </w:p>
    <w:p>
      <w:pPr>
        <w:sectPr>
          <w:pgSz w:w="11900" w:h="16838" w:orient="portrait"/>
          <w:cols w:equalWidth="0" w:num="1">
            <w:col w:w="9380"/>
          </w:cols>
          <w:pgMar w:left="1260" w:top="1173" w:right="1266" w:bottom="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97" w:lineRule="exact"/>
        <w:rPr>
          <w:sz w:val="20"/>
          <w:szCs w:val="20"/>
          <w:color w:val="auto"/>
        </w:rPr>
      </w:pPr>
    </w:p>
    <w:p>
      <w:pPr>
        <w:jc w:val="both"/>
        <w:ind w:right="40" w:firstLine="400"/>
        <w:spacing w:after="0" w:line="350" w:lineRule="auto"/>
        <w:rPr>
          <w:sz w:val="20"/>
          <w:szCs w:val="20"/>
          <w:color w:val="auto"/>
        </w:rPr>
      </w:pPr>
      <w:r>
        <w:rPr>
          <w:rFonts w:ascii="Arial" w:cs="Arial" w:eastAsia="Arial" w:hAnsi="Arial"/>
          <w:sz w:val="18"/>
          <w:szCs w:val="18"/>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67" w:lineRule="exact"/>
        <w:rPr>
          <w:sz w:val="20"/>
          <w:szCs w:val="20"/>
          <w:color w:val="auto"/>
        </w:rPr>
      </w:pPr>
    </w:p>
    <w:p>
      <w:pPr>
        <w:jc w:val="both"/>
        <w:ind w:right="20" w:firstLine="400"/>
        <w:spacing w:after="0" w:line="329" w:lineRule="auto"/>
        <w:rPr>
          <w:sz w:val="20"/>
          <w:szCs w:val="20"/>
          <w:color w:val="auto"/>
        </w:rPr>
      </w:pPr>
      <w:r>
        <w:rPr>
          <w:rFonts w:ascii="Arial" w:cs="Arial" w:eastAsia="Arial" w:hAnsi="Arial"/>
          <w:sz w:val="19"/>
          <w:szCs w:val="19"/>
          <w:color w:val="auto"/>
        </w:rPr>
        <w:t>Our board of directors engages one or more independent third-party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21 and 21 of our portfolio company investments representing 26.7% and 27.5% of the total portfolio investments at fair value (exclusive of new portfolio company investments made during the three months ended December 31, 2025 and 2024, respectively) as of December 31, 2025 and 2024, respectively.</w:t>
      </w:r>
    </w:p>
    <w:p>
      <w:pPr>
        <w:spacing w:after="0" w:line="186" w:lineRule="exact"/>
        <w:rPr>
          <w:sz w:val="20"/>
          <w:szCs w:val="20"/>
          <w:color w:val="auto"/>
        </w:rPr>
      </w:pPr>
    </w:p>
    <w:p>
      <w:pPr>
        <w:jc w:val="both"/>
        <w:ind w:right="20" w:firstLine="400"/>
        <w:spacing w:after="0" w:line="311" w:lineRule="auto"/>
        <w:rPr>
          <w:sz w:val="20"/>
          <w:szCs w:val="20"/>
          <w:color w:val="auto"/>
        </w:rPr>
      </w:pPr>
      <w:r>
        <w:rPr>
          <w:rFonts w:ascii="Arial" w:cs="Arial" w:eastAsia="Arial" w:hAnsi="Arial"/>
          <w:sz w:val="20"/>
          <w:szCs w:val="20"/>
          <w:color w:val="auto"/>
        </w:rPr>
        <w:t>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194"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b w:val="1"/>
          <w:bCs w:val="1"/>
          <w:i w:val="1"/>
          <w:iCs w:val="1"/>
          <w:color w:val="auto"/>
        </w:rPr>
        <w:t>We operate in a highly competitive market for investment opportunities, which could reduce returns and result in losses.</w:t>
      </w:r>
    </w:p>
    <w:p>
      <w:pPr>
        <w:spacing w:after="0" w:line="201" w:lineRule="exact"/>
        <w:rPr>
          <w:sz w:val="20"/>
          <w:szCs w:val="20"/>
          <w:color w:val="auto"/>
        </w:rPr>
      </w:pPr>
    </w:p>
    <w:p>
      <w:pPr>
        <w:jc w:val="both"/>
        <w:ind w:firstLine="400"/>
        <w:spacing w:after="0" w:line="349" w:lineRule="auto"/>
        <w:rPr>
          <w:sz w:val="20"/>
          <w:szCs w:val="20"/>
          <w:color w:val="auto"/>
        </w:rPr>
      </w:pPr>
      <w:r>
        <w:rPr>
          <w:rFonts w:ascii="Arial" w:cs="Arial" w:eastAsia="Arial" w:hAnsi="Arial"/>
          <w:sz w:val="18"/>
          <w:szCs w:val="18"/>
          <w:color w:val="auto"/>
        </w:rPr>
        <w:t>A number of entities compete with us to make the types of investments that we make. We compete with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 / 68</w:t>
      </w:r>
    </w:p>
    <w:p>
      <w:pPr>
        <w:sectPr>
          <w:pgSz w:w="11900" w:h="16838" w:orient="portrait"/>
          <w:cols w:equalWidth="0" w:num="1">
            <w:col w:w="9380"/>
          </w:cols>
          <w:pgMar w:left="1260" w:top="1440" w:right="1266" w:bottom="0" w:gutter="0" w:footer="0" w:header="0"/>
          <w:type w:val="continuous"/>
        </w:sectPr>
      </w:pPr>
    </w:p>
    <w:bookmarkStart w:id="61" w:name="page62"/>
    <w:bookmarkEnd w:id="61"/>
    <w:p>
      <w:pPr>
        <w:jc w:val="both"/>
        <w:ind w:right="20"/>
        <w:spacing w:after="0" w:line="355" w:lineRule="auto"/>
        <w:rPr>
          <w:sz w:val="20"/>
          <w:szCs w:val="20"/>
          <w:color w:val="auto"/>
        </w:rPr>
      </w:pPr>
      <w:r>
        <w:rPr>
          <w:rFonts w:ascii="Arial" w:cs="Arial" w:eastAsia="Arial" w:hAnsi="Arial"/>
          <w:sz w:val="18"/>
          <w:szCs w:val="18"/>
          <w:color w:val="auto"/>
        </w:rPr>
        <w:t>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62" w:lineRule="exact"/>
        <w:rPr>
          <w:sz w:val="20"/>
          <w:szCs w:val="20"/>
          <w:color w:val="auto"/>
        </w:rPr>
      </w:pPr>
    </w:p>
    <w:p>
      <w:pPr>
        <w:jc w:val="both"/>
        <w:ind w:firstLine="401"/>
        <w:spacing w:after="0" w:line="347"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BDC or the source-of-income, asset diversification and distribution requirements we must satisfy to maintain our RIC tax treatment.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jc w:val="center"/>
        <w:spacing w:after="0" w:line="234" w:lineRule="auto"/>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 / 68</w:t>
      </w:r>
    </w:p>
    <w:p>
      <w:pPr>
        <w:sectPr>
          <w:pgSz w:w="11900" w:h="16838" w:orient="portrait"/>
          <w:cols w:equalWidth="0" w:num="1">
            <w:col w:w="9380"/>
          </w:cols>
          <w:pgMar w:left="1260" w:top="1173" w:right="1266" w:bottom="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197" w:lineRule="exact"/>
        <w:rPr>
          <w:sz w:val="20"/>
          <w:szCs w:val="20"/>
          <w:color w:val="auto"/>
        </w:rPr>
      </w:pPr>
    </w:p>
    <w:p>
      <w:pPr>
        <w:jc w:val="both"/>
        <w:ind w:right="20" w:firstLine="401"/>
        <w:spacing w:after="0" w:line="349" w:lineRule="auto"/>
        <w:rPr>
          <w:sz w:val="20"/>
          <w:szCs w:val="20"/>
          <w:color w:val="auto"/>
        </w:rPr>
      </w:pPr>
      <w:r>
        <w:rPr>
          <w:rFonts w:ascii="Arial" w:cs="Arial" w:eastAsia="Arial" w:hAnsi="Arial"/>
          <w:sz w:val="18"/>
          <w:szCs w:val="18"/>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While our board of directors approves our overall use of leverage and financing arrangements, our board of directors is not expected to review or approve each incurrence of leverage, such as any draw on our credit facility.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66" w:lineRule="exact"/>
        <w:rPr>
          <w:sz w:val="20"/>
          <w:szCs w:val="20"/>
          <w:color w:val="auto"/>
        </w:rPr>
      </w:pPr>
    </w:p>
    <w:p>
      <w:pPr>
        <w:jc w:val="both"/>
        <w:ind w:right="60" w:firstLine="400"/>
        <w:spacing w:after="0" w:line="329" w:lineRule="auto"/>
        <w:rPr>
          <w:sz w:val="20"/>
          <w:szCs w:val="20"/>
          <w:color w:val="auto"/>
        </w:rPr>
      </w:pPr>
      <w:r>
        <w:rPr>
          <w:rFonts w:ascii="Arial" w:cs="Arial" w:eastAsia="Arial" w:hAnsi="Arial"/>
          <w:sz w:val="19"/>
          <w:szCs w:val="19"/>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84" w:lineRule="exact"/>
        <w:rPr>
          <w:sz w:val="20"/>
          <w:szCs w:val="20"/>
          <w:color w:val="auto"/>
        </w:rPr>
      </w:pPr>
    </w:p>
    <w:p>
      <w:pPr>
        <w:jc w:val="both"/>
        <w:ind w:right="60" w:firstLine="400"/>
        <w:spacing w:after="0" w:line="329" w:lineRule="auto"/>
        <w:rPr>
          <w:sz w:val="20"/>
          <w:szCs w:val="20"/>
          <w:color w:val="auto"/>
        </w:rPr>
      </w:pPr>
      <w:r>
        <w:rPr>
          <w:rFonts w:ascii="Arial" w:cs="Arial" w:eastAsia="Arial" w:hAnsi="Arial"/>
          <w:sz w:val="19"/>
          <w:szCs w:val="19"/>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3" w:lineRule="exact"/>
        <w:rPr>
          <w:sz w:val="20"/>
          <w:szCs w:val="20"/>
          <w:color w:val="auto"/>
        </w:rPr>
      </w:pPr>
    </w:p>
    <w:p>
      <w:pPr>
        <w:jc w:val="both"/>
        <w:ind w:right="60"/>
        <w:spacing w:after="0" w:line="363" w:lineRule="auto"/>
        <w:rPr>
          <w:sz w:val="20"/>
          <w:szCs w:val="20"/>
          <w:color w:val="auto"/>
        </w:rPr>
      </w:pPr>
      <w:r>
        <w:rPr>
          <w:rFonts w:ascii="Arial" w:cs="Arial" w:eastAsia="Arial" w:hAnsi="Arial"/>
          <w:sz w:val="18"/>
          <w:szCs w:val="18"/>
          <w:b w:val="1"/>
          <w:bCs w:val="1"/>
          <w:i w:val="1"/>
          <w:iCs w:val="1"/>
          <w:color w:val="auto"/>
        </w:rPr>
        <w:t>We may be obligated to pay our investment advisor incentive compensation even if we incur a loss and may pay more than 20% of our net capital gains because we cannot recover payments made in previous years.</w:t>
      </w:r>
    </w:p>
    <w:p>
      <w:pPr>
        <w:spacing w:after="0" w:line="154"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 of our realized capital gains (net of all realized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68</w:t>
      </w:r>
    </w:p>
    <w:p>
      <w:pPr>
        <w:sectPr>
          <w:pgSz w:w="11900" w:h="16838" w:orient="portrait"/>
          <w:cols w:equalWidth="0" w:num="1">
            <w:col w:w="9400"/>
          </w:cols>
          <w:pgMar w:left="1260" w:top="1440" w:right="1246" w:bottom="0" w:gutter="0" w:footer="0" w:header="0"/>
          <w:type w:val="continuous"/>
        </w:sectPr>
      </w:pPr>
    </w:p>
    <w:bookmarkStart w:id="63" w:name="page64"/>
    <w:bookmarkEnd w:id="63"/>
    <w:p>
      <w:pPr>
        <w:jc w:val="both"/>
        <w:ind w:right="40"/>
        <w:spacing w:after="0" w:line="307" w:lineRule="auto"/>
        <w:rPr>
          <w:sz w:val="20"/>
          <w:szCs w:val="20"/>
          <w:color w:val="auto"/>
        </w:rPr>
      </w:pPr>
      <w:r>
        <w:rPr>
          <w:rFonts w:ascii="Arial" w:cs="Arial" w:eastAsia="Arial" w:hAnsi="Arial"/>
          <w:sz w:val="20"/>
          <w:szCs w:val="20"/>
          <w:color w:val="auto"/>
        </w:rPr>
        <w:t>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321"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 / 68</w:t>
      </w:r>
    </w:p>
    <w:p>
      <w:pPr>
        <w:sectPr>
          <w:pgSz w:w="11900" w:h="16838" w:orient="portrait"/>
          <w:cols w:equalWidth="0" w:num="1">
            <w:col w:w="9380"/>
          </w:cols>
          <w:pgMar w:left="1260" w:top="1173" w:right="1266" w:bottom="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We may have potential conflicts of interest related to obligations that our investment advisor may have to other clients.</w:t>
      </w:r>
    </w:p>
    <w:p>
      <w:pPr>
        <w:spacing w:after="0" w:line="201"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Currently, the Company, the SBIC Funds, and Fidus Credit Opportunities,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68" w:lineRule="exact"/>
        <w:rPr>
          <w:sz w:val="20"/>
          <w:szCs w:val="20"/>
          <w:color w:val="auto"/>
        </w:rPr>
      </w:pPr>
    </w:p>
    <w:p>
      <w:pPr>
        <w:ind w:firstLine="400"/>
        <w:spacing w:after="0" w:line="329" w:lineRule="auto"/>
        <w:rPr>
          <w:sz w:val="20"/>
          <w:szCs w:val="20"/>
          <w:color w:val="auto"/>
        </w:rPr>
      </w:pPr>
      <w:r>
        <w:rPr>
          <w:rFonts w:ascii="Arial" w:cs="Arial" w:eastAsia="Arial" w:hAnsi="Arial"/>
          <w:sz w:val="19"/>
          <w:szCs w:val="19"/>
          <w:color w:val="auto"/>
        </w:rPr>
        <w:t>To the extent our investment advisor forms affiliates, including Fidus Credit Opportunities,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Our investment advisor and its affiliates have received an exemptive order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 However, neither we nor our affiliated funds are obligated to invest or co-invest when investment opportunities are referred to us or them.</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b w:val="1"/>
          <w:bCs w:val="1"/>
          <w:i w:val="1"/>
          <w:iCs w:val="1"/>
          <w:color w:val="auto"/>
        </w:rPr>
        <w:t>Our investment advisor or its investment committee may, from time to time, possess material non-public information, limiting our investment discretion.</w:t>
      </w:r>
    </w:p>
    <w:p>
      <w:pPr>
        <w:spacing w:after="0" w:line="201" w:lineRule="exact"/>
        <w:rPr>
          <w:sz w:val="20"/>
          <w:szCs w:val="20"/>
          <w:color w:val="auto"/>
        </w:rPr>
      </w:pPr>
    </w:p>
    <w:p>
      <w:pPr>
        <w:jc w:val="both"/>
        <w:ind w:right="60" w:firstLine="400"/>
        <w:spacing w:after="0" w:line="311" w:lineRule="auto"/>
        <w:rPr>
          <w:sz w:val="20"/>
          <w:szCs w:val="20"/>
          <w:color w:val="auto"/>
        </w:rPr>
      </w:pPr>
      <w:r>
        <w:rPr>
          <w:rFonts w:ascii="Arial" w:cs="Arial" w:eastAsia="Arial" w:hAnsi="Arial"/>
          <w:sz w:val="20"/>
          <w:szCs w:val="20"/>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have conflicts related to other arrangements with our investment advisor.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 / 68</w:t>
      </w:r>
    </w:p>
    <w:p>
      <w:pPr>
        <w:sectPr>
          <w:pgSz w:w="11900" w:h="16838" w:orient="portrait"/>
          <w:cols w:equalWidth="0" w:num="1">
            <w:col w:w="9400"/>
          </w:cols>
          <w:pgMar w:left="1260" w:top="1440" w:right="1246" w:bottom="0" w:gutter="0" w:footer="0" w:header="0"/>
          <w:type w:val="continuous"/>
        </w:sectPr>
      </w:pPr>
    </w:p>
    <w:bookmarkStart w:id="65" w:name="page66"/>
    <w:bookmarkEnd w:id="65"/>
    <w:p>
      <w:pPr>
        <w:jc w:val="both"/>
        <w:ind w:firstLine="400"/>
        <w:spacing w:after="0" w:line="329" w:lineRule="auto"/>
        <w:rPr>
          <w:sz w:val="20"/>
          <w:szCs w:val="20"/>
          <w:color w:val="auto"/>
        </w:rPr>
      </w:pPr>
      <w:r>
        <w:rPr>
          <w:rFonts w:ascii="Arial" w:cs="Arial" w:eastAsia="Arial" w:hAnsi="Arial"/>
          <w:sz w:val="19"/>
          <w:szCs w:val="19"/>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Item 1. “Business —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and their respective staffs. This creates conflicts of interest that our board of directors must monitor.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66 / 68</w:t>
      </w:r>
    </w:p>
    <w:p>
      <w:pPr>
        <w:sectPr>
          <w:pgSz w:w="11900" w:h="16838" w:orient="portrait"/>
          <w:cols w:equalWidth="0" w:num="1">
            <w:col w:w="9340"/>
          </w:cols>
          <w:pgMar w:left="1260" w:top="1173" w:right="1306"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SBIC Funds are licensed by the SBA, and, therefore, are subject to SBA regulations.</w:t>
      </w:r>
    </w:p>
    <w:p>
      <w:pPr>
        <w:spacing w:after="0" w:line="260" w:lineRule="exact"/>
        <w:rPr>
          <w:sz w:val="20"/>
          <w:szCs w:val="20"/>
          <w:color w:val="auto"/>
        </w:rPr>
      </w:pPr>
    </w:p>
    <w:p>
      <w:pPr>
        <w:jc w:val="both"/>
        <w:ind w:right="20" w:firstLine="401"/>
        <w:spacing w:after="0" w:line="348" w:lineRule="auto"/>
        <w:rPr>
          <w:sz w:val="20"/>
          <w:szCs w:val="20"/>
          <w:color w:val="auto"/>
        </w:rPr>
      </w:pPr>
      <w:r>
        <w:rPr>
          <w:rFonts w:ascii="Arial" w:cs="Arial" w:eastAsia="Arial" w:hAnsi="Arial"/>
          <w:sz w:val="18"/>
          <w:szCs w:val="18"/>
          <w:color w:val="auto"/>
        </w:rPr>
        <w:t>The SBIC Funds are licensed to operate as SBICs and are regulated by the SBA. Under current SBA regulations, a licensed SBIC can provide capital to eligible "small businesses" that have a tangible net worth not exceeding $24.0 million and an average annual net income after U.S. federal income taxes not exceeding $8.0 million for the two most recent fiscal years. In addition, a licensed SBIC must devote 25% of its investment capital to "smaller enterprises" that have a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SBIC Funds to forego attractive investment opportunities that are not permitted under the SBA regulations, and may cause the SBIC Funds to make investments they otherwise would not make in order to remain in compliance with these regulations.</w:t>
      </w:r>
    </w:p>
    <w:p>
      <w:pPr>
        <w:spacing w:after="0" w:line="178" w:lineRule="exact"/>
        <w:rPr>
          <w:sz w:val="20"/>
          <w:szCs w:val="20"/>
          <w:color w:val="auto"/>
        </w:rPr>
      </w:pPr>
    </w:p>
    <w:p>
      <w:pPr>
        <w:jc w:val="both"/>
        <w:ind w:right="40" w:firstLine="400"/>
        <w:spacing w:after="0" w:line="348" w:lineRule="auto"/>
        <w:rPr>
          <w:sz w:val="20"/>
          <w:szCs w:val="20"/>
          <w:color w:val="auto"/>
        </w:rPr>
      </w:pPr>
      <w:r>
        <w:rPr>
          <w:rFonts w:ascii="Arial" w:cs="Arial" w:eastAsia="Arial" w:hAnsi="Arial"/>
          <w:sz w:val="18"/>
          <w:szCs w:val="18"/>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SBA regulations limit the amount of SBA-guaranteed debt that may be borrowed by an SBIC.</w:t>
      </w:r>
    </w:p>
    <w:p>
      <w:pPr>
        <w:spacing w:after="0" w:line="260" w:lineRule="exact"/>
        <w:rPr>
          <w:sz w:val="20"/>
          <w:szCs w:val="20"/>
          <w:color w:val="auto"/>
        </w:rPr>
      </w:pPr>
    </w:p>
    <w:p>
      <w:pPr>
        <w:jc w:val="both"/>
        <w:ind w:firstLine="400"/>
        <w:spacing w:after="0" w:line="351" w:lineRule="auto"/>
        <w:rPr>
          <w:sz w:val="20"/>
          <w:szCs w:val="20"/>
          <w:color w:val="auto"/>
        </w:rPr>
      </w:pPr>
      <w:r>
        <w:rPr>
          <w:rFonts w:ascii="Arial" w:cs="Arial" w:eastAsia="Arial" w:hAnsi="Arial"/>
          <w:sz w:val="18"/>
          <w:szCs w:val="18"/>
          <w:color w:val="auto"/>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SBIC Funds borrow the maximum amount from the SBA and thereafter require additional capital, our cost of capital may increase, and there is no assurance that we will be able to obtain additional financing on acceptable terms.</w:t>
      </w:r>
    </w:p>
    <w:p>
      <w:pPr>
        <w:spacing w:after="0" w:line="166" w:lineRule="exact"/>
        <w:rPr>
          <w:sz w:val="20"/>
          <w:szCs w:val="20"/>
          <w:color w:val="auto"/>
        </w:rPr>
      </w:pPr>
    </w:p>
    <w:p>
      <w:pPr>
        <w:jc w:val="both"/>
        <w:ind w:right="20" w:firstLine="400"/>
        <w:spacing w:after="0" w:line="355" w:lineRule="auto"/>
        <w:rPr>
          <w:sz w:val="20"/>
          <w:szCs w:val="20"/>
          <w:color w:val="auto"/>
        </w:rPr>
      </w:pPr>
      <w:r>
        <w:rPr>
          <w:rFonts w:ascii="Arial" w:cs="Arial" w:eastAsia="Arial" w:hAnsi="Arial"/>
          <w:sz w:val="18"/>
          <w:szCs w:val="18"/>
          <w:color w:val="auto"/>
        </w:rPr>
        <w:t>Moreover, the SBIC Funds’ current status as SBICs does not automatically assure that they will continue to receive funding through the SBA debenture program. Receipt of SBA debenture funding is dependent upon the SBIC Funds’ continuing compliance with SBA regulations and policies and there being funding available. The amount of</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 / 68</w:t>
      </w:r>
    </w:p>
    <w:p>
      <w:pPr>
        <w:sectPr>
          <w:pgSz w:w="11900" w:h="16838" w:orient="portrait"/>
          <w:cols w:equalWidth="0" w:num="1">
            <w:col w:w="9400"/>
          </w:cols>
          <w:pgMar w:left="1260" w:top="1440" w:right="1246" w:bottom="0" w:gutter="0" w:footer="0" w:header="0"/>
          <w:type w:val="continuous"/>
        </w:sectPr>
      </w:pPr>
    </w:p>
    <w:bookmarkStart w:id="67" w:name="page68"/>
    <w:bookmarkEnd w:id="67"/>
    <w:p>
      <w:pPr>
        <w:jc w:val="both"/>
        <w:spacing w:after="0" w:line="307" w:lineRule="auto"/>
        <w:rPr>
          <w:sz w:val="20"/>
          <w:szCs w:val="20"/>
          <w:color w:val="auto"/>
        </w:rPr>
      </w:pPr>
      <w:r>
        <w:rPr>
          <w:rFonts w:ascii="Arial" w:cs="Arial" w:eastAsia="Arial" w:hAnsi="Arial"/>
          <w:sz w:val="20"/>
          <w:szCs w:val="20"/>
          <w:color w:val="auto"/>
        </w:rPr>
        <w:t>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SBIC Funds.</w:t>
      </w:r>
    </w:p>
    <w:p>
      <w:pPr>
        <w:spacing w:after="0" w:line="197" w:lineRule="exact"/>
        <w:rPr>
          <w:sz w:val="20"/>
          <w:szCs w:val="20"/>
          <w:color w:val="auto"/>
        </w:rPr>
      </w:pPr>
    </w:p>
    <w:p>
      <w:pPr>
        <w:jc w:val="both"/>
        <w:ind w:firstLine="400"/>
        <w:spacing w:after="0" w:line="311" w:lineRule="auto"/>
        <w:rPr>
          <w:sz w:val="20"/>
          <w:szCs w:val="20"/>
          <w:color w:val="auto"/>
        </w:rPr>
      </w:pPr>
      <w:r>
        <w:rPr>
          <w:rFonts w:ascii="Arial" w:cs="Arial" w:eastAsia="Arial" w:hAnsi="Arial"/>
          <w:sz w:val="20"/>
          <w:szCs w:val="20"/>
          <w:color w:val="auto"/>
        </w:rPr>
        <w:t>The debentures issued by the SBIC Funds and guaranteed by the SBA have a maturity of ten years and bear interest semi-annually at fixed rates. Certain of the SBIC Funds’ SBA debentures begin to mature in 2029 and will require repayment on or before the respective maturity dates. The SBIC Funds will need to generate sufficient cash flow to make required debt payments on such debentures. If the SBIC Funds are unable to generate such cash flow, the SBA, as guarantor of the debentures, will have a superior claim to our assets over our stockholders in the event the SBIC Funds liquidate or the SBA exercises its remedies under such debentures as the result of a default by the SBIC Funds.</w:t>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68 / 68</w:t>
      </w:r>
    </w:p>
    <w:p>
      <w:pPr>
        <w:sectPr>
          <w:pgSz w:w="11900" w:h="16838" w:orient="portrait"/>
          <w:cols w:equalWidth="0" w:num="1">
            <w:col w:w="9340"/>
          </w:cols>
          <w:pgMar w:left="1260" w:top="1173" w:right="1306" w:bottom="0" w:gutter="0" w:footer="0" w:header="0"/>
          <w:type w:val="continuous"/>
        </w:sectPr>
      </w:pPr>
    </w:p>
    <w:bookmarkStart w:id="68" w:name="page69"/>
    <w:bookmarkEnd w:id="68"/>
    <w:p>
      <w:pPr>
        <w:jc w:val="center"/>
        <w:ind w:right="-13"/>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58</w:t>
      </w:r>
    </w:p>
    <w:p>
      <w:pPr>
        <w:sectPr>
          <w:pgSz w:w="11900" w:h="16838" w:orient="portrait"/>
          <w:cols w:equalWidth="0" w:num="1">
            <w:col w:w="9026"/>
          </w:cols>
          <w:pgMar w:left="1440" w:top="1293" w:right="1440" w:bottom="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spacing w:after="0" w:line="331" w:lineRule="auto"/>
        <w:rPr>
          <w:sz w:val="20"/>
          <w:szCs w:val="20"/>
          <w:color w:val="auto"/>
        </w:rPr>
      </w:pPr>
      <w:r>
        <w:rPr>
          <w:rFonts w:ascii="Arial" w:cs="Arial" w:eastAsia="Arial" w:hAnsi="Arial"/>
          <w:sz w:val="19"/>
          <w:szCs w:val="19"/>
          <w:b w:val="1"/>
          <w:bCs w:val="1"/>
          <w:i w:val="1"/>
          <w:iCs w:val="1"/>
          <w:color w:val="auto"/>
        </w:rPr>
        <w:t>The SBIC Funds, as SBICs, are limited in their ability to make distributions to us, which could result in us being unable to meet the minimum distribution requirements to maintain our status as a RIC.</w:t>
      </w:r>
    </w:p>
    <w:p>
      <w:pPr>
        <w:spacing w:after="0" w:line="177"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In order to maintain our qualification as a RIC, we are required to timely distribute to our stockholders on an annual basis 90% of our investment company taxable income. For this purpose, our investment company taxable income will include the income of the SBIC Funds (and any other entities that are disregarded as separate from us for U.S. federal income tax purposes). The SBIC Funds’ ability to make distributions to us may be limited by the Small Business Investment Act of 1958. As a result, in order to maintain our qualification as a RIC, we may be required to make distributions attributable to the SBIC Funds’ income without receiving any corresponding cash distributions with respect to such income. We can make no assurances that the SBIC Funds will be able to make, or not be limited in making, distributions to us. If we are unable to satisfy the annual distribution requirements, we may fail to qualify as a RIC, which would result in the imposition of U.S. federal income tax imposed at corporate rates on our entire taxable income without regard to any distributions made by us. See “We will be subject to U.S. federal income tax imposed at corporate rates if we are unable to maintain our tax treatment as a RIC under subchapter M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interest rates will affect our cost of capital and net investment income.</w:t>
      </w:r>
    </w:p>
    <w:p>
      <w:pPr>
        <w:spacing w:after="0" w:line="260" w:lineRule="exact"/>
        <w:rPr>
          <w:sz w:val="20"/>
          <w:szCs w:val="20"/>
          <w:color w:val="auto"/>
        </w:rPr>
      </w:pPr>
    </w:p>
    <w:p>
      <w:pPr>
        <w:ind w:right="80" w:firstLine="400"/>
        <w:spacing w:after="0" w:line="363" w:lineRule="auto"/>
        <w:rPr>
          <w:sz w:val="20"/>
          <w:szCs w:val="20"/>
          <w:color w:val="auto"/>
        </w:rPr>
      </w:pPr>
      <w:r>
        <w:rPr>
          <w:rFonts w:ascii="Arial" w:cs="Arial" w:eastAsia="Arial" w:hAnsi="Arial"/>
          <w:sz w:val="18"/>
          <w:szCs w:val="18"/>
          <w:color w:val="auto"/>
        </w:rPr>
        <w:t>General interest rate fluctuations may have a negative impact on our investments and our investment returns and, accordingly, may have material adverse effect on our investment objective and our net investment income.</w:t>
      </w:r>
    </w:p>
    <w:p>
      <w:pPr>
        <w:spacing w:after="0" w:line="154" w:lineRule="exact"/>
        <w:rPr>
          <w:sz w:val="20"/>
          <w:szCs w:val="20"/>
          <w:color w:val="auto"/>
        </w:rPr>
      </w:pPr>
    </w:p>
    <w:p>
      <w:pPr>
        <w:jc w:val="both"/>
        <w:ind w:right="40" w:firstLine="400"/>
        <w:spacing w:after="0" w:line="348" w:lineRule="auto"/>
        <w:rPr>
          <w:sz w:val="20"/>
          <w:szCs w:val="20"/>
          <w:color w:val="auto"/>
        </w:rPr>
      </w:pPr>
      <w:r>
        <w:rPr>
          <w:rFonts w:ascii="Arial" w:cs="Arial" w:eastAsia="Arial" w:hAnsi="Arial"/>
          <w:sz w:val="18"/>
          <w:szCs w:val="18"/>
          <w:color w:val="auto"/>
        </w:rPr>
        <w:t>The Federal Reserve has reduced its benchmark interest rate by 0.25% in each of September 2025, October 2025 and December 2025 and held interest rates steady in February 2026, bringing the benchmark rate to the 3.50% to 3.75% range. While Federal Reserve has indicated that there may be additional rate cuts in the future, policymakers continue to emphasize their commitment to monitoring and addressing inflationary pressures. Given the evolving economic environment and policy considerations, there can be no assurance regarding the magnitude or timing of future federal funds rate adjustments in either direction. Some of our debt investments bear interest at fixed rates and the value of these investments could be negatively affected by increases in market interest rates. In addition, because we have borrowed and to the extent that we borrow additional funds to make investments, an increase in interest rates would make it more expensive for us to use debt to finance our investments and adversely affect our performance if such increases cause our borrowing costs to rise at a rate in excess of the rate that our investments yield. As a result, a significant increase in market interest rates could both reduce the value of our portfolio investments and increase our cost of capital, which would reduce our net investment income. Rising borrowing costs may contribute to the difficulty of companies in servicing their debt obligations and may lead to increases in default rates. Certain changes in interest rates could have a material adverse effect on the Company and its investments. Moreover, changes in interest rates could have a material negative impact on the financial condition of borrowers, the valuations for loans, the unanticipated repayments of loans, and pressure to renegotiate terms on existing loans. Also, an increase in interest rates available to investors could make an investment in shares of our common stock less attractive if we are not able to increase our distribution rate, which could reduce the value of our common stock. It is possible that the Federal Reserve’s tightening cycle also could result in a recession in the United States.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77" w:lineRule="exact"/>
        <w:rPr>
          <w:sz w:val="20"/>
          <w:szCs w:val="20"/>
          <w:color w:val="auto"/>
        </w:rPr>
      </w:pPr>
    </w:p>
    <w:p>
      <w:pPr>
        <w:ind w:right="820"/>
        <w:spacing w:after="0" w:line="331" w:lineRule="auto"/>
        <w:rPr>
          <w:sz w:val="20"/>
          <w:szCs w:val="20"/>
          <w:color w:val="auto"/>
        </w:rPr>
      </w:pPr>
      <w:r>
        <w:rPr>
          <w:rFonts w:ascii="Arial" w:cs="Arial" w:eastAsia="Arial" w:hAnsi="Arial"/>
          <w:sz w:val="19"/>
          <w:szCs w:val="19"/>
          <w:b w:val="1"/>
          <w:bCs w:val="1"/>
          <w:i w:val="1"/>
          <w:iCs w:val="1"/>
          <w:color w:val="auto"/>
        </w:rPr>
        <w:t>Inflation may adversely affect the business, results of operations and financial condition of our portfolio companies, which may, in turn, impact the valuation of such portfolio companies.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58</w:t>
      </w:r>
    </w:p>
    <w:p>
      <w:pPr>
        <w:sectPr>
          <w:pgSz w:w="11900" w:h="16838" w:orient="portrait"/>
          <w:cols w:equalWidth="0" w:num="1">
            <w:col w:w="9400"/>
          </w:cols>
          <w:pgMar w:left="1260" w:top="1440" w:right="1246" w:bottom="0" w:gutter="0" w:footer="0" w:header="0"/>
          <w:type w:val="continuous"/>
        </w:sectPr>
      </w:pPr>
    </w:p>
    <w:bookmarkStart w:id="70" w:name="page71"/>
    <w:bookmarkEnd w:id="70"/>
    <w:p>
      <w:pPr>
        <w:jc w:val="both"/>
        <w:ind w:firstLine="400"/>
        <w:spacing w:after="0" w:line="311" w:lineRule="auto"/>
        <w:rPr>
          <w:sz w:val="20"/>
          <w:szCs w:val="20"/>
          <w:color w:val="auto"/>
        </w:rPr>
      </w:pPr>
      <w:r>
        <w:rPr>
          <w:rFonts w:ascii="Arial" w:cs="Arial" w:eastAsia="Arial" w:hAnsi="Arial"/>
          <w:sz w:val="20"/>
          <w:szCs w:val="20"/>
          <w:color w:val="auto"/>
        </w:rPr>
        <w:t>Certain of our portfolio companies may be impacted by inflation, which may, in turn, impact the valuation of such portfolio companies. If such portfolio companies are unable to pass any increases in their costs along to their customers, it could adversely affect their results and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58</w:t>
      </w:r>
    </w:p>
    <w:p>
      <w:pPr>
        <w:sectPr>
          <w:pgSz w:w="11900" w:h="16838" w:orient="portrait"/>
          <w:cols w:equalWidth="0" w:num="1">
            <w:col w:w="9340"/>
          </w:cols>
          <w:pgMar w:left="1260" w:top="1173" w:right="1306" w:bottom="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enter into transactions involving derivatives and unfunded commitment transactions may be limited.</w:t>
      </w:r>
    </w:p>
    <w:p>
      <w:pPr>
        <w:spacing w:after="0" w:line="285" w:lineRule="exact"/>
        <w:rPr>
          <w:sz w:val="20"/>
          <w:szCs w:val="20"/>
          <w:color w:val="auto"/>
        </w:rPr>
      </w:pPr>
    </w:p>
    <w:p>
      <w:pPr>
        <w:jc w:val="both"/>
        <w:ind w:left="60" w:firstLine="401"/>
        <w:spacing w:after="0" w:line="348" w:lineRule="auto"/>
        <w:rPr>
          <w:sz w:val="20"/>
          <w:szCs w:val="20"/>
          <w:color w:val="auto"/>
        </w:rPr>
      </w:pPr>
      <w:r>
        <w:rPr>
          <w:rFonts w:ascii="Arial" w:cs="Arial" w:eastAsia="Arial" w:hAnsi="Arial"/>
          <w:sz w:val="18"/>
          <w:szCs w:val="18"/>
          <w:color w:val="auto"/>
        </w:rPr>
        <w:t>Rule 18f-4 under the 1940 Act relates to the use of derivatives and other transactions that create future payment or delivery obligations by BDCs (and other funds that are registered investment companies). Under Rule 18f-4, BDCs that use derivatives are subject to a value-at-risk leverage limit, certain derivatives risk management program and testing requirements, and requirements related to board reporting. These requirements apply unless the BDC qualifies as a “limited derivatives user,” as defined in Rule 18f-4. A BDC that enters into reverse repurchase agreements or similar financing transactions could either (i) comply with the asset coverage requirements of Section 18, as modified by Section 61 of the 1940 Act, when engaging in reverse repurchase agreements or (ii) choose to treat such agreements as derivative transactions under Rule 18f-4. In addition,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the unfunded commitment as a derivatives transaction subject to the aforementioned requirements of Rule 18f-4. Collectively, these requirements may limit our ability to use derivatives and/or enter into certain other financial contracts. We qualify as a “limited derivatives user,” and as a result the requirements applicable to us under Rule 18f-4 may limit our ability to use derivatives and enter into certain other financial contracts. However, if we fail to qualify as a limited derivatives user and become subject to the additional requirements under Rule 18f-4, compliance with such requirements may increase cost of doing business, which could have a material adverse effect on our business, financial condition, results of operations and cash flow.</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Global economic, political and market conditions may adversely affect our business, results of operations and financial condition, including our revenue growth and profitability.</w:t>
      </w:r>
    </w:p>
    <w:p>
      <w:pPr>
        <w:spacing w:after="0" w:line="201" w:lineRule="exact"/>
        <w:rPr>
          <w:sz w:val="20"/>
          <w:szCs w:val="20"/>
          <w:color w:val="auto"/>
        </w:rPr>
      </w:pPr>
    </w:p>
    <w:p>
      <w:pPr>
        <w:jc w:val="both"/>
        <w:ind w:firstLine="401"/>
        <w:spacing w:after="0" w:line="350" w:lineRule="auto"/>
        <w:rPr>
          <w:sz w:val="20"/>
          <w:szCs w:val="20"/>
          <w:color w:val="auto"/>
        </w:rPr>
      </w:pPr>
      <w:r>
        <w:rPr>
          <w:rFonts w:ascii="Arial" w:cs="Arial" w:eastAsia="Arial" w:hAnsi="Arial"/>
          <w:sz w:val="18"/>
          <w:szCs w:val="18"/>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new or changed laws or regulations, executive orders, as well as changes in the positions of regulatory agencies, which may lead to changes in the level of oversight in the financial service industry, could have a material adverse effect on our business, and political uncertainty could increase regulatory uncertainty in the near term. The nature, timing and economic effects of any potential changes to the current legal and regulatory framework affecting the financial service industry remain uncertain.</w:t>
      </w:r>
    </w:p>
    <w:p>
      <w:pPr>
        <w:spacing w:after="0" w:line="165"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83" w:lineRule="exact"/>
        <w:rPr>
          <w:sz w:val="20"/>
          <w:szCs w:val="20"/>
          <w:color w:val="auto"/>
        </w:rPr>
      </w:pPr>
    </w:p>
    <w:p>
      <w:pPr>
        <w:jc w:val="both"/>
        <w:ind w:right="60" w:firstLine="401"/>
        <w:spacing w:after="0" w:line="352"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Although the current administration has signaled a more deregulatory approach with respect to the financial services industry it cannot be known at this time whether any regulation will be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58</w:t>
      </w:r>
    </w:p>
    <w:p>
      <w:pPr>
        <w:sectPr>
          <w:pgSz w:w="11900" w:h="16838" w:orient="portrait"/>
          <w:cols w:equalWidth="0" w:num="1">
            <w:col w:w="9380"/>
          </w:cols>
          <w:pgMar w:left="1260" w:top="1440" w:right="1266" w:bottom="0" w:gutter="0" w:footer="0" w:header="0"/>
          <w:type w:val="continuous"/>
        </w:sectPr>
      </w:pPr>
    </w:p>
    <w:bookmarkStart w:id="72" w:name="page73"/>
    <w:bookmarkEnd w:id="72"/>
    <w:p>
      <w:pPr>
        <w:jc w:val="both"/>
        <w:ind w:right="80"/>
        <w:spacing w:after="0" w:line="330" w:lineRule="auto"/>
        <w:rPr>
          <w:sz w:val="20"/>
          <w:szCs w:val="20"/>
          <w:color w:val="auto"/>
        </w:rPr>
      </w:pPr>
      <w:r>
        <w:rPr>
          <w:rFonts w:ascii="Arial" w:cs="Arial" w:eastAsia="Arial" w:hAnsi="Arial"/>
          <w:sz w:val="19"/>
          <w:szCs w:val="19"/>
          <w:color w:val="auto"/>
        </w:rPr>
        <w:t>implemented or what form it will take. Changes to the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79" w:lineRule="exact"/>
        <w:rPr>
          <w:sz w:val="20"/>
          <w:szCs w:val="20"/>
          <w:color w:val="auto"/>
        </w:rPr>
      </w:pPr>
    </w:p>
    <w:p>
      <w:pPr>
        <w:jc w:val="both"/>
        <w:ind w:firstLine="401"/>
        <w:spacing w:after="0" w:line="351" w:lineRule="auto"/>
        <w:rPr>
          <w:sz w:val="20"/>
          <w:szCs w:val="20"/>
          <w:color w:val="auto"/>
        </w:rPr>
      </w:pPr>
      <w:r>
        <w:rPr>
          <w:rFonts w:ascii="Arial" w:cs="Arial" w:eastAsia="Arial" w:hAnsi="Arial"/>
          <w:sz w:val="18"/>
          <w:szCs w:val="18"/>
          <w:color w:val="auto"/>
        </w:rPr>
        <w:t>Actual and proposed changes to the complex system of laws and regulations governing the banking industry further pose risks to the success of our operations, cash flows or financial conditions. The effect of rules or regulations could be complex and far-reaching, and the changes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66" w:lineRule="exact"/>
        <w:rPr>
          <w:sz w:val="20"/>
          <w:szCs w:val="20"/>
          <w:color w:val="auto"/>
        </w:rPr>
      </w:pPr>
    </w:p>
    <w:p>
      <w:pPr>
        <w:jc w:val="both"/>
        <w:ind w:right="60" w:firstLine="401"/>
        <w:spacing w:after="0" w:line="307" w:lineRule="auto"/>
        <w:rPr>
          <w:sz w:val="20"/>
          <w:szCs w:val="20"/>
          <w:color w:val="auto"/>
        </w:rPr>
      </w:pPr>
      <w:r>
        <w:rPr>
          <w:rFonts w:ascii="Arial" w:cs="Arial" w:eastAsia="Arial" w:hAnsi="Arial"/>
          <w:sz w:val="20"/>
          <w:szCs w:val="20"/>
          <w:color w:val="auto"/>
        </w:rPr>
        <w:t>Until we know what policy changes are made and how those changes impact business and the business of our competitors over the long term, we will not know if, overall, it will benefit from them or be negatively affected by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58</w:t>
      </w:r>
    </w:p>
    <w:p>
      <w:pPr>
        <w:sectPr>
          <w:pgSz w:w="11900" w:h="16838" w:orient="portrait"/>
          <w:cols w:equalWidth="0" w:num="1">
            <w:col w:w="9400"/>
          </w:cols>
          <w:pgMar w:left="1260" w:top="1173" w:right="1246" w:bottom="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b w:val="1"/>
          <w:bCs w:val="1"/>
          <w:i w:val="1"/>
          <w:iCs w:val="1"/>
          <w:color w:val="auto"/>
        </w:rPr>
        <w:t>We are currently operating in a period of significant capital markets disruption and economic uncertainty, which may have a negative impact on our business, financial condition and operations. An extended disruption in the capital markets and the credit markets could negatively affect our business.</w:t>
      </w:r>
    </w:p>
    <w:p>
      <w:pPr>
        <w:spacing w:after="0" w:line="119" w:lineRule="exact"/>
        <w:rPr>
          <w:sz w:val="20"/>
          <w:szCs w:val="20"/>
          <w:color w:val="auto"/>
        </w:rPr>
      </w:pPr>
    </w:p>
    <w:p>
      <w:pPr>
        <w:jc w:val="both"/>
        <w:ind w:right="40" w:firstLine="401"/>
        <w:spacing w:after="0" w:line="311" w:lineRule="auto"/>
        <w:rPr>
          <w:sz w:val="20"/>
          <w:szCs w:val="20"/>
          <w:color w:val="auto"/>
        </w:rPr>
      </w:pPr>
      <w:r>
        <w:rPr>
          <w:rFonts w:ascii="Arial" w:cs="Arial" w:eastAsia="Arial" w:hAnsi="Arial"/>
          <w:sz w:val="20"/>
          <w:szCs w:val="20"/>
          <w:color w:val="auto"/>
        </w:rPr>
        <w:t>From time to time, capital markets may experience periods of disruption and instability. Uncertainty with respect to, among other things, inflationary pressures, elevated interest rates, new tariffs and trade barriers, and geopolitical conditions, including the ongoing conflict between Russia and Ukraine, ongoing turmoil in Europe and the Middle East introduced significant volatility in the financial markets, and the effect of this volatility has materially impacted and could continue to materially impact our market risks. We anticipate our portfolio companies would be materially and adversely affected by any prolonged economic downturn or recession in the United States and other major markets. In addition, disruptions in the capital markets have increased the spread between the yields realized on risk-free and higher risk securities, resulting in illiquidity in parts of the capital markets.</w:t>
      </w:r>
    </w:p>
    <w:p>
      <w:pPr>
        <w:spacing w:after="0" w:line="198"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The current economic conditions have resulted in an adverse impact on the ability of lenders to originate loans, the volume, type, and quality of loans originated, the ability of borrowers to make payments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The U.S. credit markets (in particular for middle-market loans), have experienced the following among other things: (i) increased draws by borrowers on revolving lines of credit and other financing instruments; (ii) increased requests by borrowers for amendments and waivers of their credit agreements to avoid default, increased defaults by such borrowers and/or increased difficulty in obtaining refinancing at the maturity dates of their loans and increased uses of PIK features; and (iii) greater volatility in pricing and spreads and difficulty in valuing loans during periods of increased volatility, and liquidity issues.</w:t>
      </w:r>
    </w:p>
    <w:p>
      <w:pPr>
        <w:spacing w:after="0" w:line="170"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These conditions and future market disruptions and/or illiquidity could have an adverse effect on our (and our portfolio companies') business, financial condition, results of operations and cash flows. Ongoing unfavorable economic conditions may increase our funding costs, limit our access to the capital markets or result in a decision by lenders not to extend credit to our portfolio companies and/or us. These events have limited and could continue to limit our investment originations, limit our ability to grow and have a material negative impact on our operating results and the fair values of our debt and equity investments. We may have to access, if available, alternative markets for debt and equity capital, and a severe disruption in the global financial markets, deterioration in credit and financing conditions, fluctuations in interest rates or uncertainty regarding U.S. government spending and deficit levels or other global economic conditions could have a material adverse effect on our business, financial condition and results of operations.</w:t>
      </w:r>
    </w:p>
    <w:p>
      <w:pPr>
        <w:spacing w:after="0" w:line="185" w:lineRule="exact"/>
        <w:rPr>
          <w:sz w:val="20"/>
          <w:szCs w:val="20"/>
          <w:color w:val="auto"/>
        </w:rPr>
      </w:pPr>
    </w:p>
    <w:p>
      <w:pPr>
        <w:jc w:val="both"/>
        <w:ind w:right="20" w:firstLine="401"/>
        <w:spacing w:after="0" w:line="309" w:lineRule="auto"/>
        <w:rPr>
          <w:sz w:val="20"/>
          <w:szCs w:val="20"/>
          <w:color w:val="auto"/>
        </w:rPr>
      </w:pPr>
      <w:r>
        <w:rPr>
          <w:rFonts w:ascii="Arial" w:cs="Arial" w:eastAsia="Arial" w:hAnsi="Arial"/>
          <w:sz w:val="20"/>
          <w:szCs w:val="20"/>
          <w:color w:val="auto"/>
        </w:rPr>
        <w:t>While we intend to continue to source and invest in new loan transactions to U.S. middle market companies, we cannot be certain that we will be able to do so successfully or consistently. A lack of suitable investment opportunities may impair our ability to make new investments, and may negatively impact our earnings and result in decreased dividends to our shareholders.</w:t>
      </w:r>
    </w:p>
    <w:p>
      <w:pPr>
        <w:spacing w:after="0" w:line="196" w:lineRule="exact"/>
        <w:rPr>
          <w:sz w:val="20"/>
          <w:szCs w:val="20"/>
          <w:color w:val="auto"/>
        </w:rPr>
      </w:pPr>
    </w:p>
    <w:p>
      <w:pPr>
        <w:jc w:val="both"/>
        <w:ind w:right="40" w:firstLine="401"/>
        <w:spacing w:after="0" w:line="351" w:lineRule="auto"/>
        <w:rPr>
          <w:sz w:val="20"/>
          <w:szCs w:val="20"/>
          <w:color w:val="auto"/>
        </w:rPr>
      </w:pPr>
      <w:r>
        <w:rPr>
          <w:rFonts w:ascii="Arial" w:cs="Arial" w:eastAsia="Arial" w:hAnsi="Arial"/>
          <w:sz w:val="18"/>
          <w:szCs w:val="18"/>
          <w:color w:val="auto"/>
        </w:rPr>
        <w:t>If current economic conditions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58</w:t>
      </w:r>
    </w:p>
    <w:p>
      <w:pPr>
        <w:sectPr>
          <w:pgSz w:w="11900" w:h="16838" w:orient="portrait"/>
          <w:cols w:equalWidth="0" w:num="1">
            <w:col w:w="9380"/>
          </w:cols>
          <w:pgMar w:left="1260" w:top="1440" w:right="1266" w:bottom="0" w:gutter="0" w:footer="0" w:header="0"/>
          <w:type w:val="continuous"/>
        </w:sectPr>
      </w:pPr>
    </w:p>
    <w:bookmarkStart w:id="74" w:name="page75"/>
    <w:bookmarkEnd w:id="74"/>
    <w:p>
      <w:pPr>
        <w:jc w:val="both"/>
        <w:ind w:right="20"/>
        <w:spacing w:after="0" w:line="355" w:lineRule="auto"/>
        <w:rPr>
          <w:sz w:val="20"/>
          <w:szCs w:val="20"/>
          <w:color w:val="auto"/>
        </w:rPr>
      </w:pPr>
      <w:r>
        <w:rPr>
          <w:rFonts w:ascii="Arial" w:cs="Arial" w:eastAsia="Arial" w:hAnsi="Arial"/>
          <w:sz w:val="18"/>
          <w:szCs w:val="18"/>
          <w:color w:val="auto"/>
        </w:rPr>
        <w:t>adverse effect on our business, financial condition or results of operations. We also continue to observe supply chain interruptions, labor difficulties, commodity inflation and elements of economic and financial market instability both globally and in the United States, which could adversely impact our results of operations and financial condition.</w:t>
      </w:r>
    </w:p>
    <w:p>
      <w:pPr>
        <w:spacing w:after="0" w:line="162" w:lineRule="exact"/>
        <w:rPr>
          <w:sz w:val="20"/>
          <w:szCs w:val="20"/>
          <w:color w:val="auto"/>
        </w:rPr>
      </w:pPr>
    </w:p>
    <w:p>
      <w:pPr>
        <w:jc w:val="both"/>
        <w:ind w:right="20" w:firstLine="401"/>
        <w:spacing w:after="0" w:line="352" w:lineRule="auto"/>
        <w:rPr>
          <w:sz w:val="20"/>
          <w:szCs w:val="20"/>
          <w:color w:val="auto"/>
        </w:rPr>
      </w:pPr>
      <w:r>
        <w:rPr>
          <w:rFonts w:ascii="Arial" w:cs="Arial" w:eastAsia="Arial" w:hAnsi="Arial"/>
          <w:sz w:val="18"/>
          <w:szCs w:val="18"/>
          <w:color w:val="auto"/>
        </w:rPr>
        <w:t>We will need to raise additional capital in the future in order to continue to make investments in accordance with our business and investing strategy and to pursue new business opportunities. Ongoing disruptive conditions in the financial industry and the impact of new legislation in response to those conditions could restrict our business operations and could adversely impact our results of operations and financial condition.</w:t>
      </w:r>
    </w:p>
    <w:p>
      <w:pPr>
        <w:spacing w:after="0" w:line="166" w:lineRule="exact"/>
        <w:rPr>
          <w:sz w:val="20"/>
          <w:szCs w:val="20"/>
          <w:color w:val="auto"/>
        </w:rPr>
      </w:pPr>
    </w:p>
    <w:p>
      <w:pPr>
        <w:jc w:val="both"/>
        <w:ind w:right="20" w:firstLine="401"/>
        <w:spacing w:after="0" w:line="351" w:lineRule="auto"/>
        <w:rPr>
          <w:sz w:val="20"/>
          <w:szCs w:val="20"/>
          <w:color w:val="auto"/>
        </w:rPr>
      </w:pPr>
      <w:r>
        <w:rPr>
          <w:rFonts w:ascii="Arial" w:cs="Arial" w:eastAsia="Arial" w:hAnsi="Arial"/>
          <w:sz w:val="18"/>
          <w:szCs w:val="18"/>
          <w:color w:val="auto"/>
        </w:rPr>
        <w:t>In addition, we generally are required to distribute at least 90% of our net ordinary income and net short-term capital gains in excess of net long-term capital losses, if any, to our shareholders to qualify as a RIC. As a result, these earnings will not be available to fund new investments. An inability to access the capital markets successfully could limit our ability to grow our business and execute our business strategy fully and could decrease our earnings, if any, which may have a material adverse effect on our business, results of operations and financial performance.</w:t>
      </w:r>
    </w:p>
    <w:p>
      <w:pPr>
        <w:spacing w:after="0" w:line="166"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We cannot be certain as to the duration or magnitude of the ongoing economic condition in the markets in which we and our portfolio companies operate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of our portfolio companies may suffer declines in earnings and could experience financial distress, which could cause them to default on their financial obligations to us and their other lenders. In consideration of these and related factors, we have downgraded our internal ratings with respect to certain portfolio companies and may make additional downgrades with respect to other portfolio companies in the future as conditions warrant and new information becomes available.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58</w:t>
      </w:r>
    </w:p>
    <w:p>
      <w:pPr>
        <w:sectPr>
          <w:pgSz w:w="11900" w:h="16838" w:orient="portrait"/>
          <w:cols w:equalWidth="0" w:num="1">
            <w:col w:w="9360"/>
          </w:cols>
          <w:pgMar w:left="1260" w:top="1173" w:right="1286"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b w:val="1"/>
          <w:bCs w:val="1"/>
          <w:i w:val="1"/>
          <w:iCs w:val="1"/>
          <w:color w:val="auto"/>
        </w:rPr>
        <w:t>Our business is dependent on bank relationships and recent strain on the banking system may adversely impact us.</w:t>
      </w:r>
    </w:p>
    <w:p>
      <w:pPr>
        <w:spacing w:after="0" w:line="141"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color w:val="auto"/>
        </w:rPr>
        <w:t>The financial markets have periodically encountered volatility associated with concerns about the balance sheets of banks, especially small and regional banks that have experienced significant losses in connection with previous events of insolvency. In such distress events, it may be difficult for such banks to fund demands to withdraw deposits and other liquidity needs. Although the federal government previously announced measures to assist these banks and protect depositors, there is no assurance that similar measures will be implemented during future periods of volatility.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Any continued strain on the banking system may adversely impact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fluctuations in our quarterly operating results.</w:t>
      </w:r>
    </w:p>
    <w:p>
      <w:pPr>
        <w:spacing w:after="0" w:line="260" w:lineRule="exact"/>
        <w:rPr>
          <w:sz w:val="20"/>
          <w:szCs w:val="20"/>
          <w:color w:val="auto"/>
        </w:rPr>
      </w:pPr>
    </w:p>
    <w:p>
      <w:pPr>
        <w:jc w:val="both"/>
        <w:ind w:right="40" w:firstLine="400"/>
        <w:spacing w:after="0" w:line="329" w:lineRule="auto"/>
        <w:rPr>
          <w:sz w:val="20"/>
          <w:szCs w:val="20"/>
          <w:color w:val="auto"/>
        </w:rPr>
      </w:pPr>
      <w:r>
        <w:rPr>
          <w:rFonts w:ascii="Arial" w:cs="Arial" w:eastAsia="Arial" w:hAnsi="Arial"/>
          <w:sz w:val="19"/>
          <w:szCs w:val="19"/>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We will be subject to U.S. federal income tax imposed at corporate rates if we are unable to maintain our tax treatment as a RIC under subchapter M of the Code.</w:t>
      </w:r>
    </w:p>
    <w:p>
      <w:pPr>
        <w:spacing w:after="0" w:line="201" w:lineRule="exact"/>
        <w:rPr>
          <w:sz w:val="20"/>
          <w:szCs w:val="20"/>
          <w:color w:val="auto"/>
        </w:rPr>
      </w:pPr>
    </w:p>
    <w:p>
      <w:pPr>
        <w:jc w:val="both"/>
        <w:ind w:firstLine="400"/>
        <w:spacing w:after="0" w:line="348" w:lineRule="auto"/>
        <w:rPr>
          <w:sz w:val="20"/>
          <w:szCs w:val="20"/>
          <w:color w:val="auto"/>
        </w:rPr>
      </w:pPr>
      <w:r>
        <w:rPr>
          <w:rFonts w:ascii="Arial" w:cs="Arial" w:eastAsia="Arial" w:hAnsi="Arial"/>
          <w:sz w:val="18"/>
          <w:szCs w:val="18"/>
          <w:color w:val="auto"/>
        </w:rPr>
        <w:t>We have elected to be treated and intend to qualify annually as a RIC; however, no assurance can be given that we will be able to maintain our RIC tax treatment. To maintain our tax treatment as a RIC and to avoid the imposition of U.S. federal income tax on income and gains distributed to our stockholders, we must meet certain requirements, including source-of-income, asset diversification and annual distribution requirements. In order to satisfy the source-of-income requirement, we must derive at least 90% of our gross income for each year from dividends, interest, gains from sale of stock or other securities or foreign currencies, other income derived with respect to our business of investing in such stock or securities or income form “qualified publicly traded partnerships.” To maintain our tax treatment as a RIC, we must also meet certain asset diversification requirements at the end of each calendar quarter. Failure to meet these tests in any year in which we intend to be treated as a RIC may result in our having to dispose of certain investments quickly in order to prevent the loss of RIC status. Because most of our investments will be in private or thinly traded public companies, any such dispositions could be made at disadvantageous prices and may result in substantial losses. In addition, in order to satisfy the Annual Distribution Requirement for a RIC, we must timely distribute at least 90% of our “investment company taxable income,” which is generally our net ordinary income and net short-term capital gains in excess of net long-term capital losses, if any, to our stockholders on an annual basis. We will be subject to a nondeductible 4% U.S. federal excise tax to the extent that we do not satisfy certain additional minimum distribution requirements on a calendar-year basis. We will be subject, to the extent we use debt financing, to certain asset coverage ratio requirements under the 1940 Act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58</w:t>
      </w:r>
    </w:p>
    <w:p>
      <w:pPr>
        <w:sectPr>
          <w:pgSz w:w="11900" w:h="16838" w:orient="portrait"/>
          <w:cols w:equalWidth="0" w:num="1">
            <w:col w:w="9380"/>
          </w:cols>
          <w:pgMar w:left="1260" w:top="1440" w:right="1266" w:bottom="0" w:gutter="0" w:footer="0" w:header="0"/>
          <w:type w:val="continuous"/>
        </w:sectPr>
      </w:pPr>
    </w:p>
    <w:bookmarkStart w:id="76" w:name="page77"/>
    <w:bookmarkEnd w:id="76"/>
    <w:p>
      <w:pPr>
        <w:jc w:val="both"/>
        <w:spacing w:after="0" w:line="311" w:lineRule="auto"/>
        <w:rPr>
          <w:sz w:val="20"/>
          <w:szCs w:val="20"/>
          <w:color w:val="auto"/>
        </w:rPr>
      </w:pPr>
      <w:r>
        <w:rPr>
          <w:rFonts w:ascii="Arial" w:cs="Arial" w:eastAsia="Arial" w:hAnsi="Arial"/>
          <w:sz w:val="20"/>
          <w:szCs w:val="20"/>
          <w:color w:val="auto"/>
        </w:rPr>
        <w:t>financial covenants under loan and credit agreements that could, under certain circumstances, restrict us from making annual distributions necessary to qualify as a RIC. If we are unable to obtain cash from other sources, we may fail to qualify as a RIC and, thus, may be subject to U.S. federal income tax on our entire taxable income without regard to any distributions made by us. If we fail to maintain our tax treatment as a RIC for any reason and become subject to U.S. federal income tax imposed at corporate rates,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19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97"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current market conditions described herein. 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58</w:t>
      </w:r>
    </w:p>
    <w:p>
      <w:pPr>
        <w:sectPr>
          <w:pgSz w:w="11900" w:h="16838" w:orient="portrait"/>
          <w:cols w:equalWidth="0" w:num="1">
            <w:col w:w="9340"/>
          </w:cols>
          <w:pgMar w:left="1260" w:top="1173" w:right="1306" w:bottom="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96"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9"/>
          <w:szCs w:val="19"/>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receives his or her own invested capital, but reduced by the amount of the Company’s expenses and any sales load he or she may have paid. In addition, investors will be required to reduce their adjusted tax basis in our stock for U.S. federal income tax purposes.</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b w:val="1"/>
          <w:bCs w:val="1"/>
          <w:i w:val="1"/>
          <w:iCs w:val="1"/>
          <w:color w:val="auto"/>
        </w:rPr>
        <w:t>We may choose to pay dividends in our own stock, in which case you may be required to pay tax in excess of the cash you receive.</w:t>
      </w:r>
    </w:p>
    <w:p>
      <w:pPr>
        <w:spacing w:after="0" w:line="141"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We currently expect to be treated as a publicly offered RIC, although there can be no assurance that we will in fact so qualify for any of our taxable years, and we may distribute taxable dividends that are payable in part in our common stock. Under certain applicable provisions of the Code and the Treasury regulations and a revenue procedure issued by the IRS, a publicly offered RIC may treat a distribution of its own stock as fulfilling the Annual Distribution Requirement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qualify as a publicly offered RIC and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The value of the shares received by a stockholder is treated as income for U.S. federal income tax purposes. A U.S. stockholder may have income from such dividend in excess of any cash received, and thus may be required to obtain cash from other sources to pay any applicable U.S. federal income tax. If a U.S. stockholder sells the stock it received as a dividend in order to pay this tax, the sales proceeds may be less than the amount included in income with respect to the dividend, depending on the market price of our stock at the time of the sale.</w:t>
      </w:r>
    </w:p>
    <w:p>
      <w:pPr>
        <w:spacing w:after="0" w:line="238"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196"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b w:val="1"/>
          <w:bCs w:val="1"/>
          <w:i w:val="1"/>
          <w:iCs w:val="1"/>
          <w:color w:val="auto"/>
        </w:rPr>
        <w:t>Due to current market conditions, we may reduce or defer our dividends and choose to incur U.S. federal excise tax in order to preserve cash and maintain flexibility.</w:t>
      </w:r>
    </w:p>
    <w:p>
      <w:pPr>
        <w:spacing w:after="0" w:line="201" w:lineRule="exact"/>
        <w:rPr>
          <w:sz w:val="20"/>
          <w:szCs w:val="20"/>
          <w:color w:val="auto"/>
        </w:rPr>
      </w:pPr>
    </w:p>
    <w:p>
      <w:pPr>
        <w:jc w:val="both"/>
        <w:ind w:firstLine="400"/>
        <w:spacing w:after="0" w:line="351" w:lineRule="auto"/>
        <w:rPr>
          <w:sz w:val="20"/>
          <w:szCs w:val="20"/>
          <w:color w:val="auto"/>
        </w:rPr>
      </w:pPr>
      <w:r>
        <w:rPr>
          <w:rFonts w:ascii="Arial" w:cs="Arial" w:eastAsia="Arial" w:hAnsi="Arial"/>
          <w:sz w:val="18"/>
          <w:szCs w:val="18"/>
          <w:color w:val="auto"/>
        </w:rPr>
        <w:t>As a BDC, we are not required to make any distributions to shareholders other than in connection with our election to be treated for U.S. federal income tax purposes as a RIC. In order to qualify as a RIC, we generally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U.S. federal income tax on our investment company</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58</w:t>
      </w:r>
    </w:p>
    <w:p>
      <w:pPr>
        <w:sectPr>
          <w:pgSz w:w="11900" w:h="16838" w:orient="portrait"/>
          <w:cols w:equalWidth="0" w:num="1">
            <w:col w:w="9360"/>
          </w:cols>
          <w:pgMar w:left="1260" w:top="1440" w:right="1286" w:bottom="0" w:gutter="0" w:footer="0" w:header="0"/>
          <w:type w:val="continuous"/>
        </w:sectPr>
      </w:pPr>
    </w:p>
    <w:bookmarkStart w:id="78" w:name="page79"/>
    <w:bookmarkEnd w:id="78"/>
    <w:p>
      <w:pPr>
        <w:jc w:val="both"/>
        <w:ind w:right="40"/>
        <w:spacing w:after="0" w:line="329" w:lineRule="auto"/>
        <w:rPr>
          <w:sz w:val="20"/>
          <w:szCs w:val="20"/>
          <w:color w:val="auto"/>
        </w:rPr>
      </w:pPr>
      <w:r>
        <w:rPr>
          <w:rFonts w:ascii="Arial" w:cs="Arial" w:eastAsia="Arial" w:hAnsi="Arial"/>
          <w:sz w:val="19"/>
          <w:szCs w:val="19"/>
          <w:color w:val="auto"/>
        </w:rPr>
        <w:t>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 of our ordinary income for the calendar year, (ii) 98.2% of the amount by which our capital gain exceeds our capital loss (adjusted for certain ordinary losses) for the one-year period ending October 31 in that calendar year and (iii) certain undistributed amounts from previous years on which we paid no U.S. federal income tax.</w:t>
      </w:r>
    </w:p>
    <w:p>
      <w:pPr>
        <w:spacing w:after="0" w:line="183"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“spillback dividends,” that are paid during the following taxable year that will allow us to maintain our qualification for taxation as a RIC and eliminate our liability for U.S. federal income tax imposed at corporate rates. Under these spillover dividend procedures, we may defer distribution of income earned during the current year until December of the following year. For example, we may defer distributions of income earned during 2025 until as late as December 31, 2026. If we choose to pay a spillover dividend, we will incur the 4% U.S. federal excise tax on some or all of the distribution.</w:t>
      </w:r>
    </w:p>
    <w:p>
      <w:pPr>
        <w:spacing w:after="0" w:line="170"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Due to current market conditions (as described herein), it is possible that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58</w:t>
      </w:r>
    </w:p>
    <w:p>
      <w:pPr>
        <w:sectPr>
          <w:pgSz w:w="11900" w:h="16838" w:orient="portrait"/>
          <w:cols w:equalWidth="0" w:num="1">
            <w:col w:w="9380"/>
          </w:cols>
          <w:pgMar w:left="1260" w:top="1173" w:right="1266" w:bottom="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b w:val="1"/>
          <w:bCs w:val="1"/>
          <w:i w:val="1"/>
          <w:iCs w:val="1"/>
          <w:color w:val="auto"/>
        </w:rPr>
        <w:t>We may have difficulty paying our required distributions if we recognize income before, or without, receiving cash representing such income.</w:t>
      </w:r>
    </w:p>
    <w:p>
      <w:pPr>
        <w:spacing w:after="0" w:line="201" w:lineRule="exact"/>
        <w:rPr>
          <w:sz w:val="20"/>
          <w:szCs w:val="20"/>
          <w:color w:val="auto"/>
        </w:rPr>
      </w:pPr>
    </w:p>
    <w:p>
      <w:pPr>
        <w:jc w:val="both"/>
        <w:ind w:right="20" w:firstLine="401"/>
        <w:spacing w:after="0" w:line="350" w:lineRule="auto"/>
        <w:rPr>
          <w:sz w:val="20"/>
          <w:szCs w:val="20"/>
          <w:color w:val="auto"/>
        </w:rPr>
      </w:pPr>
      <w:r>
        <w:rPr>
          <w:rFonts w:ascii="Arial" w:cs="Arial" w:eastAsia="Arial" w:hAnsi="Arial"/>
          <w:sz w:val="18"/>
          <w:szCs w:val="18"/>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69" w:lineRule="exact"/>
        <w:rPr>
          <w:sz w:val="20"/>
          <w:szCs w:val="20"/>
          <w:color w:val="auto"/>
        </w:rPr>
      </w:pPr>
    </w:p>
    <w:p>
      <w:pPr>
        <w:jc w:val="both"/>
        <w:ind w:right="20" w:firstLine="400"/>
        <w:spacing w:after="0" w:line="329" w:lineRule="auto"/>
        <w:rPr>
          <w:sz w:val="20"/>
          <w:szCs w:val="20"/>
          <w:color w:val="auto"/>
        </w:rPr>
      </w:pPr>
      <w:r>
        <w:rPr>
          <w:rFonts w:ascii="Arial" w:cs="Arial" w:eastAsia="Arial" w:hAnsi="Arial"/>
          <w:sz w:val="19"/>
          <w:szCs w:val="19"/>
          <w:color w:val="auto"/>
        </w:rPr>
        <w:t>Since in certain cases we may be required to recognize income before or without receiving cash representing such income, we may have difficulty meeting the Annual Distribution Requirement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 In such circumstances, if we are unable to obtain such cash from other sources, we may fail to maintain our tax treatment as a RIC and thus be subject to U.S. federal income tax. See “We will be subject to U.S. federal income tax imposed at corporate rates if we are unable to maintain our tax treatment as a RIC under subchapter M of the Code.”</w:t>
      </w:r>
    </w:p>
    <w:p>
      <w:pPr>
        <w:spacing w:after="0" w:line="184"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67" w:lineRule="exact"/>
        <w:rPr>
          <w:sz w:val="20"/>
          <w:szCs w:val="20"/>
          <w:color w:val="auto"/>
        </w:rPr>
      </w:pPr>
    </w:p>
    <w:p>
      <w:pPr>
        <w:jc w:val="both"/>
        <w:ind w:right="40" w:firstLine="392"/>
        <w:spacing w:after="0" w:line="330" w:lineRule="auto"/>
        <w:rPr>
          <w:sz w:val="20"/>
          <w:szCs w:val="20"/>
          <w:color w:val="auto"/>
        </w:rPr>
      </w:pPr>
      <w:r>
        <w:rPr>
          <w:rFonts w:ascii="Arial" w:cs="Arial" w:eastAsia="Arial" w:hAnsi="Arial"/>
          <w:sz w:val="19"/>
          <w:szCs w:val="19"/>
          <w:color w:val="auto"/>
        </w:rPr>
        <w:t>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329" w:lineRule="exact"/>
        <w:rPr>
          <w:sz w:val="20"/>
          <w:szCs w:val="20"/>
          <w:color w:val="auto"/>
        </w:rPr>
      </w:pPr>
    </w:p>
    <w:p>
      <w:pPr>
        <w:ind w:left="740" w:right="80" w:hanging="370"/>
        <w:spacing w:after="0" w:line="302"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interest payments deferred on a PIK loan are subject to the risk that the borrower may default when the deferred payments are due in cash at the maturity of the loan;</w:t>
      </w:r>
    </w:p>
    <w:p>
      <w:pPr>
        <w:spacing w:after="0" w:line="351" w:lineRule="exact"/>
        <w:rPr>
          <w:rFonts w:ascii="Arial" w:cs="Arial" w:eastAsia="Arial" w:hAnsi="Arial"/>
          <w:sz w:val="20"/>
          <w:szCs w:val="20"/>
          <w:color w:val="auto"/>
        </w:rPr>
      </w:pPr>
    </w:p>
    <w:p>
      <w:pPr>
        <w:ind w:left="740" w:right="160" w:hanging="370"/>
        <w:spacing w:after="0" w:line="302"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interest rates on PIK loans are higher to reflect the time-value of money on deferred interest payments and the higher credit risk of borrowers who may need to defer interest payments;</w:t>
      </w:r>
    </w:p>
    <w:p>
      <w:pPr>
        <w:spacing w:after="0" w:line="351" w:lineRule="exact"/>
        <w:rPr>
          <w:rFonts w:ascii="Arial" w:cs="Arial" w:eastAsia="Arial" w:hAnsi="Arial"/>
          <w:sz w:val="20"/>
          <w:szCs w:val="20"/>
          <w:color w:val="auto"/>
        </w:rPr>
      </w:pPr>
    </w:p>
    <w:p>
      <w:pPr>
        <w:ind w:left="740" w:right="380" w:hanging="370"/>
        <w:spacing w:after="0" w:line="331" w:lineRule="auto"/>
        <w:tabs>
          <w:tab w:leader="none" w:pos="7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PIK instruments may have unreliable valuations because the accruals require judgments about ultimate collectability of the deferred payments and the value of the associated collateral;</w:t>
      </w:r>
    </w:p>
    <w:p>
      <w:pPr>
        <w:spacing w:after="0" w:line="327" w:lineRule="exact"/>
        <w:rPr>
          <w:rFonts w:ascii="Arial" w:cs="Arial" w:eastAsia="Arial" w:hAnsi="Arial"/>
          <w:sz w:val="19"/>
          <w:szCs w:val="19"/>
          <w:color w:val="auto"/>
        </w:rPr>
      </w:pPr>
    </w:p>
    <w:p>
      <w:pPr>
        <w:ind w:left="740" w:right="80" w:hanging="370"/>
        <w:spacing w:after="0" w:line="309"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 / 58</w:t>
      </w:r>
    </w:p>
    <w:p>
      <w:pPr>
        <w:sectPr>
          <w:pgSz w:w="11900" w:h="16838" w:orient="portrait"/>
          <w:cols w:equalWidth="0" w:num="1">
            <w:col w:w="9360"/>
          </w:cols>
          <w:pgMar w:left="1260" w:top="1440" w:right="1286" w:bottom="0" w:gutter="0" w:footer="0" w:header="0"/>
          <w:type w:val="continuous"/>
        </w:sectPr>
      </w:pPr>
    </w:p>
    <w:bookmarkStart w:id="80" w:name="page81"/>
    <w:bookmarkEnd w:id="80"/>
    <w:p>
      <w:pPr>
        <w:ind w:left="740" w:right="100" w:hanging="370"/>
        <w:spacing w:after="0" w:line="302" w:lineRule="auto"/>
        <w:tabs>
          <w:tab w:leader="none" w:pos="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market prices of OID instruments are more volatile because they are affected to a greater extent by interest rate changes than instruments that pay interest periodically in cash;</w:t>
      </w:r>
    </w:p>
    <w:p>
      <w:pPr>
        <w:spacing w:after="0" w:line="351" w:lineRule="exact"/>
        <w:rPr>
          <w:rFonts w:ascii="Arial" w:cs="Arial" w:eastAsia="Arial" w:hAnsi="Arial"/>
          <w:sz w:val="20"/>
          <w:szCs w:val="20"/>
          <w:color w:val="auto"/>
        </w:rPr>
      </w:pPr>
    </w:p>
    <w:p>
      <w:pPr>
        <w:ind w:left="740" w:right="40" w:hanging="370"/>
        <w:spacing w:after="0" w:line="302" w:lineRule="auto"/>
        <w:tabs>
          <w:tab w:leader="none" w:pos="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deferral of interest on a PIK loan increases its loan-to-value ratio, which is a measure of the riskiness of a loan;</w:t>
      </w:r>
    </w:p>
    <w:p>
      <w:pPr>
        <w:spacing w:after="0" w:line="351" w:lineRule="exact"/>
        <w:rPr>
          <w:rFonts w:ascii="Arial" w:cs="Arial" w:eastAsia="Arial" w:hAnsi="Arial"/>
          <w:sz w:val="20"/>
          <w:szCs w:val="20"/>
          <w:color w:val="auto"/>
        </w:rPr>
      </w:pPr>
    </w:p>
    <w:p>
      <w:pPr>
        <w:ind w:left="740" w:right="20" w:hanging="370"/>
        <w:spacing w:after="0" w:line="302" w:lineRule="auto"/>
        <w:tabs>
          <w:tab w:leader="none" w:pos="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OID creates the risk of non-refundable cash payments to the investment advisor based on non-cash accruals that may never be realized;</w:t>
      </w:r>
    </w:p>
    <w:p>
      <w:pPr>
        <w:spacing w:after="0" w:line="351" w:lineRule="exact"/>
        <w:rPr>
          <w:rFonts w:ascii="Arial" w:cs="Arial" w:eastAsia="Arial" w:hAnsi="Arial"/>
          <w:sz w:val="20"/>
          <w:szCs w:val="20"/>
          <w:color w:val="auto"/>
        </w:rPr>
      </w:pPr>
    </w:p>
    <w:p>
      <w:pPr>
        <w:ind w:left="740" w:right="240" w:hanging="370"/>
        <w:spacing w:after="0" w:line="307" w:lineRule="auto"/>
        <w:tabs>
          <w:tab w:leader="none" w:pos="7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347" w:lineRule="exact"/>
        <w:rPr>
          <w:rFonts w:ascii="Arial" w:cs="Arial" w:eastAsia="Arial" w:hAnsi="Arial"/>
          <w:sz w:val="20"/>
          <w:szCs w:val="20"/>
          <w:color w:val="auto"/>
        </w:rPr>
      </w:pPr>
    </w:p>
    <w:p>
      <w:pPr>
        <w:ind w:left="740" w:right="140" w:hanging="370"/>
        <w:spacing w:after="0" w:line="35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recognition of OID, including PIK, interest for U.S. federal income tax purposes may have a negative impact on liquidity, because it represents a non-cash component of our taxable income that must, nevertheless, be distributed in cash to investors to avoid it being subject to U.S. federal income tax.</w:t>
      </w:r>
    </w:p>
    <w:p>
      <w:pPr>
        <w:spacing w:after="0" w:line="162"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You may have a current tax liability on distributions you elect to reinvest in our common stock but would not receive cash to pay such tax liability.</w:t>
      </w:r>
    </w:p>
    <w:p>
      <w:pPr>
        <w:spacing w:after="0" w:line="201" w:lineRule="exact"/>
        <w:rPr>
          <w:sz w:val="20"/>
          <w:szCs w:val="20"/>
          <w:color w:val="auto"/>
        </w:rPr>
      </w:pPr>
    </w:p>
    <w:p>
      <w:pPr>
        <w:jc w:val="both"/>
        <w:ind w:right="20" w:firstLine="401"/>
        <w:spacing w:after="0" w:line="310" w:lineRule="auto"/>
        <w:rPr>
          <w:sz w:val="20"/>
          <w:szCs w:val="20"/>
          <w:color w:val="auto"/>
        </w:rPr>
      </w:pPr>
      <w:r>
        <w:rPr>
          <w:rFonts w:ascii="Arial" w:cs="Arial" w:eastAsia="Arial" w:hAnsi="Arial"/>
          <w:sz w:val="20"/>
          <w:szCs w:val="20"/>
          <w:color w:val="auto"/>
        </w:rPr>
        <w:t>If you participate in our dividend reinvestment plan, you will be deemed to have received, and for U.S. federal income tax purposes will be subject to U.S. federal income tax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20"/>
          <w:szCs w:val="20"/>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58</w:t>
      </w:r>
    </w:p>
    <w:p>
      <w:pPr>
        <w:sectPr>
          <w:pgSz w:w="11900" w:h="16838" w:orient="portrait"/>
          <w:cols w:equalWidth="0" w:num="1">
            <w:col w:w="9380"/>
          </w:cols>
          <w:pgMar w:left="1260" w:top="1173" w:right="1266" w:bottom="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firstLine="400"/>
        <w:spacing w:after="0" w:line="349" w:lineRule="auto"/>
        <w:rPr>
          <w:sz w:val="20"/>
          <w:szCs w:val="20"/>
          <w:color w:val="auto"/>
        </w:rPr>
      </w:pPr>
      <w:r>
        <w:rPr>
          <w:rFonts w:ascii="Arial" w:cs="Arial" w:eastAsia="Arial" w:hAnsi="Arial"/>
          <w:sz w:val="18"/>
          <w:szCs w:val="18"/>
          <w:color w:val="auto"/>
        </w:rPr>
        <w:t>We have elected to be treated for U.S. federal income tax purposes as a RIC. If we continue to meet certain requirements, including source-of-income, asset diversification and distribution requirements, and if we continue to be regulated as a BDC, we will continue to qualify as a RIC and therefore will not have to pay U.S. federal income tax on income that we timely distribute (or are deemed to distribute) to our stockholders, allowing us to substantially reduce or eliminate our U.S. federal income tax liability. As a BDC, we are generally required to meet a coverage ratio of total assets to total senior securities, which includes all of our borrowings (other than the SBA guaranteed debentures) and any preferred stock we may issue in the future, of at least 150%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70" w:lineRule="exact"/>
        <w:rPr>
          <w:sz w:val="20"/>
          <w:szCs w:val="20"/>
          <w:color w:val="auto"/>
        </w:rPr>
      </w:pPr>
    </w:p>
    <w:p>
      <w:pPr>
        <w:jc w:val="both"/>
        <w:ind w:right="40" w:firstLine="400"/>
        <w:spacing w:after="0" w:line="329" w:lineRule="auto"/>
        <w:rPr>
          <w:sz w:val="20"/>
          <w:szCs w:val="20"/>
          <w:color w:val="auto"/>
        </w:rPr>
      </w:pPr>
      <w:r>
        <w:rPr>
          <w:rFonts w:ascii="Arial" w:cs="Arial" w:eastAsia="Arial" w:hAnsi="Arial"/>
          <w:sz w:val="19"/>
          <w:szCs w:val="19"/>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2025 Annual Stockholders Meeting on June 11, 2025, our stockholders voted to allow us to issue common stock at a price below net asset value per share for a period of one year ending on the earlier of June 11, 2026 or the date of our 2026 Annual Meeting of Stockholders. We expect to present to our stockholders a similar proposal at our 2026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i w:val="1"/>
          <w:iCs w:val="1"/>
          <w:color w:val="auto"/>
        </w:rPr>
        <w:t>Our board of directors may change our investment objective, operating policies and strategies without prior notice or stockholder approval, the effects of which may be adverse.</w:t>
      </w:r>
    </w:p>
    <w:p>
      <w:pPr>
        <w:spacing w:after="0" w:line="201"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Regulations governing our operation as a BDC affect our ability to raise, and the way in which we raise, additional capital that may have a negative effect on our growth.</w:t>
      </w:r>
    </w:p>
    <w:p>
      <w:pPr>
        <w:spacing w:after="0" w:line="201" w:lineRule="exact"/>
        <w:rPr>
          <w:sz w:val="20"/>
          <w:szCs w:val="20"/>
          <w:color w:val="auto"/>
        </w:rPr>
      </w:pPr>
    </w:p>
    <w:p>
      <w:pPr>
        <w:ind w:right="80" w:firstLine="400"/>
        <w:spacing w:after="0" w:line="302" w:lineRule="auto"/>
        <w:rPr>
          <w:sz w:val="20"/>
          <w:szCs w:val="20"/>
          <w:color w:val="auto"/>
        </w:rPr>
      </w:pPr>
      <w:r>
        <w:rPr>
          <w:rFonts w:ascii="Arial" w:cs="Arial" w:eastAsia="Arial" w:hAnsi="Arial"/>
          <w:sz w:val="20"/>
          <w:szCs w:val="20"/>
          <w:color w:val="auto"/>
        </w:rPr>
        <w:t>Our business will require capital to operate and grow. We may acquire such additional capital from the following sources: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58</w:t>
      </w:r>
    </w:p>
    <w:p>
      <w:pPr>
        <w:sectPr>
          <w:pgSz w:w="11900" w:h="16838" w:orient="portrait"/>
          <w:cols w:equalWidth="0" w:num="1">
            <w:col w:w="9380"/>
          </w:cols>
          <w:pgMar w:left="1260" w:top="1440" w:right="1266" w:bottom="0" w:gutter="0" w:footer="0" w:header="0"/>
          <w:type w:val="continuous"/>
        </w:sectPr>
      </w:pPr>
    </w:p>
    <w:bookmarkStart w:id="82" w:name="page83"/>
    <w:bookmarkEnd w:id="82"/>
    <w:p>
      <w:pPr>
        <w:jc w:val="both"/>
        <w:ind w:right="20" w:firstLine="400"/>
        <w:spacing w:after="0" w:line="352" w:lineRule="auto"/>
        <w:rPr>
          <w:sz w:val="20"/>
          <w:szCs w:val="20"/>
          <w:color w:val="auto"/>
        </w:rPr>
      </w:pPr>
      <w:r>
        <w:rPr>
          <w:rFonts w:ascii="Arial" w:cs="Arial" w:eastAsia="Arial" w:hAnsi="Arial"/>
          <w:sz w:val="18"/>
          <w:szCs w:val="18"/>
          <w:i w:val="1"/>
          <w:iCs w:val="1"/>
          <w:color w:val="auto"/>
        </w:rPr>
        <w:t xml:space="preserve">Senior Securities. </w:t>
      </w:r>
      <w:r>
        <w:rPr>
          <w:rFonts w:ascii="Arial" w:cs="Arial" w:eastAsia="Arial" w:hAnsi="Arial"/>
          <w:sz w:val="18"/>
          <w:szCs w:val="18"/>
          <w:color w:val="auto"/>
        </w:rPr>
        <w:t>Currently we, through the SBIC Funds, issue debentures guaranteed by the SBA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funds under our credit 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196" w:lineRule="exact"/>
        <w:rPr>
          <w:sz w:val="20"/>
          <w:szCs w:val="20"/>
          <w:color w:val="auto"/>
        </w:rPr>
      </w:pPr>
    </w:p>
    <w:p>
      <w:pPr>
        <w:ind w:left="860" w:hanging="338"/>
        <w:spacing w:after="0" w:line="347"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the provisions of the 1940 Act, we are permitted, as a BDC, to issue senior securities only in amounts such that our asset coverage, as defined in the 1940 Act, equals at least 150%. If the value of our assets declines, we may be unable to satisfy this requirement.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4" w:lineRule="exact"/>
        <w:rPr>
          <w:rFonts w:ascii="Arial" w:cs="Arial" w:eastAsia="Arial" w:hAnsi="Arial"/>
          <w:sz w:val="18"/>
          <w:szCs w:val="18"/>
          <w:color w:val="auto"/>
        </w:rPr>
      </w:pPr>
    </w:p>
    <w:p>
      <w:pPr>
        <w:ind w:left="860" w:right="240" w:hanging="338"/>
        <w:spacing w:after="0" w:line="302"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amounts that we use to service our debt or make payments on preferred stock will not be available for distributions to our common stockholders.</w:t>
      </w:r>
    </w:p>
    <w:p>
      <w:pPr>
        <w:spacing w:after="0" w:line="21" w:lineRule="exact"/>
        <w:rPr>
          <w:rFonts w:ascii="Arial" w:cs="Arial" w:eastAsia="Arial" w:hAnsi="Arial"/>
          <w:sz w:val="20"/>
          <w:szCs w:val="20"/>
          <w:color w:val="auto"/>
        </w:rPr>
      </w:pPr>
    </w:p>
    <w:p>
      <w:pPr>
        <w:ind w:left="860" w:right="260" w:hanging="338"/>
        <w:spacing w:after="0" w:line="329"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2" w:lineRule="exact"/>
        <w:rPr>
          <w:rFonts w:ascii="Arial" w:cs="Arial" w:eastAsia="Arial" w:hAnsi="Arial"/>
          <w:sz w:val="19"/>
          <w:szCs w:val="19"/>
          <w:color w:val="auto"/>
        </w:rPr>
      </w:pPr>
    </w:p>
    <w:p>
      <w:pPr>
        <w:ind w:left="860" w:right="180" w:hanging="338"/>
        <w:spacing w:after="0" w:line="302"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and, indirectly, our stockholders will bear the cost of issuing and servicing such securities and other indebtedness.</w:t>
      </w:r>
    </w:p>
    <w:p>
      <w:pPr>
        <w:spacing w:after="0" w:line="21" w:lineRule="exact"/>
        <w:rPr>
          <w:rFonts w:ascii="Arial" w:cs="Arial" w:eastAsia="Arial" w:hAnsi="Arial"/>
          <w:sz w:val="20"/>
          <w:szCs w:val="20"/>
          <w:color w:val="auto"/>
        </w:rPr>
      </w:pPr>
    </w:p>
    <w:p>
      <w:pPr>
        <w:ind w:left="860" w:hanging="338"/>
        <w:spacing w:after="0" w:line="309" w:lineRule="auto"/>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58</w:t>
      </w:r>
    </w:p>
    <w:p>
      <w:pPr>
        <w:sectPr>
          <w:pgSz w:w="11900" w:h="16838" w:orient="portrait"/>
          <w:cols w:equalWidth="0" w:num="1">
            <w:col w:w="9360"/>
          </w:cols>
          <w:pgMar w:left="1260" w:top="1173" w:right="1286" w:bottom="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tabs>
          <w:tab w:leader="none" w:pos="4940" w:val="left"/>
        </w:tabs>
        <w:rPr>
          <w:sz w:val="20"/>
          <w:szCs w:val="20"/>
          <w:color w:val="auto"/>
        </w:rPr>
      </w:pPr>
      <w:r>
        <w:rPr>
          <w:rFonts w:ascii="Arial" w:cs="Arial" w:eastAsia="Arial" w:hAnsi="Arial"/>
          <w:sz w:val="20"/>
          <w:szCs w:val="20"/>
          <w:i w:val="1"/>
          <w:iCs w:val="1"/>
          <w:color w:val="auto"/>
        </w:rPr>
        <w:t>Additional</w:t>
      </w:r>
      <w:r>
        <w:rPr>
          <w:sz w:val="20"/>
          <w:szCs w:val="20"/>
          <w:color w:val="auto"/>
        </w:rPr>
        <w:tab/>
      </w:r>
      <w:r>
        <w:rPr>
          <w:rFonts w:ascii="Arial" w:cs="Arial" w:eastAsia="Arial" w:hAnsi="Arial"/>
          <w:sz w:val="20"/>
          <w:szCs w:val="20"/>
          <w:i w:val="1"/>
          <w:iCs w:val="1"/>
          <w:color w:val="auto"/>
        </w:rPr>
        <w:t>Common</w:t>
      </w:r>
    </w:p>
    <w:p>
      <w:pPr>
        <w:spacing w:after="0" w:line="80" w:lineRule="exact"/>
        <w:rPr>
          <w:sz w:val="20"/>
          <w:szCs w:val="20"/>
          <w:color w:val="auto"/>
        </w:rPr>
      </w:pPr>
    </w:p>
    <w:p>
      <w:pPr>
        <w:jc w:val="both"/>
        <w:spacing w:after="0" w:line="348"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Under the provisions of the 1940 Act, we are not generally able to issue and sell our common stock at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below net 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2025 Annual Stockholders Meeting on June 11, 2025, our stockholders voted to allow us to issue common stock at a price below net asset value per share for a period of one year ending on the earlier of June 11, 2026 or the date of our 2026 Annual Meeting of Stockholders. We expect to present to our stockholders a similar proposal at our 2026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that,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77"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b w:val="1"/>
          <w:bCs w:val="1"/>
          <w:i w:val="1"/>
          <w:iCs w:val="1"/>
          <w:color w:val="auto"/>
        </w:rPr>
        <w:t>There is uncertainty surrounding potential legal, regulatory and policy changes by the current presidential administration and Congress in the United States that may directly affect financial institutions and the global economy.</w:t>
      </w:r>
    </w:p>
    <w:p>
      <w:pPr>
        <w:spacing w:after="0" w:line="317" w:lineRule="exact"/>
        <w:rPr>
          <w:sz w:val="20"/>
          <w:szCs w:val="20"/>
          <w:color w:val="auto"/>
        </w:rPr>
      </w:pPr>
    </w:p>
    <w:p>
      <w:pPr>
        <w:jc w:val="both"/>
        <w:ind w:right="40" w:firstLine="400"/>
        <w:spacing w:after="0" w:line="350" w:lineRule="auto"/>
        <w:rPr>
          <w:sz w:val="20"/>
          <w:szCs w:val="20"/>
          <w:color w:val="auto"/>
        </w:rPr>
      </w:pPr>
      <w:r>
        <w:rPr>
          <w:rFonts w:ascii="Arial" w:cs="Arial" w:eastAsia="Arial" w:hAnsi="Arial"/>
          <w:sz w:val="18"/>
          <w:szCs w:val="18"/>
          <w:color w:val="auto"/>
        </w:rPr>
        <w:t>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personnel or policy changes may adversely affect our operating environment and therefore our business, financial condition, results of operations and growth prospects.</w:t>
      </w:r>
    </w:p>
    <w:p>
      <w:pPr>
        <w:spacing w:after="0" w:line="169"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b w:val="1"/>
          <w:bCs w:val="1"/>
          <w:i w:val="1"/>
          <w:iCs w:val="1"/>
          <w:color w:val="auto"/>
        </w:rPr>
        <w:t>Changes in laws or regulations governing our operations may adversely affect our business or cause us to alter our business strategy.</w:t>
      </w:r>
    </w:p>
    <w:p>
      <w:pPr>
        <w:spacing w:after="0" w:line="201" w:lineRule="exact"/>
        <w:rPr>
          <w:sz w:val="20"/>
          <w:szCs w:val="20"/>
          <w:color w:val="auto"/>
        </w:rPr>
      </w:pPr>
    </w:p>
    <w:p>
      <w:pPr>
        <w:jc w:val="both"/>
        <w:ind w:right="40" w:firstLine="400"/>
        <w:spacing w:after="0" w:line="330" w:lineRule="auto"/>
        <w:rPr>
          <w:sz w:val="20"/>
          <w:szCs w:val="20"/>
          <w:color w:val="auto"/>
        </w:rPr>
      </w:pPr>
      <w:r>
        <w:rPr>
          <w:rFonts w:ascii="Arial" w:cs="Arial" w:eastAsia="Arial" w:hAnsi="Arial"/>
          <w:sz w:val="19"/>
          <w:szCs w:val="19"/>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58</w:t>
      </w:r>
    </w:p>
    <w:p>
      <w:pPr>
        <w:sectPr>
          <w:pgSz w:w="11900" w:h="16838" w:orient="portrait"/>
          <w:cols w:equalWidth="0" w:num="1">
            <w:col w:w="9380"/>
          </w:cols>
          <w:pgMar w:left="1260" w:top="1440" w:right="1266" w:bottom="0" w:gutter="0" w:footer="0" w:header="0"/>
          <w:type w:val="continuous"/>
        </w:sectPr>
      </w:pPr>
    </w:p>
    <w:bookmarkStart w:id="84" w:name="page85"/>
    <w:bookmarkEnd w:id="84"/>
    <w:p>
      <w:pPr>
        <w:jc w:val="both"/>
        <w:ind w:right="100" w:firstLine="400"/>
        <w:spacing w:after="0" w:line="310" w:lineRule="auto"/>
        <w:rPr>
          <w:sz w:val="20"/>
          <w:szCs w:val="20"/>
          <w:color w:val="auto"/>
        </w:rPr>
      </w:pPr>
      <w:r>
        <w:rPr>
          <w:rFonts w:ascii="Arial" w:cs="Arial" w:eastAsia="Arial" w:hAnsi="Arial"/>
          <w:sz w:val="20"/>
          <w:szCs w:val="20"/>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95" w:lineRule="exact"/>
        <w:rPr>
          <w:sz w:val="20"/>
          <w:szCs w:val="20"/>
          <w:color w:val="auto"/>
        </w:rPr>
      </w:pPr>
    </w:p>
    <w:p>
      <w:pPr>
        <w:jc w:val="both"/>
        <w:ind w:right="20" w:firstLine="400"/>
        <w:spacing w:after="0" w:line="329" w:lineRule="auto"/>
        <w:rPr>
          <w:sz w:val="20"/>
          <w:szCs w:val="20"/>
          <w:color w:val="auto"/>
        </w:rPr>
      </w:pPr>
      <w:r>
        <w:rPr>
          <w:rFonts w:ascii="Arial" w:cs="Arial" w:eastAsia="Arial" w:hAnsi="Arial"/>
          <w:sz w:val="19"/>
          <w:szCs w:val="19"/>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We cannot predict how new tax legislation will affect us, our investments, or our stockholders, and any such legislation could adversely affect our business.</w:t>
      </w:r>
    </w:p>
    <w:p>
      <w:pPr>
        <w:spacing w:after="0" w:line="201"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Legislative or other actions relating to taxes could have a negative effect on us. Matters pertaining to U.S. federal income taxation are constantly under review by persons involved in the legislative process and by the Internal Revenue Service and the U.S. Treasury Department. The Trump Administration has proposed significant changes to the Code and existing U.S. Treasury regulations, and there are a number of proposals in Congress that, if enacted would similarly modify the Code. The likelihood of any such legislation being enacted is uncertain, but new legislation and any U.S. Treasury regulations, administrative interpretations or court decisions interpreting such legislation could have adverse consequences, including affecting our ability to qualify as a RIC or otherwise impacting the U.S. federal income tax consequences applicable to us and our investors. Investors are urged to consult with their tax advisor regarding tax legislative, regulatory, or administrative developments and proposals and their potential effect on an investment in our shares.</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b w:val="1"/>
          <w:bCs w:val="1"/>
          <w:i w:val="1"/>
          <w:iCs w:val="1"/>
          <w:color w:val="auto"/>
        </w:rPr>
        <w:t>Changes to U.S. tariff and import/export regulations may have a negative effect on the operation of our portfolio companies and, in turn, negatively impact 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58</w:t>
      </w:r>
    </w:p>
    <w:p>
      <w:pPr>
        <w:sectPr>
          <w:pgSz w:w="11900" w:h="16838" w:orient="portrait"/>
          <w:cols w:equalWidth="0" w:num="1">
            <w:col w:w="9380"/>
          </w:cols>
          <w:pgMar w:left="1260" w:top="1173" w:right="1266" w:bottom="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60" w:firstLine="400"/>
        <w:spacing w:after="0" w:line="349" w:lineRule="auto"/>
        <w:rPr>
          <w:sz w:val="20"/>
          <w:szCs w:val="20"/>
          <w:color w:val="auto"/>
        </w:rPr>
      </w:pPr>
      <w:r>
        <w:rPr>
          <w:rFonts w:ascii="Arial" w:cs="Arial" w:eastAsia="Arial" w:hAnsi="Arial"/>
          <w:sz w:val="18"/>
          <w:szCs w:val="18"/>
          <w:color w:val="auto"/>
        </w:rPr>
        <w:t>The U.S. government has recently imposed, and may in the future increase, tariffs on specific countries and commodities. In response, certain foreign trading partners, and others in the future, may impose retaliatory tariffs on certain U.S. goods. Although the Supreme Court recently invalidated the tariffs imposed under the International Emergency Economic Powers Act (“IEEPA”), certain tariff rates and obligations established through trade agreements that were negotiated during active IEEPA tariffs remain in effect, and the current administration has announced widely applicable tariffs pursuant to the Trade Act of 1974, effective February 24, 2026. The administration has indicated that it will continue seeking to implement tariffs through other statutory authorities as well. The scope of the Supreme Court’s decision may create market uncertainty as it relates to the availability of refunds for prior tariffs and the imposition of new tariffs to replace those imposed under IEEPA.</w:t>
      </w:r>
    </w:p>
    <w:p>
      <w:pPr>
        <w:spacing w:after="0" w:line="171" w:lineRule="exact"/>
        <w:rPr>
          <w:sz w:val="20"/>
          <w:szCs w:val="20"/>
          <w:color w:val="auto"/>
        </w:rPr>
      </w:pPr>
    </w:p>
    <w:p>
      <w:pPr>
        <w:jc w:val="both"/>
        <w:ind w:right="40" w:firstLine="400"/>
        <w:spacing w:after="0" w:line="349" w:lineRule="auto"/>
        <w:rPr>
          <w:sz w:val="20"/>
          <w:szCs w:val="20"/>
          <w:color w:val="auto"/>
        </w:rPr>
      </w:pPr>
      <w:r>
        <w:rPr>
          <w:rFonts w:ascii="Arial" w:cs="Arial" w:eastAsia="Arial" w:hAnsi="Arial"/>
          <w:sz w:val="18"/>
          <w:szCs w:val="18"/>
          <w:color w:val="auto"/>
        </w:rPr>
        <w:t>The foregoing trade policy landscape has created significant uncertainty about the future relationship between the United States and certain other countries with respect to trade policies, treaties and new and increased tariffs. These developments, or the continued uncertainty relating to U.S. trade policies, may have a material adverse effect on global economic conditions and the stability of global financial markets, and may significantly reduce global trade and, in particular, trade between the impacted nations and the United States. The uncertainty relating to U.S. trade policies has increased market volatility. Any of these factors could depress economic activity and restrict our portfolio companies' access to suppliers or customers, and increase costs, decrease margins, and reduce the competitiveness of products and services offered by our portfolio companies. The foregoing may adversely affect the revenues and profitability of such portfolio companies and, in turn, negatively affect our results of operations, which could cause the market value of our shares of common stock to decline.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enter into and exit investment transactions with our affiliates will be restricted.</w:t>
      </w:r>
    </w:p>
    <w:p>
      <w:pPr>
        <w:spacing w:after="0" w:line="260"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and other funds managed by our investment advisor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187"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97" w:lineRule="exact"/>
        <w:rPr>
          <w:sz w:val="20"/>
          <w:szCs w:val="20"/>
          <w:color w:val="auto"/>
        </w:rPr>
      </w:pPr>
    </w:p>
    <w:p>
      <w:pPr>
        <w:jc w:val="both"/>
        <w:ind w:right="40" w:firstLine="401"/>
        <w:spacing w:after="0" w:line="351" w:lineRule="auto"/>
        <w:rPr>
          <w:sz w:val="20"/>
          <w:szCs w:val="20"/>
          <w:color w:val="auto"/>
        </w:rPr>
      </w:pPr>
      <w:r>
        <w:rPr>
          <w:rFonts w:ascii="Arial" w:cs="Arial" w:eastAsia="Arial" w:hAnsi="Arial"/>
          <w:sz w:val="18"/>
          <w:szCs w:val="18"/>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58</w:t>
      </w:r>
    </w:p>
    <w:p>
      <w:pPr>
        <w:sectPr>
          <w:pgSz w:w="11900" w:h="16838" w:orient="portrait"/>
          <w:cols w:equalWidth="0" w:num="1">
            <w:col w:w="9400"/>
          </w:cols>
          <w:pgMar w:left="1260" w:top="1440" w:right="1246" w:bottom="0" w:gutter="0" w:footer="0" w:header="0"/>
          <w:type w:val="continuous"/>
        </w:sectPr>
      </w:pPr>
    </w:p>
    <w:bookmarkStart w:id="86" w:name="page87"/>
    <w:bookmarkEnd w:id="86"/>
    <w:p>
      <w:pPr>
        <w:jc w:val="both"/>
        <w:spacing w:after="0" w:line="350" w:lineRule="auto"/>
        <w:rPr>
          <w:sz w:val="20"/>
          <w:szCs w:val="20"/>
          <w:color w:val="auto"/>
        </w:rPr>
      </w:pPr>
      <w:r>
        <w:rPr>
          <w:rFonts w:ascii="Arial" w:cs="Arial" w:eastAsia="Arial" w:hAnsi="Arial"/>
          <w:sz w:val="18"/>
          <w:szCs w:val="18"/>
          <w:color w:val="auto"/>
        </w:rPr>
        <w:t>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69"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97"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 / 58</w:t>
      </w:r>
    </w:p>
    <w:p>
      <w:pPr>
        <w:sectPr>
          <w:pgSz w:w="11900" w:h="16838" w:orient="portrait"/>
          <w:cols w:equalWidth="0" w:num="1">
            <w:col w:w="9360"/>
          </w:cols>
          <w:pgMar w:left="1260" w:top="1173" w:right="1286" w:bottom="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398" w:lineRule="auto"/>
        <w:rPr>
          <w:sz w:val="20"/>
          <w:szCs w:val="20"/>
          <w:color w:val="auto"/>
        </w:rPr>
      </w:pPr>
      <w:r>
        <w:rPr>
          <w:rFonts w:ascii="Arial" w:cs="Arial" w:eastAsia="Arial" w:hAnsi="Arial"/>
          <w:sz w:val="17"/>
          <w:szCs w:val="17"/>
          <w:b w:val="1"/>
          <w:bCs w:val="1"/>
          <w:i w:val="1"/>
          <w:iCs w:val="1"/>
          <w:color w:val="auto"/>
        </w:rPr>
        <w:t>The failure of cybersecurity protection systems, as well as the occurrence of events unanticipated in our disaster recovery systems and management continuity planning, could impair our ability to conduct business effectively.</w:t>
      </w:r>
    </w:p>
    <w:p>
      <w:pPr>
        <w:spacing w:after="0" w:line="252" w:lineRule="exact"/>
        <w:rPr>
          <w:sz w:val="20"/>
          <w:szCs w:val="20"/>
          <w:color w:val="auto"/>
        </w:rPr>
      </w:pPr>
    </w:p>
    <w:p>
      <w:pPr>
        <w:jc w:val="both"/>
        <w:ind w:right="20" w:firstLine="401"/>
        <w:spacing w:after="0" w:line="349" w:lineRule="auto"/>
        <w:rPr>
          <w:sz w:val="20"/>
          <w:szCs w:val="20"/>
          <w:color w:val="auto"/>
        </w:rPr>
      </w:pPr>
      <w:r>
        <w:rPr>
          <w:rFonts w:ascii="Arial" w:cs="Arial" w:eastAsia="Arial" w:hAnsi="Arial"/>
          <w:sz w:val="18"/>
          <w:szCs w:val="18"/>
          <w:color w:val="auto"/>
        </w:rPr>
        <w:t>We, and others in our industry, are the targets of malicious cyber activity. A successful cyber-attack, whether perpetrated by criminal or state-sponsored actors, against us or our service providers, or an accidental disclosure of non-public information could have an adverse effect on our ability to communicate or conduct business, negatively impacting our operations and financial condition, particularly if those events affect our electronic data processing, transmission, storage, and retrieval systems, or impact the availability, integrity, or confidentiality of our data, especially personal and other confidential information. The rapid evolution and scale of artificial intelligence technologies may also increase the likelihood or effectiveness of a cyber-attack against us, our investment advisor or our third-party service providers. If a significant number of the members of our management were unavailable in the event of a disaster, our ability to effectively conduct our business could be severely compromised.</w:t>
      </w:r>
    </w:p>
    <w:p>
      <w:pPr>
        <w:spacing w:after="0" w:line="171"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Our investment advisor and our third-party service providers depend heavily upon computer systems to perform necessary business functions. Despite our implementation of a variety of security measures, our computer systems, networks, and data, like those of other companies, could be subject to unauthorized access, acquisition, use, alteration, or destruction, such as from the insertion of malware (including ransomware), physical and electronic break-ins or unauthorized tampering. Our investment advisor may experience threats to their data and systems, including malware and computer virus attacks, unauthorized access, or system failures and disruptions. If one or more of these events occurs, it could potentially jeopardize the confidential, proprietary, personal and other information processed, stored in, and transmitted through our computer systems and networks. Such an attack could cause, among other adverse effects, interruptions or malfunctions in our operations, misstated or unreliable financial data, misappropriation of assets, loss of personal information, liability for stolen information, any of which could result in financial losses, litigation, regulatory enforcement action and penalties, client dissatisfaction or loss, reputational damage, and increased costs associated with mitigation of damages and remediation. We may have to make a significant investment to fix or replace any inoperable or compromised systems or to modify or enhance its cybersecurity controls, procedures and measures. Similarly, the public perception that we or our affiliates may have been the target of a cybersecurity threat, whether successful or not, also could have a material adverse effect on our reputation and lead to financial losses from loss of business, depending on the nature and severity of the threat.</w:t>
      </w:r>
    </w:p>
    <w:p>
      <w:pPr>
        <w:spacing w:after="0" w:line="178"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Third parties with which we do business (including vendors that provide us with services) are sources of cybersecurity or other technological risks. We outsource certain functions and these relationships allow for the storage and processing of our information, as well as counterparty, employee, and borrower information. Cybersecurity failures or breaches by our investment advisor and other service providers (including, but not limited to, accountants, custodians, transfer agents and administrators), and the issuers of securities in which we invest, also have the ability to cause disruptions and impact business operations, potentially resulting in financial losses, interference with our ability to calculate its NAV, impediments to trading, the inability of our stockholders to transact business, violations of applicable privacy and other laws, regulatory fines, penalties, reputation damages, reimbursement of other compensation costs, or additional compliance costs. While we engage in actions to reduce our exposure resulting from outsourcing, ongoing threats may result in unauthorized access, acquisition, use, alteration or destruction of data, or other cybersecurity incidents that affects our data, resulting in increased costs and other consequences, as described above. The Company does not control the cybersecurity measures put in place by such third parties, and such third parties could have limited indemnification obligations to the Company and its affiliates. If such a third party fails to adopt or adhere to adequate cybersecurity procedures, or if despite such procedures its networks or systems are breached, information relating to investor transactions and/or personal</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 / 58</w:t>
      </w:r>
    </w:p>
    <w:p>
      <w:pPr>
        <w:sectPr>
          <w:pgSz w:w="11900" w:h="16838" w:orient="portrait"/>
          <w:cols w:equalWidth="0" w:num="1">
            <w:col w:w="9360"/>
          </w:cols>
          <w:pgMar w:left="1260" w:top="1440" w:right="1286" w:bottom="0" w:gutter="0" w:footer="0" w:header="0"/>
          <w:type w:val="continuous"/>
        </w:sectPr>
      </w:pPr>
    </w:p>
    <w:bookmarkStart w:id="88" w:name="page89"/>
    <w:bookmarkEnd w:id="88"/>
    <w:p>
      <w:pPr>
        <w:jc w:val="both"/>
        <w:spacing w:after="0" w:line="311" w:lineRule="auto"/>
        <w:rPr>
          <w:sz w:val="20"/>
          <w:szCs w:val="20"/>
          <w:color w:val="auto"/>
        </w:rPr>
      </w:pPr>
      <w:r>
        <w:rPr>
          <w:rFonts w:ascii="Arial" w:cs="Arial" w:eastAsia="Arial" w:hAnsi="Arial"/>
          <w:sz w:val="20"/>
          <w:szCs w:val="20"/>
          <w:color w:val="auto"/>
        </w:rPr>
        <w:t>information of investors may be lost or improperly accessed, used or disclosed. The Company, the Adviser and its affiliates have implemented processes, procedures and internal controls to mitigate cybersecurity risks and cyber intrusions, including in its vendors, but these measures, as well as the Company’s increased awareness of the nature and extent of a risk of a cyber-incident, may be ineffective and do not guarantee that a cyber-incident will not occur or that the Company’s financial results, operations or confidential information will not be negatively impacted by a cybersecurity or cyber intrusion incident. Substantial costs may be incurred in order to prevent any cyber incidents in the future.</w:t>
      </w:r>
    </w:p>
    <w:p>
      <w:pPr>
        <w:spacing w:after="0" w:line="194" w:lineRule="exact"/>
        <w:rPr>
          <w:sz w:val="20"/>
          <w:szCs w:val="20"/>
          <w:color w:val="auto"/>
        </w:rPr>
      </w:pPr>
    </w:p>
    <w:p>
      <w:pPr>
        <w:jc w:val="both"/>
        <w:ind w:firstLine="662"/>
        <w:spacing w:after="0" w:line="350" w:lineRule="auto"/>
        <w:rPr>
          <w:sz w:val="20"/>
          <w:szCs w:val="20"/>
          <w:color w:val="auto"/>
        </w:rPr>
      </w:pPr>
      <w:r>
        <w:rPr>
          <w:rFonts w:ascii="Arial" w:cs="Arial" w:eastAsia="Arial" w:hAnsi="Arial"/>
          <w:sz w:val="18"/>
          <w:szCs w:val="18"/>
          <w:color w:val="auto"/>
        </w:rPr>
        <w:t>Privacy and information security laws and regulatory changes (including regulations to report material cybersecurity incidents to the SEC), and compliance with those changes, may result in cost increases due to system changes and the development of new administrative processes. For example, the SEC adopted rules requiring disclosure of material cybersecurity incidents and disclosure relating to cybersecurity risk management, and amendments to Regulation S-P governing policies and procedures designed to address unauthorized access to customer information. We may face increased costs to comply with any new or changing regulations. In addition, we may be required to expend significant additional resources to modify our protective measures and to investigate and remediate vulnerabilities or other exposures arising from operational and security risks.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subject to risks associated with artificial intelligence.</w:t>
      </w:r>
    </w:p>
    <w:p>
      <w:pPr>
        <w:spacing w:after="0" w:line="260"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Recent technological advances in artificial intelligence and machine learning technology may pose risks to us and our portfolio companies. For example, whether or not known to us, third-party service providers or other counterparties of ours or our portfolio companies may use artificial intelligence and machine learning technology in their business activities.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 / 58</w:t>
      </w:r>
    </w:p>
    <w:p>
      <w:pPr>
        <w:sectPr>
          <w:pgSz w:w="11900" w:h="16838" w:orient="portrait"/>
          <w:cols w:equalWidth="0" w:num="1">
            <w:col w:w="9360"/>
          </w:cols>
          <w:pgMar w:left="1260" w:top="1173" w:right="1286" w:bottom="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firstLine="400"/>
        <w:spacing w:after="0" w:line="311" w:lineRule="auto"/>
        <w:rPr>
          <w:sz w:val="20"/>
          <w:szCs w:val="20"/>
          <w:color w:val="auto"/>
        </w:rPr>
      </w:pPr>
      <w:r>
        <w:rPr>
          <w:rFonts w:ascii="Arial" w:cs="Arial" w:eastAsia="Arial" w:hAnsi="Arial"/>
          <w:sz w:val="20"/>
          <w:szCs w:val="20"/>
          <w:color w:val="auto"/>
        </w:rPr>
        <w:t>Because artificial intelligence is reliant on the collection and analysis of large amounts of data, the effectiveness of the results generated by such technology could contain inaccuracies and/or errors, which may be material. To the extent that we or our portfolio companies are exposed to the risks of artificial intelligence and machine learning technology use, any such inaccuracies or errors could have adverse impacts on our investments. Additionally, the ongoing development, maintenance and operation of any artificial intelligence tools in our business activities could be costly and may involve unforeseen difficulties, such as undetected errors or material performance issues. Artificial intelligence and its applications, including in the investment management and capital markets industries, continue to develop rapidly, and it is impossible to predict the future risks applicable to us that may arise from such developments.</w:t>
      </w:r>
    </w:p>
    <w:p>
      <w:pPr>
        <w:spacing w:after="0" w:line="198"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In addition, regulators are also increasing scrutiny and considering regulation of the use of artificial intelligence technologies. We cannot predict what, if any, actions may be taken or the impact such actions may have on our business and results of operations.</w:t>
      </w:r>
    </w:p>
    <w:p>
      <w:pPr>
        <w:spacing w:after="0" w:line="197"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b w:val="1"/>
          <w:bCs w:val="1"/>
          <w:i w:val="1"/>
          <w:iCs w:val="1"/>
          <w:color w:val="auto"/>
        </w:rPr>
        <w:t>Environmental, social and governance factors may adversely affect our business or cause us to alter our business strategy.</w:t>
      </w:r>
    </w:p>
    <w:p>
      <w:pPr>
        <w:spacing w:after="0" w:line="201" w:lineRule="exact"/>
        <w:rPr>
          <w:sz w:val="20"/>
          <w:szCs w:val="20"/>
          <w:color w:val="auto"/>
        </w:rPr>
      </w:pPr>
    </w:p>
    <w:p>
      <w:pPr>
        <w:ind w:firstLine="400"/>
        <w:spacing w:after="0" w:line="329" w:lineRule="auto"/>
        <w:rPr>
          <w:sz w:val="20"/>
          <w:szCs w:val="20"/>
          <w:color w:val="auto"/>
        </w:rPr>
      </w:pPr>
      <w:r>
        <w:rPr>
          <w:rFonts w:ascii="Arial" w:cs="Arial" w:eastAsia="Arial" w:hAnsi="Arial"/>
          <w:sz w:val="19"/>
          <w:szCs w:val="19"/>
          <w:color w:val="auto"/>
        </w:rPr>
        <w:t>Our business faces increasing public scrutiny related to environmental, social and governance activities. We risk damage to our brand and reputation if we fail to act responsibly in a number of areas, such as environmental stewardship, corporate governance and transparency and considering environmental, social and governance factors in our investment processes. Adverse incidents with respect to environmental, social and governance activities could impact the value of our brand, the cost of our operations and relationships with investors, all of which could adversely affect our business and results of operations. Additionally, new regulatory initiatives related to environmental, social and governance could adversely affect our business.</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The effect of global climate change may impact the operations and valuations of our portfolio companies, which may, in turn, impact the valuation of such portfolio companies.</w:t>
      </w:r>
    </w:p>
    <w:p>
      <w:pPr>
        <w:spacing w:after="0" w:line="201" w:lineRule="exact"/>
        <w:rPr>
          <w:sz w:val="20"/>
          <w:szCs w:val="20"/>
          <w:color w:val="auto"/>
        </w:rPr>
      </w:pPr>
    </w:p>
    <w:p>
      <w:pPr>
        <w:jc w:val="both"/>
        <w:ind w:right="20" w:firstLine="401"/>
        <w:spacing w:after="0" w:line="349" w:lineRule="auto"/>
        <w:rPr>
          <w:sz w:val="20"/>
          <w:szCs w:val="20"/>
          <w:color w:val="auto"/>
        </w:rPr>
      </w:pPr>
      <w:r>
        <w:rPr>
          <w:rFonts w:ascii="Arial" w:cs="Arial" w:eastAsia="Arial" w:hAnsi="Arial"/>
          <w:sz w:val="18"/>
          <w:szCs w:val="18"/>
          <w:color w:val="auto"/>
        </w:rPr>
        <w:t>Climate change creates physical and financial risk and certain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which may, in turn, impact the valuation of such portfolio companies. Extreme weather events (including wildfires, droughts, hurricanes, and floods) in general require more system backup, adding to costs, and can contribute to increased system stresses, including service interruptions, which, in turn, may impact the business operations of our portfolio companies.</w:t>
      </w:r>
    </w:p>
    <w:p>
      <w:pPr>
        <w:spacing w:after="0" w:line="170" w:lineRule="exact"/>
        <w:rPr>
          <w:sz w:val="20"/>
          <w:szCs w:val="20"/>
          <w:color w:val="auto"/>
        </w:rPr>
      </w:pPr>
    </w:p>
    <w:p>
      <w:pPr>
        <w:jc w:val="both"/>
        <w:ind w:right="60" w:firstLine="400"/>
        <w:spacing w:after="0" w:line="309" w:lineRule="auto"/>
        <w:rPr>
          <w:sz w:val="20"/>
          <w:szCs w:val="20"/>
          <w:color w:val="auto"/>
        </w:rPr>
      </w:pPr>
      <w:r>
        <w:rPr>
          <w:rFonts w:ascii="Arial" w:cs="Arial" w:eastAsia="Arial" w:hAnsi="Arial"/>
          <w:sz w:val="20"/>
          <w:szCs w:val="20"/>
          <w:color w:val="auto"/>
        </w:rPr>
        <w:t>Some of our portfolio companies may periodically become subject to new or strengthened regulations or legislation to address global climate change, which could increase their operating costs and/or decrease their revenues, which may, in turn, impact their ability to make payments on our investments and, in turn, the valuation of such portfolio companies.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Investments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58</w:t>
      </w:r>
    </w:p>
    <w:p>
      <w:pPr>
        <w:sectPr>
          <w:pgSz w:w="11900" w:h="16838" w:orient="portrait"/>
          <w:cols w:equalWidth="0" w:num="1">
            <w:col w:w="9400"/>
          </w:cols>
          <w:pgMar w:left="1260" w:top="1440" w:right="1246" w:bottom="0" w:gutter="0" w:footer="0" w:header="0"/>
          <w:type w:val="continuous"/>
        </w:sectPr>
      </w:pPr>
    </w:p>
    <w:bookmarkStart w:id="90" w:name="page91"/>
    <w:bookmarkEnd w:id="90"/>
    <w:p>
      <w:pPr>
        <w:jc w:val="both"/>
        <w:ind w:firstLine="400"/>
        <w:spacing w:after="0" w:line="311" w:lineRule="auto"/>
        <w:rPr>
          <w:sz w:val="20"/>
          <w:szCs w:val="20"/>
          <w:color w:val="auto"/>
        </w:rPr>
      </w:pPr>
      <w:r>
        <w:rPr>
          <w:rFonts w:ascii="Arial" w:cs="Arial" w:eastAsia="Arial" w:hAnsi="Arial"/>
          <w:sz w:val="20"/>
          <w:szCs w:val="20"/>
          <w:color w:val="auto"/>
        </w:rPr>
        <w:t>Many of our portfolio companies are susceptible to economic slowdowns or recessions (including industry specific downturns), elevated levels of inflation, and an elevated interest rate environment,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spacing w:after="0" w:line="196" w:lineRule="exact"/>
        <w:rPr>
          <w:sz w:val="20"/>
          <w:szCs w:val="20"/>
          <w:color w:val="auto"/>
        </w:rPr>
      </w:pPr>
    </w:p>
    <w:p>
      <w:pPr>
        <w:jc w:val="both"/>
        <w:ind w:right="60" w:firstLine="401"/>
        <w:spacing w:after="0" w:line="329" w:lineRule="auto"/>
        <w:rPr>
          <w:sz w:val="20"/>
          <w:szCs w:val="20"/>
          <w:color w:val="auto"/>
        </w:rPr>
      </w:pPr>
      <w:r>
        <w:rPr>
          <w:rFonts w:ascii="Arial" w:cs="Arial" w:eastAsia="Arial" w:hAnsi="Arial"/>
          <w:sz w:val="19"/>
          <w:szCs w:val="19"/>
          <w:color w:val="auto"/>
        </w:rPr>
        <w:t>Our portfolio companies may be susceptible to economic downturns or recessions. During these periods, the value of our portfolio may decrease if we are required to write down the values of our investments, and we may have non-performing assets or non-performing assets may increase, and the value of our portfolio is likely to decrease during these periods. Adverse economic conditions also may decrease the value of any collateral securing our loans and decrease the value of our equity investments. A severe recession may further decrease the value of such collateral and result in losses of value in our portfolio and a decrease in revenues, net income and assets. Unfavorable economic conditions also could increase our funding costs, limit our access to the capital markets or result in a decision by lenders not to extend credit to us on terms we deem acceptable. In addition, a prolonged economic downturn or recession could extend our investment time horizon by limiting our ability to achieve timely liquidity events, such as a sale, merger or IPO, or the refinancing of our debt investments, and could ultimately impact our ability to realize anticipated investment returns. These events could prevent us from increasing our investments and adversely impact our operating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58</w:t>
      </w:r>
    </w:p>
    <w:p>
      <w:pPr>
        <w:sectPr>
          <w:pgSz w:w="11900" w:h="16838" w:orient="portrait"/>
          <w:cols w:equalWidth="0" w:num="1">
            <w:col w:w="9400"/>
          </w:cols>
          <w:pgMar w:left="1260" w:top="1173" w:right="1246"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firstLine="401"/>
        <w:spacing w:after="0" w:line="350" w:lineRule="auto"/>
        <w:rPr>
          <w:sz w:val="20"/>
          <w:szCs w:val="20"/>
          <w:color w:val="auto"/>
        </w:rPr>
      </w:pPr>
      <w:r>
        <w:rPr>
          <w:rFonts w:ascii="Arial" w:cs="Arial" w:eastAsia="Arial" w:hAnsi="Arial"/>
          <w:sz w:val="18"/>
          <w:szCs w:val="18"/>
          <w:color w:val="auto"/>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also may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spacing w:after="0" w:line="167" w:lineRule="exact"/>
        <w:rPr>
          <w:sz w:val="20"/>
          <w:szCs w:val="20"/>
          <w:color w:val="auto"/>
        </w:rPr>
      </w:pPr>
    </w:p>
    <w:p>
      <w:pPr>
        <w:ind w:right="80"/>
        <w:spacing w:after="0" w:line="331" w:lineRule="auto"/>
        <w:rPr>
          <w:sz w:val="20"/>
          <w:szCs w:val="20"/>
          <w:color w:val="auto"/>
        </w:rPr>
      </w:pPr>
      <w:r>
        <w:rPr>
          <w:rFonts w:ascii="Arial" w:cs="Arial" w:eastAsia="Arial" w:hAnsi="Arial"/>
          <w:sz w:val="19"/>
          <w:szCs w:val="19"/>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177"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 xml:space="preserve">Portfolio investments may be affected by force majeure events </w:t>
      </w:r>
      <w:r>
        <w:rPr>
          <w:rFonts w:ascii="Arial" w:cs="Arial" w:eastAsia="Arial" w:hAnsi="Arial"/>
          <w:sz w:val="19"/>
          <w:szCs w:val="19"/>
          <w:i w:val="1"/>
          <w:iCs w:val="1"/>
          <w:color w:val="auto"/>
        </w:rPr>
        <w:t>(i.e.,</w:t>
      </w:r>
      <w:r>
        <w:rPr>
          <w:rFonts w:ascii="Arial" w:cs="Arial" w:eastAsia="Arial" w:hAnsi="Arial"/>
          <w:sz w:val="19"/>
          <w:szCs w:val="19"/>
          <w:color w:val="auto"/>
        </w:rPr>
        <w:t xml:space="preserve"> events beyond the control of the party claiming that the event has occurred, including, without limitation, acts of God, fire, flood, earthquakes, war, terrorism and labor strikes). Such acts have created, and continue to create, economic and political uncertainties and have contributed to global economic instability.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events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186"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The continued threat of global terrorism, acts of war and the impact of military and other action will likely continue to cause volatility in the economies of certain countries, contribute to increased market volatility and economic uncertainties or deterioration in the United States and worldwide and various aspects thereof, including in prices of commodities. Our portfolio investments may involve significant strategic assets having a national or regional profile. The nature of these assets could expose them to a greater risk of being the subject of a terrorist attack than other assets or businesses. Acts of war could similarly lead to such volatility. For example, in response to the ongoing conflict between Russia and Ukraine, the United States and other countries have imposed sanctions or other restrictive actions against Russia. In addition, the ongoing turmoil in Europe and the Middle East and escalating tensions in the region may create volatility and disruption of global markets.</w:t>
      </w:r>
    </w:p>
    <w:p>
      <w:pPr>
        <w:spacing w:after="0" w:line="171" w:lineRule="exact"/>
        <w:rPr>
          <w:sz w:val="20"/>
          <w:szCs w:val="20"/>
          <w:color w:val="auto"/>
        </w:rPr>
      </w:pPr>
    </w:p>
    <w:p>
      <w:pPr>
        <w:jc w:val="both"/>
        <w:ind w:right="40" w:firstLine="401"/>
        <w:spacing w:after="0" w:line="355" w:lineRule="auto"/>
        <w:rPr>
          <w:sz w:val="20"/>
          <w:szCs w:val="20"/>
          <w:color w:val="auto"/>
        </w:rPr>
      </w:pPr>
      <w:r>
        <w:rPr>
          <w:rFonts w:ascii="Arial" w:cs="Arial" w:eastAsia="Arial" w:hAnsi="Arial"/>
          <w:sz w:val="18"/>
          <w:szCs w:val="18"/>
          <w:color w:val="auto"/>
        </w:rPr>
        <w:t>The ramifications of the hostilities and sanctions, however, may not be limited to Russia, Europe and the Middle East and Russian, European and Middle Eastern companies, respectively, but may extend to and negatively impact other regional and global economic markets (including the United States), companies in other countries and</w:t>
      </w:r>
    </w:p>
    <w:p>
      <w:pPr>
        <w:spacing w:after="0" w:line="58" w:lineRule="exact"/>
        <w:rPr>
          <w:sz w:val="20"/>
          <w:szCs w:val="20"/>
          <w:color w:val="auto"/>
        </w:rPr>
      </w:pPr>
    </w:p>
    <w:p>
      <w:pPr>
        <w:jc w:val="both"/>
        <w:ind w:right="40"/>
        <w:spacing w:after="0" w:line="353" w:lineRule="auto"/>
        <w:rPr>
          <w:sz w:val="20"/>
          <w:szCs w:val="20"/>
          <w:color w:val="auto"/>
        </w:rPr>
      </w:pPr>
      <w:r>
        <w:rPr>
          <w:rFonts w:ascii="Arial" w:cs="Arial" w:eastAsia="Arial" w:hAnsi="Arial"/>
          <w:sz w:val="18"/>
          <w:szCs w:val="18"/>
          <w:color w:val="auto"/>
        </w:rPr>
        <w:t>on various sectors, industries and markets for securities and commodities globally, such as oil and natural gas. Any of the above factors, including sanctions, export controls, tariffs, trade wars and other governmental actions, could have a material adverse effect on our business, financial condition, cash flows, and results of operations, and could cause the market value of our common stock to decline. In addition, these market and economic disruptions could negatively impact the operating results of our portfolio companies, which may, in turn, impact the valuation of such portfolio companies, and impact our business, operating resulting and financial condition.</w:t>
      </w:r>
    </w:p>
    <w:p>
      <w:pPr>
        <w:spacing w:after="0" w:line="2"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In addition, parties in such conflicts may take retaliatory actions, such as cyberattacks or espionage against other countries and companies around the world, and any such countermeasures could negatively impact such countries and/or the companies in which we invest. The extent and duration of the military action or future escalation of such</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58</w:t>
      </w:r>
    </w:p>
    <w:p>
      <w:pPr>
        <w:sectPr>
          <w:pgSz w:w="11900" w:h="16838" w:orient="portrait"/>
          <w:cols w:equalWidth="0" w:num="1">
            <w:col w:w="9380"/>
          </w:cols>
          <w:pgMar w:left="1260" w:top="1440" w:right="1266" w:bottom="0" w:gutter="0" w:footer="0" w:header="0"/>
          <w:type w:val="continuous"/>
        </w:sectPr>
      </w:pPr>
    </w:p>
    <w:bookmarkStart w:id="92" w:name="page93"/>
    <w:bookmarkEnd w:id="92"/>
    <w:p>
      <w:pPr>
        <w:jc w:val="both"/>
        <w:spacing w:after="0" w:line="307" w:lineRule="auto"/>
        <w:rPr>
          <w:sz w:val="20"/>
          <w:szCs w:val="20"/>
          <w:color w:val="auto"/>
        </w:rPr>
      </w:pPr>
      <w:r>
        <w:rPr>
          <w:rFonts w:ascii="Arial" w:cs="Arial" w:eastAsia="Arial" w:hAnsi="Arial"/>
          <w:sz w:val="20"/>
          <w:szCs w:val="20"/>
          <w:color w:val="auto"/>
        </w:rPr>
        <w:t>hostilities, the extent and impact of existing and future sanctions, market disruptions and volatility, and the result of any diplomatic negotiations cannot be predicted. These and any related events could have a significant impact on our performance and the value of an investment in us.</w:t>
      </w:r>
    </w:p>
    <w:p>
      <w:pPr>
        <w:spacing w:after="0" w:line="197" w:lineRule="exact"/>
        <w:rPr>
          <w:sz w:val="20"/>
          <w:szCs w:val="20"/>
          <w:color w:val="auto"/>
        </w:rPr>
      </w:pPr>
    </w:p>
    <w:p>
      <w:pPr>
        <w:ind w:right="40"/>
        <w:spacing w:after="0" w:line="398" w:lineRule="auto"/>
        <w:rPr>
          <w:sz w:val="20"/>
          <w:szCs w:val="20"/>
          <w:color w:val="auto"/>
        </w:rPr>
      </w:pPr>
      <w:r>
        <w:rPr>
          <w:rFonts w:ascii="Arial" w:cs="Arial" w:eastAsia="Arial" w:hAnsi="Arial"/>
          <w:sz w:val="17"/>
          <w:szCs w:val="17"/>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132" w:lineRule="exact"/>
        <w:rPr>
          <w:sz w:val="20"/>
          <w:szCs w:val="20"/>
          <w:color w:val="auto"/>
        </w:rPr>
      </w:pPr>
    </w:p>
    <w:p>
      <w:pPr>
        <w:jc w:val="both"/>
        <w:ind w:firstLine="392"/>
        <w:spacing w:after="0" w:line="329" w:lineRule="auto"/>
        <w:rPr>
          <w:sz w:val="20"/>
          <w:szCs w:val="20"/>
          <w:color w:val="auto"/>
        </w:rPr>
      </w:pPr>
      <w:r>
        <w:rPr>
          <w:rFonts w:ascii="Arial" w:cs="Arial" w:eastAsia="Arial" w:hAnsi="Arial"/>
          <w:sz w:val="19"/>
          <w:szCs w:val="19"/>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may continue to be volatile.</w:t>
      </w:r>
    </w:p>
    <w:p>
      <w:pPr>
        <w:spacing w:after="0" w:line="184"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b w:val="1"/>
          <w:bCs w:val="1"/>
          <w:i w:val="1"/>
          <w:iCs w:val="1"/>
          <w:color w:val="231F20"/>
        </w:rPr>
        <w:t>Changes in healthcare laws and other regulations applicable to some of our portfolio companies’ businesses may constrain their ability to offer their products and services.</w:t>
      </w:r>
    </w:p>
    <w:p>
      <w:pPr>
        <w:spacing w:after="0" w:line="201" w:lineRule="exact"/>
        <w:rPr>
          <w:sz w:val="20"/>
          <w:szCs w:val="20"/>
          <w:color w:val="auto"/>
        </w:rPr>
      </w:pPr>
    </w:p>
    <w:p>
      <w:pPr>
        <w:jc w:val="both"/>
        <w:ind w:left="80" w:right="120" w:firstLine="348"/>
        <w:spacing w:after="0" w:line="309" w:lineRule="auto"/>
        <w:rPr>
          <w:sz w:val="20"/>
          <w:szCs w:val="20"/>
          <w:color w:val="auto"/>
        </w:rPr>
      </w:pPr>
      <w:r>
        <w:rPr>
          <w:rFonts w:ascii="Arial" w:cs="Arial" w:eastAsia="Arial" w:hAnsi="Arial"/>
          <w:sz w:val="20"/>
          <w:szCs w:val="20"/>
          <w:color w:val="231F20"/>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 / 58</w:t>
      </w:r>
    </w:p>
    <w:p>
      <w:pPr>
        <w:sectPr>
          <w:pgSz w:w="11900" w:h="16838" w:orient="portrait"/>
          <w:cols w:equalWidth="0" w:num="1">
            <w:col w:w="9360"/>
          </w:cols>
          <w:pgMar w:left="1260" w:top="1173" w:right="1286"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right="160"/>
        <w:spacing w:after="0" w:line="331" w:lineRule="auto"/>
        <w:rPr>
          <w:sz w:val="20"/>
          <w:szCs w:val="20"/>
          <w:color w:val="auto"/>
        </w:rPr>
      </w:pPr>
      <w:r>
        <w:rPr>
          <w:rFonts w:ascii="Arial" w:cs="Arial" w:eastAsia="Arial" w:hAnsi="Arial"/>
          <w:sz w:val="19"/>
          <w:szCs w:val="19"/>
          <w:color w:val="231F20"/>
        </w:rPr>
        <w:t>has also been an increased political and regulatory focus on healthcare laws in recent years, and new legislation could have a material effect on the business and operations of some of our portfolio companies.</w:t>
      </w:r>
    </w:p>
    <w:p>
      <w:pPr>
        <w:spacing w:after="0" w:line="177" w:lineRule="exact"/>
        <w:rPr>
          <w:sz w:val="20"/>
          <w:szCs w:val="20"/>
          <w:color w:val="auto"/>
        </w:rPr>
      </w:pPr>
    </w:p>
    <w:p>
      <w:pPr>
        <w:jc w:val="both"/>
        <w:ind w:left="80" w:right="140" w:firstLine="348"/>
        <w:spacing w:after="0" w:line="350" w:lineRule="auto"/>
        <w:rPr>
          <w:sz w:val="20"/>
          <w:szCs w:val="20"/>
          <w:color w:val="auto"/>
        </w:rPr>
      </w:pPr>
      <w:r>
        <w:rPr>
          <w:rFonts w:ascii="Arial" w:cs="Arial" w:eastAsia="Arial" w:hAnsi="Arial"/>
          <w:sz w:val="18"/>
          <w:szCs w:val="18"/>
          <w:color w:val="231F20"/>
        </w:rPr>
        <w:t>Healthcare companies often must obtain and maintain regulatory approvals to market many of their products, change prices for certain regulated products and consummate some of their acquisitions and divestitures. Delays in obtaining or failing to obtain or maintain these approvals could reduce revenue or increase costs. Policy changes on the local, state and federal level, such as the expansion of the government’s role in the healthcare arena and alternative assessments and tax increases specific to the healthcare industry or healthcare products as part of federal health care reform initiatives, could fundamentally change the dynamics of the healthcare industry.</w:t>
      </w:r>
    </w:p>
    <w:p>
      <w:pPr>
        <w:spacing w:after="0" w:line="169"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79" w:lineRule="exact"/>
        <w:rPr>
          <w:sz w:val="20"/>
          <w:szCs w:val="20"/>
          <w:color w:val="auto"/>
        </w:rPr>
      </w:pPr>
    </w:p>
    <w:p>
      <w:pPr>
        <w:ind w:firstLine="401"/>
        <w:spacing w:after="0" w:line="348" w:lineRule="auto"/>
        <w:rPr>
          <w:sz w:val="20"/>
          <w:szCs w:val="20"/>
          <w:color w:val="auto"/>
        </w:rPr>
      </w:pPr>
      <w:r>
        <w:rPr>
          <w:rFonts w:ascii="Arial" w:cs="Arial" w:eastAsia="Arial" w:hAnsi="Arial"/>
          <w:sz w:val="18"/>
          <w:szCs w:val="18"/>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 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78" w:lineRule="exact"/>
        <w:rPr>
          <w:sz w:val="20"/>
          <w:szCs w:val="20"/>
          <w:color w:val="auto"/>
        </w:rPr>
      </w:pPr>
    </w:p>
    <w:p>
      <w:pPr>
        <w:jc w:val="both"/>
        <w:ind w:right="60"/>
        <w:spacing w:after="0" w:line="375" w:lineRule="auto"/>
        <w:rPr>
          <w:sz w:val="20"/>
          <w:szCs w:val="20"/>
          <w:color w:val="auto"/>
        </w:rPr>
      </w:pPr>
      <w:r>
        <w:rPr>
          <w:rFonts w:ascii="Arial" w:cs="Arial" w:eastAsia="Arial" w:hAnsi="Arial"/>
          <w:sz w:val="17"/>
          <w:szCs w:val="17"/>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53" w:lineRule="exact"/>
        <w:rPr>
          <w:sz w:val="20"/>
          <w:szCs w:val="20"/>
          <w:color w:val="auto"/>
        </w:rPr>
      </w:pPr>
    </w:p>
    <w:p>
      <w:pPr>
        <w:jc w:val="both"/>
        <w:ind w:right="40" w:firstLine="489"/>
        <w:spacing w:after="0" w:line="357"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58</w:t>
      </w:r>
    </w:p>
    <w:p>
      <w:pPr>
        <w:sectPr>
          <w:pgSz w:w="11900" w:h="16838" w:orient="portrait"/>
          <w:cols w:equalWidth="0" w:num="1">
            <w:col w:w="9400"/>
          </w:cols>
          <w:pgMar w:left="1260" w:top="1440" w:right="1246" w:bottom="0" w:gutter="0" w:footer="0" w:header="0"/>
          <w:type w:val="continuous"/>
        </w:sectPr>
      </w:pPr>
    </w:p>
    <w:bookmarkStart w:id="94" w:name="page95"/>
    <w:bookmarkEnd w:id="94"/>
    <w:p>
      <w:pPr>
        <w:jc w:val="both"/>
        <w:spacing w:after="0" w:line="307" w:lineRule="auto"/>
        <w:rPr>
          <w:sz w:val="20"/>
          <w:szCs w:val="20"/>
          <w:color w:val="auto"/>
        </w:rPr>
      </w:pPr>
      <w:r>
        <w:rPr>
          <w:rFonts w:ascii="Arial" w:cs="Arial" w:eastAsia="Arial" w:hAnsi="Arial"/>
          <w:sz w:val="20"/>
          <w:szCs w:val="20"/>
          <w:color w:val="auto"/>
        </w:rPr>
        <w:t>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investments in portfolio companies may be risky, and we could lose all or part of our investment.</w:t>
      </w:r>
    </w:p>
    <w:p>
      <w:pPr>
        <w:spacing w:after="0" w:line="262" w:lineRule="exact"/>
        <w:rPr>
          <w:sz w:val="20"/>
          <w:szCs w:val="20"/>
          <w:color w:val="auto"/>
        </w:rPr>
      </w:pPr>
    </w:p>
    <w:p>
      <w:pPr>
        <w:ind w:right="60" w:firstLine="400"/>
        <w:spacing w:after="0" w:line="302" w:lineRule="auto"/>
        <w:rPr>
          <w:sz w:val="20"/>
          <w:szCs w:val="20"/>
          <w:color w:val="auto"/>
        </w:rPr>
      </w:pPr>
      <w:r>
        <w:rPr>
          <w:rFonts w:ascii="Arial" w:cs="Arial" w:eastAsia="Arial" w:hAnsi="Arial"/>
          <w:sz w:val="20"/>
          <w:szCs w:val="20"/>
          <w:color w:val="auto"/>
        </w:rPr>
        <w:t>Investing in lower middle-market companies involves a number of significant risks. Among other things, these companies:</w:t>
      </w:r>
    </w:p>
    <w:p>
      <w:pPr>
        <w:spacing w:after="0" w:line="231" w:lineRule="exact"/>
        <w:rPr>
          <w:sz w:val="20"/>
          <w:szCs w:val="20"/>
          <w:color w:val="auto"/>
        </w:rPr>
      </w:pPr>
    </w:p>
    <w:p>
      <w:pPr>
        <w:ind w:left="860" w:right="440" w:hanging="339"/>
        <w:spacing w:after="0" w:line="329"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1" w:lineRule="exact"/>
        <w:rPr>
          <w:rFonts w:ascii="Arial" w:cs="Arial" w:eastAsia="Arial" w:hAnsi="Arial"/>
          <w:sz w:val="19"/>
          <w:szCs w:val="19"/>
          <w:color w:val="auto"/>
        </w:rPr>
      </w:pPr>
    </w:p>
    <w:p>
      <w:pPr>
        <w:ind w:left="860" w:right="400" w:hanging="339"/>
        <w:spacing w:after="0" w:line="307" w:lineRule="auto"/>
        <w:tabs>
          <w:tab w:leader="none" w:pos="8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17" w:lineRule="exact"/>
        <w:rPr>
          <w:rFonts w:ascii="Arial" w:cs="Arial" w:eastAsia="Arial" w:hAnsi="Arial"/>
          <w:sz w:val="20"/>
          <w:szCs w:val="20"/>
          <w:color w:val="auto"/>
        </w:rPr>
      </w:pPr>
    </w:p>
    <w:p>
      <w:pPr>
        <w:ind w:left="860" w:right="280" w:hanging="339"/>
        <w:spacing w:after="0" w:line="307" w:lineRule="auto"/>
        <w:tabs>
          <w:tab w:leader="none" w:pos="8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7" w:lineRule="exact"/>
        <w:rPr>
          <w:rFonts w:ascii="Arial" w:cs="Arial" w:eastAsia="Arial" w:hAnsi="Arial"/>
          <w:sz w:val="20"/>
          <w:szCs w:val="20"/>
          <w:color w:val="auto"/>
        </w:rPr>
      </w:pPr>
    </w:p>
    <w:p>
      <w:pPr>
        <w:ind w:left="860" w:right="300" w:hanging="339"/>
        <w:spacing w:after="0" w:line="309" w:lineRule="auto"/>
        <w:tabs>
          <w:tab w:leader="none" w:pos="8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58</w:t>
      </w:r>
    </w:p>
    <w:p>
      <w:pPr>
        <w:sectPr>
          <w:pgSz w:w="11900" w:h="16838" w:orient="portrait"/>
          <w:cols w:equalWidth="0" w:num="1">
            <w:col w:w="9400"/>
          </w:cols>
          <w:pgMar w:left="1260" w:top="1173" w:right="1246"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0" w:right="600" w:hanging="339"/>
        <w:spacing w:after="0" w:line="355"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62" w:lineRule="exact"/>
        <w:rPr>
          <w:sz w:val="20"/>
          <w:szCs w:val="20"/>
          <w:color w:val="auto"/>
        </w:rPr>
      </w:pPr>
    </w:p>
    <w:p>
      <w:pPr>
        <w:jc w:val="both"/>
        <w:ind w:right="20" w:firstLine="400"/>
        <w:spacing w:after="0" w:line="330" w:lineRule="auto"/>
        <w:rPr>
          <w:sz w:val="20"/>
          <w:szCs w:val="20"/>
          <w:color w:val="auto"/>
        </w:rPr>
      </w:pPr>
      <w:r>
        <w:rPr>
          <w:rFonts w:ascii="Arial" w:cs="Arial" w:eastAsia="Arial" w:hAnsi="Arial"/>
          <w:sz w:val="19"/>
          <w:szCs w:val="19"/>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lack of liquidity in our investments may adversely affect our business.</w:t>
      </w:r>
    </w:p>
    <w:p>
      <w:pPr>
        <w:spacing w:after="0" w:line="260" w:lineRule="exact"/>
        <w:rPr>
          <w:sz w:val="20"/>
          <w:szCs w:val="20"/>
          <w:color w:val="auto"/>
        </w:rPr>
      </w:pPr>
    </w:p>
    <w:p>
      <w:pPr>
        <w:jc w:val="both"/>
        <w:ind w:right="20" w:firstLine="401"/>
        <w:spacing w:after="0" w:line="329" w:lineRule="auto"/>
        <w:rPr>
          <w:sz w:val="20"/>
          <w:szCs w:val="20"/>
          <w:color w:val="auto"/>
        </w:rPr>
      </w:pPr>
      <w:r>
        <w:rPr>
          <w:rFonts w:ascii="Arial" w:cs="Arial" w:eastAsia="Arial" w:hAnsi="Arial"/>
          <w:sz w:val="19"/>
          <w:szCs w:val="19"/>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i w:val="1"/>
          <w:iCs w:val="1"/>
          <w:color w:val="auto"/>
        </w:rPr>
        <w:t>We may not have the funds to make additional investments in our portfolio companies that could impair the value of our portfolio.</w:t>
      </w:r>
    </w:p>
    <w:p>
      <w:pPr>
        <w:spacing w:after="0" w:line="201" w:lineRule="exact"/>
        <w:rPr>
          <w:sz w:val="20"/>
          <w:szCs w:val="20"/>
          <w:color w:val="auto"/>
        </w:rPr>
      </w:pPr>
    </w:p>
    <w:p>
      <w:pPr>
        <w:jc w:val="both"/>
        <w:ind w:right="20" w:firstLine="401"/>
        <w:spacing w:after="0" w:line="329" w:lineRule="auto"/>
        <w:rPr>
          <w:sz w:val="20"/>
          <w:szCs w:val="20"/>
          <w:color w:val="auto"/>
        </w:rPr>
      </w:pPr>
      <w:r>
        <w:rPr>
          <w:rFonts w:ascii="Arial" w:cs="Arial" w:eastAsia="Arial" w:hAnsi="Arial"/>
          <w:sz w:val="19"/>
          <w:szCs w:val="19"/>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companies may incur debt that ranks equally with, or senior to, our investments in such companies.</w:t>
      </w:r>
    </w:p>
    <w:p>
      <w:pPr>
        <w:spacing w:after="0" w:line="273" w:lineRule="exact"/>
        <w:rPr>
          <w:sz w:val="20"/>
          <w:szCs w:val="20"/>
          <w:color w:val="auto"/>
        </w:rPr>
      </w:pPr>
    </w:p>
    <w:p>
      <w:pPr>
        <w:jc w:val="both"/>
        <w:ind w:firstLine="401"/>
        <w:spacing w:after="0" w:line="350" w:lineRule="auto"/>
        <w:rPr>
          <w:sz w:val="20"/>
          <w:szCs w:val="20"/>
          <w:color w:val="auto"/>
        </w:rPr>
      </w:pPr>
      <w:r>
        <w:rPr>
          <w:rFonts w:ascii="Arial" w:cs="Arial" w:eastAsia="Arial" w:hAnsi="Arial"/>
          <w:sz w:val="18"/>
          <w:szCs w:val="18"/>
          <w:color w:val="auto"/>
        </w:rPr>
        <w:t>We will invest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 / 58</w:t>
      </w:r>
    </w:p>
    <w:p>
      <w:pPr>
        <w:sectPr>
          <w:pgSz w:w="11900" w:h="16838" w:orient="portrait"/>
          <w:cols w:equalWidth="0" w:num="1">
            <w:col w:w="9360"/>
          </w:cols>
          <w:pgMar w:left="1260" w:top="1440" w:right="1286" w:bottom="0" w:gutter="0" w:footer="0" w:header="0"/>
          <w:type w:val="continuous"/>
        </w:sectPr>
      </w:pPr>
    </w:p>
    <w:bookmarkStart w:id="96" w:name="page97"/>
    <w:bookmarkEnd w:id="96"/>
    <w:p>
      <w:pPr>
        <w:jc w:val="both"/>
        <w:spacing w:after="0" w:line="330" w:lineRule="auto"/>
        <w:rPr>
          <w:sz w:val="20"/>
          <w:szCs w:val="20"/>
          <w:color w:val="auto"/>
        </w:rPr>
      </w:pPr>
      <w:r>
        <w:rPr>
          <w:rFonts w:ascii="Arial" w:cs="Arial" w:eastAsia="Arial" w:hAnsi="Arial"/>
          <w:sz w:val="19"/>
          <w:szCs w:val="19"/>
          <w:color w:val="auto"/>
        </w:rPr>
        <w:t>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b w:val="1"/>
          <w:bCs w:val="1"/>
          <w:i w:val="1"/>
          <w:iCs w:val="1"/>
          <w:color w:val="auto"/>
        </w:rPr>
        <w:t>There may be circumstances where our debt investments could be subordinated to claims of other creditors or could be subject to lender liability claims.</w:t>
      </w:r>
    </w:p>
    <w:p>
      <w:pPr>
        <w:spacing w:after="0" w:line="201"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83"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 / 58</w:t>
      </w:r>
    </w:p>
    <w:p>
      <w:pPr>
        <w:sectPr>
          <w:pgSz w:w="11900" w:h="16838" w:orient="portrait"/>
          <w:cols w:equalWidth="0" w:num="1">
            <w:col w:w="9340"/>
          </w:cols>
          <w:pgMar w:left="1260" w:top="1173" w:right="130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8"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200" w:lineRule="exact"/>
        <w:rPr>
          <w:sz w:val="20"/>
          <w:szCs w:val="20"/>
          <w:color w:val="auto"/>
        </w:rPr>
      </w:pPr>
    </w:p>
    <w:p>
      <w:pPr>
        <w:spacing w:after="0" w:line="298" w:lineRule="exact"/>
        <w:rPr>
          <w:sz w:val="20"/>
          <w:szCs w:val="20"/>
          <w:color w:val="auto"/>
        </w:rPr>
      </w:pPr>
    </w:p>
    <w:p>
      <w:pPr>
        <w:ind w:left="780" w:hanging="303"/>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ability to cause the commencement of enforcement proceedings against the collateral;</w:t>
      </w:r>
    </w:p>
    <w:p>
      <w:pPr>
        <w:spacing w:after="0" w:line="70" w:lineRule="exact"/>
        <w:rPr>
          <w:rFonts w:ascii="Arial" w:cs="Arial" w:eastAsia="Arial" w:hAnsi="Arial"/>
          <w:sz w:val="20"/>
          <w:szCs w:val="20"/>
          <w:color w:val="auto"/>
        </w:rPr>
      </w:pPr>
    </w:p>
    <w:p>
      <w:pPr>
        <w:ind w:left="780" w:hanging="303"/>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ability to control the conduct of such proceedings;</w:t>
      </w:r>
    </w:p>
    <w:p>
      <w:pPr>
        <w:spacing w:after="0" w:line="70" w:lineRule="exact"/>
        <w:rPr>
          <w:rFonts w:ascii="Arial" w:cs="Arial" w:eastAsia="Arial" w:hAnsi="Arial"/>
          <w:sz w:val="20"/>
          <w:szCs w:val="20"/>
          <w:color w:val="auto"/>
        </w:rPr>
      </w:pPr>
    </w:p>
    <w:p>
      <w:pPr>
        <w:ind w:left="780" w:hanging="303"/>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approval of amendments to collateral documents;</w:t>
      </w:r>
    </w:p>
    <w:p>
      <w:pPr>
        <w:spacing w:after="0" w:line="70" w:lineRule="exact"/>
        <w:rPr>
          <w:rFonts w:ascii="Arial" w:cs="Arial" w:eastAsia="Arial" w:hAnsi="Arial"/>
          <w:sz w:val="20"/>
          <w:szCs w:val="20"/>
          <w:color w:val="auto"/>
        </w:rPr>
      </w:pPr>
    </w:p>
    <w:p>
      <w:pPr>
        <w:ind w:left="780" w:hanging="303"/>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releases of liens on the collateral; and</w:t>
      </w:r>
    </w:p>
    <w:p>
      <w:pPr>
        <w:spacing w:after="0" w:line="70" w:lineRule="exact"/>
        <w:rPr>
          <w:rFonts w:ascii="Arial" w:cs="Arial" w:eastAsia="Arial" w:hAnsi="Arial"/>
          <w:sz w:val="20"/>
          <w:szCs w:val="20"/>
          <w:color w:val="auto"/>
        </w:rPr>
      </w:pPr>
    </w:p>
    <w:p>
      <w:pPr>
        <w:ind w:left="780" w:hanging="303"/>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waivers of past defaults under collateral documents.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We may not have the ability to control or direct such actions, even if our rights are adversely affected.</w:t>
      </w:r>
    </w:p>
    <w:p>
      <w:pPr>
        <w:spacing w:after="0" w:line="26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We may hold the debt securities of leveraged companies that may, due to the significant volatility of such companies, enter into bankruptcy proceedings.</w:t>
      </w:r>
    </w:p>
    <w:p>
      <w:pPr>
        <w:spacing w:after="0" w:line="201" w:lineRule="exact"/>
        <w:rPr>
          <w:sz w:val="20"/>
          <w:szCs w:val="20"/>
          <w:color w:val="auto"/>
        </w:rPr>
      </w:pPr>
    </w:p>
    <w:p>
      <w:pPr>
        <w:jc w:val="both"/>
        <w:ind w:right="20" w:firstLine="401"/>
        <w:spacing w:after="0" w:line="349" w:lineRule="auto"/>
        <w:rPr>
          <w:sz w:val="20"/>
          <w:szCs w:val="20"/>
          <w:color w:val="auto"/>
        </w:rPr>
      </w:pPr>
      <w:r>
        <w:rPr>
          <w:rFonts w:ascii="Arial" w:cs="Arial" w:eastAsia="Arial" w:hAnsi="Arial"/>
          <w:sz w:val="18"/>
          <w:szCs w:val="18"/>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Any unrealized depreciation we experience on our investment portfolio may be an indication of future realized losses, which could reduce our income available for distribution.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 / 58</w:t>
      </w:r>
    </w:p>
    <w:p>
      <w:pPr>
        <w:sectPr>
          <w:pgSz w:w="11900" w:h="16838" w:orient="portrait"/>
          <w:cols w:equalWidth="0" w:num="1">
            <w:col w:w="9380"/>
          </w:cols>
          <w:pgMar w:left="1260" w:top="1440" w:right="1266" w:bottom="0" w:gutter="0" w:footer="0" w:header="0"/>
          <w:type w:val="continuous"/>
        </w:sectPr>
      </w:pPr>
    </w:p>
    <w:bookmarkStart w:id="98" w:name="page99"/>
    <w:bookmarkEnd w:id="98"/>
    <w:p>
      <w:pPr>
        <w:jc w:val="both"/>
        <w:ind w:right="60" w:firstLine="401"/>
        <w:spacing w:after="0" w:line="330" w:lineRule="auto"/>
        <w:rPr>
          <w:sz w:val="20"/>
          <w:szCs w:val="20"/>
          <w:color w:val="auto"/>
        </w:rPr>
      </w:pPr>
      <w:r>
        <w:rPr>
          <w:rFonts w:ascii="Arial" w:cs="Arial" w:eastAsia="Arial" w:hAnsi="Arial"/>
          <w:sz w:val="19"/>
          <w:szCs w:val="19"/>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Defaults by our portfolio companies will harm our operating results.</w:t>
      </w:r>
    </w:p>
    <w:p>
      <w:pPr>
        <w:spacing w:after="0" w:line="260"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192"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58</w:t>
      </w:r>
    </w:p>
    <w:p>
      <w:pPr>
        <w:sectPr>
          <w:pgSz w:w="11900" w:h="16838" w:orient="portrait"/>
          <w:cols w:equalWidth="0" w:num="1">
            <w:col w:w="9400"/>
          </w:cols>
          <w:pgMar w:left="1260" w:top="1173" w:right="1246"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27"/>
        <w:spacing w:after="0" w:line="309" w:lineRule="auto"/>
        <w:rPr>
          <w:sz w:val="20"/>
          <w:szCs w:val="20"/>
          <w:color w:val="auto"/>
        </w:rPr>
      </w:pPr>
      <w:r>
        <w:rPr>
          <w:rFonts w:ascii="Arial" w:cs="Arial" w:eastAsia="Arial" w:hAnsi="Arial"/>
          <w:sz w:val="20"/>
          <w:szCs w:val="20"/>
          <w:color w:val="auto"/>
        </w:rPr>
        <w:t>Our investments may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226" w:lineRule="exact"/>
        <w:rPr>
          <w:sz w:val="20"/>
          <w:szCs w:val="20"/>
          <w:color w:val="auto"/>
        </w:rPr>
      </w:pPr>
    </w:p>
    <w:p>
      <w:pPr>
        <w:ind w:left="640" w:right="160" w:hanging="325"/>
        <w:spacing w:after="0" w:line="330" w:lineRule="auto"/>
        <w:tabs>
          <w:tab w:leader="none" w:pos="640" w:val="left"/>
        </w:tabs>
        <w:numPr>
          <w:ilvl w:val="0"/>
          <w:numId w:val="41"/>
        </w:numPr>
        <w:rPr>
          <w:rFonts w:ascii="Wingdings" w:cs="Wingdings" w:eastAsia="Wingdings" w:hAnsi="Wingdings"/>
          <w:sz w:val="19"/>
          <w:szCs w:val="19"/>
          <w:color w:val="auto"/>
        </w:rPr>
      </w:pPr>
      <w:r>
        <w:rPr>
          <w:rFonts w:ascii="Arial" w:cs="Arial" w:eastAsia="Arial" w:hAnsi="Arial"/>
          <w:sz w:val="19"/>
          <w:szCs w:val="19"/>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328" w:lineRule="exact"/>
        <w:rPr>
          <w:rFonts w:ascii="Wingdings" w:cs="Wingdings" w:eastAsia="Wingdings" w:hAnsi="Wingdings"/>
          <w:sz w:val="19"/>
          <w:szCs w:val="19"/>
          <w:color w:val="auto"/>
        </w:rPr>
      </w:pPr>
    </w:p>
    <w:p>
      <w:pPr>
        <w:ind w:left="640" w:right="480" w:hanging="325"/>
        <w:spacing w:after="0" w:line="302" w:lineRule="auto"/>
        <w:tabs>
          <w:tab w:leader="none" w:pos="640" w:val="left"/>
        </w:tabs>
        <w:numPr>
          <w:ilvl w:val="0"/>
          <w:numId w:val="41"/>
        </w:numPr>
        <w:rPr>
          <w:rFonts w:ascii="Wingdings" w:cs="Wingdings" w:eastAsia="Wingdings" w:hAnsi="Wingdings"/>
          <w:sz w:val="20"/>
          <w:szCs w:val="20"/>
          <w:color w:val="auto"/>
        </w:rPr>
      </w:pPr>
      <w:r>
        <w:rPr>
          <w:rFonts w:ascii="Arial" w:cs="Arial" w:eastAsia="Arial" w:hAnsi="Arial"/>
          <w:sz w:val="20"/>
          <w:szCs w:val="20"/>
          <w:color w:val="auto"/>
        </w:rPr>
        <w:t>Even if the accounting conditions for income accrual are met, the borrower could still default when our actual collection is supposed to occur at the maturity of the obligation.</w:t>
      </w:r>
    </w:p>
    <w:p>
      <w:pPr>
        <w:spacing w:after="0" w:line="351" w:lineRule="exact"/>
        <w:rPr>
          <w:rFonts w:ascii="Wingdings" w:cs="Wingdings" w:eastAsia="Wingdings" w:hAnsi="Wingdings"/>
          <w:sz w:val="20"/>
          <w:szCs w:val="20"/>
          <w:color w:val="auto"/>
        </w:rPr>
      </w:pPr>
    </w:p>
    <w:p>
      <w:pPr>
        <w:ind w:left="640" w:right="540" w:hanging="325"/>
        <w:spacing w:after="0" w:line="355" w:lineRule="auto"/>
        <w:tabs>
          <w:tab w:leader="none" w:pos="640" w:val="left"/>
        </w:tabs>
        <w:numPr>
          <w:ilvl w:val="0"/>
          <w:numId w:val="41"/>
        </w:numPr>
        <w:rPr>
          <w:rFonts w:ascii="Wingdings" w:cs="Wingdings" w:eastAsia="Wingdings" w:hAnsi="Wingdings"/>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311" w:lineRule="exact"/>
        <w:rPr>
          <w:rFonts w:ascii="Wingdings" w:cs="Wingdings" w:eastAsia="Wingdings" w:hAnsi="Wingdings"/>
          <w:sz w:val="18"/>
          <w:szCs w:val="18"/>
          <w:color w:val="auto"/>
        </w:rPr>
      </w:pPr>
    </w:p>
    <w:p>
      <w:pPr>
        <w:ind w:left="640" w:right="240" w:hanging="325"/>
        <w:spacing w:after="0" w:line="310" w:lineRule="auto"/>
        <w:tabs>
          <w:tab w:leader="none" w:pos="640" w:val="left"/>
        </w:tabs>
        <w:numPr>
          <w:ilvl w:val="0"/>
          <w:numId w:val="41"/>
        </w:numPr>
        <w:rPr>
          <w:rFonts w:ascii="Wingdings" w:cs="Wingdings" w:eastAsia="Wingdings" w:hAnsi="Wingdings"/>
          <w:sz w:val="20"/>
          <w:szCs w:val="20"/>
          <w:color w:val="auto"/>
        </w:rPr>
      </w:pPr>
      <w:r>
        <w:rPr>
          <w:rFonts w:ascii="Arial" w:cs="Arial" w:eastAsia="Arial" w:hAnsi="Arial"/>
          <w:sz w:val="20"/>
          <w:szCs w:val="20"/>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344" w:lineRule="exact"/>
        <w:rPr>
          <w:rFonts w:ascii="Wingdings" w:cs="Wingdings" w:eastAsia="Wingdings" w:hAnsi="Wingdings"/>
          <w:sz w:val="20"/>
          <w:szCs w:val="20"/>
          <w:color w:val="auto"/>
        </w:rPr>
      </w:pPr>
    </w:p>
    <w:p>
      <w:pPr>
        <w:ind w:left="640" w:right="20" w:hanging="325"/>
        <w:spacing w:after="0" w:line="310" w:lineRule="auto"/>
        <w:tabs>
          <w:tab w:leader="none" w:pos="640" w:val="left"/>
        </w:tabs>
        <w:numPr>
          <w:ilvl w:val="0"/>
          <w:numId w:val="41"/>
        </w:numPr>
        <w:rPr>
          <w:rFonts w:ascii="Wingdings" w:cs="Wingdings" w:eastAsia="Wingdings" w:hAnsi="Wingdings"/>
          <w:sz w:val="20"/>
          <w:szCs w:val="20"/>
          <w:color w:val="auto"/>
        </w:rPr>
      </w:pPr>
      <w:r>
        <w:rPr>
          <w:rFonts w:ascii="Arial" w:cs="Arial" w:eastAsia="Arial" w:hAnsi="Arial"/>
          <w:sz w:val="20"/>
          <w:szCs w:val="20"/>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344" w:lineRule="exact"/>
        <w:rPr>
          <w:rFonts w:ascii="Wingdings" w:cs="Wingdings" w:eastAsia="Wingdings" w:hAnsi="Wingdings"/>
          <w:sz w:val="20"/>
          <w:szCs w:val="20"/>
          <w:color w:val="auto"/>
        </w:rPr>
      </w:pPr>
    </w:p>
    <w:p>
      <w:pPr>
        <w:ind w:left="640" w:right="40" w:hanging="325"/>
        <w:spacing w:after="0" w:line="307" w:lineRule="auto"/>
        <w:tabs>
          <w:tab w:leader="none" w:pos="640" w:val="left"/>
        </w:tabs>
        <w:numPr>
          <w:ilvl w:val="0"/>
          <w:numId w:val="41"/>
        </w:numPr>
        <w:rPr>
          <w:rFonts w:ascii="Wingdings" w:cs="Wingdings" w:eastAsia="Wingdings" w:hAnsi="Wingdings"/>
          <w:sz w:val="20"/>
          <w:szCs w:val="20"/>
          <w:color w:val="auto"/>
        </w:rPr>
      </w:pPr>
      <w:r>
        <w:rPr>
          <w:rFonts w:ascii="Arial" w:cs="Arial" w:eastAsia="Arial" w:hAnsi="Arial"/>
          <w:sz w:val="20"/>
          <w:szCs w:val="20"/>
          <w:color w:val="auto"/>
        </w:rPr>
        <w:t>In certain cases, we may recognize taxable income before or without receiving corresponding cash payments and, as a result, we may have difficulty meeting the annual distribution requirement necessary to maintain our tax qualification as a RIC.</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expect to control many of our portfolio companies.</w:t>
      </w:r>
    </w:p>
    <w:p>
      <w:pPr>
        <w:spacing w:after="0" w:line="260" w:lineRule="exact"/>
        <w:rPr>
          <w:sz w:val="20"/>
          <w:szCs w:val="20"/>
          <w:color w:val="auto"/>
        </w:rPr>
      </w:pPr>
    </w:p>
    <w:p>
      <w:pPr>
        <w:jc w:val="both"/>
        <w:ind w:right="40" w:firstLine="400"/>
        <w:spacing w:after="0" w:line="350" w:lineRule="auto"/>
        <w:rPr>
          <w:sz w:val="20"/>
          <w:szCs w:val="20"/>
          <w:color w:val="auto"/>
        </w:rPr>
      </w:pPr>
      <w:r>
        <w:rPr>
          <w:rFonts w:ascii="Arial" w:cs="Arial" w:eastAsia="Arial" w:hAnsi="Arial"/>
          <w:sz w:val="18"/>
          <w:szCs w:val="18"/>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58</w:t>
      </w:r>
    </w:p>
    <w:p>
      <w:pPr>
        <w:sectPr>
          <w:pgSz w:w="11900" w:h="16838" w:orient="portrait"/>
          <w:cols w:equalWidth="0" w:num="1">
            <w:col w:w="9380"/>
          </w:cols>
          <w:pgMar w:left="1260" w:top="1440" w:right="1266" w:bottom="0" w:gutter="0" w:footer="0" w:header="0"/>
          <w:type w:val="continuous"/>
        </w:sectPr>
      </w:pPr>
    </w:p>
    <w:bookmarkStart w:id="100" w:name="page101"/>
    <w:bookmarkEnd w:id="100"/>
    <w:p>
      <w:pPr>
        <w:ind w:right="60"/>
        <w:spacing w:after="0" w:line="363"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154" w:lineRule="exact"/>
        <w:rPr>
          <w:sz w:val="20"/>
          <w:szCs w:val="20"/>
          <w:color w:val="auto"/>
        </w:rPr>
      </w:pPr>
    </w:p>
    <w:p>
      <w:pPr>
        <w:ind w:firstLine="400"/>
        <w:spacing w:after="0" w:line="329" w:lineRule="auto"/>
        <w:rPr>
          <w:sz w:val="20"/>
          <w:szCs w:val="20"/>
          <w:color w:val="auto"/>
        </w:rPr>
      </w:pPr>
      <w:r>
        <w:rPr>
          <w:rFonts w:ascii="Arial" w:cs="Arial" w:eastAsia="Arial" w:hAnsi="Arial"/>
          <w:sz w:val="19"/>
          <w:szCs w:val="19"/>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186"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b w:val="1"/>
          <w:bCs w:val="1"/>
          <w:i w:val="1"/>
          <w:iCs w:val="1"/>
          <w:color w:val="auto"/>
        </w:rPr>
        <w:t>Prepayments of our debt investments by our portfolio companies could adversely impact our results of operations and reduce our return on equity.</w:t>
      </w:r>
    </w:p>
    <w:p>
      <w:pPr>
        <w:spacing w:after="0" w:line="201" w:lineRule="exact"/>
        <w:rPr>
          <w:sz w:val="20"/>
          <w:szCs w:val="20"/>
          <w:color w:val="auto"/>
        </w:rPr>
      </w:pPr>
    </w:p>
    <w:p>
      <w:pPr>
        <w:jc w:val="both"/>
        <w:ind w:right="60" w:firstLine="400"/>
        <w:spacing w:after="0" w:line="350"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58</w:t>
      </w:r>
    </w:p>
    <w:p>
      <w:pPr>
        <w:sectPr>
          <w:pgSz w:w="11900" w:h="16838" w:orient="portrait"/>
          <w:cols w:equalWidth="0" w:num="1">
            <w:col w:w="9400"/>
          </w:cols>
          <w:pgMar w:left="1260" w:top="1173" w:right="1246"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adversely affected if one or more of our portfolio companies elect to prepay amounts owed to us. Additionally, prepayments could negatively impact our return on equity, which could result in a decline in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realize gains from our equity investments.</w:t>
      </w:r>
    </w:p>
    <w:p>
      <w:pPr>
        <w:spacing w:after="0" w:line="260"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color w:val="auto"/>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185"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If our primary investments are deemed not to be qualifying assets, we could be precluded from investing in our desired manner or deemed to be in violation of the 1940 Act.</w:t>
      </w:r>
    </w:p>
    <w:p>
      <w:pPr>
        <w:spacing w:after="0" w:line="201"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As a BDC, we may not acquire any assets other than “qualifying assets” unless, at the time of and after giving effect to such acquisition, at least 70%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disposition of our investments may result in contingent liabilities.</w:t>
      </w:r>
    </w:p>
    <w:p>
      <w:pPr>
        <w:spacing w:after="0" w:line="260" w:lineRule="exact"/>
        <w:rPr>
          <w:sz w:val="20"/>
          <w:szCs w:val="20"/>
          <w:color w:val="auto"/>
        </w:rPr>
      </w:pPr>
    </w:p>
    <w:p>
      <w:pPr>
        <w:jc w:val="both"/>
        <w:ind w:right="40" w:firstLine="400"/>
        <w:spacing w:after="0" w:line="350" w:lineRule="auto"/>
        <w:rPr>
          <w:sz w:val="20"/>
          <w:szCs w:val="20"/>
          <w:color w:val="auto"/>
        </w:rPr>
      </w:pPr>
      <w:r>
        <w:rPr>
          <w:rFonts w:ascii="Arial" w:cs="Arial" w:eastAsia="Arial" w:hAnsi="Arial"/>
          <w:sz w:val="18"/>
          <w:szCs w:val="18"/>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58</w:t>
      </w:r>
    </w:p>
    <w:p>
      <w:pPr>
        <w:sectPr>
          <w:pgSz w:w="11900" w:h="16838" w:orient="portrait"/>
          <w:cols w:equalWidth="0" w:num="1">
            <w:col w:w="9400"/>
          </w:cols>
          <w:pgMar w:left="1260" w:top="1440" w:right="1246" w:bottom="0" w:gutter="0" w:footer="0" w:header="0"/>
          <w:type w:val="continuous"/>
        </w:sectPr>
      </w:pPr>
    </w:p>
    <w:bookmarkStart w:id="102" w:name="page103"/>
    <w:bookmarkEnd w:id="102"/>
    <w:p>
      <w:pPr>
        <w:jc w:val="both"/>
        <w:ind w:right="20"/>
        <w:spacing w:after="0" w:line="307" w:lineRule="auto"/>
        <w:rPr>
          <w:sz w:val="20"/>
          <w:szCs w:val="20"/>
          <w:color w:val="auto"/>
        </w:rPr>
      </w:pPr>
      <w:r>
        <w:rPr>
          <w:rFonts w:ascii="Arial" w:cs="Arial" w:eastAsia="Arial" w:hAnsi="Arial"/>
          <w:sz w:val="20"/>
          <w:szCs w:val="20"/>
          <w:color w:val="auto"/>
        </w:rPr>
        <w:t>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197" w:lineRule="exact"/>
        <w:rPr>
          <w:sz w:val="20"/>
          <w:szCs w:val="20"/>
          <w:color w:val="auto"/>
        </w:rPr>
      </w:pPr>
    </w:p>
    <w:p>
      <w:pPr>
        <w:jc w:val="both"/>
        <w:ind w:right="100"/>
        <w:spacing w:after="0" w:line="398" w:lineRule="auto"/>
        <w:rPr>
          <w:sz w:val="20"/>
          <w:szCs w:val="20"/>
          <w:color w:val="auto"/>
        </w:rPr>
      </w:pPr>
      <w:r>
        <w:rPr>
          <w:rFonts w:ascii="Arial" w:cs="Arial" w:eastAsia="Arial" w:hAnsi="Arial"/>
          <w:sz w:val="17"/>
          <w:szCs w:val="17"/>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132" w:lineRule="exact"/>
        <w:rPr>
          <w:sz w:val="20"/>
          <w:szCs w:val="20"/>
          <w:color w:val="auto"/>
        </w:rPr>
      </w:pPr>
    </w:p>
    <w:p>
      <w:pPr>
        <w:jc w:val="both"/>
        <w:ind w:right="60" w:firstLine="400"/>
        <w:spacing w:after="0" w:line="309" w:lineRule="auto"/>
        <w:rPr>
          <w:sz w:val="20"/>
          <w:szCs w:val="20"/>
          <w:color w:val="auto"/>
        </w:rPr>
      </w:pPr>
      <w:r>
        <w:rPr>
          <w:rFonts w:ascii="Arial" w:cs="Arial" w:eastAsia="Arial" w:hAnsi="Arial"/>
          <w:sz w:val="20"/>
          <w:szCs w:val="20"/>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96"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qualify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58</w:t>
      </w:r>
    </w:p>
    <w:p>
      <w:pPr>
        <w:sectPr>
          <w:pgSz w:w="11900" w:h="16838" w:orient="portrait"/>
          <w:cols w:equalWidth="0" w:num="1">
            <w:col w:w="9400"/>
          </w:cols>
          <w:pgMar w:left="1260" w:top="1173" w:right="1246"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179" w:lineRule="exact"/>
        <w:rPr>
          <w:sz w:val="20"/>
          <w:szCs w:val="20"/>
          <w:color w:val="auto"/>
        </w:rPr>
      </w:pPr>
    </w:p>
    <w:p>
      <w:pPr>
        <w:jc w:val="both"/>
        <w:ind w:right="60" w:firstLine="401"/>
        <w:spacing w:after="0" w:line="348" w:lineRule="auto"/>
        <w:rPr>
          <w:sz w:val="20"/>
          <w:szCs w:val="20"/>
          <w:color w:val="auto"/>
        </w:rPr>
      </w:pPr>
      <w:r>
        <w:rPr>
          <w:rFonts w:ascii="Arial" w:cs="Arial" w:eastAsia="Arial" w:hAnsi="Arial"/>
          <w:sz w:val="18"/>
          <w:szCs w:val="18"/>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Common Stock</w:t>
      </w:r>
    </w:p>
    <w:p>
      <w:pPr>
        <w:spacing w:after="0" w:line="26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Shares of closed-end investment companies, including business development companies, frequently trade at a discount to their net asset value.</w:t>
      </w:r>
    </w:p>
    <w:p>
      <w:pPr>
        <w:spacing w:after="0" w:line="201"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11, 2025, our stockholders voted to allow us to sell or otherwise issue common stock at a price below net asset value per share for a period of one year ending on the earlier of June 11, 2026 or the date of our 2026 Annual Meeting of Stockholders. We expect to present to our stockholders a similar proposal at our 2026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conditions may increase the risks associated with our business and an investment in us.</w:t>
      </w:r>
    </w:p>
    <w:p>
      <w:pPr>
        <w:spacing w:after="0" w:line="260" w:lineRule="exact"/>
        <w:rPr>
          <w:sz w:val="20"/>
          <w:szCs w:val="20"/>
          <w:color w:val="auto"/>
        </w:rPr>
      </w:pPr>
    </w:p>
    <w:p>
      <w:pPr>
        <w:jc w:val="both"/>
        <w:ind w:firstLine="400"/>
        <w:spacing w:after="0" w:line="352" w:lineRule="auto"/>
        <w:rPr>
          <w:sz w:val="20"/>
          <w:szCs w:val="20"/>
          <w:color w:val="auto"/>
        </w:rPr>
      </w:pPr>
      <w:r>
        <w:rPr>
          <w:rFonts w:ascii="Arial" w:cs="Arial" w:eastAsia="Arial" w:hAnsi="Arial"/>
          <w:sz w:val="18"/>
          <w:szCs w:val="18"/>
          <w:color w:val="auto"/>
        </w:rPr>
        <w:t>The current worldwide financial market situation may contribute to increased market volatility, may have long-term effects on the U.S. and worldwide financial markets and may cause economic uncertainties or deterioration in the United States and worldwide. These conditions raised the level of many of the risks described herein and, if repeated or continued, could have an adverse effect on our portfolio companies and on their results of operations,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58</w:t>
      </w:r>
    </w:p>
    <w:p>
      <w:pPr>
        <w:sectPr>
          <w:pgSz w:w="11900" w:h="16838" w:orient="portrait"/>
          <w:cols w:equalWidth="0" w:num="1">
            <w:col w:w="9400"/>
          </w:cols>
          <w:pgMar w:left="1260" w:top="1440" w:right="1246" w:bottom="0" w:gutter="0" w:footer="0" w:header="0"/>
          <w:type w:val="continuous"/>
        </w:sectPr>
      </w:pPr>
    </w:p>
    <w:bookmarkStart w:id="104" w:name="page105"/>
    <w:bookmarkEnd w:id="104"/>
    <w:p>
      <w:pPr>
        <w:jc w:val="both"/>
        <w:spacing w:after="0" w:line="350" w:lineRule="auto"/>
        <w:rPr>
          <w:sz w:val="20"/>
          <w:szCs w:val="20"/>
          <w:color w:val="auto"/>
        </w:rPr>
      </w:pPr>
      <w:r>
        <w:rPr>
          <w:rFonts w:ascii="Arial" w:cs="Arial" w:eastAsia="Arial" w:hAnsi="Arial"/>
          <w:sz w:val="18"/>
          <w:szCs w:val="18"/>
          <w:color w:val="auto"/>
        </w:rPr>
        <w:t>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 / 58</w:t>
      </w:r>
    </w:p>
    <w:p>
      <w:pPr>
        <w:sectPr>
          <w:pgSz w:w="11900" w:h="16838" w:orient="portrait"/>
          <w:cols w:equalWidth="0" w:num="1">
            <w:col w:w="9340"/>
          </w:cols>
          <w:pgMar w:left="1260" w:top="1173" w:right="1306"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80"/>
        <w:spacing w:after="0" w:line="331" w:lineRule="auto"/>
        <w:rPr>
          <w:sz w:val="20"/>
          <w:szCs w:val="20"/>
          <w:color w:val="auto"/>
        </w:rPr>
      </w:pPr>
      <w:r>
        <w:rPr>
          <w:rFonts w:ascii="Arial" w:cs="Arial" w:eastAsia="Arial" w:hAnsi="Arial"/>
          <w:sz w:val="19"/>
          <w:szCs w:val="19"/>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177" w:lineRule="exact"/>
        <w:rPr>
          <w:sz w:val="20"/>
          <w:szCs w:val="20"/>
          <w:color w:val="auto"/>
        </w:rPr>
      </w:pPr>
    </w:p>
    <w:p>
      <w:pPr>
        <w:jc w:val="both"/>
        <w:ind w:right="60" w:firstLine="401"/>
        <w:spacing w:after="0" w:line="348" w:lineRule="auto"/>
        <w:rPr>
          <w:sz w:val="20"/>
          <w:szCs w:val="20"/>
          <w:color w:val="auto"/>
        </w:rPr>
      </w:pPr>
      <w:r>
        <w:rPr>
          <w:rFonts w:ascii="Arial" w:cs="Arial" w:eastAsia="Arial" w:hAnsi="Arial"/>
          <w:sz w:val="18"/>
          <w:szCs w:val="18"/>
          <w:color w:val="auto"/>
        </w:rPr>
        <w:t>Most recently, on June 11, 2025, our stockholders approved our ability to sell or otherwise issue shares of our common stock at a discount from net asset value per share, as long as the cumulative number of shares sold pursuant to such authority does not exceed 25% of our then outstanding common stock immediately prior to each such sale, for a period of one year ending on the earlier of June 11, 2026 or the date of our 2026 Annual Meeting of Stockholders. Our stockholders will be asked to vote on a similar proposal at our 2026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net asset value may have changed significantly since our last valuation.</w:t>
      </w:r>
    </w:p>
    <w:p>
      <w:pPr>
        <w:spacing w:after="0" w:line="260" w:lineRule="exact"/>
        <w:rPr>
          <w:sz w:val="20"/>
          <w:szCs w:val="20"/>
          <w:color w:val="auto"/>
        </w:rPr>
      </w:pPr>
    </w:p>
    <w:p>
      <w:pPr>
        <w:jc w:val="both"/>
        <w:ind w:firstLine="426"/>
        <w:spacing w:after="0" w:line="329" w:lineRule="auto"/>
        <w:rPr>
          <w:sz w:val="20"/>
          <w:szCs w:val="20"/>
          <w:color w:val="auto"/>
        </w:rPr>
      </w:pPr>
      <w:r>
        <w:rPr>
          <w:rFonts w:ascii="Arial" w:cs="Arial" w:eastAsia="Arial" w:hAnsi="Arial"/>
          <w:sz w:val="19"/>
          <w:szCs w:val="19"/>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2025 is less than the fair value was at the time of an offering during 2025,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2025 is greater than the fair value at the time of an offering during 2025,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2025, the market price of our common stock may fluctuate materially, and may be substantially less than the price per share you pay for our common stock in an offering.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market price of our securities may fluctuate significantly.</w:t>
      </w:r>
    </w:p>
    <w:p>
      <w:pPr>
        <w:spacing w:after="0" w:line="260"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227" w:lineRule="exact"/>
        <w:rPr>
          <w:sz w:val="20"/>
          <w:szCs w:val="20"/>
          <w:color w:val="auto"/>
        </w:rPr>
      </w:pPr>
    </w:p>
    <w:p>
      <w:pPr>
        <w:ind w:left="860" w:right="200" w:hanging="338"/>
        <w:spacing w:after="0" w:line="3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58</w:t>
      </w:r>
    </w:p>
    <w:p>
      <w:pPr>
        <w:sectPr>
          <w:pgSz w:w="11900" w:h="16838" w:orient="portrait"/>
          <w:cols w:equalWidth="0" w:num="1">
            <w:col w:w="9400"/>
          </w:cols>
          <w:pgMar w:left="1260" w:top="1440" w:right="1246" w:bottom="0" w:gutter="0" w:footer="0" w:header="0"/>
          <w:type w:val="continuous"/>
        </w:sectPr>
      </w:pPr>
    </w:p>
    <w:bookmarkStart w:id="106" w:name="page107"/>
    <w:bookmarkEnd w:id="106"/>
    <w:p>
      <w:pPr>
        <w:jc w:val="both"/>
        <w:ind w:left="860" w:right="100" w:hanging="338"/>
        <w:spacing w:after="0" w:line="307" w:lineRule="auto"/>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17"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changes in regulatory policies or tax guidelines, particularly with respect to RICs, BDCs or SBICs;</w:t>
      </w:r>
    </w:p>
    <w:p>
      <w:pPr>
        <w:spacing w:after="0" w:line="71" w:lineRule="exact"/>
        <w:rPr>
          <w:rFonts w:ascii="Arial" w:cs="Arial" w:eastAsia="Arial" w:hAnsi="Arial"/>
          <w:sz w:val="19"/>
          <w:szCs w:val="19"/>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failure to maintain our qualification as a RIC;</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loss of status as an SBIC for the SBIC Funds, or any other SBIC subsidiary we may form;</w:t>
      </w:r>
    </w:p>
    <w:p>
      <w:pPr>
        <w:spacing w:after="0" w:line="79"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that exceed our net investment income and net income as reported according to U.S. GAAP;</w:t>
      </w:r>
    </w:p>
    <w:p>
      <w:pPr>
        <w:spacing w:after="0" w:line="83" w:lineRule="exact"/>
        <w:rPr>
          <w:rFonts w:ascii="Arial" w:cs="Arial" w:eastAsia="Arial" w:hAnsi="Arial"/>
          <w:sz w:val="18"/>
          <w:szCs w:val="18"/>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or perceived changes in earnings or variations in operating results;</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or perceived changes in the value of our portfolio of investments;</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in accounting guidelines governing valuation of our investments;</w:t>
      </w:r>
    </w:p>
    <w:p>
      <w:pPr>
        <w:spacing w:after="0" w:line="79" w:lineRule="exact"/>
        <w:rPr>
          <w:rFonts w:ascii="Arial" w:cs="Arial" w:eastAsia="Arial" w:hAnsi="Arial"/>
          <w:sz w:val="20"/>
          <w:szCs w:val="20"/>
          <w:color w:val="auto"/>
        </w:rPr>
      </w:pPr>
    </w:p>
    <w:p>
      <w:pPr>
        <w:ind w:left="860" w:right="460" w:hanging="338"/>
        <w:spacing w:after="0" w:line="302" w:lineRule="auto"/>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shortfall in revenue or net income or any increase in losses from levels expected by investors or securities analysts;</w:t>
      </w:r>
    </w:p>
    <w:p>
      <w:pPr>
        <w:spacing w:after="0" w:line="11"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departure of our investment advisor’s key personnel;</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operating performance of companies comparable to us;</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general economic trends and other external factors; and</w:t>
      </w:r>
    </w:p>
    <w:p>
      <w:pPr>
        <w:spacing w:after="0" w:line="70" w:lineRule="exact"/>
        <w:rPr>
          <w:rFonts w:ascii="Arial" w:cs="Arial" w:eastAsia="Arial" w:hAnsi="Arial"/>
          <w:sz w:val="20"/>
          <w:szCs w:val="20"/>
          <w:color w:val="auto"/>
        </w:rPr>
      </w:pPr>
    </w:p>
    <w:p>
      <w:pPr>
        <w:ind w:left="860" w:hanging="338"/>
        <w:spacing w:after="0"/>
        <w:tabs>
          <w:tab w:leader="none" w:pos="8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loss of a major funding source.</w:t>
      </w:r>
    </w:p>
    <w:p>
      <w:pPr>
        <w:spacing w:after="0" w:line="380" w:lineRule="exact"/>
        <w:rPr>
          <w:sz w:val="20"/>
          <w:szCs w:val="20"/>
          <w:color w:val="auto"/>
        </w:rPr>
      </w:pPr>
    </w:p>
    <w:p>
      <w:pPr>
        <w:ind w:firstLine="400"/>
        <w:spacing w:after="0" w:line="302" w:lineRule="auto"/>
        <w:rPr>
          <w:sz w:val="20"/>
          <w:szCs w:val="20"/>
          <w:color w:val="auto"/>
        </w:rPr>
      </w:pPr>
      <w:r>
        <w:rPr>
          <w:rFonts w:ascii="Arial" w:cs="Arial" w:eastAsia="Arial" w:hAnsi="Arial"/>
          <w:sz w:val="20"/>
          <w:szCs w:val="20"/>
          <w:color w:val="auto"/>
        </w:rPr>
        <w:t>If any of the above and other factors currently unknown to us were to occur, it could have a material adverse effect on the market price of our common stock.</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39 / 58</w:t>
      </w:r>
    </w:p>
    <w:p>
      <w:pPr>
        <w:sectPr>
          <w:pgSz w:w="11900" w:h="16838" w:orient="portrait"/>
          <w:cols w:equalWidth="0" w:num="1">
            <w:col w:w="9320"/>
          </w:cols>
          <w:pgMar w:left="1260" w:top="1173" w:right="1326"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in our securities may involve an above average degree of risk.</w:t>
      </w:r>
    </w:p>
    <w:p>
      <w:pPr>
        <w:spacing w:after="0" w:line="260" w:lineRule="exact"/>
        <w:rPr>
          <w:sz w:val="20"/>
          <w:szCs w:val="20"/>
          <w:color w:val="auto"/>
        </w:rPr>
      </w:pPr>
    </w:p>
    <w:p>
      <w:pPr>
        <w:jc w:val="both"/>
        <w:ind w:right="60" w:firstLine="400"/>
        <w:spacing w:after="0" w:line="309" w:lineRule="auto"/>
        <w:rPr>
          <w:sz w:val="20"/>
          <w:szCs w:val="20"/>
          <w:color w:val="auto"/>
        </w:rPr>
      </w:pPr>
      <w:r>
        <w:rPr>
          <w:rFonts w:ascii="Arial" w:cs="Arial" w:eastAsia="Arial" w:hAnsi="Arial"/>
          <w:sz w:val="20"/>
          <w:szCs w:val="20"/>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196" w:lineRule="exact"/>
        <w:rPr>
          <w:sz w:val="20"/>
          <w:szCs w:val="20"/>
          <w:color w:val="auto"/>
        </w:rPr>
      </w:pPr>
    </w:p>
    <w:p>
      <w:pPr>
        <w:spacing w:after="0" w:line="302" w:lineRule="auto"/>
        <w:rPr>
          <w:sz w:val="20"/>
          <w:szCs w:val="20"/>
          <w:color w:val="auto"/>
        </w:rPr>
      </w:pPr>
      <w:r>
        <w:rPr>
          <w:rFonts w:ascii="Arial" w:cs="Arial" w:eastAsia="Arial" w:hAnsi="Arial"/>
          <w:sz w:val="20"/>
          <w:szCs w:val="20"/>
          <w:b w:val="1"/>
          <w:bCs w:val="1"/>
          <w:i w:val="1"/>
          <w:iCs w:val="1"/>
          <w:color w:val="auto"/>
        </w:rPr>
        <w:t>Sales of substantial amounts of our common stock may have an adverse effect on the market price of our common stock.</w:t>
      </w:r>
    </w:p>
    <w:p>
      <w:pPr>
        <w:spacing w:after="0" w:line="201" w:lineRule="exact"/>
        <w:rPr>
          <w:sz w:val="20"/>
          <w:szCs w:val="20"/>
          <w:color w:val="auto"/>
        </w:rPr>
      </w:pPr>
    </w:p>
    <w:p>
      <w:pPr>
        <w:jc w:val="both"/>
        <w:ind w:right="40" w:firstLine="400"/>
        <w:spacing w:after="0" w:line="309" w:lineRule="auto"/>
        <w:rPr>
          <w:sz w:val="20"/>
          <w:szCs w:val="20"/>
          <w:color w:val="auto"/>
        </w:rPr>
      </w:pPr>
      <w:r>
        <w:rPr>
          <w:rFonts w:ascii="Arial" w:cs="Arial" w:eastAsia="Arial" w:hAnsi="Arial"/>
          <w:sz w:val="20"/>
          <w:szCs w:val="20"/>
          <w:color w:val="auto"/>
        </w:rPr>
        <w:t>As of February 24, 2026, we had 37,954,364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196"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b w:val="1"/>
          <w:bCs w:val="1"/>
          <w:i w:val="1"/>
          <w:iCs w:val="1"/>
          <w:color w:val="auto"/>
        </w:rPr>
        <w:t>If we issue preferred stock and/or debt securities, the net asset value and market value of our common stock may become more volatile.</w:t>
      </w:r>
    </w:p>
    <w:p>
      <w:pPr>
        <w:spacing w:after="0" w:line="201" w:lineRule="exact"/>
        <w:rPr>
          <w:sz w:val="20"/>
          <w:szCs w:val="20"/>
          <w:color w:val="auto"/>
        </w:rPr>
      </w:pPr>
    </w:p>
    <w:p>
      <w:pPr>
        <w:jc w:val="both"/>
        <w:ind w:firstLine="400"/>
        <w:spacing w:after="0" w:line="349"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68" w:lineRule="exact"/>
        <w:rPr>
          <w:sz w:val="20"/>
          <w:szCs w:val="20"/>
          <w:color w:val="auto"/>
        </w:rPr>
      </w:pPr>
    </w:p>
    <w:p>
      <w:pPr>
        <w:jc w:val="both"/>
        <w:ind w:right="40" w:firstLine="400"/>
        <w:spacing w:after="0" w:line="349"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71"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b w:val="1"/>
          <w:bCs w:val="1"/>
          <w:i w:val="1"/>
          <w:iCs w:val="1"/>
          <w:color w:val="auto"/>
        </w:rPr>
        <w:t>Provisions of the Maryland General Corporation Law and our charter and bylaws could deter takeover attempts and have an adverse effect on the price of our common stock.</w:t>
      </w:r>
    </w:p>
    <w:p>
      <w:pPr>
        <w:spacing w:after="0" w:line="201" w:lineRule="exact"/>
        <w:rPr>
          <w:sz w:val="20"/>
          <w:szCs w:val="20"/>
          <w:color w:val="auto"/>
        </w:rPr>
      </w:pPr>
    </w:p>
    <w:p>
      <w:pPr>
        <w:jc w:val="both"/>
        <w:ind w:right="20" w:firstLine="400"/>
        <w:spacing w:after="0" w:line="355" w:lineRule="auto"/>
        <w:rPr>
          <w:sz w:val="20"/>
          <w:szCs w:val="20"/>
          <w:color w:val="auto"/>
        </w:rPr>
      </w:pPr>
      <w:r>
        <w:rPr>
          <w:rFonts w:ascii="Arial" w:cs="Arial" w:eastAsia="Arial" w:hAnsi="Arial"/>
          <w:sz w:val="18"/>
          <w:szCs w:val="18"/>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 / 58</w:t>
      </w:r>
    </w:p>
    <w:p>
      <w:pPr>
        <w:sectPr>
          <w:pgSz w:w="11900" w:h="16838" w:orient="portrait"/>
          <w:cols w:equalWidth="0" w:num="1">
            <w:col w:w="9380"/>
          </w:cols>
          <w:pgMar w:left="1260" w:top="1440" w:right="1266" w:bottom="0" w:gutter="0" w:footer="0" w:header="0"/>
          <w:type w:val="continuous"/>
        </w:sectPr>
      </w:pPr>
    </w:p>
    <w:bookmarkStart w:id="108" w:name="page109"/>
    <w:bookmarkEnd w:id="108"/>
    <w:p>
      <w:pPr>
        <w:jc w:val="both"/>
        <w:ind w:right="40"/>
        <w:spacing w:after="0" w:line="350" w:lineRule="auto"/>
        <w:rPr>
          <w:sz w:val="20"/>
          <w:szCs w:val="20"/>
          <w:color w:val="auto"/>
        </w:rPr>
      </w:pPr>
      <w:r>
        <w:rPr>
          <w:rFonts w:ascii="Arial" w:cs="Arial" w:eastAsia="Arial" w:hAnsi="Arial"/>
          <w:sz w:val="18"/>
          <w:szCs w:val="18"/>
          <w:color w:val="auto"/>
        </w:rPr>
        <w:t>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 or more of the voting power of our outstanding voting stock, or with their affiliates, for five years after the most recent date on which such stockholders became the beneficial owners of 10% or more of the voting power of our outstanding voting stock and thereafter unless our directors and stockholders approve the business combination in the prescribed manner. Maryland law may discourage third parties from trying to acquire control of us and increase the difficulty of consummating such an offer.</w:t>
      </w:r>
    </w:p>
    <w:p>
      <w:pPr>
        <w:spacing w:after="0" w:line="165" w:lineRule="exact"/>
        <w:rPr>
          <w:sz w:val="20"/>
          <w:szCs w:val="20"/>
          <w:color w:val="auto"/>
        </w:rPr>
      </w:pPr>
    </w:p>
    <w:p>
      <w:pPr>
        <w:jc w:val="both"/>
        <w:ind w:firstLine="400"/>
        <w:spacing w:after="0" w:line="311" w:lineRule="auto"/>
        <w:rPr>
          <w:sz w:val="20"/>
          <w:szCs w:val="20"/>
          <w:color w:val="auto"/>
        </w:rPr>
      </w:pPr>
      <w:r>
        <w:rPr>
          <w:rFonts w:ascii="Arial" w:cs="Arial" w:eastAsia="Arial" w:hAnsi="Arial"/>
          <w:sz w:val="20"/>
          <w:szCs w:val="20"/>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58</w:t>
      </w:r>
    </w:p>
    <w:p>
      <w:pPr>
        <w:sectPr>
          <w:pgSz w:w="11900" w:h="16838" w:orient="portrait"/>
          <w:cols w:equalWidth="0" w:num="1">
            <w:col w:w="9400"/>
          </w:cols>
          <w:pgMar w:left="1260" w:top="1173" w:right="1246"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97" w:lineRule="exact"/>
        <w:rPr>
          <w:sz w:val="20"/>
          <w:szCs w:val="20"/>
          <w:color w:val="auto"/>
        </w:rPr>
      </w:pPr>
    </w:p>
    <w:p>
      <w:pPr>
        <w:jc w:val="both"/>
        <w:ind w:right="20" w:firstLine="388"/>
        <w:spacing w:after="0" w:line="34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170" w:lineRule="exact"/>
        <w:rPr>
          <w:sz w:val="20"/>
          <w:szCs w:val="20"/>
          <w:color w:val="auto"/>
        </w:rPr>
      </w:pPr>
    </w:p>
    <w:p>
      <w:pPr>
        <w:jc w:val="both"/>
        <w:ind w:firstLine="392"/>
        <w:spacing w:after="0" w:line="329" w:lineRule="auto"/>
        <w:rPr>
          <w:sz w:val="20"/>
          <w:szCs w:val="20"/>
          <w:color w:val="auto"/>
        </w:rPr>
      </w:pPr>
      <w:r>
        <w:rPr>
          <w:rFonts w:ascii="Arial" w:cs="Arial" w:eastAsia="Arial" w:hAnsi="Arial"/>
          <w:sz w:val="19"/>
          <w:szCs w:val="19"/>
          <w:color w:val="auto"/>
        </w:rPr>
        <w:t>The Company’s cybersecurity program is designed to identify, assess, and manage material risks from cybersecurity threats. The Company relies on the Investment Advisor to implement the cybersecurity program. The cyber risk management program involves risk assessments relating to the information systems of the Investment Advisor, incident response training and testing, implementation of security measures, and ongoing monitoring of systems and networks and assessment of the associated risks on an annual basis, including networks on which the Company relies on. The Investment Advisor actively monitors the current threat landscape in an effort to identify material risks arising from new and evolving cybersecurity threats. The Investment Advisor has engaged external experts, including consultants, to evaluate cybersecurity measures and risk management processes. The Company depends on and engages various third parties, including suppliers, vendors, and service providers. The compliance team of the Company and the Investment Advisor will conduct onboarding and ongoing due diligence of each third-party engaged by them, including identify and oversee risks from cybersecurity threats associated with their use of such entities.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Oversight of Cybersecurity Risks</w:t>
      </w:r>
    </w:p>
    <w:p>
      <w:pPr>
        <w:spacing w:after="0" w:line="170" w:lineRule="exact"/>
        <w:rPr>
          <w:sz w:val="20"/>
          <w:szCs w:val="20"/>
          <w:color w:val="auto"/>
        </w:rPr>
      </w:pPr>
    </w:p>
    <w:p>
      <w:pPr>
        <w:jc w:val="both"/>
        <w:ind w:right="60" w:firstLine="392"/>
        <w:spacing w:after="0" w:line="330" w:lineRule="auto"/>
        <w:rPr>
          <w:sz w:val="20"/>
          <w:szCs w:val="20"/>
          <w:color w:val="auto"/>
        </w:rPr>
      </w:pPr>
      <w:r>
        <w:rPr>
          <w:rFonts w:ascii="Arial" w:cs="Arial" w:eastAsia="Arial" w:hAnsi="Arial"/>
          <w:sz w:val="19"/>
          <w:szCs w:val="19"/>
          <w:color w:val="auto"/>
        </w:rPr>
        <w:t>The Board has the primary responsibility for overseeing and reviewing the guidelines and policies with respect to the Company’s risk management, including risks associated with cybersecurity threats. Certain members of the Company’s management will periodically report to the Board, on at least a quarterly basis, on cybersecurity matters, such as the overall state of the Company’s cybersecurity program, information on the current threat landscape, and risks from cybersecurity threats and material cybersecurity incidents.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Role in Cybersecurity Risk Management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58</w:t>
      </w:r>
    </w:p>
    <w:p>
      <w:pPr>
        <w:sectPr>
          <w:pgSz w:w="11900" w:h="16838" w:orient="portrait"/>
          <w:cols w:equalWidth="0" w:num="1">
            <w:col w:w="9400"/>
          </w:cols>
          <w:pgMar w:left="1260" w:top="1440" w:right="1246" w:bottom="0" w:gutter="0" w:footer="0" w:header="0"/>
          <w:type w:val="continuous"/>
        </w:sectPr>
      </w:pPr>
    </w:p>
    <w:bookmarkStart w:id="110" w:name="page111"/>
    <w:bookmarkEnd w:id="110"/>
    <w:p>
      <w:pPr>
        <w:jc w:val="both"/>
        <w:ind w:right="20" w:firstLine="392"/>
        <w:spacing w:after="0" w:line="310" w:lineRule="auto"/>
        <w:rPr>
          <w:sz w:val="20"/>
          <w:szCs w:val="20"/>
          <w:color w:val="auto"/>
        </w:rPr>
      </w:pPr>
      <w:r>
        <w:rPr>
          <w:rFonts w:ascii="Arial" w:cs="Arial" w:eastAsia="Arial" w:hAnsi="Arial"/>
          <w:sz w:val="20"/>
          <w:szCs w:val="20"/>
          <w:color w:val="auto"/>
        </w:rPr>
        <w:t>The Company’s management is responsible for assessing and managing material risks from cybersecurity threats, in consultations with cybersecurity consultants engaged by the Investment Advisor. The Company’s management is informed about and monitors the prevention, detection, mitigation, and remediation of cybersecurity incidents, including through the receipt of notifications from service providers and reliance on communications with risk management, legal, and/or information technology.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Assessment of Cybersecurity Risk</w:t>
      </w:r>
    </w:p>
    <w:p>
      <w:pPr>
        <w:spacing w:after="0" w:line="170" w:lineRule="exact"/>
        <w:rPr>
          <w:sz w:val="20"/>
          <w:szCs w:val="20"/>
          <w:color w:val="auto"/>
        </w:rPr>
      </w:pPr>
    </w:p>
    <w:p>
      <w:pPr>
        <w:jc w:val="both"/>
        <w:ind w:right="20" w:firstLine="392"/>
        <w:spacing w:after="0" w:line="311" w:lineRule="auto"/>
        <w:rPr>
          <w:sz w:val="20"/>
          <w:szCs w:val="20"/>
          <w:color w:val="auto"/>
        </w:rPr>
      </w:pPr>
      <w:r>
        <w:rPr>
          <w:rFonts w:ascii="Arial" w:cs="Arial" w:eastAsia="Arial" w:hAnsi="Arial"/>
          <w:sz w:val="20"/>
          <w:szCs w:val="20"/>
          <w:color w:val="auto"/>
        </w:rPr>
        <w:t>The potential impact of risks from cybersecurity threats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has materially affected, or are reasonably likely to materially affect, the Company, including the Company’s business strategy, operational results,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70" w:lineRule="exact"/>
        <w:rPr>
          <w:sz w:val="20"/>
          <w:szCs w:val="20"/>
          <w:color w:val="auto"/>
        </w:rPr>
      </w:pPr>
    </w:p>
    <w:p>
      <w:pPr>
        <w:jc w:val="both"/>
        <w:ind w:firstLine="392"/>
        <w:spacing w:after="0" w:line="296" w:lineRule="auto"/>
        <w:rPr>
          <w:sz w:val="20"/>
          <w:szCs w:val="20"/>
          <w:color w:val="auto"/>
        </w:rPr>
      </w:pPr>
      <w:r>
        <w:rPr>
          <w:rFonts w:ascii="Arial" w:cs="Arial" w:eastAsia="Arial" w:hAnsi="Arial"/>
          <w:sz w:val="20"/>
          <w:szCs w:val="20"/>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4201 Congress Street, Suite 250, Charlotte, North Carolina 28209, and 1140 Avenue of the Americas,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Floor, New York, New York 10036. We believe that our office facilities are suitable and adequate to our business as we contemplate conducting it.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 / 58</w:t>
      </w:r>
    </w:p>
    <w:p>
      <w:pPr>
        <w:sectPr>
          <w:pgSz w:w="11900" w:h="16838" w:orient="portrait"/>
          <w:cols w:equalWidth="0" w:num="1">
            <w:col w:w="9360"/>
          </w:cols>
          <w:pgMar w:left="1260" w:top="1173" w:right="1286"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Not applicable.</w:t>
      </w:r>
    </w:p>
    <w:p>
      <w:pPr>
        <w:spacing w:after="0" w:line="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44 / 58</w:t>
      </w:r>
    </w:p>
    <w:p>
      <w:pPr>
        <w:sectPr>
          <w:pgSz w:w="11900" w:h="16838" w:orient="portrait"/>
          <w:cols w:equalWidth="0" w:num="1">
            <w:col w:w="9206"/>
          </w:cols>
          <w:pgMar w:left="1260" w:top="1440" w:right="1440" w:bottom="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PART II</w:t>
      </w:r>
    </w:p>
    <w:p>
      <w:pPr>
        <w:spacing w:after="0" w:line="260" w:lineRule="exact"/>
        <w:rPr>
          <w:sz w:val="20"/>
          <w:szCs w:val="20"/>
          <w:color w:val="auto"/>
        </w:rPr>
      </w:pPr>
    </w:p>
    <w:p>
      <w:pPr>
        <w:ind w:left="6" w:right="100"/>
        <w:spacing w:after="0" w:line="302"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11" w:lineRule="exact"/>
        <w:rPr>
          <w:sz w:val="20"/>
          <w:szCs w:val="20"/>
          <w:color w:val="auto"/>
        </w:rPr>
      </w:pPr>
    </w:p>
    <w:p>
      <w:pPr>
        <w:jc w:val="both"/>
        <w:ind w:left="6" w:right="40" w:firstLine="392"/>
        <w:spacing w:after="0" w:line="309" w:lineRule="auto"/>
        <w:rPr>
          <w:sz w:val="20"/>
          <w:szCs w:val="20"/>
          <w:color w:val="auto"/>
        </w:rPr>
      </w:pPr>
      <w:r>
        <w:rPr>
          <w:rFonts w:ascii="Arial" w:cs="Arial" w:eastAsia="Arial" w:hAnsi="Arial"/>
          <w:sz w:val="20"/>
          <w:szCs w:val="20"/>
          <w:color w:val="auto"/>
        </w:rPr>
        <w:t>Our common stock began trading on June 21, 2011 on the NASDAQ Global Market under the symbol “FDUS.” Effective January 3, 2012, our common stock was included in the Nasdaq Global Select Market. The last reported price for our common stock on February 24, 2026 was $18.30 per share. As of February 24, 2026, we had 16 stockholders of record.</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Price Range of Common Stock</w:t>
      </w:r>
    </w:p>
    <w:p>
      <w:pPr>
        <w:spacing w:after="0" w:line="170" w:lineRule="exact"/>
        <w:rPr>
          <w:sz w:val="20"/>
          <w:szCs w:val="20"/>
          <w:color w:val="auto"/>
        </w:rPr>
      </w:pPr>
    </w:p>
    <w:p>
      <w:pPr>
        <w:jc w:val="both"/>
        <w:ind w:left="6" w:right="60" w:firstLine="392"/>
        <w:spacing w:after="0" w:line="355" w:lineRule="auto"/>
        <w:rPr>
          <w:sz w:val="20"/>
          <w:szCs w:val="20"/>
          <w:color w:val="auto"/>
        </w:rPr>
      </w:pPr>
      <w:r>
        <w:rPr>
          <w:rFonts w:ascii="Arial" w:cs="Arial" w:eastAsia="Arial" w:hAnsi="Arial"/>
          <w:sz w:val="18"/>
          <w:szCs w:val="18"/>
          <w:color w:val="auto"/>
        </w:rPr>
        <w:t>The following table lists the high and low closing sale price for our common stock, and the closing sale price as a percentage of net asset value, or NAV, on our common stock for each fiscal quarter during the last two most recently completed fiscal years and each full fiscal quarter since the beginning of the current fiscal year.</w:t>
      </w:r>
    </w:p>
    <w:p>
      <w:pPr>
        <w:spacing w:after="0" w:line="200" w:lineRule="exact"/>
        <w:rPr>
          <w:sz w:val="20"/>
          <w:szCs w:val="20"/>
          <w:color w:val="auto"/>
        </w:rPr>
      </w:pPr>
    </w:p>
    <w:p>
      <w:pPr>
        <w:spacing w:after="0" w:line="29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Premium /</w:t>
            </w:r>
          </w:p>
        </w:tc>
        <w:tc>
          <w:tcPr>
            <w:tcW w:w="280" w:type="dxa"/>
            <w:vAlign w:val="bottom"/>
          </w:tcPr>
          <w:p>
            <w:pPr>
              <w:spacing w:after="0"/>
              <w:rPr>
                <w:sz w:val="18"/>
                <w:szCs w:val="18"/>
                <w:color w:val="auto"/>
              </w:rPr>
            </w:pPr>
          </w:p>
        </w:tc>
      </w:tr>
      <w:tr>
        <w:trPr>
          <w:trHeight w:val="270"/>
        </w:trPr>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Premium /</w:t>
            </w:r>
          </w:p>
        </w:tc>
        <w:tc>
          <w:tcPr>
            <w:tcW w:w="2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(Discount) of</w:t>
            </w:r>
          </w:p>
        </w:tc>
        <w:tc>
          <w:tcPr>
            <w:tcW w:w="280" w:type="dxa"/>
            <w:vAlign w:val="bottom"/>
          </w:tcPr>
          <w:p>
            <w:pPr>
              <w:spacing w:after="0"/>
              <w:rPr>
                <w:sz w:val="23"/>
                <w:szCs w:val="23"/>
                <w:color w:val="auto"/>
              </w:rPr>
            </w:pPr>
          </w:p>
        </w:tc>
      </w:tr>
      <w:tr>
        <w:trPr>
          <w:trHeight w:val="270"/>
        </w:trPr>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High</w:t>
            </w:r>
          </w:p>
        </w:tc>
        <w:tc>
          <w:tcPr>
            <w:tcW w:w="300" w:type="dxa"/>
            <w:vAlign w:val="bottom"/>
          </w:tcPr>
          <w:p>
            <w:pPr>
              <w:spacing w:after="0"/>
              <w:rPr>
                <w:sz w:val="23"/>
                <w:szCs w:val="23"/>
                <w:color w:val="auto"/>
              </w:rPr>
            </w:pPr>
          </w:p>
        </w:tc>
        <w:tc>
          <w:tcPr>
            <w:tcW w:w="96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Low</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(Discount) of</w:t>
            </w:r>
          </w:p>
        </w:tc>
        <w:tc>
          <w:tcPr>
            <w:tcW w:w="2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Low Sales</w:t>
            </w:r>
          </w:p>
        </w:tc>
        <w:tc>
          <w:tcPr>
            <w:tcW w:w="280" w:type="dxa"/>
            <w:vAlign w:val="bottom"/>
          </w:tcPr>
          <w:p>
            <w:pPr>
              <w:spacing w:after="0"/>
              <w:rPr>
                <w:sz w:val="23"/>
                <w:szCs w:val="23"/>
                <w:color w:val="auto"/>
              </w:rPr>
            </w:pPr>
          </w:p>
        </w:tc>
      </w:tr>
      <w:tr>
        <w:trPr>
          <w:trHeight w:val="270"/>
        </w:trPr>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Closing</w:t>
            </w:r>
          </w:p>
        </w:tc>
        <w:tc>
          <w:tcPr>
            <w:tcW w:w="300" w:type="dxa"/>
            <w:vAlign w:val="bottom"/>
          </w:tcPr>
          <w:p>
            <w:pPr>
              <w:spacing w:after="0"/>
              <w:rPr>
                <w:sz w:val="23"/>
                <w:szCs w:val="23"/>
                <w:color w:val="auto"/>
              </w:rPr>
            </w:pPr>
          </w:p>
        </w:tc>
        <w:tc>
          <w:tcPr>
            <w:tcW w:w="9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Closing</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High Sales</w:t>
            </w:r>
          </w:p>
        </w:tc>
        <w:tc>
          <w:tcPr>
            <w:tcW w:w="2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Price to</w:t>
            </w:r>
          </w:p>
        </w:tc>
        <w:tc>
          <w:tcPr>
            <w:tcW w:w="280" w:type="dxa"/>
            <w:vAlign w:val="bottom"/>
          </w:tcPr>
          <w:p>
            <w:pPr>
              <w:spacing w:after="0"/>
              <w:rPr>
                <w:sz w:val="23"/>
                <w:szCs w:val="23"/>
                <w:color w:val="auto"/>
              </w:rPr>
            </w:pPr>
          </w:p>
        </w:tc>
      </w:tr>
      <w:tr>
        <w:trPr>
          <w:trHeight w:val="343"/>
        </w:trPr>
        <w:tc>
          <w:tcPr>
            <w:tcW w:w="24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40" w:type="dxa"/>
            <w:vAlign w:val="bottom"/>
          </w:tcPr>
          <w:p>
            <w:pPr>
              <w:spacing w:after="0"/>
              <w:rPr>
                <w:sz w:val="24"/>
                <w:szCs w:val="24"/>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NAV</w:t>
            </w:r>
            <w:r>
              <w:rPr>
                <w:rFonts w:ascii="Arial" w:cs="Arial" w:eastAsia="Arial" w:hAnsi="Arial"/>
                <w:sz w:val="24"/>
                <w:szCs w:val="24"/>
                <w:b w:val="1"/>
                <w:bCs w:val="1"/>
                <w:color w:val="auto"/>
                <w:w w:val="97"/>
                <w:vertAlign w:val="superscript"/>
              </w:rPr>
              <w:t>(1)</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Sales Price</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Sales Price</w:t>
            </w:r>
          </w:p>
        </w:tc>
        <w:tc>
          <w:tcPr>
            <w:tcW w:w="14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Price to NAV</w:t>
            </w:r>
            <w:r>
              <w:rPr>
                <w:rFonts w:ascii="Arial" w:cs="Arial" w:eastAsia="Arial" w:hAnsi="Arial"/>
                <w:sz w:val="24"/>
                <w:szCs w:val="24"/>
                <w:b w:val="1"/>
                <w:bCs w:val="1"/>
                <w:color w:val="auto"/>
                <w:w w:val="91"/>
                <w:vertAlign w:val="superscript"/>
              </w:rPr>
              <w:t>(2)</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NAV</w:t>
            </w:r>
            <w:r>
              <w:rPr>
                <w:rFonts w:ascii="Arial" w:cs="Arial" w:eastAsia="Arial" w:hAnsi="Arial"/>
                <w:sz w:val="24"/>
                <w:szCs w:val="24"/>
                <w:b w:val="1"/>
                <w:bCs w:val="1"/>
                <w:color w:val="auto"/>
                <w:w w:val="93"/>
                <w:vertAlign w:val="superscript"/>
              </w:rPr>
              <w:t>(2)</w:t>
            </w:r>
          </w:p>
        </w:tc>
        <w:tc>
          <w:tcPr>
            <w:tcW w:w="280" w:type="dxa"/>
            <w:vAlign w:val="bottom"/>
          </w:tcPr>
          <w:p>
            <w:pPr>
              <w:spacing w:after="0"/>
              <w:rPr>
                <w:sz w:val="24"/>
                <w:szCs w:val="24"/>
                <w:color w:val="auto"/>
              </w:rPr>
            </w:pPr>
          </w:p>
        </w:tc>
      </w:tr>
      <w:tr>
        <w:trPr>
          <w:trHeight w:val="25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86"/>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8"/>
                <w:szCs w:val="18"/>
                <w:color w:val="auto"/>
                <w:w w:val="98"/>
              </w:rPr>
              <w:t>First Quarter (through February</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24, 2026)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18.21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84"/>
        </w:trPr>
        <w:tc>
          <w:tcPr>
            <w:tcW w:w="2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4"/>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r>
      <w:tr>
        <w:trPr>
          <w:trHeight w:val="278"/>
        </w:trPr>
        <w:tc>
          <w:tcPr>
            <w:tcW w:w="2480" w:type="dxa"/>
            <w:vAlign w:val="bottom"/>
          </w:tcPr>
          <w:p>
            <w:pPr>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19.57</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20.65</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17.32</w:t>
            </w: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4"/>
                <w:szCs w:val="24"/>
                <w:color w:val="auto"/>
              </w:rPr>
            </w:pP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4"/>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19.56</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78"/>
        </w:trPr>
        <w:tc>
          <w:tcPr>
            <w:tcW w:w="2480" w:type="dxa"/>
            <w:vAlign w:val="bottom"/>
          </w:tcPr>
          <w:p>
            <w:pPr>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19.55</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21.07</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18.75</w:t>
            </w: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84"/>
        </w:trPr>
        <w:tc>
          <w:tcPr>
            <w:tcW w:w="2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r>
      <w:tr>
        <w:trPr>
          <w:trHeight w:val="294"/>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r>
      <w:tr>
        <w:trPr>
          <w:trHeight w:val="278"/>
        </w:trPr>
        <w:tc>
          <w:tcPr>
            <w:tcW w:w="2480" w:type="dxa"/>
            <w:vAlign w:val="bottom"/>
          </w:tcPr>
          <w:p>
            <w:pPr>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19.50</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20.47</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19.26</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r>
      <w:tr>
        <w:trPr>
          <w:trHeight w:val="36"/>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4"/>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19.42</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20.34</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78"/>
        </w:trPr>
        <w:tc>
          <w:tcPr>
            <w:tcW w:w="2480" w:type="dxa"/>
            <w:vAlign w:val="bottom"/>
          </w:tcPr>
          <w:p>
            <w:pPr>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19.33</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21.49</w:t>
            </w:r>
          </w:p>
        </w:tc>
        <w:tc>
          <w:tcPr>
            <w:tcW w:w="3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19.10</w:t>
            </w: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-3371215</wp:posOffset>
            </wp:positionV>
            <wp:extent cx="5748655"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48655" cy="28575"/>
                    </a:xfrm>
                    <a:prstGeom prst="rect">
                      <a:avLst/>
                    </a:prstGeom>
                    <a:noFill/>
                  </pic:spPr>
                </pic:pic>
              </a:graphicData>
            </a:graphic>
          </wp:anchor>
        </w:drawing>
      </w:r>
    </w:p>
    <w:p>
      <w:pPr>
        <w:spacing w:after="0" w:line="356" w:lineRule="exact"/>
        <w:rPr>
          <w:sz w:val="20"/>
          <w:szCs w:val="20"/>
          <w:color w:val="auto"/>
        </w:rPr>
      </w:pPr>
    </w:p>
    <w:p>
      <w:pPr>
        <w:ind w:left="426" w:right="160" w:hanging="426"/>
        <w:spacing w:after="0" w:line="307" w:lineRule="auto"/>
        <w:tabs>
          <w:tab w:leader="none" w:pos="4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17" w:lineRule="exact"/>
        <w:rPr>
          <w:rFonts w:ascii="Arial" w:cs="Arial" w:eastAsia="Arial" w:hAnsi="Arial"/>
          <w:sz w:val="20"/>
          <w:szCs w:val="20"/>
          <w:color w:val="auto"/>
        </w:rPr>
      </w:pPr>
    </w:p>
    <w:p>
      <w:pPr>
        <w:ind w:left="426" w:right="80" w:hanging="426"/>
        <w:spacing w:after="0" w:line="302" w:lineRule="auto"/>
        <w:tabs>
          <w:tab w:leader="none" w:pos="4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Calculated as the difference between the respective high or low closing sales price and the quarter end net asset value divided by the quarter end net asset value.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45 / 58</w:t>
      </w:r>
    </w:p>
    <w:p>
      <w:pPr>
        <w:sectPr>
          <w:pgSz w:w="11900" w:h="16838" w:orient="portrait"/>
          <w:cols w:equalWidth="0" w:num="1">
            <w:col w:w="9406"/>
          </w:cols>
          <w:pgMar w:left="1254" w:top="1440" w:right="1246" w:bottom="0" w:gutter="0" w:footer="0" w:header="0"/>
          <w:type w:val="continuous"/>
        </w:sectPr>
      </w:pPr>
    </w:p>
    <w:bookmarkStart w:id="113" w:name="page114"/>
    <w:bookmarkEnd w:id="113"/>
    <w:p>
      <w:pPr>
        <w:ind w:left="6"/>
        <w:spacing w:after="0"/>
        <w:rPr>
          <w:sz w:val="20"/>
          <w:szCs w:val="20"/>
          <w:color w:val="auto"/>
        </w:rPr>
      </w:pPr>
      <w:r>
        <w:rPr>
          <w:rFonts w:ascii="Arial" w:cs="Arial" w:eastAsia="Arial" w:hAnsi="Arial"/>
          <w:sz w:val="20"/>
          <w:szCs w:val="20"/>
          <w:color w:val="auto"/>
        </w:rPr>
        <w:t>* NAV has not yet been determined.</w:t>
      </w:r>
    </w:p>
    <w:p>
      <w:pPr>
        <w:spacing w:after="0" w:line="260" w:lineRule="exact"/>
        <w:rPr>
          <w:sz w:val="20"/>
          <w:szCs w:val="20"/>
          <w:color w:val="auto"/>
        </w:rPr>
      </w:pPr>
    </w:p>
    <w:p>
      <w:pPr>
        <w:jc w:val="both"/>
        <w:ind w:left="6" w:firstLine="401"/>
        <w:spacing w:after="0" w:line="373" w:lineRule="auto"/>
        <w:rPr>
          <w:sz w:val="20"/>
          <w:szCs w:val="20"/>
          <w:color w:val="auto"/>
        </w:rPr>
      </w:pPr>
      <w:r>
        <w:rPr>
          <w:rFonts w:ascii="Arial" w:cs="Arial" w:eastAsia="Arial" w:hAnsi="Arial"/>
          <w:sz w:val="17"/>
          <w:szCs w:val="17"/>
          <w:color w:val="auto"/>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 As of February 24, 2026, our shares of common stock traded at a discount equal to approximately 6.4% of the net assets attributable to those shares based upon our $19.55 net asset value per share as of December 31, 2025. It is not possible to predict whether the shares offered hereby will trade at, above, or below net asset value.</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Stock Performance Graph</w:t>
      </w:r>
    </w:p>
    <w:p>
      <w:pPr>
        <w:spacing w:after="0" w:line="260" w:lineRule="exact"/>
        <w:rPr>
          <w:sz w:val="20"/>
          <w:szCs w:val="20"/>
          <w:color w:val="auto"/>
        </w:rPr>
      </w:pPr>
    </w:p>
    <w:p>
      <w:pPr>
        <w:jc w:val="both"/>
        <w:ind w:left="6" w:right="20" w:firstLine="401"/>
        <w:spacing w:after="0" w:line="347" w:lineRule="auto"/>
        <w:rPr>
          <w:sz w:val="20"/>
          <w:szCs w:val="20"/>
          <w:color w:val="auto"/>
        </w:rPr>
      </w:pPr>
      <w:r>
        <w:rPr>
          <w:rFonts w:ascii="Arial" w:cs="Arial" w:eastAsia="Arial" w:hAnsi="Arial"/>
          <w:sz w:val="18"/>
          <w:szCs w:val="18"/>
          <w:color w:val="auto"/>
        </w:rPr>
        <w:t>This graph compares the stockholder return on our common stock from December 31, 2020 to December 31, 2025 with that of the Russell 2000 Financial Services Index and the Standard &amp; Poor’s 500 Total Return Stock Index. This graph assumes that on December 31, 2020, $100 was invested in our common stock, the Russell 2000 Financial Services Index, and the Standard &amp; Poor’s 500 Total Return Stock Index. The graph also assumes the reinvestment of all cash dividends prior to any tax effect. The graph and other information furnished under this Part</w:t>
      </w:r>
    </w:p>
    <w:p>
      <w:pPr>
        <w:spacing w:after="0" w:line="4" w:lineRule="exact"/>
        <w:rPr>
          <w:sz w:val="20"/>
          <w:szCs w:val="20"/>
          <w:color w:val="auto"/>
        </w:rPr>
      </w:pPr>
    </w:p>
    <w:p>
      <w:pPr>
        <w:jc w:val="both"/>
        <w:ind w:left="6" w:right="40" w:hanging="6"/>
        <w:spacing w:after="0" w:line="330" w:lineRule="auto"/>
        <w:tabs>
          <w:tab w:leader="none" w:pos="211" w:val="left"/>
        </w:tabs>
        <w:numPr>
          <w:ilvl w:val="0"/>
          <w:numId w:val="45"/>
        </w:numPr>
        <w:rPr>
          <w:rFonts w:ascii="Arial" w:cs="Arial" w:eastAsia="Arial" w:hAnsi="Arial"/>
          <w:sz w:val="19"/>
          <w:szCs w:val="19"/>
          <w:color w:val="auto"/>
        </w:rPr>
      </w:pPr>
      <w:r>
        <w:rPr>
          <w:rFonts w:ascii="Arial" w:cs="Arial" w:eastAsia="Arial" w:hAnsi="Arial"/>
          <w:sz w:val="19"/>
          <w:szCs w:val="19"/>
          <w:color w:val="auto"/>
        </w:rPr>
        <w:t>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69"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6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46 / 58</w:t>
      </w:r>
    </w:p>
    <w:p>
      <w:pPr>
        <w:sectPr>
          <w:pgSz w:w="11900" w:h="16838" w:orient="portrait"/>
          <w:cols w:equalWidth="0" w:num="1">
            <w:col w:w="9366"/>
          </w:cols>
          <w:pgMar w:left="1254" w:top="1163" w:right="1286" w:bottom="0" w:gutter="0" w:footer="0" w:header="0"/>
          <w:type w:val="continuous"/>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1094740</wp:posOffset>
            </wp:positionH>
            <wp:positionV relativeFrom="page">
              <wp:posOffset>1367790</wp:posOffset>
            </wp:positionV>
            <wp:extent cx="5967730" cy="3810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967730" cy="381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Outstanding Securities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shows our outstanding classes of securities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20" w:type="dxa"/>
            <w:vAlign w:val="bottom"/>
          </w:tcPr>
          <w:p>
            <w:pPr>
              <w:jc w:val="center"/>
              <w:ind w:right="60"/>
              <w:spacing w:after="0"/>
              <w:rPr>
                <w:sz w:val="20"/>
                <w:szCs w:val="20"/>
                <w:color w:val="auto"/>
              </w:rPr>
            </w:pPr>
            <w:r>
              <w:rPr>
                <w:rFonts w:ascii="Arial" w:cs="Arial" w:eastAsia="Arial" w:hAnsi="Arial"/>
                <w:sz w:val="20"/>
                <w:szCs w:val="20"/>
                <w:b w:val="1"/>
                <w:bCs w:val="1"/>
                <w:color w:val="auto"/>
                <w:w w:val="90"/>
              </w:rPr>
              <w:t>(c) Amount</w:t>
            </w:r>
          </w:p>
        </w:tc>
        <w:tc>
          <w:tcPr>
            <w:tcW w:w="280" w:type="dxa"/>
            <w:vAlign w:val="bottom"/>
          </w:tcPr>
          <w:p>
            <w:pPr>
              <w:spacing w:after="0"/>
              <w:rPr>
                <w:sz w:val="19"/>
                <w:szCs w:val="19"/>
                <w:color w:val="auto"/>
              </w:rPr>
            </w:pPr>
          </w:p>
        </w:tc>
        <w:tc>
          <w:tcPr>
            <w:tcW w:w="2120" w:type="dxa"/>
            <w:vAlign w:val="bottom"/>
          </w:tcPr>
          <w:p>
            <w:pPr>
              <w:jc w:val="center"/>
              <w:ind w:right="80"/>
              <w:spacing w:after="0"/>
              <w:rPr>
                <w:sz w:val="20"/>
                <w:szCs w:val="20"/>
                <w:color w:val="auto"/>
              </w:rPr>
            </w:pPr>
            <w:r>
              <w:rPr>
                <w:rFonts w:ascii="Arial" w:cs="Arial" w:eastAsia="Arial" w:hAnsi="Arial"/>
                <w:sz w:val="20"/>
                <w:szCs w:val="20"/>
                <w:b w:val="1"/>
                <w:bCs w:val="1"/>
                <w:color w:val="auto"/>
                <w:w w:val="93"/>
              </w:rPr>
              <w:t>d) Amount</w:t>
            </w:r>
          </w:p>
        </w:tc>
      </w:tr>
      <w:tr>
        <w:trPr>
          <w:trHeight w:val="300"/>
        </w:trPr>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Pr>
          <w:p>
            <w:pPr>
              <w:jc w:val="center"/>
              <w:ind w:right="60"/>
              <w:spacing w:after="0"/>
              <w:rPr>
                <w:sz w:val="20"/>
                <w:szCs w:val="20"/>
                <w:color w:val="auto"/>
              </w:rPr>
            </w:pPr>
            <w:r>
              <w:rPr>
                <w:rFonts w:ascii="Arial" w:cs="Arial" w:eastAsia="Arial" w:hAnsi="Arial"/>
                <w:sz w:val="20"/>
                <w:szCs w:val="20"/>
                <w:b w:val="1"/>
                <w:bCs w:val="1"/>
                <w:color w:val="auto"/>
                <w:w w:val="90"/>
              </w:rPr>
              <w:t>Held by us</w:t>
            </w:r>
          </w:p>
        </w:tc>
        <w:tc>
          <w:tcPr>
            <w:tcW w:w="280" w:type="dxa"/>
            <w:vAlign w:val="bottom"/>
          </w:tcPr>
          <w:p>
            <w:pPr>
              <w:spacing w:after="0"/>
              <w:rPr>
                <w:sz w:val="24"/>
                <w:szCs w:val="24"/>
                <w:color w:val="auto"/>
              </w:rPr>
            </w:pPr>
          </w:p>
        </w:tc>
        <w:tc>
          <w:tcPr>
            <w:tcW w:w="2120" w:type="dxa"/>
            <w:vAlign w:val="bottom"/>
          </w:tcPr>
          <w:p>
            <w:pPr>
              <w:jc w:val="center"/>
              <w:ind w:right="80"/>
              <w:spacing w:after="0"/>
              <w:rPr>
                <w:sz w:val="20"/>
                <w:szCs w:val="20"/>
                <w:color w:val="auto"/>
              </w:rPr>
            </w:pPr>
            <w:r>
              <w:rPr>
                <w:rFonts w:ascii="Arial" w:cs="Arial" w:eastAsia="Arial" w:hAnsi="Arial"/>
                <w:sz w:val="20"/>
                <w:szCs w:val="20"/>
                <w:b w:val="1"/>
                <w:bCs w:val="1"/>
                <w:color w:val="auto"/>
                <w:w w:val="89"/>
              </w:rPr>
              <w:t>Outstanding Exclusive</w:t>
            </w:r>
          </w:p>
        </w:tc>
      </w:tr>
      <w:tr>
        <w:trPr>
          <w:trHeight w:val="300"/>
        </w:trPr>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jc w:val="right"/>
              <w:ind w:right="620"/>
              <w:spacing w:after="0"/>
              <w:rPr>
                <w:sz w:val="20"/>
                <w:szCs w:val="20"/>
                <w:color w:val="auto"/>
              </w:rPr>
            </w:pPr>
            <w:r>
              <w:rPr>
                <w:rFonts w:ascii="Arial" w:cs="Arial" w:eastAsia="Arial" w:hAnsi="Arial"/>
                <w:sz w:val="20"/>
                <w:szCs w:val="20"/>
                <w:b w:val="1"/>
                <w:bCs w:val="1"/>
                <w:color w:val="auto"/>
              </w:rPr>
              <w:t>(b) Amount</w:t>
            </w:r>
          </w:p>
        </w:tc>
        <w:tc>
          <w:tcPr>
            <w:tcW w:w="1320" w:type="dxa"/>
            <w:vAlign w:val="bottom"/>
          </w:tcPr>
          <w:p>
            <w:pPr>
              <w:jc w:val="center"/>
              <w:ind w:right="80"/>
              <w:spacing w:after="0"/>
              <w:rPr>
                <w:sz w:val="20"/>
                <w:szCs w:val="20"/>
                <w:color w:val="auto"/>
              </w:rPr>
            </w:pPr>
            <w:r>
              <w:rPr>
                <w:rFonts w:ascii="Arial" w:cs="Arial" w:eastAsia="Arial" w:hAnsi="Arial"/>
                <w:sz w:val="20"/>
                <w:szCs w:val="20"/>
                <w:b w:val="1"/>
                <w:bCs w:val="1"/>
                <w:color w:val="auto"/>
                <w:w w:val="96"/>
              </w:rPr>
              <w:t>or for Our</w:t>
            </w:r>
          </w:p>
        </w:tc>
        <w:tc>
          <w:tcPr>
            <w:tcW w:w="280" w:type="dxa"/>
            <w:vAlign w:val="bottom"/>
          </w:tcPr>
          <w:p>
            <w:pPr>
              <w:spacing w:after="0"/>
              <w:rPr>
                <w:sz w:val="24"/>
                <w:szCs w:val="24"/>
                <w:color w:val="auto"/>
              </w:rPr>
            </w:pPr>
          </w:p>
        </w:tc>
        <w:tc>
          <w:tcPr>
            <w:tcW w:w="2120" w:type="dxa"/>
            <w:vAlign w:val="bottom"/>
          </w:tcPr>
          <w:p>
            <w:pPr>
              <w:jc w:val="center"/>
              <w:ind w:right="80"/>
              <w:spacing w:after="0"/>
              <w:rPr>
                <w:sz w:val="20"/>
                <w:szCs w:val="20"/>
                <w:color w:val="auto"/>
              </w:rPr>
            </w:pPr>
            <w:r>
              <w:rPr>
                <w:rFonts w:ascii="Arial" w:cs="Arial" w:eastAsia="Arial" w:hAnsi="Arial"/>
                <w:sz w:val="20"/>
                <w:szCs w:val="20"/>
                <w:b w:val="1"/>
                <w:bCs w:val="1"/>
                <w:color w:val="auto"/>
                <w:w w:val="88"/>
              </w:rPr>
              <w:t>of Amounts Shown</w:t>
            </w:r>
          </w:p>
        </w:tc>
      </w:tr>
      <w:tr>
        <w:trPr>
          <w:trHeight w:val="300"/>
        </w:trPr>
        <w:tc>
          <w:tcPr>
            <w:tcW w:w="2540" w:type="dxa"/>
            <w:vAlign w:val="bottom"/>
          </w:tcPr>
          <w:p>
            <w:pPr>
              <w:spacing w:after="0"/>
              <w:rPr>
                <w:sz w:val="20"/>
                <w:szCs w:val="20"/>
                <w:color w:val="auto"/>
              </w:rPr>
            </w:pPr>
            <w:r>
              <w:rPr>
                <w:rFonts w:ascii="Arial" w:cs="Arial" w:eastAsia="Arial" w:hAnsi="Arial"/>
                <w:sz w:val="20"/>
                <w:szCs w:val="20"/>
                <w:b w:val="1"/>
                <w:bCs w:val="1"/>
                <w:color w:val="auto"/>
              </w:rPr>
              <w:t>(a) Title of Class</w:t>
            </w:r>
          </w:p>
        </w:tc>
        <w:tc>
          <w:tcPr>
            <w:tcW w:w="1240" w:type="dxa"/>
            <w:vAlign w:val="bottom"/>
          </w:tcPr>
          <w:p>
            <w:pPr>
              <w:spacing w:after="0"/>
              <w:rPr>
                <w:sz w:val="24"/>
                <w:szCs w:val="24"/>
                <w:color w:val="auto"/>
              </w:rPr>
            </w:pPr>
          </w:p>
        </w:tc>
        <w:tc>
          <w:tcPr>
            <w:tcW w:w="1900" w:type="dxa"/>
            <w:vAlign w:val="bottom"/>
          </w:tcPr>
          <w:p>
            <w:pPr>
              <w:jc w:val="right"/>
              <w:ind w:right="620"/>
              <w:spacing w:after="0"/>
              <w:rPr>
                <w:sz w:val="20"/>
                <w:szCs w:val="20"/>
                <w:color w:val="auto"/>
              </w:rPr>
            </w:pPr>
            <w:r>
              <w:rPr>
                <w:rFonts w:ascii="Arial" w:cs="Arial" w:eastAsia="Arial" w:hAnsi="Arial"/>
                <w:sz w:val="20"/>
                <w:szCs w:val="20"/>
                <w:b w:val="1"/>
                <w:bCs w:val="1"/>
                <w:color w:val="auto"/>
              </w:rPr>
              <w:t>Authorized</w:t>
            </w:r>
          </w:p>
        </w:tc>
        <w:tc>
          <w:tcPr>
            <w:tcW w:w="1320" w:type="dxa"/>
            <w:vAlign w:val="bottom"/>
          </w:tcPr>
          <w:p>
            <w:pPr>
              <w:jc w:val="center"/>
              <w:ind w:right="20"/>
              <w:spacing w:after="0"/>
              <w:rPr>
                <w:sz w:val="20"/>
                <w:szCs w:val="20"/>
                <w:color w:val="auto"/>
              </w:rPr>
            </w:pPr>
            <w:r>
              <w:rPr>
                <w:rFonts w:ascii="Arial" w:cs="Arial" w:eastAsia="Arial" w:hAnsi="Arial"/>
                <w:sz w:val="20"/>
                <w:szCs w:val="20"/>
                <w:b w:val="1"/>
                <w:bCs w:val="1"/>
                <w:color w:val="auto"/>
                <w:w w:val="89"/>
              </w:rPr>
              <w:t>Account</w:t>
            </w:r>
          </w:p>
        </w:tc>
        <w:tc>
          <w:tcPr>
            <w:tcW w:w="280" w:type="dxa"/>
            <w:vAlign w:val="bottom"/>
          </w:tcPr>
          <w:p>
            <w:pPr>
              <w:spacing w:after="0"/>
              <w:rPr>
                <w:sz w:val="24"/>
                <w:szCs w:val="24"/>
                <w:color w:val="auto"/>
              </w:rPr>
            </w:pPr>
          </w:p>
        </w:tc>
        <w:tc>
          <w:tcPr>
            <w:tcW w:w="2120" w:type="dxa"/>
            <w:vAlign w:val="bottom"/>
          </w:tcPr>
          <w:p>
            <w:pPr>
              <w:jc w:val="center"/>
              <w:ind w:right="20"/>
              <w:spacing w:after="0"/>
              <w:rPr>
                <w:sz w:val="20"/>
                <w:szCs w:val="20"/>
                <w:color w:val="auto"/>
              </w:rPr>
            </w:pPr>
            <w:r>
              <w:rPr>
                <w:rFonts w:ascii="Arial" w:cs="Arial" w:eastAsia="Arial" w:hAnsi="Arial"/>
                <w:sz w:val="20"/>
                <w:szCs w:val="20"/>
                <w:b w:val="1"/>
                <w:bCs w:val="1"/>
                <w:color w:val="auto"/>
                <w:w w:val="91"/>
              </w:rPr>
              <w:t>Under (c)</w:t>
            </w:r>
          </w:p>
        </w:tc>
      </w:tr>
      <w:tr>
        <w:trPr>
          <w:trHeight w:val="310"/>
        </w:trPr>
        <w:tc>
          <w:tcPr>
            <w:tcW w:w="2540" w:type="dxa"/>
            <w:vAlign w:val="bottom"/>
          </w:tcPr>
          <w:p>
            <w:pPr>
              <w:spacing w:after="0"/>
              <w:rPr>
                <w:sz w:val="20"/>
                <w:szCs w:val="20"/>
                <w:color w:val="auto"/>
              </w:rPr>
            </w:pPr>
            <w:r>
              <w:rPr>
                <w:rFonts w:ascii="Arial" w:cs="Arial" w:eastAsia="Arial" w:hAnsi="Arial"/>
                <w:sz w:val="20"/>
                <w:szCs w:val="20"/>
                <w:color w:val="auto"/>
              </w:rPr>
              <w:t>Common Stock</w:t>
            </w:r>
          </w:p>
        </w:tc>
        <w:tc>
          <w:tcPr>
            <w:tcW w:w="1240" w:type="dxa"/>
            <w:vAlign w:val="bottom"/>
          </w:tcPr>
          <w:p>
            <w:pPr>
              <w:spacing w:after="0"/>
              <w:rPr>
                <w:sz w:val="24"/>
                <w:szCs w:val="24"/>
                <w:color w:val="auto"/>
              </w:rPr>
            </w:pPr>
          </w:p>
        </w:tc>
        <w:tc>
          <w:tcPr>
            <w:tcW w:w="1900" w:type="dxa"/>
            <w:vAlign w:val="bottom"/>
          </w:tcPr>
          <w:p>
            <w:pPr>
              <w:jc w:val="right"/>
              <w:ind w:right="240"/>
              <w:spacing w:after="0"/>
              <w:rPr>
                <w:sz w:val="20"/>
                <w:szCs w:val="20"/>
                <w:color w:val="auto"/>
              </w:rPr>
            </w:pPr>
            <w:r>
              <w:rPr>
                <w:rFonts w:ascii="Arial" w:cs="Arial" w:eastAsia="Arial" w:hAnsi="Arial"/>
                <w:sz w:val="20"/>
                <w:szCs w:val="20"/>
                <w:color w:val="auto"/>
              </w:rPr>
              <w:t>100,000,000</w:t>
            </w: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70,540</w:t>
            </w:r>
          </w:p>
        </w:tc>
        <w:tc>
          <w:tcPr>
            <w:tcW w:w="2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37,954,364</w:t>
            </w:r>
          </w:p>
        </w:tc>
      </w:tr>
      <w:tr>
        <w:trPr>
          <w:trHeight w:val="41"/>
        </w:trPr>
        <w:tc>
          <w:tcPr>
            <w:tcW w:w="2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300"/>
        </w:trPr>
        <w:tc>
          <w:tcPr>
            <w:tcW w:w="2540" w:type="dxa"/>
            <w:vAlign w:val="bottom"/>
            <w:shd w:val="clear" w:color="auto" w:fill="CCEBFF"/>
          </w:tcPr>
          <w:p>
            <w:pPr>
              <w:spacing w:after="0"/>
              <w:rPr>
                <w:sz w:val="20"/>
                <w:szCs w:val="20"/>
                <w:color w:val="auto"/>
              </w:rPr>
            </w:pPr>
            <w:r>
              <w:rPr>
                <w:rFonts w:ascii="Arial" w:cs="Arial" w:eastAsia="Arial" w:hAnsi="Arial"/>
                <w:sz w:val="20"/>
                <w:szCs w:val="20"/>
                <w:color w:val="auto"/>
              </w:rPr>
              <w:t>SBA Debentures</w:t>
            </w:r>
          </w:p>
        </w:tc>
        <w:tc>
          <w:tcPr>
            <w:tcW w:w="1240" w:type="dxa"/>
            <w:vAlign w:val="bottom"/>
            <w:shd w:val="clear" w:color="auto" w:fill="CCEBFF"/>
          </w:tcPr>
          <w:p>
            <w:pPr>
              <w:jc w:val="right"/>
              <w:ind w:right="60"/>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BFF"/>
          </w:tcPr>
          <w:p>
            <w:pPr>
              <w:jc w:val="right"/>
              <w:spacing w:after="0"/>
              <w:rPr>
                <w:sz w:val="20"/>
                <w:szCs w:val="20"/>
                <w:color w:val="auto"/>
              </w:rPr>
            </w:pPr>
            <w:r>
              <w:rPr>
                <w:rFonts w:ascii="Arial" w:cs="Arial" w:eastAsia="Arial" w:hAnsi="Arial"/>
                <w:sz w:val="20"/>
                <w:szCs w:val="20"/>
                <w:color w:val="auto"/>
              </w:rPr>
              <w:t xml:space="preserve">321.5 million </w:t>
            </w:r>
            <w:r>
              <w:rPr>
                <w:rFonts w:ascii="Arial" w:cs="Arial" w:eastAsia="Arial" w:hAnsi="Arial"/>
                <w:sz w:val="26"/>
                <w:szCs w:val="26"/>
                <w:color w:val="auto"/>
                <w:vertAlign w:val="superscript"/>
              </w:rPr>
              <w:t>(1)</w:t>
            </w:r>
          </w:p>
        </w:tc>
        <w:tc>
          <w:tcPr>
            <w:tcW w:w="1320" w:type="dxa"/>
            <w:vAlign w:val="bottom"/>
            <w:shd w:val="clear" w:color="auto" w:fill="CCEB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BFF"/>
          </w:tcPr>
          <w:p>
            <w:pPr>
              <w:jc w:val="right"/>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BFF"/>
          </w:tcPr>
          <w:p>
            <w:pPr>
              <w:jc w:val="right"/>
              <w:spacing w:after="0"/>
              <w:rPr>
                <w:sz w:val="20"/>
                <w:szCs w:val="20"/>
                <w:color w:val="auto"/>
              </w:rPr>
            </w:pPr>
            <w:r>
              <w:rPr>
                <w:rFonts w:ascii="Arial" w:cs="Arial" w:eastAsia="Arial" w:hAnsi="Arial"/>
                <w:sz w:val="20"/>
                <w:szCs w:val="20"/>
                <w:color w:val="auto"/>
              </w:rPr>
              <w:t>237.5 million</w:t>
            </w:r>
          </w:p>
        </w:tc>
      </w:tr>
      <w:tr>
        <w:trPr>
          <w:trHeight w:val="259"/>
        </w:trPr>
        <w:tc>
          <w:tcPr>
            <w:tcW w:w="2540" w:type="dxa"/>
            <w:vAlign w:val="bottom"/>
          </w:tcPr>
          <w:p>
            <w:pPr>
              <w:spacing w:after="0"/>
              <w:rPr>
                <w:sz w:val="20"/>
                <w:szCs w:val="20"/>
                <w:color w:val="auto"/>
              </w:rPr>
            </w:pPr>
            <w:r>
              <w:rPr>
                <w:rFonts w:ascii="Arial" w:cs="Arial" w:eastAsia="Arial" w:hAnsi="Arial"/>
                <w:sz w:val="20"/>
                <w:szCs w:val="20"/>
                <w:color w:val="auto"/>
              </w:rPr>
              <w:t>SPV Credit Facility</w:t>
            </w:r>
          </w:p>
        </w:tc>
        <w:tc>
          <w:tcPr>
            <w:tcW w:w="12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900" w:type="dxa"/>
            <w:vAlign w:val="bottom"/>
          </w:tcPr>
          <w:p>
            <w:pPr>
              <w:jc w:val="right"/>
              <w:ind w:right="240"/>
              <w:spacing w:after="0"/>
              <w:rPr>
                <w:sz w:val="20"/>
                <w:szCs w:val="20"/>
                <w:color w:val="auto"/>
              </w:rPr>
            </w:pPr>
            <w:r>
              <w:rPr>
                <w:rFonts w:ascii="Arial" w:cs="Arial" w:eastAsia="Arial" w:hAnsi="Arial"/>
                <w:sz w:val="20"/>
                <w:szCs w:val="20"/>
                <w:color w:val="auto"/>
              </w:rPr>
              <w:t>225.0 million</w:t>
            </w: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83.9 million</w:t>
            </w:r>
          </w:p>
        </w:tc>
      </w:tr>
      <w:tr>
        <w:trPr>
          <w:trHeight w:val="41"/>
        </w:trPr>
        <w:tc>
          <w:tcPr>
            <w:tcW w:w="2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59"/>
        </w:trPr>
        <w:tc>
          <w:tcPr>
            <w:tcW w:w="2540" w:type="dxa"/>
            <w:vAlign w:val="bottom"/>
            <w:shd w:val="clear" w:color="auto" w:fill="CCEBFF"/>
          </w:tcPr>
          <w:p>
            <w:pPr>
              <w:spacing w:after="0"/>
              <w:rPr>
                <w:sz w:val="20"/>
                <w:szCs w:val="20"/>
                <w:color w:val="auto"/>
              </w:rPr>
            </w:pPr>
            <w:r>
              <w:rPr>
                <w:rFonts w:ascii="Arial" w:cs="Arial" w:eastAsia="Arial" w:hAnsi="Arial"/>
                <w:sz w:val="20"/>
                <w:szCs w:val="20"/>
                <w:color w:val="auto"/>
              </w:rPr>
              <w:t>Notes</w:t>
            </w:r>
          </w:p>
        </w:tc>
        <w:tc>
          <w:tcPr>
            <w:tcW w:w="1240" w:type="dxa"/>
            <w:vAlign w:val="bottom"/>
            <w:shd w:val="clear" w:color="auto" w:fill="CCEBFF"/>
          </w:tcPr>
          <w:p>
            <w:pPr>
              <w:jc w:val="right"/>
              <w:ind w:right="60"/>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BFF"/>
          </w:tcPr>
          <w:p>
            <w:pPr>
              <w:jc w:val="right"/>
              <w:ind w:right="240"/>
              <w:spacing w:after="0"/>
              <w:rPr>
                <w:sz w:val="20"/>
                <w:szCs w:val="20"/>
                <w:color w:val="auto"/>
              </w:rPr>
            </w:pPr>
            <w:r>
              <w:rPr>
                <w:rFonts w:ascii="Arial" w:cs="Arial" w:eastAsia="Arial" w:hAnsi="Arial"/>
                <w:sz w:val="20"/>
                <w:szCs w:val="20"/>
                <w:color w:val="auto"/>
              </w:rPr>
              <w:t>325.0 million</w:t>
            </w:r>
          </w:p>
        </w:tc>
        <w:tc>
          <w:tcPr>
            <w:tcW w:w="1320" w:type="dxa"/>
            <w:vAlign w:val="bottom"/>
            <w:shd w:val="clear" w:color="auto" w:fill="CCEB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BFF"/>
          </w:tcPr>
          <w:p>
            <w:pPr>
              <w:jc w:val="right"/>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BFF"/>
          </w:tcPr>
          <w:p>
            <w:pPr>
              <w:jc w:val="right"/>
              <w:spacing w:after="0"/>
              <w:rPr>
                <w:sz w:val="20"/>
                <w:szCs w:val="20"/>
                <w:color w:val="auto"/>
              </w:rPr>
            </w:pPr>
            <w:r>
              <w:rPr>
                <w:rFonts w:ascii="Arial" w:cs="Arial" w:eastAsia="Arial" w:hAnsi="Arial"/>
                <w:sz w:val="20"/>
                <w:szCs w:val="20"/>
                <w:color w:val="auto"/>
              </w:rPr>
              <w:t>325.0 million</w:t>
            </w:r>
          </w:p>
        </w:tc>
      </w:tr>
      <w:tr>
        <w:trPr>
          <w:trHeight w:val="41"/>
        </w:trPr>
        <w:tc>
          <w:tcPr>
            <w:tcW w:w="2540" w:type="dxa"/>
            <w:vAlign w:val="bottom"/>
            <w:shd w:val="clear" w:color="auto" w:fill="CCEBFF"/>
          </w:tcPr>
          <w:p>
            <w:pPr>
              <w:spacing w:after="0"/>
              <w:rPr>
                <w:sz w:val="3"/>
                <w:szCs w:val="3"/>
                <w:color w:val="auto"/>
              </w:rPr>
            </w:pPr>
          </w:p>
        </w:tc>
        <w:tc>
          <w:tcPr>
            <w:tcW w:w="1240" w:type="dxa"/>
            <w:vAlign w:val="bottom"/>
            <w:shd w:val="clear" w:color="auto" w:fill="CCEBFF"/>
          </w:tcPr>
          <w:p>
            <w:pPr>
              <w:spacing w:after="0"/>
              <w:rPr>
                <w:sz w:val="3"/>
                <w:szCs w:val="3"/>
                <w:color w:val="auto"/>
              </w:rPr>
            </w:pPr>
          </w:p>
        </w:tc>
        <w:tc>
          <w:tcPr>
            <w:tcW w:w="1900" w:type="dxa"/>
            <w:vAlign w:val="bottom"/>
            <w:shd w:val="clear" w:color="auto" w:fill="CCEBFF"/>
          </w:tcPr>
          <w:p>
            <w:pPr>
              <w:spacing w:after="0"/>
              <w:rPr>
                <w:sz w:val="3"/>
                <w:szCs w:val="3"/>
                <w:color w:val="auto"/>
              </w:rPr>
            </w:pPr>
          </w:p>
        </w:tc>
        <w:tc>
          <w:tcPr>
            <w:tcW w:w="1320" w:type="dxa"/>
            <w:vAlign w:val="bottom"/>
            <w:shd w:val="clear" w:color="auto" w:fill="CCEBFF"/>
          </w:tcPr>
          <w:p>
            <w:pPr>
              <w:spacing w:after="0"/>
              <w:rPr>
                <w:sz w:val="3"/>
                <w:szCs w:val="3"/>
                <w:color w:val="auto"/>
              </w:rPr>
            </w:pPr>
          </w:p>
        </w:tc>
        <w:tc>
          <w:tcPr>
            <w:tcW w:w="280" w:type="dxa"/>
            <w:vAlign w:val="bottom"/>
            <w:shd w:val="clear" w:color="auto" w:fill="CCEBFF"/>
          </w:tcPr>
          <w:p>
            <w:pPr>
              <w:spacing w:after="0"/>
              <w:rPr>
                <w:sz w:val="3"/>
                <w:szCs w:val="3"/>
                <w:color w:val="auto"/>
              </w:rPr>
            </w:pPr>
          </w:p>
        </w:tc>
        <w:tc>
          <w:tcPr>
            <w:tcW w:w="2120" w:type="dxa"/>
            <w:vAlign w:val="bottom"/>
            <w:shd w:val="clear" w:color="auto" w:fill="CCEB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-767715</wp:posOffset>
            </wp:positionV>
            <wp:extent cx="59080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8040" cy="63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59" w:lineRule="exact"/>
        <w:rPr>
          <w:sz w:val="20"/>
          <w:szCs w:val="20"/>
          <w:color w:val="auto"/>
        </w:rPr>
      </w:pPr>
    </w:p>
    <w:p>
      <w:pPr>
        <w:ind w:left="300" w:right="80"/>
        <w:spacing w:after="0" w:line="381" w:lineRule="auto"/>
        <w:rPr>
          <w:sz w:val="20"/>
          <w:szCs w:val="20"/>
          <w:color w:val="auto"/>
        </w:rPr>
      </w:pPr>
      <w:r>
        <w:rPr>
          <w:rFonts w:ascii="Arial" w:cs="Arial" w:eastAsia="Arial" w:hAnsi="Arial"/>
          <w:sz w:val="16"/>
          <w:szCs w:val="16"/>
          <w:color w:val="auto"/>
        </w:rPr>
        <w:t>For more information regarding our limitations as to SBA debenture issuances, see “Regulation — Small Business Administration Regulations.”</w:t>
      </w:r>
    </w:p>
    <w:p>
      <w:pPr>
        <w:spacing w:after="0" w:line="230" w:lineRule="auto"/>
        <w:rPr>
          <w:sz w:val="20"/>
          <w:szCs w:val="20"/>
          <w:color w:val="auto"/>
        </w:rPr>
      </w:pPr>
      <w:r>
        <w:rPr>
          <w:rFonts w:ascii="Arial" w:cs="Arial" w:eastAsia="Arial" w:hAnsi="Arial"/>
          <w:sz w:val="20"/>
          <w:szCs w:val="20"/>
          <w:b w:val="1"/>
          <w:bCs w:val="1"/>
          <w:color w:val="auto"/>
        </w:rPr>
        <w:t>Fees and Expenses</w:t>
      </w:r>
    </w:p>
    <w:p>
      <w:pPr>
        <w:spacing w:after="0" w:line="200" w:lineRule="exact"/>
        <w:rPr>
          <w:sz w:val="20"/>
          <w:szCs w:val="20"/>
          <w:color w:val="auto"/>
        </w:rPr>
      </w:pPr>
    </w:p>
    <w:p>
      <w:pPr>
        <w:jc w:val="both"/>
        <w:ind w:right="20" w:firstLine="401"/>
        <w:spacing w:after="0" w:line="310" w:lineRule="auto"/>
        <w:rPr>
          <w:sz w:val="20"/>
          <w:szCs w:val="20"/>
          <w:color w:val="auto"/>
        </w:rPr>
      </w:pPr>
      <w:r>
        <w:rPr>
          <w:rFonts w:ascii="Arial" w:cs="Arial" w:eastAsia="Arial" w:hAnsi="Arial"/>
          <w:sz w:val="20"/>
          <w:szCs w:val="20"/>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5967730" cy="152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7730" cy="15240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transaction expenses: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spacing w:after="0"/>
              <w:rPr>
                <w:sz w:val="20"/>
                <w:szCs w:val="20"/>
                <w:color w:val="auto"/>
              </w:rPr>
            </w:pPr>
            <w:r>
              <w:rPr>
                <w:rFonts w:ascii="Arial" w:cs="Arial" w:eastAsia="Arial" w:hAnsi="Arial"/>
                <w:sz w:val="16"/>
                <w:szCs w:val="16"/>
                <w:color w:val="auto"/>
              </w:rPr>
              <w:t>Sales load (as a percentage of offering price)</w:t>
            </w:r>
          </w:p>
        </w:tc>
        <w:tc>
          <w:tcPr>
            <w:tcW w:w="25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2"/>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68"/>
        </w:trPr>
        <w:tc>
          <w:tcPr>
            <w:tcW w:w="6400" w:type="dxa"/>
            <w:vAlign w:val="bottom"/>
            <w:shd w:val="clear" w:color="auto" w:fill="CCEBFF"/>
          </w:tcPr>
          <w:p>
            <w:pPr>
              <w:spacing w:after="0"/>
              <w:rPr>
                <w:sz w:val="20"/>
                <w:szCs w:val="20"/>
                <w:color w:val="auto"/>
              </w:rPr>
            </w:pPr>
            <w:r>
              <w:rPr>
                <w:rFonts w:ascii="Arial" w:cs="Arial" w:eastAsia="Arial" w:hAnsi="Arial"/>
                <w:sz w:val="16"/>
                <w:szCs w:val="16"/>
                <w:color w:val="auto"/>
              </w:rPr>
              <w:t>Offering Expenses born by us (as a percentage of offering price)</w:t>
            </w:r>
          </w:p>
        </w:tc>
        <w:tc>
          <w:tcPr>
            <w:tcW w:w="2520" w:type="dxa"/>
            <w:vAlign w:val="bottom"/>
            <w:shd w:val="clear" w:color="auto" w:fill="CCEB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BFF"/>
          </w:tcPr>
          <w:p>
            <w:pPr>
              <w:jc w:val="right"/>
              <w:ind w:right="60"/>
              <w:spacing w:after="0"/>
              <w:rPr>
                <w:sz w:val="20"/>
                <w:szCs w:val="20"/>
                <w:color w:val="auto"/>
              </w:rPr>
            </w:pPr>
            <w:r>
              <w:rPr>
                <w:rFonts w:ascii="Arial" w:cs="Arial" w:eastAsia="Arial" w:hAnsi="Arial"/>
                <w:sz w:val="16"/>
                <w:szCs w:val="16"/>
                <w:color w:val="auto"/>
              </w:rPr>
              <w:t>(2)</w:t>
            </w:r>
          </w:p>
        </w:tc>
      </w:tr>
      <w:tr>
        <w:trPr>
          <w:trHeight w:val="32"/>
        </w:trPr>
        <w:tc>
          <w:tcPr>
            <w:tcW w:w="6400" w:type="dxa"/>
            <w:vAlign w:val="bottom"/>
            <w:shd w:val="clear" w:color="auto" w:fill="CCEBFF"/>
          </w:tcPr>
          <w:p>
            <w:pPr>
              <w:spacing w:after="0"/>
              <w:rPr>
                <w:sz w:val="2"/>
                <w:szCs w:val="2"/>
                <w:color w:val="auto"/>
              </w:rPr>
            </w:pPr>
          </w:p>
        </w:tc>
        <w:tc>
          <w:tcPr>
            <w:tcW w:w="2520" w:type="dxa"/>
            <w:vAlign w:val="bottom"/>
            <w:shd w:val="clear" w:color="auto" w:fill="CCEBFF"/>
          </w:tcPr>
          <w:p>
            <w:pPr>
              <w:spacing w:after="0"/>
              <w:rPr>
                <w:sz w:val="2"/>
                <w:szCs w:val="2"/>
                <w:color w:val="auto"/>
              </w:rPr>
            </w:pPr>
          </w:p>
        </w:tc>
        <w:tc>
          <w:tcPr>
            <w:tcW w:w="480" w:type="dxa"/>
            <w:vAlign w:val="bottom"/>
            <w:shd w:val="clear" w:color="auto" w:fill="CCEB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58</w:t>
      </w:r>
    </w:p>
    <w:p>
      <w:pPr>
        <w:sectPr>
          <w:pgSz w:w="11900" w:h="16838" w:orient="portrait"/>
          <w:cols w:equalWidth="0" w:num="1">
            <w:col w:w="9400"/>
          </w:cols>
          <w:pgMar w:left="1260" w:top="1440" w:right="1246" w:bottom="0" w:gutter="0" w:footer="0" w:header="0"/>
          <w:type w:val="continuous"/>
        </w:sectPr>
      </w:pPr>
    </w:p>
    <w:bookmarkStart w:id="115" w:name="page116"/>
    <w:bookmarkEnd w:id="115"/>
    <w:p>
      <w:pPr>
        <w:spacing w:after="0" w:line="30" w:lineRule="exact"/>
        <w:rPr>
          <w:sz w:val="20"/>
          <w:szCs w:val="20"/>
          <w:color w:val="auto"/>
        </w:rPr>
      </w:pPr>
    </w:p>
    <w:p>
      <w:pPr>
        <w:ind w:left="6"/>
        <w:spacing w:after="0"/>
        <w:rPr>
          <w:sz w:val="20"/>
          <w:szCs w:val="20"/>
          <w:color w:val="auto"/>
        </w:rPr>
      </w:pPr>
      <w:r>
        <w:rPr>
          <w:rFonts w:ascii="Arial" w:cs="Arial" w:eastAsia="Arial" w:hAnsi="Arial"/>
          <w:sz w:val="16"/>
          <w:szCs w:val="16"/>
          <w:color w:val="auto"/>
        </w:rPr>
        <w:t>Dividend reinvestment plan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67730" cy="190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7730" cy="190500"/>
                    </a:xfrm>
                    <a:prstGeom prst="rect">
                      <a:avLst/>
                    </a:prstGeom>
                    <a:noFill/>
                  </pic:spPr>
                </pic:pic>
              </a:graphicData>
            </a:graphic>
          </wp:anchor>
        </w:drawing>
      </w:r>
    </w:p>
    <w:p>
      <w:pPr>
        <w:spacing w:after="0" w:line="103" w:lineRule="exact"/>
        <w:rPr>
          <w:sz w:val="20"/>
          <w:szCs w:val="20"/>
          <w:color w:val="auto"/>
        </w:rPr>
      </w:pPr>
    </w:p>
    <w:p>
      <w:pPr>
        <w:ind w:left="6"/>
        <w:spacing w:after="0"/>
        <w:rPr>
          <w:sz w:val="20"/>
          <w:szCs w:val="20"/>
          <w:color w:val="auto"/>
        </w:rPr>
      </w:pPr>
      <w:r>
        <w:rPr>
          <w:rFonts w:ascii="Arial" w:cs="Arial" w:eastAsia="Arial" w:hAnsi="Arial"/>
          <w:sz w:val="14"/>
          <w:szCs w:val="14"/>
          <w:color w:val="auto"/>
        </w:rPr>
        <w:t>Total stockholder transaction expenses paid by us (as a percentage of offering price)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auto"/>
        </w:rPr>
        <w:t xml:space="preserve">Annual expenses (as a percentage of net assets attributable to common stock) </w:t>
      </w:r>
      <w:r>
        <w:rPr>
          <w:rFonts w:ascii="Arial" w:cs="Arial" w:eastAsia="Arial" w:hAnsi="Arial"/>
          <w:sz w:val="17"/>
          <w:szCs w:val="17"/>
          <w:b w:val="1"/>
          <w:bCs w:val="1"/>
          <w:color w:val="auto"/>
          <w:vertAlign w:val="superscript"/>
        </w:rPr>
        <w:t>(5)</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967730" cy="190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7730" cy="190500"/>
                    </a:xfrm>
                    <a:prstGeom prst="rect">
                      <a:avLst/>
                    </a:prstGeom>
                    <a:noFill/>
                  </pic:spPr>
                </pic:pic>
              </a:graphicData>
            </a:graphic>
          </wp:anchor>
        </w:drawing>
      </w:r>
    </w:p>
    <w:p>
      <w:pPr>
        <w:spacing w:after="0" w:line="105" w:lineRule="exact"/>
        <w:rPr>
          <w:sz w:val="20"/>
          <w:szCs w:val="20"/>
          <w:color w:val="auto"/>
        </w:rPr>
      </w:pPr>
    </w:p>
    <w:p>
      <w:pPr>
        <w:ind w:left="6"/>
        <w:spacing w:after="0"/>
        <w:rPr>
          <w:sz w:val="20"/>
          <w:szCs w:val="20"/>
          <w:color w:val="auto"/>
        </w:rPr>
      </w:pPr>
      <w:r>
        <w:rPr>
          <w:rFonts w:ascii="Arial" w:cs="Arial" w:eastAsia="Arial" w:hAnsi="Arial"/>
          <w:sz w:val="16"/>
          <w:szCs w:val="16"/>
          <w:color w:val="auto"/>
        </w:rPr>
        <w:t>Base management fee</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6"/>
          <w:szCs w:val="16"/>
          <w:color w:val="auto"/>
        </w:rPr>
        <w:t>Incentive fees payable under Investment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67730" cy="190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7730" cy="190500"/>
                    </a:xfrm>
                    <a:prstGeom prst="rect">
                      <a:avLst/>
                    </a:prstGeom>
                    <a:noFill/>
                  </pic:spPr>
                </pic:pic>
              </a:graphicData>
            </a:graphic>
          </wp:anchor>
        </w:drawing>
      </w:r>
    </w:p>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Interest payments on borrowed funds</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6"/>
          <w:szCs w:val="16"/>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67730" cy="190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7730" cy="190500"/>
                    </a:xfrm>
                    <a:prstGeom prst="rect">
                      <a:avLst/>
                    </a:prstGeom>
                    <a:noFill/>
                  </pic:spPr>
                </pic:pic>
              </a:graphicData>
            </a:graphic>
          </wp:anchor>
        </w:drawing>
      </w:r>
    </w:p>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Total annual expenses, before base management fee waiver</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6"/>
          <w:szCs w:val="16"/>
          <w:color w:val="auto"/>
        </w:rPr>
        <w:t>Base management fee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67730" cy="2190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7730" cy="219075"/>
                    </a:xfrm>
                    <a:prstGeom prst="rect">
                      <a:avLst/>
                    </a:prstGeom>
                    <a:noFill/>
                  </pic:spPr>
                </pic:pic>
              </a:graphicData>
            </a:graphic>
          </wp:anchor>
        </w:drawing>
      </w:r>
    </w:p>
    <w:p>
      <w:pPr>
        <w:spacing w:after="0" w:line="141" w:lineRule="exact"/>
        <w:rPr>
          <w:sz w:val="20"/>
          <w:szCs w:val="20"/>
          <w:color w:val="auto"/>
        </w:rPr>
      </w:pPr>
    </w:p>
    <w:p>
      <w:pPr>
        <w:ind w:left="6"/>
        <w:spacing w:after="0"/>
        <w:rPr>
          <w:sz w:val="20"/>
          <w:szCs w:val="20"/>
          <w:color w:val="auto"/>
        </w:rPr>
      </w:pPr>
      <w:r>
        <w:rPr>
          <w:rFonts w:ascii="Arial" w:cs="Arial" w:eastAsia="Arial" w:hAnsi="Arial"/>
          <w:sz w:val="16"/>
          <w:szCs w:val="16"/>
          <w:color w:val="auto"/>
        </w:rPr>
        <w:t>Total annual expenses, net of base management fee waiver</w:t>
      </w:r>
    </w:p>
    <w:p>
      <w:pPr>
        <w:spacing w:after="0" w:line="20" w:lineRule="exact"/>
        <w:rPr>
          <w:sz w:val="20"/>
          <w:szCs w:val="20"/>
          <w:color w:val="auto"/>
        </w:rPr>
      </w:pPr>
      <w:r>
        <w:rPr>
          <w:sz w:val="20"/>
          <w:szCs w:val="20"/>
          <w:color w:val="auto"/>
        </w:rPr>
        <w:br w:type="column"/>
      </w:r>
    </w:p>
    <w:p>
      <w:pPr>
        <w:ind w:left="680" w:hanging="377"/>
        <w:spacing w:after="0"/>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w:t>
      </w:r>
    </w:p>
    <w:p>
      <w:pPr>
        <w:spacing w:after="0" w:line="116" w:lineRule="exact"/>
        <w:rPr>
          <w:rFonts w:ascii="Arial" w:cs="Arial" w:eastAsia="Arial" w:hAnsi="Arial"/>
          <w:sz w:val="16"/>
          <w:szCs w:val="16"/>
          <w:color w:val="auto"/>
        </w:rPr>
      </w:pPr>
    </w:p>
    <w:p>
      <w:pPr>
        <w:ind w:left="680" w:hanging="377"/>
        <w:spacing w:after="0"/>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(4)</w:t>
      </w:r>
    </w:p>
    <w:p>
      <w:pPr>
        <w:spacing w:after="0" w:line="363" w:lineRule="exact"/>
        <w:rPr>
          <w:sz w:val="20"/>
          <w:szCs w:val="20"/>
          <w:color w:val="auto"/>
        </w:rPr>
      </w:pPr>
    </w:p>
    <w:p>
      <w:pPr>
        <w:jc w:val="right"/>
        <w:ind w:right="80"/>
        <w:spacing w:after="0"/>
        <w:tabs>
          <w:tab w:leader="none" w:pos="200"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4"/>
          <w:szCs w:val="14"/>
          <w:color w:val="auto"/>
        </w:rPr>
        <w:t>(6)</w:t>
      </w:r>
    </w:p>
    <w:p>
      <w:pPr>
        <w:spacing w:after="0" w:line="116" w:lineRule="exact"/>
        <w:rPr>
          <w:sz w:val="20"/>
          <w:szCs w:val="20"/>
          <w:color w:val="auto"/>
        </w:rPr>
      </w:pPr>
    </w:p>
    <w:p>
      <w:pPr>
        <w:jc w:val="right"/>
        <w:ind w:right="80"/>
        <w:spacing w:after="0"/>
        <w:tabs>
          <w:tab w:leader="none" w:pos="200" w:val="left"/>
        </w:tabs>
        <w:rPr>
          <w:sz w:val="20"/>
          <w:szCs w:val="20"/>
          <w:color w:val="auto"/>
        </w:rPr>
      </w:pPr>
      <w:r>
        <w:rPr>
          <w:rFonts w:ascii="Arial" w:cs="Arial" w:eastAsia="Arial" w:hAnsi="Arial"/>
          <w:sz w:val="16"/>
          <w:szCs w:val="16"/>
          <w:color w:val="auto"/>
        </w:rPr>
        <w:t>2.66%</w:t>
      </w:r>
      <w:r>
        <w:rPr>
          <w:sz w:val="20"/>
          <w:szCs w:val="20"/>
          <w:color w:val="auto"/>
        </w:rPr>
        <w:tab/>
      </w:r>
      <w:r>
        <w:rPr>
          <w:rFonts w:ascii="Arial" w:cs="Arial" w:eastAsia="Arial" w:hAnsi="Arial"/>
          <w:sz w:val="14"/>
          <w:szCs w:val="14"/>
          <w:color w:val="auto"/>
        </w:rPr>
        <w:t>(7)</w:t>
      </w:r>
    </w:p>
    <w:p>
      <w:pPr>
        <w:spacing w:after="0" w:line="116" w:lineRule="exact"/>
        <w:rPr>
          <w:sz w:val="20"/>
          <w:szCs w:val="20"/>
          <w:color w:val="auto"/>
        </w:rPr>
      </w:pPr>
    </w:p>
    <w:p>
      <w:pPr>
        <w:jc w:val="right"/>
        <w:ind w:right="80"/>
        <w:spacing w:after="0"/>
        <w:tabs>
          <w:tab w:leader="none" w:pos="200" w:val="left"/>
        </w:tabs>
        <w:rPr>
          <w:sz w:val="20"/>
          <w:szCs w:val="20"/>
          <w:color w:val="auto"/>
        </w:rPr>
      </w:pPr>
      <w:r>
        <w:rPr>
          <w:rFonts w:ascii="Arial" w:cs="Arial" w:eastAsia="Arial" w:hAnsi="Arial"/>
          <w:sz w:val="16"/>
          <w:szCs w:val="16"/>
          <w:color w:val="auto"/>
        </w:rPr>
        <w:t>5.05%</w:t>
      </w:r>
      <w:r>
        <w:rPr>
          <w:sz w:val="20"/>
          <w:szCs w:val="20"/>
          <w:color w:val="auto"/>
        </w:rPr>
        <w:tab/>
      </w:r>
      <w:r>
        <w:rPr>
          <w:rFonts w:ascii="Arial" w:cs="Arial" w:eastAsia="Arial" w:hAnsi="Arial"/>
          <w:sz w:val="14"/>
          <w:szCs w:val="14"/>
          <w:color w:val="auto"/>
        </w:rPr>
        <w:t>(8)</w:t>
      </w:r>
    </w:p>
    <w:p>
      <w:pPr>
        <w:spacing w:after="0" w:line="121" w:lineRule="exact"/>
        <w:rPr>
          <w:sz w:val="20"/>
          <w:szCs w:val="20"/>
          <w:color w:val="auto"/>
        </w:rPr>
      </w:pPr>
    </w:p>
    <w:p>
      <w:pPr>
        <w:jc w:val="right"/>
        <w:ind w:right="80"/>
        <w:spacing w:after="0"/>
        <w:tabs>
          <w:tab w:leader="none" w:pos="20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31750</wp:posOffset>
            </wp:positionV>
            <wp:extent cx="55499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990" cy="6350"/>
                    </a:xfrm>
                    <a:prstGeom prst="rect">
                      <a:avLst/>
                    </a:prstGeom>
                    <a:noFill/>
                  </pic:spPr>
                </pic:pic>
              </a:graphicData>
            </a:graphic>
          </wp:anchor>
        </w:drawing>
      </w:r>
    </w:p>
    <w:p>
      <w:pPr>
        <w:spacing w:after="0" w:line="101" w:lineRule="exact"/>
        <w:rPr>
          <w:sz w:val="20"/>
          <w:szCs w:val="20"/>
          <w:color w:val="auto"/>
        </w:rPr>
      </w:pPr>
    </w:p>
    <w:p>
      <w:pPr>
        <w:jc w:val="right"/>
        <w:ind w:right="40"/>
        <w:spacing w:after="0"/>
        <w:tabs>
          <w:tab w:leader="none" w:pos="240" w:val="left"/>
        </w:tabs>
        <w:rPr>
          <w:sz w:val="20"/>
          <w:szCs w:val="20"/>
          <w:color w:val="auto"/>
        </w:rPr>
      </w:pPr>
      <w:r>
        <w:rPr>
          <w:rFonts w:ascii="Arial" w:cs="Arial" w:eastAsia="Arial" w:hAnsi="Arial"/>
          <w:sz w:val="16"/>
          <w:szCs w:val="16"/>
          <w:color w:val="auto"/>
        </w:rPr>
        <w:t>12.08%</w:t>
      </w:r>
      <w:r>
        <w:rPr>
          <w:sz w:val="20"/>
          <w:szCs w:val="20"/>
          <w:color w:val="auto"/>
        </w:rPr>
        <w:tab/>
      </w:r>
      <w:r>
        <w:rPr>
          <w:rFonts w:ascii="Arial" w:cs="Arial" w:eastAsia="Arial" w:hAnsi="Arial"/>
          <w:sz w:val="14"/>
          <w:szCs w:val="14"/>
          <w:color w:val="auto"/>
        </w:rPr>
        <w:t>(10)</w:t>
      </w:r>
    </w:p>
    <w:p>
      <w:pPr>
        <w:spacing w:after="0" w:line="1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(0.03%)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31750</wp:posOffset>
            </wp:positionV>
            <wp:extent cx="55499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990" cy="6350"/>
                    </a:xfrm>
                    <a:prstGeom prst="rect">
                      <a:avLst/>
                    </a:prstGeom>
                    <a:noFill/>
                  </pic:spPr>
                </pic:pic>
              </a:graphicData>
            </a:graphic>
          </wp:anchor>
        </w:drawing>
      </w:r>
    </w:p>
    <w:p>
      <w:pPr>
        <w:spacing w:after="0" w:line="115" w:lineRule="exact"/>
        <w:rPr>
          <w:sz w:val="20"/>
          <w:szCs w:val="20"/>
          <w:color w:val="auto"/>
        </w:rPr>
      </w:pPr>
    </w:p>
    <w:p>
      <w:pPr>
        <w:jc w:val="right"/>
        <w:ind w:right="40"/>
        <w:spacing w:after="0"/>
        <w:tabs>
          <w:tab w:leader="none" w:pos="240" w:val="left"/>
        </w:tabs>
        <w:rPr>
          <w:sz w:val="20"/>
          <w:szCs w:val="20"/>
          <w:color w:val="auto"/>
        </w:rPr>
      </w:pPr>
      <w:r>
        <w:rPr>
          <w:rFonts w:ascii="Arial" w:cs="Arial" w:eastAsia="Arial" w:hAnsi="Arial"/>
          <w:sz w:val="16"/>
          <w:szCs w:val="16"/>
          <w:color w:val="auto"/>
        </w:rPr>
        <w:t>12.05%</w:t>
      </w:r>
      <w:r>
        <w:rPr>
          <w:sz w:val="20"/>
          <w:szCs w:val="20"/>
          <w:color w:val="auto"/>
        </w:rPr>
        <w:tab/>
      </w:r>
      <w:r>
        <w:rPr>
          <w:rFonts w:ascii="Arial" w:cs="Arial" w:eastAsia="Arial" w:hAnsi="Arial"/>
          <w:sz w:val="14"/>
          <w:szCs w:val="14"/>
          <w:color w:val="auto"/>
        </w:rPr>
        <w:t>(12)</w:t>
      </w:r>
    </w:p>
    <w:p>
      <w:pPr>
        <w:spacing w:after="0" w:line="254" w:lineRule="exact"/>
        <w:rPr>
          <w:sz w:val="20"/>
          <w:szCs w:val="20"/>
          <w:color w:val="auto"/>
        </w:rPr>
      </w:pPr>
    </w:p>
    <w:p>
      <w:pPr>
        <w:sectPr>
          <w:pgSz w:w="11900" w:h="16838" w:orient="portrait"/>
          <w:cols w:equalWidth="0" w:num="2">
            <w:col w:w="7686" w:space="720"/>
            <w:col w:w="940"/>
          </w:cols>
          <w:pgMar w:left="1254" w:top="1187" w:right="1306" w:bottom="0" w:gutter="0" w:footer="0" w:header="0"/>
        </w:sectPr>
      </w:pPr>
    </w:p>
    <w:p>
      <w:pPr>
        <w:spacing w:after="0" w:line="261" w:lineRule="exact"/>
        <w:rPr>
          <w:sz w:val="20"/>
          <w:szCs w:val="20"/>
          <w:color w:val="auto"/>
        </w:rPr>
      </w:pPr>
    </w:p>
    <w:p>
      <w:pPr>
        <w:ind w:left="426" w:hanging="426"/>
        <w:spacing w:after="0"/>
        <w:tabs>
          <w:tab w:leader="none" w:pos="426"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the event that securities are sold to or through underwriters, a corresponding prospectus supplement will disclose the applicable sales load.</w:t>
      </w:r>
    </w:p>
    <w:p>
      <w:pPr>
        <w:spacing w:after="0" w:line="199" w:lineRule="exact"/>
        <w:rPr>
          <w:rFonts w:ascii="Arial" w:cs="Arial" w:eastAsia="Arial" w:hAnsi="Arial"/>
          <w:sz w:val="14"/>
          <w:szCs w:val="14"/>
          <w:color w:val="auto"/>
        </w:rPr>
      </w:pPr>
    </w:p>
    <w:p>
      <w:pPr>
        <w:ind w:left="426" w:hanging="426"/>
        <w:spacing w:after="0" w:line="491" w:lineRule="auto"/>
        <w:tabs>
          <w:tab w:leader="none" w:pos="426"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the event that we conduct an offering of any of our securities, a corresponding prospectus supplement will disclose the estimated offering expenses because they will be ultimately borne by the Company (and indirectly by our stockholders).</w:t>
      </w:r>
    </w:p>
    <w:p>
      <w:pPr>
        <w:spacing w:after="0" w:line="7" w:lineRule="exact"/>
        <w:rPr>
          <w:rFonts w:ascii="Arial" w:cs="Arial" w:eastAsia="Arial" w:hAnsi="Arial"/>
          <w:sz w:val="15"/>
          <w:szCs w:val="15"/>
          <w:color w:val="auto"/>
        </w:rPr>
      </w:pPr>
    </w:p>
    <w:p>
      <w:pPr>
        <w:ind w:left="426" w:hanging="426"/>
        <w:spacing w:after="0"/>
        <w:tabs>
          <w:tab w:leader="none" w:pos="426"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expenses of administering our dividend reinvestment plan are included in other expenses.</w:t>
      </w:r>
    </w:p>
    <w:p>
      <w:pPr>
        <w:spacing w:after="0" w:line="94"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187" w:right="13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48 / 58</w:t>
      </w:r>
    </w:p>
    <w:p>
      <w:pPr>
        <w:sectPr>
          <w:pgSz w:w="11900" w:h="16838" w:orient="portrait"/>
          <w:cols w:equalWidth="0" w:num="1">
            <w:col w:w="9346"/>
          </w:cols>
          <w:pgMar w:left="1254" w:top="1187" w:right="1306" w:bottom="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6" w:hanging="426"/>
        <w:spacing w:after="0"/>
        <w:tabs>
          <w:tab w:leader="none" w:pos="426" w:val="left"/>
        </w:tabs>
        <w:numPr>
          <w:ilvl w:val="0"/>
          <w:numId w:val="48"/>
        </w:numPr>
        <w:rPr>
          <w:rFonts w:ascii="Arial" w:cs="Arial" w:eastAsia="Arial" w:hAnsi="Arial"/>
          <w:sz w:val="15"/>
          <w:szCs w:val="15"/>
          <w:color w:val="auto"/>
        </w:rPr>
      </w:pPr>
      <w:r>
        <w:rPr>
          <w:rFonts w:ascii="Arial" w:cs="Arial" w:eastAsia="Arial" w:hAnsi="Arial"/>
          <w:sz w:val="15"/>
          <w:szCs w:val="15"/>
          <w:color w:val="auto"/>
        </w:rPr>
        <w:t>Total stockholder transaction expenses may include a sales load and will be disclosed in a future prospectus supplement, if any.</w:t>
      </w:r>
    </w:p>
    <w:p>
      <w:pPr>
        <w:spacing w:after="0" w:line="134" w:lineRule="exact"/>
        <w:rPr>
          <w:rFonts w:ascii="Arial" w:cs="Arial" w:eastAsia="Arial" w:hAnsi="Arial"/>
          <w:sz w:val="15"/>
          <w:szCs w:val="15"/>
          <w:color w:val="auto"/>
        </w:rPr>
      </w:pPr>
    </w:p>
    <w:p>
      <w:pPr>
        <w:ind w:left="426" w:right="60" w:hanging="426"/>
        <w:spacing w:after="0" w:line="407" w:lineRule="auto"/>
        <w:tabs>
          <w:tab w:leader="none" w:pos="426"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Net assets attributable to common stock equals average net assets, which is calculated as the average of the net assets balances for the year ended December 31, 2025.</w:t>
      </w:r>
    </w:p>
    <w:p>
      <w:pPr>
        <w:spacing w:after="0" w:line="14" w:lineRule="exact"/>
        <w:rPr>
          <w:rFonts w:ascii="Arial" w:cs="Arial" w:eastAsia="Arial" w:hAnsi="Arial"/>
          <w:sz w:val="15"/>
          <w:szCs w:val="15"/>
          <w:color w:val="auto"/>
        </w:rPr>
      </w:pPr>
    </w:p>
    <w:p>
      <w:pPr>
        <w:jc w:val="both"/>
        <w:ind w:left="426" w:right="40" w:hanging="426"/>
        <w:spacing w:after="0" w:line="447" w:lineRule="auto"/>
        <w:tabs>
          <w:tab w:leader="none" w:pos="426"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base management fee is 1.75% of the average value of our total assets (other than cash and cash equivalents but including assets purchased with borrowed amounts). This item represents actual base management fees incurred for the year ended December 31, 2025. We may from time to time decide it is appropriate to change the terms of the Investment Advisory Agreement. Under the 1940 Act, any material change to our Investment Advisory Agreement must be submitted to stockholders for approval. The 3.01% reflected in the table is calculated on our net assets (rather than our total assets). See Item 1. “Business — Management and Other Agreements—Investment Advisory Agreement.”</w:t>
      </w:r>
    </w:p>
    <w:p>
      <w:pPr>
        <w:ind w:left="426" w:right="100" w:hanging="426"/>
        <w:spacing w:after="0" w:line="481" w:lineRule="auto"/>
        <w:tabs>
          <w:tab w:leader="none" w:pos="42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item represents actual fees incurred on pre-incentive fee net investment income (income incentive fee) and actual fees payable for the capital gains incentive fee for the year ended December 31, 2025. As of December 31, 2025, there were no capital gains incentive fees payable in cash. For the year ended December 31, 2025, we accrued capital gains incentive fees (reversal) of $1.7 million in accordance with U.S. GAAP, which equals</w:t>
      </w:r>
    </w:p>
    <w:p>
      <w:pPr>
        <w:spacing w:after="0" w:line="1" w:lineRule="exact"/>
        <w:rPr>
          <w:rFonts w:ascii="Arial" w:cs="Arial" w:eastAsia="Arial" w:hAnsi="Arial"/>
          <w:sz w:val="13"/>
          <w:szCs w:val="13"/>
          <w:color w:val="auto"/>
        </w:rPr>
      </w:pPr>
    </w:p>
    <w:p>
      <w:pPr>
        <w:ind w:left="426" w:right="120"/>
        <w:spacing w:after="0" w:line="407" w:lineRule="auto"/>
        <w:rPr>
          <w:rFonts w:ascii="Arial" w:cs="Arial" w:eastAsia="Arial" w:hAnsi="Arial"/>
          <w:sz w:val="13"/>
          <w:szCs w:val="13"/>
          <w:color w:val="auto"/>
        </w:rPr>
      </w:pPr>
      <w:r>
        <w:rPr>
          <w:rFonts w:ascii="Arial" w:cs="Arial" w:eastAsia="Arial" w:hAnsi="Arial"/>
          <w:sz w:val="15"/>
          <w:szCs w:val="15"/>
          <w:color w:val="auto"/>
        </w:rPr>
        <w:t>0.25% of average net assets attributable to common stock; such amount has not been included in the estimated expenses figure reflected in the table above.</w:t>
      </w:r>
    </w:p>
    <w:p>
      <w:pPr>
        <w:spacing w:after="0" w:line="8" w:lineRule="exact"/>
        <w:rPr>
          <w:rFonts w:ascii="Arial" w:cs="Arial" w:eastAsia="Arial" w:hAnsi="Arial"/>
          <w:sz w:val="13"/>
          <w:szCs w:val="13"/>
          <w:color w:val="auto"/>
        </w:rPr>
      </w:pPr>
    </w:p>
    <w:p>
      <w:pPr>
        <w:ind w:left="426"/>
        <w:spacing w:after="0"/>
        <w:rPr>
          <w:rFonts w:ascii="Arial" w:cs="Arial" w:eastAsia="Arial" w:hAnsi="Arial"/>
          <w:sz w:val="13"/>
          <w:szCs w:val="13"/>
          <w:color w:val="auto"/>
        </w:rPr>
      </w:pPr>
      <w:r>
        <w:rPr>
          <w:rFonts w:ascii="Arial" w:cs="Arial" w:eastAsia="Arial" w:hAnsi="Arial"/>
          <w:sz w:val="15"/>
          <w:szCs w:val="15"/>
          <w:color w:val="auto"/>
        </w:rPr>
        <w:t>The incentive fee consists of two parts:</w:t>
      </w:r>
    </w:p>
    <w:p>
      <w:pPr>
        <w:spacing w:after="0" w:line="200" w:lineRule="exact"/>
        <w:rPr>
          <w:rFonts w:ascii="Arial" w:cs="Arial" w:eastAsia="Arial" w:hAnsi="Arial"/>
          <w:sz w:val="13"/>
          <w:szCs w:val="13"/>
          <w:color w:val="auto"/>
        </w:rPr>
      </w:pPr>
    </w:p>
    <w:p>
      <w:pPr>
        <w:spacing w:after="0" w:line="234" w:lineRule="exact"/>
        <w:rPr>
          <w:rFonts w:ascii="Arial" w:cs="Arial" w:eastAsia="Arial" w:hAnsi="Arial"/>
          <w:sz w:val="13"/>
          <w:szCs w:val="13"/>
          <w:color w:val="auto"/>
        </w:rPr>
      </w:pPr>
    </w:p>
    <w:p>
      <w:pPr>
        <w:ind w:left="426"/>
        <w:spacing w:after="0" w:line="448" w:lineRule="auto"/>
        <w:rPr>
          <w:rFonts w:ascii="Arial" w:cs="Arial" w:eastAsia="Arial" w:hAnsi="Arial"/>
          <w:sz w:val="13"/>
          <w:szCs w:val="13"/>
          <w:color w:val="auto"/>
        </w:rPr>
      </w:pPr>
      <w:r>
        <w:rPr>
          <w:rFonts w:ascii="Arial" w:cs="Arial" w:eastAsia="Arial" w:hAnsi="Arial"/>
          <w:sz w:val="14"/>
          <w:szCs w:val="14"/>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296" w:lineRule="exact"/>
        <w:rPr>
          <w:rFonts w:ascii="Arial" w:cs="Arial" w:eastAsia="Arial" w:hAnsi="Arial"/>
          <w:sz w:val="13"/>
          <w:szCs w:val="13"/>
          <w:color w:val="auto"/>
        </w:rPr>
      </w:pPr>
    </w:p>
    <w:p>
      <w:pPr>
        <w:jc w:val="both"/>
        <w:ind w:left="426" w:right="40"/>
        <w:spacing w:after="0" w:line="447" w:lineRule="auto"/>
        <w:rPr>
          <w:rFonts w:ascii="Arial" w:cs="Arial" w:eastAsia="Arial" w:hAnsi="Arial"/>
          <w:sz w:val="13"/>
          <w:szCs w:val="13"/>
          <w:color w:val="auto"/>
        </w:rPr>
      </w:pPr>
      <w:r>
        <w:rPr>
          <w:rFonts w:ascii="Arial" w:cs="Arial" w:eastAsia="Arial" w:hAnsi="Arial"/>
          <w:sz w:val="14"/>
          <w:szCs w:val="14"/>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p>
    <w:p>
      <w:pPr>
        <w:ind w:left="426"/>
        <w:spacing w:after="0"/>
        <w:rPr>
          <w:rFonts w:ascii="Arial" w:cs="Arial" w:eastAsia="Arial" w:hAnsi="Arial"/>
          <w:sz w:val="13"/>
          <w:szCs w:val="13"/>
          <w:color w:val="auto"/>
        </w:rPr>
      </w:pPr>
      <w:r>
        <w:rPr>
          <w:rFonts w:ascii="Arial" w:cs="Arial" w:eastAsia="Arial" w:hAnsi="Arial"/>
          <w:sz w:val="15"/>
          <w:szCs w:val="15"/>
          <w:color w:val="auto"/>
        </w:rPr>
        <w:t>See Item 1. “Business — Management and Other Agreements—Investment Advisory Agreement.”</w:t>
      </w:r>
    </w:p>
    <w:p>
      <w:pPr>
        <w:spacing w:after="0" w:line="134" w:lineRule="exact"/>
        <w:rPr>
          <w:rFonts w:ascii="Arial" w:cs="Arial" w:eastAsia="Arial" w:hAnsi="Arial"/>
          <w:sz w:val="13"/>
          <w:szCs w:val="13"/>
          <w:color w:val="auto"/>
        </w:rPr>
      </w:pPr>
    </w:p>
    <w:p>
      <w:pPr>
        <w:ind w:left="426" w:right="140" w:hanging="426"/>
        <w:spacing w:after="0" w:line="483" w:lineRule="auto"/>
        <w:tabs>
          <w:tab w:leader="none" w:pos="426"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 of December 31, 2025, we had outstanding SBA debentures of $237.5 million; we had $325.0 million outstanding of our Notes; we had secured borrowings outstanding of $12.0 million; we had $83.9 million outstanding borrowings under our special purpose vehicle credit facility with ING Capital, LLC (the “SPV Credit Facility”), which has a total commitment of $225.0 million. Interest payments on borrowed funds is based on estimated annual interest and fee expenses on outstanding SBA debentures, the Notes, secured borrowings and outstanding borrowings under the SPV Credit Facility as of December 31, 2025 with a weighted average stated interest rate of 5.230% as of that date. We also pay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We have estimated the annual interest expense on borrowed funds and caution you that our actual interest expense will depend on prevailing interest rates and our rate of borrowing, which may be substantially higher than the estimate provided in this table.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49 / 58</w:t>
      </w:r>
    </w:p>
    <w:p>
      <w:pPr>
        <w:sectPr>
          <w:pgSz w:w="11900" w:h="16838" w:orient="portrait"/>
          <w:cols w:equalWidth="0" w:num="1">
            <w:col w:w="9406"/>
          </w:cols>
          <w:pgMar w:left="1254" w:top="1440" w:right="1246" w:bottom="0" w:gutter="0" w:footer="0" w:header="0"/>
          <w:type w:val="continuous"/>
        </w:sectPr>
      </w:pPr>
    </w:p>
    <w:bookmarkStart w:id="117" w:name="page118"/>
    <w:bookmarkEnd w:id="117"/>
    <w:p>
      <w:pPr>
        <w:ind w:left="426" w:right="40" w:hanging="426"/>
        <w:spacing w:after="0" w:line="481" w:lineRule="auto"/>
        <w:tabs>
          <w:tab w:leader="none" w:pos="426" w:val="left"/>
        </w:tabs>
        <w:numPr>
          <w:ilvl w:val="0"/>
          <w:numId w:val="49"/>
        </w:numPr>
        <w:rPr>
          <w:rFonts w:ascii="Arial" w:cs="Arial" w:eastAsia="Arial" w:hAnsi="Arial"/>
          <w:sz w:val="13"/>
          <w:szCs w:val="13"/>
          <w:color w:val="auto"/>
        </w:rPr>
      </w:pPr>
      <w:r>
        <w:rPr>
          <w:rFonts w:ascii="Arial" w:cs="Arial" w:eastAsia="Arial" w:hAnsi="Arial"/>
          <w:sz w:val="13"/>
          <w:szCs w:val="13"/>
          <w:color w:val="auto"/>
        </w:rPr>
        <w:t>Other expenses represent our estimated annual operating expenses, as a percentage of net assets attributable to common shares estimated for the year ended December 31, 2025, including professional fees, directors’ fees, insurance costs, expenses of our dividend reinvestment plan and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Item 1. “Business — Management and Other Agreements—Administration Agreement.” Other expenses exclude interest payments on borrowed funds and for issuances of debt securities or preferred stock, interest payments on debt securities and distributions with respect to preferred stock. “Other expenses” are based on actual other expenses for the year ended December 31, 2025.</w:t>
      </w:r>
    </w:p>
    <w:p>
      <w:pPr>
        <w:spacing w:after="0" w:line="2" w:lineRule="exact"/>
        <w:rPr>
          <w:rFonts w:ascii="Arial" w:cs="Arial" w:eastAsia="Arial" w:hAnsi="Arial"/>
          <w:sz w:val="13"/>
          <w:szCs w:val="13"/>
          <w:color w:val="auto"/>
        </w:rPr>
      </w:pPr>
    </w:p>
    <w:p>
      <w:pPr>
        <w:ind w:left="426" w:right="40" w:hanging="426"/>
        <w:spacing w:after="0" w:line="412" w:lineRule="auto"/>
        <w:tabs>
          <w:tab w:leader="none" w:pos="426" w:val="left"/>
        </w:tabs>
        <w:numPr>
          <w:ilvl w:val="0"/>
          <w:numId w:val="49"/>
        </w:numPr>
        <w:rPr>
          <w:rFonts w:ascii="Arial" w:cs="Arial" w:eastAsia="Arial" w:hAnsi="Arial"/>
          <w:sz w:val="15"/>
          <w:szCs w:val="15"/>
          <w:color w:val="auto"/>
        </w:rPr>
      </w:pPr>
      <w:r>
        <w:rPr>
          <w:rFonts w:ascii="Arial" w:cs="Arial" w:eastAsia="Arial" w:hAnsi="Arial"/>
          <w:sz w:val="15"/>
          <w:szCs w:val="15"/>
          <w:color w:val="auto"/>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spacing w:after="0" w:line="11" w:lineRule="exact"/>
        <w:rPr>
          <w:rFonts w:ascii="Arial" w:cs="Arial" w:eastAsia="Arial" w:hAnsi="Arial"/>
          <w:sz w:val="15"/>
          <w:szCs w:val="15"/>
          <w:color w:val="auto"/>
        </w:rPr>
      </w:pPr>
    </w:p>
    <w:p>
      <w:pPr>
        <w:ind w:left="426" w:right="240" w:hanging="426"/>
        <w:spacing w:after="0" w:line="412" w:lineRule="auto"/>
        <w:tabs>
          <w:tab w:leader="none" w:pos="426"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Board of Directors accepted a voluntary, non-contractual, and unconditional waiver from the Investment Advisor to exclude any investments recorded as secured borrowings as defined under U.S. GAAP from the base management fee payable as of December 31, 2025. The base management fee waived for the year ended December 31, 2025 was $0.2 million.</w:t>
      </w:r>
    </w:p>
    <w:p>
      <w:pPr>
        <w:spacing w:after="0" w:line="11" w:lineRule="exact"/>
        <w:rPr>
          <w:rFonts w:ascii="Arial" w:cs="Arial" w:eastAsia="Arial" w:hAnsi="Arial"/>
          <w:sz w:val="15"/>
          <w:szCs w:val="15"/>
          <w:color w:val="auto"/>
        </w:rPr>
      </w:pPr>
    </w:p>
    <w:p>
      <w:pPr>
        <w:ind w:left="426" w:hanging="426"/>
        <w:spacing w:after="0" w:line="449" w:lineRule="auto"/>
        <w:tabs>
          <w:tab w:leader="none" w:pos="42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6.58% of average consolidated total assets.</w:t>
      </w:r>
    </w:p>
    <w:p>
      <w:pPr>
        <w:spacing w:after="0" w:line="24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Example</w:t>
      </w:r>
    </w:p>
    <w:p>
      <w:pPr>
        <w:spacing w:after="0" w:line="200" w:lineRule="exact"/>
        <w:rPr>
          <w:sz w:val="20"/>
          <w:szCs w:val="20"/>
          <w:color w:val="auto"/>
        </w:rPr>
      </w:pPr>
    </w:p>
    <w:p>
      <w:pPr>
        <w:jc w:val="both"/>
        <w:ind w:left="6" w:right="40" w:firstLine="401"/>
        <w:spacing w:after="0" w:line="330" w:lineRule="auto"/>
        <w:rPr>
          <w:sz w:val="20"/>
          <w:szCs w:val="20"/>
          <w:color w:val="auto"/>
        </w:rPr>
      </w:pPr>
      <w:r>
        <w:rPr>
          <w:rFonts w:ascii="Arial" w:cs="Arial" w:eastAsia="Arial" w:hAnsi="Arial"/>
          <w:sz w:val="19"/>
          <w:szCs w:val="19"/>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and that our annual operating expenses would remain at the levels set forth in the table above, including giving effect to the management fee waiver described in the table above. Transaction expenses are not included in the following example.</w:t>
      </w:r>
    </w:p>
    <w:p>
      <w:pPr>
        <w:spacing w:after="0" w:line="318" w:lineRule="exact"/>
        <w:rPr>
          <w:sz w:val="20"/>
          <w:szCs w:val="20"/>
          <w:color w:val="auto"/>
        </w:rPr>
      </w:pPr>
    </w:p>
    <w:tbl>
      <w:tblPr>
        <w:tblLayout w:type="fixed"/>
        <w:tblInd w:w="286"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1 year</w:t>
            </w:r>
          </w:p>
        </w:tc>
        <w:tc>
          <w:tcPr>
            <w:tcW w:w="880" w:type="dxa"/>
            <w:vAlign w:val="bottom"/>
          </w:tcPr>
          <w:p>
            <w:pPr>
              <w:ind w:left="140"/>
              <w:spacing w:after="0"/>
              <w:rPr>
                <w:sz w:val="20"/>
                <w:szCs w:val="20"/>
                <w:color w:val="auto"/>
              </w:rPr>
            </w:pPr>
            <w:r>
              <w:rPr>
                <w:rFonts w:ascii="Arial" w:cs="Arial" w:eastAsia="Arial" w:hAnsi="Arial"/>
                <w:sz w:val="20"/>
                <w:szCs w:val="20"/>
                <w:b w:val="1"/>
                <w:bCs w:val="1"/>
                <w:color w:val="auto"/>
              </w:rPr>
              <w:t>3 years</w:t>
            </w:r>
          </w:p>
        </w:tc>
        <w:tc>
          <w:tcPr>
            <w:tcW w:w="880" w:type="dxa"/>
            <w:vAlign w:val="bottom"/>
          </w:tcPr>
          <w:p>
            <w:pPr>
              <w:ind w:left="140"/>
              <w:spacing w:after="0"/>
              <w:rPr>
                <w:sz w:val="20"/>
                <w:szCs w:val="20"/>
                <w:color w:val="auto"/>
              </w:rPr>
            </w:pPr>
            <w:r>
              <w:rPr>
                <w:rFonts w:ascii="Arial" w:cs="Arial" w:eastAsia="Arial" w:hAnsi="Arial"/>
                <w:sz w:val="20"/>
                <w:szCs w:val="20"/>
                <w:b w:val="1"/>
                <w:bCs w:val="1"/>
                <w:color w:val="auto"/>
              </w:rPr>
              <w:t>5 years</w:t>
            </w:r>
          </w:p>
        </w:tc>
        <w:tc>
          <w:tcPr>
            <w:tcW w:w="840" w:type="dxa"/>
            <w:vAlign w:val="bottom"/>
          </w:tcPr>
          <w:p>
            <w:pPr>
              <w:ind w:left="140"/>
              <w:spacing w:after="0"/>
              <w:rPr>
                <w:sz w:val="20"/>
                <w:szCs w:val="20"/>
                <w:color w:val="auto"/>
              </w:rPr>
            </w:pPr>
            <w:r>
              <w:rPr>
                <w:rFonts w:ascii="Arial" w:cs="Arial" w:eastAsia="Arial" w:hAnsi="Arial"/>
                <w:sz w:val="20"/>
                <w:szCs w:val="20"/>
                <w:b w:val="1"/>
                <w:bCs w:val="1"/>
                <w:color w:val="auto"/>
                <w:w w:val="84"/>
              </w:rPr>
              <w:t>10 years</w:t>
            </w:r>
          </w:p>
        </w:tc>
      </w:tr>
      <w:tr>
        <w:trPr>
          <w:trHeight w:val="640"/>
        </w:trPr>
        <w:tc>
          <w:tcPr>
            <w:tcW w:w="5360" w:type="dxa"/>
            <w:vAlign w:val="bottom"/>
          </w:tcPr>
          <w:p>
            <w:pPr>
              <w:spacing w:after="0"/>
              <w:rPr>
                <w:sz w:val="20"/>
                <w:szCs w:val="20"/>
                <w:color w:val="auto"/>
              </w:rPr>
            </w:pPr>
            <w:r>
              <w:rPr>
                <w:rFonts w:ascii="Arial" w:cs="Arial" w:eastAsia="Arial" w:hAnsi="Arial"/>
                <w:sz w:val="20"/>
                <w:szCs w:val="20"/>
                <w:color w:val="auto"/>
                <w:w w:val="95"/>
              </w:rPr>
              <w:t>You would pay the following expenses on a $1,000 investment,</w:t>
            </w:r>
          </w:p>
        </w:tc>
        <w:tc>
          <w:tcPr>
            <w:tcW w:w="760" w:type="dxa"/>
            <w:vAlign w:val="bottom"/>
          </w:tcPr>
          <w:p>
            <w:pPr>
              <w:ind w:left="80"/>
              <w:spacing w:after="0"/>
              <w:rPr>
                <w:sz w:val="20"/>
                <w:szCs w:val="20"/>
                <w:color w:val="auto"/>
              </w:rPr>
            </w:pPr>
            <w:r>
              <w:rPr>
                <w:rFonts w:ascii="Arial" w:cs="Arial" w:eastAsia="Arial" w:hAnsi="Arial"/>
                <w:sz w:val="20"/>
                <w:szCs w:val="20"/>
                <w:color w:val="auto"/>
              </w:rPr>
              <w:t>$</w:t>
            </w:r>
          </w:p>
        </w:tc>
        <w:tc>
          <w:tcPr>
            <w:tcW w:w="880" w:type="dxa"/>
            <w:vAlign w:val="bottom"/>
          </w:tcPr>
          <w:p>
            <w:pPr>
              <w:ind w:left="140"/>
              <w:spacing w:after="0"/>
              <w:rPr>
                <w:sz w:val="20"/>
                <w:szCs w:val="20"/>
                <w:color w:val="auto"/>
              </w:rPr>
            </w:pPr>
            <w:r>
              <w:rPr>
                <w:rFonts w:ascii="Arial" w:cs="Arial" w:eastAsia="Arial" w:hAnsi="Arial"/>
                <w:sz w:val="20"/>
                <w:szCs w:val="20"/>
                <w:color w:val="auto"/>
              </w:rPr>
              <w:t>$</w:t>
            </w:r>
          </w:p>
        </w:tc>
        <w:tc>
          <w:tcPr>
            <w:tcW w:w="880" w:type="dxa"/>
            <w:vAlign w:val="bottom"/>
          </w:tcPr>
          <w:p>
            <w:pPr>
              <w:ind w:left="140"/>
              <w:spacing w:after="0"/>
              <w:rPr>
                <w:sz w:val="20"/>
                <w:szCs w:val="20"/>
                <w:color w:val="auto"/>
              </w:rPr>
            </w:pPr>
            <w:r>
              <w:rPr>
                <w:rFonts w:ascii="Arial" w:cs="Arial" w:eastAsia="Arial" w:hAnsi="Arial"/>
                <w:sz w:val="20"/>
                <w:szCs w:val="20"/>
                <w:color w:val="auto"/>
              </w:rPr>
              <w:t>$</w:t>
            </w:r>
          </w:p>
        </w:tc>
        <w:tc>
          <w:tcPr>
            <w:tcW w:w="840" w:type="dxa"/>
            <w:vAlign w:val="bottom"/>
          </w:tcPr>
          <w:p>
            <w:pPr>
              <w:ind w:left="140"/>
              <w:spacing w:after="0"/>
              <w:rPr>
                <w:sz w:val="20"/>
                <w:szCs w:val="20"/>
                <w:color w:val="auto"/>
              </w:rPr>
            </w:pPr>
            <w:r>
              <w:rPr>
                <w:rFonts w:ascii="Arial" w:cs="Arial" w:eastAsia="Arial" w:hAnsi="Arial"/>
                <w:sz w:val="20"/>
                <w:szCs w:val="20"/>
                <w:color w:val="auto"/>
              </w:rPr>
              <w:t>$</w:t>
            </w:r>
          </w:p>
        </w:tc>
      </w:tr>
      <w:tr>
        <w:trPr>
          <w:trHeight w:val="300"/>
        </w:trPr>
        <w:tc>
          <w:tcPr>
            <w:tcW w:w="5360" w:type="dxa"/>
            <w:vAlign w:val="bottom"/>
          </w:tcPr>
          <w:p>
            <w:pPr>
              <w:ind w:left="120"/>
              <w:spacing w:after="0"/>
              <w:rPr>
                <w:sz w:val="20"/>
                <w:szCs w:val="20"/>
                <w:color w:val="auto"/>
              </w:rPr>
            </w:pPr>
            <w:r>
              <w:rPr>
                <w:rFonts w:ascii="Arial" w:cs="Arial" w:eastAsia="Arial" w:hAnsi="Arial"/>
                <w:sz w:val="20"/>
                <w:szCs w:val="20"/>
                <w:color w:val="auto"/>
              </w:rPr>
              <w:t>assuming a 5.0% annual return</w:t>
            </w:r>
          </w:p>
        </w:tc>
        <w:tc>
          <w:tcPr>
            <w:tcW w:w="760" w:type="dxa"/>
            <w:vAlign w:val="bottom"/>
          </w:tcPr>
          <w:p>
            <w:pPr>
              <w:ind w:left="80"/>
              <w:spacing w:after="0"/>
              <w:rPr>
                <w:sz w:val="20"/>
                <w:szCs w:val="20"/>
                <w:color w:val="auto"/>
              </w:rPr>
            </w:pPr>
            <w:r>
              <w:rPr>
                <w:rFonts w:ascii="Arial" w:cs="Arial" w:eastAsia="Arial" w:hAnsi="Arial"/>
                <w:sz w:val="20"/>
                <w:szCs w:val="20"/>
                <w:color w:val="auto"/>
              </w:rPr>
              <w:t>116</w:t>
            </w:r>
          </w:p>
        </w:tc>
        <w:tc>
          <w:tcPr>
            <w:tcW w:w="880" w:type="dxa"/>
            <w:vAlign w:val="bottom"/>
          </w:tcPr>
          <w:p>
            <w:pPr>
              <w:ind w:left="140"/>
              <w:spacing w:after="0"/>
              <w:rPr>
                <w:sz w:val="20"/>
                <w:szCs w:val="20"/>
                <w:color w:val="auto"/>
              </w:rPr>
            </w:pPr>
            <w:r>
              <w:rPr>
                <w:rFonts w:ascii="Arial" w:cs="Arial" w:eastAsia="Arial" w:hAnsi="Arial"/>
                <w:sz w:val="20"/>
                <w:szCs w:val="20"/>
                <w:color w:val="auto"/>
              </w:rPr>
              <w:t>325</w:t>
            </w:r>
          </w:p>
        </w:tc>
        <w:tc>
          <w:tcPr>
            <w:tcW w:w="880" w:type="dxa"/>
            <w:vAlign w:val="bottom"/>
          </w:tcPr>
          <w:p>
            <w:pPr>
              <w:ind w:left="140"/>
              <w:spacing w:after="0"/>
              <w:rPr>
                <w:sz w:val="20"/>
                <w:szCs w:val="20"/>
                <w:color w:val="auto"/>
              </w:rPr>
            </w:pPr>
            <w:r>
              <w:rPr>
                <w:rFonts w:ascii="Arial" w:cs="Arial" w:eastAsia="Arial" w:hAnsi="Arial"/>
                <w:sz w:val="20"/>
                <w:szCs w:val="20"/>
                <w:color w:val="auto"/>
              </w:rPr>
              <w:t>505</w:t>
            </w:r>
          </w:p>
        </w:tc>
        <w:tc>
          <w:tcPr>
            <w:tcW w:w="840" w:type="dxa"/>
            <w:vAlign w:val="bottom"/>
          </w:tcPr>
          <w:p>
            <w:pPr>
              <w:ind w:left="140"/>
              <w:spacing w:after="0"/>
              <w:rPr>
                <w:sz w:val="20"/>
                <w:szCs w:val="20"/>
                <w:color w:val="auto"/>
              </w:rPr>
            </w:pPr>
            <w:r>
              <w:rPr>
                <w:rFonts w:ascii="Arial" w:cs="Arial" w:eastAsia="Arial" w:hAnsi="Arial"/>
                <w:sz w:val="20"/>
                <w:szCs w:val="20"/>
                <w:color w:val="auto"/>
              </w:rPr>
              <w:t>855</w:t>
            </w:r>
          </w:p>
        </w:tc>
      </w:tr>
      <w:tr>
        <w:trPr>
          <w:trHeight w:val="320"/>
        </w:trPr>
        <w:tc>
          <w:tcPr>
            <w:tcW w:w="5360" w:type="dxa"/>
            <w:vAlign w:val="bottom"/>
          </w:tcPr>
          <w:p>
            <w:pPr>
              <w:spacing w:after="0"/>
              <w:rPr>
                <w:sz w:val="20"/>
                <w:szCs w:val="20"/>
                <w:color w:val="auto"/>
              </w:rPr>
            </w:pPr>
            <w:r>
              <w:rPr>
                <w:rFonts w:ascii="Arial" w:cs="Arial" w:eastAsia="Arial" w:hAnsi="Arial"/>
                <w:sz w:val="20"/>
                <w:szCs w:val="20"/>
                <w:color w:val="auto"/>
                <w:w w:val="95"/>
              </w:rPr>
              <w:t>You would pay the following expenses on a $1,000 investment,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5360" w:type="dxa"/>
            <w:vAlign w:val="bottom"/>
          </w:tcPr>
          <w:p>
            <w:pPr>
              <w:ind w:left="120"/>
              <w:spacing w:after="0"/>
              <w:rPr>
                <w:sz w:val="20"/>
                <w:szCs w:val="20"/>
                <w:color w:val="auto"/>
              </w:rPr>
            </w:pPr>
            <w:r>
              <w:rPr>
                <w:rFonts w:ascii="Arial" w:cs="Arial" w:eastAsia="Arial" w:hAnsi="Arial"/>
                <w:sz w:val="20"/>
                <w:szCs w:val="20"/>
                <w:color w:val="auto"/>
              </w:rPr>
              <w:t>assuming a 5.0% annual return resulting entirely from net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5360" w:type="dxa"/>
            <w:vAlign w:val="bottom"/>
          </w:tcPr>
          <w:p>
            <w:pPr>
              <w:ind w:left="120"/>
              <w:spacing w:after="0"/>
              <w:rPr>
                <w:sz w:val="20"/>
                <w:szCs w:val="20"/>
                <w:color w:val="auto"/>
              </w:rPr>
            </w:pPr>
            <w:r>
              <w:rPr>
                <w:rFonts w:ascii="Arial" w:cs="Arial" w:eastAsia="Arial" w:hAnsi="Arial"/>
                <w:sz w:val="20"/>
                <w:szCs w:val="20"/>
                <w:color w:val="auto"/>
                <w:w w:val="92"/>
              </w:rPr>
              <w:t>realized capital gains (all of which is subject to our incentive fee</w:t>
            </w:r>
          </w:p>
        </w:tc>
        <w:tc>
          <w:tcPr>
            <w:tcW w:w="760" w:type="dxa"/>
            <w:vAlign w:val="bottom"/>
          </w:tcPr>
          <w:p>
            <w:pPr>
              <w:ind w:left="80"/>
              <w:spacing w:after="0"/>
              <w:rPr>
                <w:sz w:val="20"/>
                <w:szCs w:val="20"/>
                <w:color w:val="auto"/>
              </w:rPr>
            </w:pPr>
            <w:r>
              <w:rPr>
                <w:rFonts w:ascii="Arial" w:cs="Arial" w:eastAsia="Arial" w:hAnsi="Arial"/>
                <w:sz w:val="20"/>
                <w:szCs w:val="20"/>
                <w:color w:val="auto"/>
              </w:rPr>
              <w:t>$</w:t>
            </w:r>
          </w:p>
        </w:tc>
        <w:tc>
          <w:tcPr>
            <w:tcW w:w="880" w:type="dxa"/>
            <w:vAlign w:val="bottom"/>
          </w:tcPr>
          <w:p>
            <w:pPr>
              <w:ind w:left="140"/>
              <w:spacing w:after="0"/>
              <w:rPr>
                <w:sz w:val="20"/>
                <w:szCs w:val="20"/>
                <w:color w:val="auto"/>
              </w:rPr>
            </w:pPr>
            <w:r>
              <w:rPr>
                <w:rFonts w:ascii="Arial" w:cs="Arial" w:eastAsia="Arial" w:hAnsi="Arial"/>
                <w:sz w:val="20"/>
                <w:szCs w:val="20"/>
                <w:color w:val="auto"/>
              </w:rPr>
              <w:t>$</w:t>
            </w:r>
          </w:p>
        </w:tc>
        <w:tc>
          <w:tcPr>
            <w:tcW w:w="880" w:type="dxa"/>
            <w:vAlign w:val="bottom"/>
          </w:tcPr>
          <w:p>
            <w:pPr>
              <w:ind w:left="140"/>
              <w:spacing w:after="0"/>
              <w:rPr>
                <w:sz w:val="20"/>
                <w:szCs w:val="20"/>
                <w:color w:val="auto"/>
              </w:rPr>
            </w:pPr>
            <w:r>
              <w:rPr>
                <w:rFonts w:ascii="Arial" w:cs="Arial" w:eastAsia="Arial" w:hAnsi="Arial"/>
                <w:sz w:val="20"/>
                <w:szCs w:val="20"/>
                <w:color w:val="auto"/>
              </w:rPr>
              <w:t>$</w:t>
            </w:r>
          </w:p>
        </w:tc>
        <w:tc>
          <w:tcPr>
            <w:tcW w:w="840" w:type="dxa"/>
            <w:vAlign w:val="bottom"/>
          </w:tcPr>
          <w:p>
            <w:pPr>
              <w:ind w:left="140"/>
              <w:spacing w:after="0"/>
              <w:rPr>
                <w:sz w:val="20"/>
                <w:szCs w:val="20"/>
                <w:color w:val="auto"/>
              </w:rPr>
            </w:pPr>
            <w:r>
              <w:rPr>
                <w:rFonts w:ascii="Arial" w:cs="Arial" w:eastAsia="Arial" w:hAnsi="Arial"/>
                <w:sz w:val="20"/>
                <w:szCs w:val="20"/>
                <w:color w:val="auto"/>
              </w:rPr>
              <w:t>$</w:t>
            </w:r>
          </w:p>
        </w:tc>
      </w:tr>
      <w:tr>
        <w:trPr>
          <w:trHeight w:val="300"/>
        </w:trPr>
        <w:tc>
          <w:tcPr>
            <w:tcW w:w="5360" w:type="dxa"/>
            <w:vAlign w:val="bottom"/>
          </w:tcPr>
          <w:p>
            <w:pPr>
              <w:ind w:left="120"/>
              <w:spacing w:after="0"/>
              <w:rPr>
                <w:sz w:val="20"/>
                <w:szCs w:val="20"/>
                <w:color w:val="auto"/>
              </w:rPr>
            </w:pPr>
            <w:r>
              <w:rPr>
                <w:rFonts w:ascii="Arial" w:cs="Arial" w:eastAsia="Arial" w:hAnsi="Arial"/>
                <w:sz w:val="20"/>
                <w:szCs w:val="20"/>
                <w:color w:val="auto"/>
              </w:rPr>
              <w:t>on capital gains)</w:t>
            </w:r>
          </w:p>
        </w:tc>
        <w:tc>
          <w:tcPr>
            <w:tcW w:w="760" w:type="dxa"/>
            <w:vAlign w:val="bottom"/>
          </w:tcPr>
          <w:p>
            <w:pPr>
              <w:ind w:left="80"/>
              <w:spacing w:after="0"/>
              <w:rPr>
                <w:sz w:val="20"/>
                <w:szCs w:val="20"/>
                <w:color w:val="auto"/>
              </w:rPr>
            </w:pPr>
            <w:r>
              <w:rPr>
                <w:rFonts w:ascii="Arial" w:cs="Arial" w:eastAsia="Arial" w:hAnsi="Arial"/>
                <w:sz w:val="20"/>
                <w:szCs w:val="20"/>
                <w:color w:val="auto"/>
              </w:rPr>
              <w:t>125</w:t>
            </w:r>
          </w:p>
        </w:tc>
        <w:tc>
          <w:tcPr>
            <w:tcW w:w="880" w:type="dxa"/>
            <w:vAlign w:val="bottom"/>
          </w:tcPr>
          <w:p>
            <w:pPr>
              <w:ind w:left="140"/>
              <w:spacing w:after="0"/>
              <w:rPr>
                <w:sz w:val="20"/>
                <w:szCs w:val="20"/>
                <w:color w:val="auto"/>
              </w:rPr>
            </w:pPr>
            <w:r>
              <w:rPr>
                <w:rFonts w:ascii="Arial" w:cs="Arial" w:eastAsia="Arial" w:hAnsi="Arial"/>
                <w:sz w:val="20"/>
                <w:szCs w:val="20"/>
                <w:color w:val="auto"/>
              </w:rPr>
              <w:t>346</w:t>
            </w:r>
          </w:p>
        </w:tc>
        <w:tc>
          <w:tcPr>
            <w:tcW w:w="880" w:type="dxa"/>
            <w:vAlign w:val="bottom"/>
          </w:tcPr>
          <w:p>
            <w:pPr>
              <w:ind w:left="140"/>
              <w:spacing w:after="0"/>
              <w:rPr>
                <w:sz w:val="20"/>
                <w:szCs w:val="20"/>
                <w:color w:val="auto"/>
              </w:rPr>
            </w:pPr>
            <w:r>
              <w:rPr>
                <w:rFonts w:ascii="Arial" w:cs="Arial" w:eastAsia="Arial" w:hAnsi="Arial"/>
                <w:sz w:val="20"/>
                <w:szCs w:val="20"/>
                <w:color w:val="auto"/>
              </w:rPr>
              <w:t>533</w:t>
            </w:r>
          </w:p>
        </w:tc>
        <w:tc>
          <w:tcPr>
            <w:tcW w:w="840" w:type="dxa"/>
            <w:vAlign w:val="bottom"/>
          </w:tcPr>
          <w:p>
            <w:pPr>
              <w:ind w:left="140"/>
              <w:spacing w:after="0"/>
              <w:rPr>
                <w:sz w:val="20"/>
                <w:szCs w:val="20"/>
                <w:color w:val="auto"/>
              </w:rPr>
            </w:pPr>
            <w:r>
              <w:rPr>
                <w:rFonts w:ascii="Arial" w:cs="Arial" w:eastAsia="Arial" w:hAnsi="Arial"/>
                <w:sz w:val="20"/>
                <w:szCs w:val="20"/>
                <w:color w:val="auto"/>
              </w:rPr>
              <w:t>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-1344930</wp:posOffset>
            </wp:positionV>
            <wp:extent cx="215074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0745" cy="12700"/>
                    </a:xfrm>
                    <a:prstGeom prst="rect">
                      <a:avLst/>
                    </a:prstGeom>
                    <a:noFill/>
                  </pic:spPr>
                </pic:pic>
              </a:graphicData>
            </a:graphic>
          </wp:anchor>
        </w:drawing>
      </w:r>
    </w:p>
    <w:p>
      <w:pPr>
        <w:spacing w:after="0" w:line="240" w:lineRule="exact"/>
        <w:rPr>
          <w:sz w:val="20"/>
          <w:szCs w:val="20"/>
          <w:color w:val="auto"/>
        </w:rPr>
      </w:pPr>
    </w:p>
    <w:p>
      <w:pPr>
        <w:jc w:val="both"/>
        <w:ind w:left="6" w:right="60" w:firstLine="401"/>
        <w:spacing w:after="0" w:line="329" w:lineRule="auto"/>
        <w:rPr>
          <w:sz w:val="20"/>
          <w:szCs w:val="20"/>
          <w:color w:val="auto"/>
        </w:rPr>
      </w:pPr>
      <w:r>
        <w:rPr>
          <w:rFonts w:ascii="Arial" w:cs="Arial" w:eastAsia="Arial" w:hAnsi="Arial"/>
          <w:sz w:val="19"/>
          <w:szCs w:val="19"/>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w:t>
      </w:r>
    </w:p>
    <w:p>
      <w:pPr>
        <w:jc w:val="center"/>
        <w:ind w:right="-5"/>
        <w:spacing w:after="0" w:line="234" w:lineRule="auto"/>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21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50 / 58</w:t>
      </w:r>
    </w:p>
    <w:p>
      <w:pPr>
        <w:sectPr>
          <w:pgSz w:w="11900" w:h="16838" w:orient="portrait"/>
          <w:cols w:equalWidth="0" w:num="1">
            <w:col w:w="9406"/>
          </w:cols>
          <w:pgMar w:left="1254" w:top="1217" w:right="1246" w:bottom="0"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196" w:lineRule="exact"/>
        <w:rPr>
          <w:sz w:val="20"/>
          <w:szCs w:val="20"/>
          <w:color w:val="auto"/>
        </w:rPr>
      </w:pPr>
    </w:p>
    <w:p>
      <w:pPr>
        <w:jc w:val="both"/>
        <w:ind w:right="40" w:firstLine="401"/>
        <w:spacing w:after="0" w:line="307" w:lineRule="auto"/>
        <w:rPr>
          <w:sz w:val="20"/>
          <w:szCs w:val="20"/>
          <w:color w:val="auto"/>
        </w:rPr>
      </w:pPr>
      <w:r>
        <w:rPr>
          <w:rFonts w:ascii="Arial" w:cs="Arial" w:eastAsia="Arial" w:hAnsi="Arial"/>
          <w:sz w:val="20"/>
          <w:szCs w:val="20"/>
          <w:color w:val="auto"/>
        </w:rPr>
        <w:t>These examples and the expenses in the table above should not be considered a representation of our future expenses, and actual expenses (including the cost of debt, if any, and other expenses) may be greater or less than those shown.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engage in any sales of unregistered securities during the fiscal year ended December 31, 2025.</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80"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3, 2025, the Board extended the Stock Repurchase Program through December 31, 2026,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We did not make any repurchases of common stock during the years ended December 31, 2025, 2024, and 2023. Refer to Note 9 to our consolidated financial statements for additional information concerning stock repurchases.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 / 58</w:t>
      </w:r>
    </w:p>
    <w:p>
      <w:pPr>
        <w:sectPr>
          <w:pgSz w:w="11900" w:h="16838" w:orient="portrait"/>
          <w:cols w:equalWidth="0" w:num="1">
            <w:col w:w="9360"/>
          </w:cols>
          <w:pgMar w:left="1260" w:top="1440" w:right="1286"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60" w:lineRule="exact"/>
        <w:rPr>
          <w:sz w:val="20"/>
          <w:szCs w:val="20"/>
          <w:color w:val="auto"/>
        </w:rPr>
      </w:pPr>
    </w:p>
    <w:p>
      <w:pPr>
        <w:ind w:right="40" w:firstLine="251"/>
        <w:spacing w:after="0" w:line="311" w:lineRule="auto"/>
        <w:rPr>
          <w:sz w:val="20"/>
          <w:szCs w:val="20"/>
          <w:color w:val="auto"/>
        </w:rPr>
      </w:pPr>
      <w:r>
        <w:rPr>
          <w:rFonts w:ascii="Arial" w:cs="Arial" w:eastAsia="Arial" w:hAnsi="Arial"/>
          <w:sz w:val="20"/>
          <w:szCs w:val="20"/>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192" w:lineRule="exact"/>
        <w:rPr>
          <w:sz w:val="20"/>
          <w:szCs w:val="20"/>
          <w:color w:val="auto"/>
        </w:rPr>
      </w:pPr>
    </w:p>
    <w:p>
      <w:pPr>
        <w:jc w:val="both"/>
        <w:ind w:right="60" w:firstLine="251"/>
        <w:spacing w:after="0" w:line="302" w:lineRule="auto"/>
        <w:rPr>
          <w:sz w:val="20"/>
          <w:szCs w:val="20"/>
          <w:color w:val="auto"/>
        </w:rPr>
      </w:pPr>
      <w:r>
        <w:rPr>
          <w:rFonts w:ascii="Arial" w:cs="Arial" w:eastAsia="Arial" w:hAnsi="Arial"/>
          <w:sz w:val="20"/>
          <w:szCs w:val="20"/>
          <w:i w:val="1"/>
          <w:iCs w:val="1"/>
          <w:color w:val="auto"/>
        </w:rPr>
        <w:t>Except as otherwise specified, references to “we,” “us,” “our,” “Fidus” and “FIC” refer to Fidus Investment Corporation and its consolidated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General and Corporate Structure</w:t>
      </w:r>
    </w:p>
    <w:p>
      <w:pPr>
        <w:spacing w:after="0" w:line="260" w:lineRule="exact"/>
        <w:rPr>
          <w:sz w:val="20"/>
          <w:szCs w:val="20"/>
          <w:color w:val="auto"/>
        </w:rPr>
      </w:pPr>
    </w:p>
    <w:p>
      <w:pPr>
        <w:jc w:val="both"/>
        <w:ind w:right="40" w:firstLine="400"/>
        <w:spacing w:after="0" w:line="329" w:lineRule="auto"/>
        <w:rPr>
          <w:sz w:val="20"/>
          <w:szCs w:val="20"/>
          <w:color w:val="auto"/>
        </w:rPr>
      </w:pPr>
      <w:r>
        <w:rPr>
          <w:rFonts w:ascii="Arial" w:cs="Arial" w:eastAsia="Arial" w:hAnsi="Arial"/>
          <w:sz w:val="19"/>
          <w:szCs w:val="19"/>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84"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We commenced operations of Fund II, Fund III and Fund IV, each a wholly owned subsidiary, on March 29, 2013, April 18, 2018, and November 28, 2023, respectively.</w:t>
      </w:r>
    </w:p>
    <w:p>
      <w:pPr>
        <w:spacing w:after="0" w:line="184" w:lineRule="exact"/>
        <w:rPr>
          <w:sz w:val="20"/>
          <w:szCs w:val="20"/>
          <w:color w:val="auto"/>
        </w:rPr>
      </w:pPr>
    </w:p>
    <w:p>
      <w:pPr>
        <w:jc w:val="both"/>
        <w:ind w:right="20" w:firstLine="400"/>
        <w:spacing w:after="0" w:line="311" w:lineRule="auto"/>
        <w:rPr>
          <w:sz w:val="20"/>
          <w:szCs w:val="20"/>
          <w:color w:val="auto"/>
        </w:rPr>
      </w:pPr>
      <w:r>
        <w:rPr>
          <w:rFonts w:ascii="Arial" w:cs="Arial" w:eastAsia="Arial" w:hAnsi="Arial"/>
          <w:sz w:val="20"/>
          <w:szCs w:val="20"/>
          <w:color w:val="auto"/>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spacing w:after="0" w:line="194" w:lineRule="exact"/>
        <w:rPr>
          <w:sz w:val="20"/>
          <w:szCs w:val="20"/>
          <w:color w:val="auto"/>
        </w:rPr>
      </w:pPr>
    </w:p>
    <w:p>
      <w:pPr>
        <w:jc w:val="both"/>
        <w:ind w:right="40" w:firstLine="400"/>
        <w:spacing w:after="0" w:line="351" w:lineRule="auto"/>
        <w:rPr>
          <w:sz w:val="20"/>
          <w:szCs w:val="20"/>
          <w:color w:val="auto"/>
        </w:rPr>
      </w:pPr>
      <w:r>
        <w:rPr>
          <w:rFonts w:ascii="Arial" w:cs="Arial" w:eastAsia="Arial" w:hAnsi="Arial"/>
          <w:sz w:val="18"/>
          <w:szCs w:val="18"/>
          <w:color w:val="auto"/>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 / 58</w:t>
      </w:r>
    </w:p>
    <w:p>
      <w:pPr>
        <w:sectPr>
          <w:pgSz w:w="11900" w:h="16838" w:orient="portrait"/>
          <w:cols w:equalWidth="0" w:num="1">
            <w:col w:w="9380"/>
          </w:cols>
          <w:pgMar w:left="1260" w:top="1440" w:right="1266" w:bottom="0" w:gutter="0" w:footer="0" w:header="0"/>
          <w:type w:val="continuous"/>
        </w:sectPr>
      </w:pPr>
    </w:p>
    <w:bookmarkStart w:id="120" w:name="page121"/>
    <w:bookmarkEnd w:id="120"/>
    <w:p>
      <w:pPr>
        <w:jc w:val="both"/>
        <w:spacing w:after="0" w:line="350" w:lineRule="auto"/>
        <w:rPr>
          <w:sz w:val="20"/>
          <w:szCs w:val="20"/>
          <w:color w:val="auto"/>
        </w:rPr>
      </w:pPr>
      <w:r>
        <w:rPr>
          <w:rFonts w:ascii="Arial" w:cs="Arial" w:eastAsia="Arial" w:hAnsi="Arial"/>
          <w:sz w:val="18"/>
          <w:szCs w:val="18"/>
          <w:color w:val="auto"/>
        </w:rPr>
        <w:t>Subsidiaries. The purpose of the Taxable Subsidiaries is to permit us to hold equity investments in portfolio companies that are classified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58</w:t>
      </w:r>
    </w:p>
    <w:p>
      <w:pPr>
        <w:sectPr>
          <w:pgSz w:w="11900" w:h="16838" w:orient="portrait"/>
          <w:cols w:equalWidth="0" w:num="1">
            <w:col w:w="9400"/>
          </w:cols>
          <w:pgMar w:left="1260" w:top="1173" w:right="1246" w:bottom="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Revenues</w:t>
      </w:r>
    </w:p>
    <w:p>
      <w:pPr>
        <w:spacing w:after="0" w:line="260"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77" w:lineRule="exact"/>
        <w:rPr>
          <w:sz w:val="20"/>
          <w:szCs w:val="20"/>
          <w:color w:val="auto"/>
        </w:rPr>
      </w:pPr>
    </w:p>
    <w:p>
      <w:pPr>
        <w:jc w:val="both"/>
        <w:ind w:right="20" w:firstLine="400"/>
        <w:spacing w:after="0" w:line="378" w:lineRule="auto"/>
        <w:rPr>
          <w:sz w:val="20"/>
          <w:szCs w:val="20"/>
          <w:color w:val="auto"/>
        </w:rPr>
      </w:pPr>
      <w:r>
        <w:rPr>
          <w:rFonts w:ascii="Arial" w:cs="Arial" w:eastAsia="Arial" w:hAnsi="Arial"/>
          <w:sz w:val="17"/>
          <w:szCs w:val="17"/>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Expenses</w:t>
      </w:r>
    </w:p>
    <w:p>
      <w:pPr>
        <w:spacing w:after="0" w:line="260" w:lineRule="exact"/>
        <w:rPr>
          <w:sz w:val="20"/>
          <w:szCs w:val="20"/>
          <w:color w:val="auto"/>
        </w:rPr>
      </w:pPr>
    </w:p>
    <w:p>
      <w:pPr>
        <w:jc w:val="both"/>
        <w:ind w:right="40" w:firstLine="400"/>
        <w:spacing w:after="0" w:line="321" w:lineRule="auto"/>
        <w:rPr>
          <w:sz w:val="20"/>
          <w:szCs w:val="20"/>
          <w:color w:val="auto"/>
        </w:rPr>
      </w:pPr>
      <w:r>
        <w:rPr>
          <w:rFonts w:ascii="Arial" w:cs="Arial" w:eastAsia="Arial" w:hAnsi="Arial"/>
          <w:sz w:val="20"/>
          <w:szCs w:val="20"/>
          <w:color w:val="auto"/>
        </w:rPr>
        <w:t>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342" w:lineRule="exact"/>
        <w:rPr>
          <w:sz w:val="20"/>
          <w:szCs w:val="20"/>
          <w:color w:val="auto"/>
        </w:rPr>
      </w:pPr>
    </w:p>
    <w:p>
      <w:pPr>
        <w:ind w:left="860" w:hanging="441"/>
        <w:spacing w:after="0"/>
        <w:tabs>
          <w:tab w:leader="none" w:pos="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organization;</w:t>
      </w:r>
    </w:p>
    <w:p>
      <w:pPr>
        <w:spacing w:after="0" w:line="79" w:lineRule="exact"/>
        <w:rPr>
          <w:rFonts w:ascii="Arial" w:cs="Arial" w:eastAsia="Arial" w:hAnsi="Arial"/>
          <w:sz w:val="20"/>
          <w:szCs w:val="20"/>
          <w:color w:val="auto"/>
        </w:rPr>
      </w:pPr>
    </w:p>
    <w:p>
      <w:pPr>
        <w:ind w:left="860" w:hanging="441"/>
        <w:spacing w:after="0"/>
        <w:tabs>
          <w:tab w:leader="none" w:pos="8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calculating our net asset value (including the cost and expenses of any independent valuation firm);</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 / 58</w:t>
      </w:r>
    </w:p>
    <w:p>
      <w:pPr>
        <w:sectPr>
          <w:pgSz w:w="11900" w:h="16838" w:orient="portrait"/>
          <w:cols w:equalWidth="0" w:num="1">
            <w:col w:w="9380"/>
          </w:cols>
          <w:pgMar w:left="1260" w:top="1440" w:right="1266" w:bottom="0" w:gutter="0" w:footer="0" w:header="0"/>
          <w:type w:val="continuous"/>
        </w:sectPr>
      </w:pPr>
    </w:p>
    <w:bookmarkStart w:id="122" w:name="page123"/>
    <w:bookmarkEnd w:id="122"/>
    <w:p>
      <w:pPr>
        <w:ind w:left="680" w:right="80" w:hanging="441"/>
        <w:spacing w:after="0" w:line="310" w:lineRule="auto"/>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4"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interest payable on debt, if any, incurred to finance our investments;</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offerings of our common stock and other securities;</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investment advisory fees and management fees;</w:t>
      </w:r>
    </w:p>
    <w:p>
      <w:pPr>
        <w:spacing w:after="0" w:line="79" w:lineRule="exact"/>
        <w:rPr>
          <w:rFonts w:ascii="Arial" w:cs="Arial" w:eastAsia="Arial" w:hAnsi="Arial"/>
          <w:sz w:val="20"/>
          <w:szCs w:val="20"/>
          <w:color w:val="auto"/>
        </w:rPr>
      </w:pPr>
    </w:p>
    <w:p>
      <w:pPr>
        <w:ind w:left="680" w:right="120" w:hanging="441"/>
        <w:spacing w:after="0" w:line="329" w:lineRule="auto"/>
        <w:tabs>
          <w:tab w:leader="none" w:pos="6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transfer agent, dividend agent and custodial fees and expenses;</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federal and state registration fees;</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costs of registration and listing our shares on any securities exchange;</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U.S. federal, state and local taxes;</w:t>
      </w:r>
    </w:p>
    <w:p>
      <w:pPr>
        <w:spacing w:after="0" w:line="70" w:lineRule="exact"/>
        <w:rPr>
          <w:rFonts w:ascii="Arial" w:cs="Arial" w:eastAsia="Arial" w:hAnsi="Arial"/>
          <w:sz w:val="20"/>
          <w:szCs w:val="20"/>
          <w:color w:val="auto"/>
        </w:rPr>
      </w:pPr>
    </w:p>
    <w:p>
      <w:pPr>
        <w:ind w:left="680" w:hanging="441"/>
        <w:spacing w:after="0"/>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Independent Directors’ fees and expenses;</w:t>
      </w:r>
    </w:p>
    <w:p>
      <w:pPr>
        <w:spacing w:after="0" w:line="79" w:lineRule="exact"/>
        <w:rPr>
          <w:rFonts w:ascii="Arial" w:cs="Arial" w:eastAsia="Arial" w:hAnsi="Arial"/>
          <w:sz w:val="20"/>
          <w:szCs w:val="20"/>
          <w:color w:val="auto"/>
        </w:rPr>
      </w:pPr>
    </w:p>
    <w:p>
      <w:pPr>
        <w:ind w:left="680" w:hanging="441"/>
        <w:spacing w:after="0" w:line="302" w:lineRule="auto"/>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costs of preparing and filing reports or other documents required by the SEC or other regulators including printing costs;</w:t>
      </w:r>
    </w:p>
    <w:p>
      <w:pPr>
        <w:spacing w:after="0" w:line="21" w:lineRule="exact"/>
        <w:rPr>
          <w:rFonts w:ascii="Arial" w:cs="Arial" w:eastAsia="Arial" w:hAnsi="Arial"/>
          <w:sz w:val="20"/>
          <w:szCs w:val="20"/>
          <w:color w:val="auto"/>
        </w:rPr>
      </w:pPr>
    </w:p>
    <w:p>
      <w:pPr>
        <w:ind w:left="680" w:right="340" w:hanging="441"/>
        <w:spacing w:after="0" w:line="302" w:lineRule="auto"/>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costs of any reports, proxy statements or other notices to stockholders, including printing and mailing costs;</w:t>
      </w:r>
    </w:p>
    <w:p>
      <w:pPr>
        <w:spacing w:after="0" w:line="21" w:lineRule="exact"/>
        <w:rPr>
          <w:rFonts w:ascii="Arial" w:cs="Arial" w:eastAsia="Arial" w:hAnsi="Arial"/>
          <w:sz w:val="20"/>
          <w:szCs w:val="20"/>
          <w:color w:val="auto"/>
        </w:rPr>
      </w:pPr>
    </w:p>
    <w:p>
      <w:pPr>
        <w:ind w:left="680" w:right="100" w:hanging="441"/>
        <w:spacing w:after="0" w:line="302" w:lineRule="auto"/>
        <w:tabs>
          <w:tab w:leader="none" w:pos="6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our allocable portion of any fidelity bond, directors and officers/errors and omissions liability insurance, and any other insurance premiums;</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55 / 58</w:t>
      </w:r>
    </w:p>
    <w:p>
      <w:pPr>
        <w:sectPr>
          <w:pgSz w:w="11900" w:h="16838" w:orient="portrait"/>
          <w:cols w:equalWidth="0" w:num="1">
            <w:col w:w="9140"/>
          </w:cols>
          <w:pgMar w:left="1440" w:top="1173" w:right="1326" w:bottom="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6" w:right="60" w:hanging="441"/>
        <w:spacing w:after="0" w:line="302" w:lineRule="auto"/>
        <w:tabs>
          <w:tab w:leader="none" w:pos="866" w:val="left"/>
        </w:tabs>
        <w:numPr>
          <w:ilvl w:val="0"/>
          <w:numId w:val="52"/>
        </w:numPr>
        <w:rPr>
          <w:rFonts w:ascii="Arial" w:cs="Arial" w:eastAsia="Arial" w:hAnsi="Arial"/>
          <w:sz w:val="20"/>
          <w:szCs w:val="20"/>
          <w:color w:val="auto"/>
        </w:rPr>
      </w:pPr>
      <w:r>
        <w:rPr>
          <w:rFonts w:ascii="Arial" w:cs="Arial" w:eastAsia="Arial" w:hAnsi="Arial"/>
          <w:sz w:val="20"/>
          <w:szCs w:val="20"/>
          <w:color w:val="auto"/>
        </w:rPr>
        <w:t>direct costs and expenses of administration, including printing, mailing, long distance telephone, copying, secretarial and other staff, independent auditors and outside legal costs;</w:t>
      </w:r>
    </w:p>
    <w:p>
      <w:pPr>
        <w:spacing w:after="0" w:line="11" w:lineRule="exact"/>
        <w:rPr>
          <w:rFonts w:ascii="Arial" w:cs="Arial" w:eastAsia="Arial" w:hAnsi="Arial"/>
          <w:sz w:val="20"/>
          <w:szCs w:val="20"/>
          <w:color w:val="auto"/>
        </w:rPr>
      </w:pPr>
    </w:p>
    <w:p>
      <w:pPr>
        <w:ind w:left="866" w:hanging="441"/>
        <w:spacing w:after="0"/>
        <w:tabs>
          <w:tab w:leader="none" w:pos="866"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proxy voting expenses; and</w:t>
      </w:r>
    </w:p>
    <w:p>
      <w:pPr>
        <w:spacing w:after="0" w:line="79" w:lineRule="exact"/>
        <w:rPr>
          <w:rFonts w:ascii="Arial" w:cs="Arial" w:eastAsia="Arial" w:hAnsi="Arial"/>
          <w:sz w:val="20"/>
          <w:szCs w:val="20"/>
          <w:color w:val="auto"/>
        </w:rPr>
      </w:pPr>
    </w:p>
    <w:p>
      <w:pPr>
        <w:ind w:left="866" w:right="160" w:hanging="441"/>
        <w:spacing w:after="0" w:line="302" w:lineRule="auto"/>
        <w:tabs>
          <w:tab w:leader="none" w:pos="866"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other expenses reasonably incurred by us or the Investment Advisor in connection with administering our business.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Portfolio Composition, Investment Activity and Yield</w:t>
      </w:r>
    </w:p>
    <w:p>
      <w:pPr>
        <w:spacing w:after="0" w:line="320" w:lineRule="exact"/>
        <w:rPr>
          <w:sz w:val="20"/>
          <w:szCs w:val="20"/>
          <w:color w:val="auto"/>
        </w:rPr>
      </w:pPr>
    </w:p>
    <w:p>
      <w:pPr>
        <w:jc w:val="both"/>
        <w:ind w:left="6" w:right="20" w:firstLine="401"/>
        <w:spacing w:after="0" w:line="311" w:lineRule="auto"/>
        <w:rPr>
          <w:sz w:val="20"/>
          <w:szCs w:val="20"/>
          <w:color w:val="auto"/>
        </w:rPr>
      </w:pPr>
      <w:r>
        <w:rPr>
          <w:rFonts w:ascii="Arial" w:cs="Arial" w:eastAsia="Arial" w:hAnsi="Arial"/>
          <w:sz w:val="20"/>
          <w:szCs w:val="20"/>
          <w:color w:val="auto"/>
        </w:rPr>
        <w:t>During the years ended December 31, 2025 and 2024, we invested $498.2 million and $394.5 million, respectively, in debt and equity investments, including 20 and 16 new portfolio companies, respectively. During the years ended December 31, 2025 and 2024, we received proceeds from sales or repayments, including principal, return of capital dividends and net realized gains (losses), of $288.0 million and $276.9 million, respectively, including exits of eight and ten portfolio companies, respectively. The following table summarizes investment purchases and sales and repayments of investments by type for the years ended December 31, 2025 and 2024 (dollars in millions).</w:t>
      </w:r>
    </w:p>
    <w:p>
      <w:pPr>
        <w:spacing w:after="0" w:line="34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88"/>
              </w:rPr>
              <w:t>Purchases of Investments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Sales and Repayments of Investments</w:t>
            </w:r>
          </w:p>
        </w:tc>
        <w:tc>
          <w:tcPr>
            <w:tcW w:w="720" w:type="dxa"/>
            <w:vAlign w:val="bottom"/>
          </w:tcPr>
          <w:p>
            <w:pPr>
              <w:spacing w:after="0"/>
              <w:rPr>
                <w:sz w:val="18"/>
                <w:szCs w:val="18"/>
                <w:color w:val="auto"/>
              </w:rPr>
            </w:pPr>
          </w:p>
        </w:tc>
      </w:tr>
      <w:tr>
        <w:trPr>
          <w:trHeight w:val="294"/>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720" w:type="dxa"/>
            <w:vAlign w:val="bottom"/>
          </w:tcPr>
          <w:p>
            <w:pPr>
              <w:spacing w:after="0"/>
              <w:rPr>
                <w:sz w:val="24"/>
                <w:szCs w:val="24"/>
                <w:color w:val="auto"/>
              </w:rPr>
            </w:pPr>
          </w:p>
        </w:tc>
      </w:tr>
      <w:tr>
        <w:trPr>
          <w:trHeight w:val="46"/>
        </w:trPr>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48"/>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30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24"/>
                <w:szCs w:val="24"/>
                <w:color w:val="auto"/>
                <w:vertAlign w:val="superscript"/>
              </w:rPr>
              <w:t>(1)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318.6</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186.6</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165.0</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r>
      <w:tr>
        <w:trPr>
          <w:trHeight w:val="248"/>
        </w:trPr>
        <w:tc>
          <w:tcPr>
            <w:tcW w:w="1100" w:type="dxa"/>
            <w:vAlign w:val="bottom"/>
          </w:tcPr>
          <w:p>
            <w:pPr>
              <w:spacing w:after="0"/>
              <w:rPr>
                <w:sz w:val="20"/>
                <w:szCs w:val="20"/>
                <w:color w:val="auto"/>
              </w:rPr>
            </w:pPr>
            <w:r>
              <w:rPr>
                <w:rFonts w:ascii="Arial" w:cs="Arial" w:eastAsia="Arial" w:hAnsi="Arial"/>
                <w:sz w:val="18"/>
                <w:szCs w:val="18"/>
                <w:color w:val="auto"/>
              </w:rPr>
              <w:t>Second Lien</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Debt</w:t>
            </w:r>
          </w:p>
        </w:tc>
        <w:tc>
          <w:tcPr>
            <w:tcW w:w="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3"/>
                <w:szCs w:val="23"/>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33.3</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3"/>
                <w:szCs w:val="23"/>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12.5</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3"/>
                <w:szCs w:val="23"/>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67.4</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24.3</w:t>
            </w:r>
          </w:p>
        </w:tc>
      </w:tr>
      <w:tr>
        <w:trPr>
          <w:trHeight w:val="36"/>
        </w:trPr>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48"/>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Subordinated</w:t>
            </w: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86"/>
        </w:trPr>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21.9</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54.0</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19.7</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w:t>
            </w:r>
          </w:p>
        </w:tc>
      </w:tr>
      <w:tr>
        <w:trPr>
          <w:trHeight w:val="248"/>
        </w:trPr>
        <w:tc>
          <w:tcPr>
            <w:tcW w:w="110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20.7</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24.5</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24.8</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9.0</w:t>
            </w:r>
          </w:p>
        </w:tc>
      </w:tr>
      <w:tr>
        <w:trPr>
          <w:trHeight w:val="36"/>
        </w:trPr>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74"/>
        </w:trPr>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10.4</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93"/>
        </w:trPr>
        <w:tc>
          <w:tcPr>
            <w:tcW w:w="11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394.5</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288.0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276.9</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4"/>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-1802765</wp:posOffset>
            </wp:positionV>
            <wp:extent cx="499872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8720" cy="63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-1615440</wp:posOffset>
            </wp:positionV>
            <wp:extent cx="499872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8720" cy="63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-191770</wp:posOffset>
            </wp:positionV>
            <wp:extent cx="510286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02860" cy="635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-5080</wp:posOffset>
            </wp:positionV>
            <wp:extent cx="499872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8720" cy="28575"/>
                    </a:xfrm>
                    <a:prstGeom prst="rect">
                      <a:avLst/>
                    </a:prstGeom>
                    <a:noFill/>
                  </pic:spPr>
                </pic:pic>
              </a:graphicData>
            </a:graphic>
          </wp:anchor>
        </w:drawing>
      </w:r>
    </w:p>
    <w:p>
      <w:pPr>
        <w:spacing w:after="0" w:line="211" w:lineRule="exact"/>
        <w:rPr>
          <w:sz w:val="20"/>
          <w:szCs w:val="20"/>
          <w:color w:val="auto"/>
        </w:rPr>
      </w:pPr>
    </w:p>
    <w:p>
      <w:pPr>
        <w:jc w:val="both"/>
        <w:ind w:left="6" w:right="60" w:hanging="6"/>
        <w:spacing w:after="0" w:line="386" w:lineRule="auto"/>
        <w:tabs>
          <w:tab w:leader="none" w:pos="2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the years ended December 31, 2025 and 2024, includes unitranche securities, which account for 48.1% and 41.3% of purchases, respectively. For the years ended December 31, 2025 and 2024, includes unitranche securities, which account for 7.2% and 4.9% of repayments, respectively.</w:t>
      </w:r>
    </w:p>
    <w:p>
      <w:pPr>
        <w:spacing w:after="0" w:line="157" w:lineRule="exact"/>
        <w:rPr>
          <w:sz w:val="20"/>
          <w:szCs w:val="20"/>
          <w:color w:val="auto"/>
        </w:rPr>
      </w:pPr>
    </w:p>
    <w:p>
      <w:pPr>
        <w:jc w:val="both"/>
        <w:ind w:left="6" w:right="20" w:firstLine="400"/>
        <w:spacing w:after="0" w:line="350" w:lineRule="auto"/>
        <w:rPr>
          <w:sz w:val="20"/>
          <w:szCs w:val="20"/>
          <w:color w:val="auto"/>
        </w:rPr>
      </w:pPr>
      <w:r>
        <w:rPr>
          <w:rFonts w:ascii="Arial" w:cs="Arial" w:eastAsia="Arial" w:hAnsi="Arial"/>
          <w:sz w:val="18"/>
          <w:szCs w:val="18"/>
          <w:color w:val="auto"/>
        </w:rPr>
        <w:t>As of December 31, 2025, the fair value of our investment portfolio totaled $1.3 billion and consisted of 97 active portfolio companies and six portfolio companies that have sold their underlying operations. As of December 31, 2025, 58 portfolio companies’ debt investments bore interest at a variable rate, which represented $890.1 million, or 75.3%, of our debt investment portfolio on a fair value basis, and the remainder of our debt investment portfolio was comprised of fixed-rate investments. Overall, the portfolio had net unrealized appreciation of $25.5 million as of December 31, 2025. As of December 31, 2025, our average active portfolio company investment at amortized cost was $13.4 million, which excludes investments in six portfolio companies that have sold their underlying operations.</w:t>
      </w:r>
    </w:p>
    <w:p>
      <w:pPr>
        <w:spacing w:after="0" w:line="167" w:lineRule="exact"/>
        <w:rPr>
          <w:sz w:val="20"/>
          <w:szCs w:val="20"/>
          <w:color w:val="auto"/>
        </w:rPr>
      </w:pPr>
    </w:p>
    <w:p>
      <w:pPr>
        <w:jc w:val="both"/>
        <w:ind w:left="6" w:right="20" w:firstLine="400"/>
        <w:spacing w:after="0" w:line="351" w:lineRule="auto"/>
        <w:rPr>
          <w:sz w:val="20"/>
          <w:szCs w:val="20"/>
          <w:color w:val="auto"/>
        </w:rPr>
      </w:pPr>
      <w:r>
        <w:rPr>
          <w:rFonts w:ascii="Arial" w:cs="Arial" w:eastAsia="Arial" w:hAnsi="Arial"/>
          <w:sz w:val="18"/>
          <w:szCs w:val="18"/>
          <w:color w:val="auto"/>
        </w:rPr>
        <w:t>As of December 31, 2024, the fair value of our investment portfolio totaled $1.1 billion and consisted of 87 active portfolio companies and four portfolio companies that have sold their underlying operations. As of December 31, 2024, 50 portfolio companies’ debt investments bore interest at a variable rate, which represented $704.0 million, or 74.5%, of our debt investment portfolio on a fair value basis, and the remainder of our debt investment portfolio was comprised of fixed rate investments. Overall, the portfolio had net unrealized appreciation of $15.3 million as of</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56 / 58</w:t>
      </w:r>
    </w:p>
    <w:p>
      <w:pPr>
        <w:sectPr>
          <w:pgSz w:w="11900" w:h="16838" w:orient="portrait"/>
          <w:cols w:equalWidth="0" w:num="1">
            <w:col w:w="9406"/>
          </w:cols>
          <w:pgMar w:left="1254" w:top="1440" w:right="1246" w:bottom="0" w:gutter="0" w:footer="0" w:header="0"/>
          <w:type w:val="continuous"/>
        </w:sectPr>
      </w:pPr>
    </w:p>
    <w:bookmarkStart w:id="124" w:name="page125"/>
    <w:bookmarkEnd w:id="124"/>
    <w:p>
      <w:pPr>
        <w:jc w:val="both"/>
        <w:ind w:right="60"/>
        <w:spacing w:after="0" w:line="307" w:lineRule="auto"/>
        <w:rPr>
          <w:sz w:val="20"/>
          <w:szCs w:val="20"/>
          <w:color w:val="auto"/>
        </w:rPr>
      </w:pPr>
      <w:r>
        <w:rPr>
          <w:rFonts w:ascii="Arial" w:cs="Arial" w:eastAsia="Arial" w:hAnsi="Arial"/>
          <w:sz w:val="20"/>
          <w:szCs w:val="20"/>
          <w:color w:val="auto"/>
        </w:rPr>
        <w:t>December 31, 2024. As of December 31, 2024, our average active portfolio company investment at amortized cost was $12.4 million, which excludes investments in four portfolio companies that have sold their underlying operations.</w:t>
      </w:r>
    </w:p>
    <w:p>
      <w:pPr>
        <w:spacing w:after="0" w:line="197" w:lineRule="exact"/>
        <w:rPr>
          <w:sz w:val="20"/>
          <w:szCs w:val="20"/>
          <w:color w:val="auto"/>
        </w:rPr>
      </w:pPr>
    </w:p>
    <w:p>
      <w:pPr>
        <w:jc w:val="both"/>
        <w:ind w:right="60" w:firstLine="401"/>
        <w:spacing w:after="0" w:line="311" w:lineRule="auto"/>
        <w:rPr>
          <w:sz w:val="20"/>
          <w:szCs w:val="20"/>
          <w:color w:val="auto"/>
        </w:rPr>
      </w:pPr>
      <w:r>
        <w:rPr>
          <w:rFonts w:ascii="Arial" w:cs="Arial" w:eastAsia="Arial" w:hAnsi="Arial"/>
          <w:sz w:val="20"/>
          <w:szCs w:val="20"/>
          <w:color w:val="auto"/>
        </w:rPr>
        <w:t>The weighted average yield on debt investments as of December 31, 2025 and 2024 was 12.6% and 13.3%,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2025 and 2024, including the accretion of OID and debt investment origination fees, but excluding investments on non-accrual status and investments recorded as a secured borrowing.</w:t>
      </w:r>
    </w:p>
    <w:p>
      <w:pPr>
        <w:spacing w:after="0" w:line="194" w:lineRule="exact"/>
        <w:rPr>
          <w:sz w:val="20"/>
          <w:szCs w:val="20"/>
          <w:color w:val="auto"/>
        </w:rPr>
      </w:pPr>
    </w:p>
    <w:p>
      <w:pPr>
        <w:ind w:right="100" w:firstLine="401"/>
        <w:spacing w:after="0" w:line="302" w:lineRule="auto"/>
        <w:rPr>
          <w:sz w:val="20"/>
          <w:szCs w:val="20"/>
          <w:color w:val="auto"/>
        </w:rPr>
      </w:pPr>
      <w:r>
        <w:rPr>
          <w:rFonts w:ascii="Arial" w:cs="Arial" w:eastAsia="Arial" w:hAnsi="Arial"/>
          <w:sz w:val="20"/>
          <w:szCs w:val="20"/>
          <w:color w:val="auto"/>
        </w:rPr>
        <w:t>The following table shows the portfolio composition by investment type at fair value and cost and as a percentage of total investments (dollars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80"/>
        </w:trPr>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9"/>
              </w:rPr>
              <w:t>December 31,</w:t>
            </w:r>
          </w:p>
        </w:tc>
        <w:tc>
          <w:tcPr>
            <w:tcW w:w="380" w:type="dxa"/>
            <w:vAlign w:val="bottom"/>
          </w:tcPr>
          <w:p>
            <w:pPr>
              <w:spacing w:after="0"/>
              <w:rPr>
                <w:sz w:val="24"/>
                <w:szCs w:val="24"/>
                <w:color w:val="auto"/>
              </w:rPr>
            </w:pPr>
          </w:p>
        </w:tc>
        <w:tc>
          <w:tcPr>
            <w:tcW w:w="17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3"/>
              </w:rPr>
              <w:t>December 31,</w:t>
            </w:r>
          </w:p>
        </w:tc>
        <w:tc>
          <w:tcPr>
            <w:tcW w:w="320" w:type="dxa"/>
            <w:vAlign w:val="bottom"/>
          </w:tcPr>
          <w:p>
            <w:pPr>
              <w:spacing w:after="0"/>
              <w:rPr>
                <w:sz w:val="24"/>
                <w:szCs w:val="24"/>
                <w:color w:val="auto"/>
              </w:rPr>
            </w:pPr>
          </w:p>
        </w:tc>
        <w:tc>
          <w:tcPr>
            <w:tcW w:w="17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24"/>
                <w:szCs w:val="24"/>
                <w:color w:val="auto"/>
              </w:rPr>
            </w:pPr>
          </w:p>
        </w:tc>
        <w:tc>
          <w:tcPr>
            <w:tcW w:w="16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840" w:type="dxa"/>
            <w:vAlign w:val="bottom"/>
          </w:tcPr>
          <w:p>
            <w:pPr>
              <w:spacing w:after="0"/>
              <w:rPr>
                <w:sz w:val="23"/>
                <w:szCs w:val="23"/>
                <w:color w:val="auto"/>
              </w:rPr>
            </w:pPr>
          </w:p>
        </w:tc>
      </w:tr>
      <w:tr>
        <w:trPr>
          <w:trHeight w:val="46"/>
        </w:trPr>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1320" w:type="dxa"/>
            <w:vAlign w:val="bottom"/>
            <w:shd w:val="clear" w:color="auto" w:fill="CFF0FC"/>
          </w:tcPr>
          <w:p>
            <w:pPr>
              <w:spacing w:after="0" w:line="270" w:lineRule="exact"/>
              <w:rPr>
                <w:sz w:val="20"/>
                <w:szCs w:val="20"/>
                <w:color w:val="auto"/>
              </w:rPr>
            </w:pPr>
            <w:r>
              <w:rPr>
                <w:rFonts w:ascii="Arial" w:cs="Arial" w:eastAsia="Arial" w:hAnsi="Arial"/>
                <w:sz w:val="18"/>
                <w:szCs w:val="18"/>
                <w:color w:val="auto"/>
                <w:w w:val="95"/>
              </w:rPr>
              <w:t>First Lien Debt</w:t>
            </w:r>
            <w:r>
              <w:rPr>
                <w:rFonts w:ascii="Arial" w:cs="Arial" w:eastAsia="Arial" w:hAnsi="Arial"/>
                <w:sz w:val="24"/>
                <w:szCs w:val="24"/>
                <w:color w:val="auto"/>
                <w:w w:val="95"/>
                <w:vertAlign w:val="superscript"/>
              </w:rPr>
              <w:t>(1)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1,019.2</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77.0%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718.2</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65.8%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1,014.5</w:t>
            </w:r>
          </w:p>
        </w:tc>
        <w:tc>
          <w:tcPr>
            <w:tcW w:w="9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729.1</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67.8%</w:t>
            </w:r>
          </w:p>
        </w:tc>
      </w:t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Second Lien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68.9</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3"/>
                <w:szCs w:val="23"/>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83.5</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95.6</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116.2</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10.8</w:t>
            </w:r>
          </w:p>
        </w:tc>
      </w:tr>
      <w:tr>
        <w:trPr>
          <w:trHeight w:val="36"/>
        </w:trPr>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4"/>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Subordinated</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86"/>
        </w:trPr>
        <w:tc>
          <w:tcPr>
            <w:tcW w:w="1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94.4</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142.8</w:t>
            </w:r>
          </w:p>
        </w:tc>
        <w:tc>
          <w:tcPr>
            <w:tcW w:w="8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95.3</w:t>
            </w:r>
          </w:p>
        </w:tc>
        <w:tc>
          <w:tcPr>
            <w:tcW w:w="9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142.1</w:t>
            </w:r>
          </w:p>
        </w:tc>
        <w:tc>
          <w:tcPr>
            <w:tcW w:w="84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13.2</w:t>
            </w:r>
          </w:p>
        </w:tc>
      </w:tr>
      <w:tr>
        <w:trPr>
          <w:trHeight w:val="234"/>
        </w:trPr>
        <w:tc>
          <w:tcPr>
            <w:tcW w:w="132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142.1</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138.4</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93.1</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84.8</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7.9</w:t>
            </w:r>
          </w:p>
        </w:tc>
      </w:tr>
      <w:tr>
        <w:trPr>
          <w:trHeight w:val="36"/>
        </w:trPr>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0"/>
        </w:trPr>
        <w:tc>
          <w:tcPr>
            <w:tcW w:w="1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0.2</w:t>
            </w:r>
          </w:p>
        </w:tc>
        <w:tc>
          <w:tcPr>
            <w:tcW w:w="8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7.6</w:t>
            </w:r>
          </w:p>
        </w:tc>
        <w:tc>
          <w:tcPr>
            <w:tcW w:w="8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3.0</w:t>
            </w:r>
          </w:p>
        </w:tc>
        <w:tc>
          <w:tcPr>
            <w:tcW w:w="84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0.3</w:t>
            </w:r>
          </w:p>
        </w:tc>
      </w:tr>
      <w:tr>
        <w:trPr>
          <w:trHeight w:val="279"/>
        </w:trPr>
        <w:tc>
          <w:tcPr>
            <w:tcW w:w="13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w w:val="99"/>
              </w:rPr>
              <w:t>1,324.8</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w w:val="89"/>
              </w:rPr>
              <w:t>1,090.5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1,299.3</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8"/>
              </w:rPr>
              <w:t>100.0%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1,075.2</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-1738630</wp:posOffset>
            </wp:positionV>
            <wp:extent cx="483997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39970"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-1389380</wp:posOffset>
            </wp:positionV>
            <wp:extent cx="483997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39970"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-182880</wp:posOffset>
            </wp:positionV>
            <wp:extent cx="493522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35220"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-5080</wp:posOffset>
            </wp:positionV>
            <wp:extent cx="483997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39970" cy="2857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58</w:t>
      </w:r>
    </w:p>
    <w:p>
      <w:pPr>
        <w:sectPr>
          <w:pgSz w:w="11900" w:h="16838" w:orient="portrait"/>
          <w:cols w:equalWidth="0" w:num="1">
            <w:col w:w="9400"/>
          </w:cols>
          <w:pgMar w:left="1260" w:top="1173" w:right="1246" w:bottom="0"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 w:right="60" w:hanging="6"/>
        <w:spacing w:after="0" w:line="386" w:lineRule="auto"/>
        <w:tabs>
          <w:tab w:leader="none" w:pos="2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unitranche investments, which account for 48.3% and 49.3% of our portfolio on a fair value and cost basis as of December 31, 2025, respectively. Includes unitranche investments, which account for 39.9% and 40.4% of our portfolio on a fair value and cost basis as of December 31, 2024, respectively.</w:t>
      </w:r>
    </w:p>
    <w:p>
      <w:pPr>
        <w:spacing w:after="0" w:line="157" w:lineRule="exact"/>
        <w:rPr>
          <w:sz w:val="20"/>
          <w:szCs w:val="20"/>
          <w:color w:val="auto"/>
        </w:rPr>
      </w:pPr>
    </w:p>
    <w:p>
      <w:pPr>
        <w:jc w:val="both"/>
        <w:ind w:left="6" w:right="20" w:firstLine="400"/>
        <w:spacing w:after="0" w:line="309" w:lineRule="auto"/>
        <w:rPr>
          <w:sz w:val="20"/>
          <w:szCs w:val="20"/>
          <w:color w:val="auto"/>
        </w:rPr>
      </w:pPr>
      <w:r>
        <w:rPr>
          <w:rFonts w:ascii="Arial" w:cs="Arial" w:eastAsia="Arial" w:hAnsi="Arial"/>
          <w:sz w:val="20"/>
          <w:szCs w:val="20"/>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20"/>
                <w:szCs w:val="20"/>
                <w:b w:val="1"/>
                <w:bCs w:val="1"/>
                <w:color w:val="auto"/>
              </w:rPr>
              <w:t>Fair Value</w:t>
            </w:r>
          </w:p>
        </w:tc>
        <w:tc>
          <w:tcPr>
            <w:tcW w:w="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Cost</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10"/>
        </w:trPr>
        <w:tc>
          <w:tcPr>
            <w:tcW w:w="1200" w:type="dxa"/>
            <w:vAlign w:val="bottom"/>
          </w:tcPr>
          <w:p>
            <w:pPr>
              <w:spacing w:after="0"/>
              <w:rPr>
                <w:sz w:val="24"/>
                <w:szCs w:val="24"/>
                <w:color w:val="auto"/>
              </w:rPr>
            </w:pPr>
          </w:p>
        </w:tc>
        <w:tc>
          <w:tcPr>
            <w:tcW w:w="1980" w:type="dxa"/>
            <w:vAlign w:val="bottom"/>
            <w:gridSpan w:val="2"/>
          </w:tcPr>
          <w:p>
            <w:pPr>
              <w:ind w:left="300"/>
              <w:spacing w:after="0"/>
              <w:rPr>
                <w:sz w:val="20"/>
                <w:szCs w:val="20"/>
                <w:color w:val="auto"/>
              </w:rPr>
            </w:pPr>
            <w:r>
              <w:rPr>
                <w:rFonts w:ascii="Arial" w:cs="Arial" w:eastAsia="Arial" w:hAnsi="Arial"/>
                <w:sz w:val="20"/>
                <w:szCs w:val="20"/>
                <w:b w:val="1"/>
                <w:bCs w:val="1"/>
                <w:color w:val="auto"/>
              </w:rPr>
              <w:t>December 31,</w:t>
            </w:r>
          </w:p>
        </w:tc>
        <w:tc>
          <w:tcPr>
            <w:tcW w:w="1980" w:type="dxa"/>
            <w:vAlign w:val="bottom"/>
            <w:gridSpan w:val="2"/>
          </w:tcPr>
          <w:p>
            <w:pPr>
              <w:ind w:left="320"/>
              <w:spacing w:after="0"/>
              <w:rPr>
                <w:sz w:val="20"/>
                <w:szCs w:val="20"/>
                <w:color w:val="auto"/>
              </w:rPr>
            </w:pPr>
            <w:r>
              <w:rPr>
                <w:rFonts w:ascii="Arial" w:cs="Arial" w:eastAsia="Arial" w:hAnsi="Arial"/>
                <w:sz w:val="20"/>
                <w:szCs w:val="20"/>
                <w:b w:val="1"/>
                <w:bCs w:val="1"/>
                <w:color w:val="auto"/>
              </w:rPr>
              <w:t>December 31,</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December 31,</w:t>
            </w:r>
          </w:p>
        </w:tc>
        <w:tc>
          <w:tcPr>
            <w:tcW w:w="90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w w:val="92"/>
              </w:rPr>
              <w:t>December 31,</w:t>
            </w:r>
          </w:p>
        </w:tc>
      </w:tr>
      <w:tr>
        <w:trPr>
          <w:trHeight w:val="300"/>
        </w:trPr>
        <w:tc>
          <w:tcPr>
            <w:tcW w:w="1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7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Arial" w:cs="Arial" w:eastAsia="Arial" w:hAnsi="Arial"/>
                <w:sz w:val="20"/>
                <w:szCs w:val="20"/>
                <w:b w:val="1"/>
                <w:bCs w:val="1"/>
                <w:color w:val="auto"/>
              </w:rPr>
              <w:t>2024</w:t>
            </w:r>
          </w:p>
        </w:tc>
        <w:tc>
          <w:tcPr>
            <w:tcW w:w="760" w:type="dxa"/>
            <w:vAlign w:val="bottom"/>
          </w:tcPr>
          <w:p>
            <w:pPr>
              <w:spacing w:after="0"/>
              <w:rPr>
                <w:sz w:val="24"/>
                <w:szCs w:val="24"/>
                <w:color w:val="auto"/>
              </w:rPr>
            </w:pPr>
          </w:p>
        </w:tc>
        <w:tc>
          <w:tcPr>
            <w:tcW w:w="1680" w:type="dxa"/>
            <w:vAlign w:val="bottom"/>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9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auto"/>
              </w:rPr>
              <w:t>2024</w:t>
            </w:r>
          </w:p>
        </w:tc>
        <w:tc>
          <w:tcPr>
            <w:tcW w:w="72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20"/>
                <w:szCs w:val="20"/>
                <w:color w:val="auto"/>
                <w:w w:val="98"/>
              </w:rPr>
              <w:t>United States</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
        </w:trPr>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0"/>
        </w:trPr>
        <w:tc>
          <w:tcPr>
            <w:tcW w:w="1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Midwest</w:t>
            </w:r>
          </w:p>
        </w:tc>
        <w:tc>
          <w:tcPr>
            <w:tcW w:w="120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  162.4</w:t>
            </w:r>
          </w:p>
        </w:tc>
        <w:tc>
          <w:tcPr>
            <w:tcW w:w="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12.3%</w:t>
            </w:r>
          </w:p>
        </w:tc>
        <w:tc>
          <w:tcPr>
            <w:tcW w:w="122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  120.5</w:t>
            </w:r>
          </w:p>
        </w:tc>
        <w:tc>
          <w:tcPr>
            <w:tcW w:w="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11.1%</w:t>
            </w:r>
          </w:p>
        </w:tc>
        <w:tc>
          <w:tcPr>
            <w:tcW w:w="1680" w:type="dxa"/>
            <w:vAlign w:val="bottom"/>
            <w:tcBorders>
              <w:bottom w:val="single" w:sz="8" w:color="CFF0FC"/>
            </w:tcBorders>
            <w:shd w:val="clear" w:color="auto" w:fill="CFF0FC"/>
          </w:tcPr>
          <w:p>
            <w:pPr>
              <w:jc w:val="right"/>
              <w:ind w:right="720"/>
              <w:spacing w:after="0"/>
              <w:rPr>
                <w:sz w:val="20"/>
                <w:szCs w:val="20"/>
                <w:color w:val="auto"/>
              </w:rPr>
            </w:pPr>
            <w:r>
              <w:rPr>
                <w:rFonts w:ascii="Arial" w:cs="Arial" w:eastAsia="Arial" w:hAnsi="Arial"/>
                <w:sz w:val="20"/>
                <w:szCs w:val="20"/>
                <w:color w:val="auto"/>
              </w:rPr>
              <w:t>$  114.4</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   $</w:t>
            </w:r>
          </w:p>
        </w:tc>
        <w:tc>
          <w:tcPr>
            <w:tcW w:w="94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73.6</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r>
      <w:tr>
        <w:trPr>
          <w:trHeight w:val="259"/>
        </w:trPr>
        <w:tc>
          <w:tcPr>
            <w:tcW w:w="1200" w:type="dxa"/>
            <w:vAlign w:val="bottom"/>
          </w:tcPr>
          <w:p>
            <w:pPr>
              <w:spacing w:after="0"/>
              <w:rPr>
                <w:sz w:val="20"/>
                <w:szCs w:val="20"/>
                <w:color w:val="auto"/>
              </w:rPr>
            </w:pPr>
            <w:r>
              <w:rPr>
                <w:rFonts w:ascii="Arial" w:cs="Arial" w:eastAsia="Arial" w:hAnsi="Arial"/>
                <w:sz w:val="20"/>
                <w:szCs w:val="20"/>
                <w:color w:val="auto"/>
              </w:rPr>
              <w:t>Southeast</w:t>
            </w:r>
          </w:p>
        </w:tc>
        <w:tc>
          <w:tcPr>
            <w:tcW w:w="1200" w:type="dxa"/>
            <w:vAlign w:val="bottom"/>
          </w:tcPr>
          <w:p>
            <w:pPr>
              <w:jc w:val="right"/>
              <w:ind w:right="240"/>
              <w:spacing w:after="0"/>
              <w:rPr>
                <w:sz w:val="20"/>
                <w:szCs w:val="20"/>
                <w:color w:val="auto"/>
              </w:rPr>
            </w:pPr>
            <w:r>
              <w:rPr>
                <w:rFonts w:ascii="Arial" w:cs="Arial" w:eastAsia="Arial" w:hAnsi="Arial"/>
                <w:sz w:val="20"/>
                <w:szCs w:val="20"/>
                <w:color w:val="auto"/>
              </w:rPr>
              <w:t>387.2</w:t>
            </w:r>
          </w:p>
        </w:tc>
        <w:tc>
          <w:tcPr>
            <w:tcW w:w="780" w:type="dxa"/>
            <w:vAlign w:val="bottom"/>
          </w:tcPr>
          <w:p>
            <w:pPr>
              <w:ind w:left="120"/>
              <w:spacing w:after="0"/>
              <w:rPr>
                <w:sz w:val="20"/>
                <w:szCs w:val="20"/>
                <w:color w:val="auto"/>
              </w:rPr>
            </w:pPr>
            <w:r>
              <w:rPr>
                <w:rFonts w:ascii="Arial" w:cs="Arial" w:eastAsia="Arial" w:hAnsi="Arial"/>
                <w:sz w:val="20"/>
                <w:szCs w:val="20"/>
                <w:color w:val="auto"/>
              </w:rPr>
              <w:t>29.1</w:t>
            </w:r>
          </w:p>
        </w:tc>
        <w:tc>
          <w:tcPr>
            <w:tcW w:w="1220" w:type="dxa"/>
            <w:vAlign w:val="bottom"/>
          </w:tcPr>
          <w:p>
            <w:pPr>
              <w:jc w:val="right"/>
              <w:ind w:right="260"/>
              <w:spacing w:after="0"/>
              <w:rPr>
                <w:sz w:val="20"/>
                <w:szCs w:val="20"/>
                <w:color w:val="auto"/>
              </w:rPr>
            </w:pPr>
            <w:r>
              <w:rPr>
                <w:rFonts w:ascii="Arial" w:cs="Arial" w:eastAsia="Arial" w:hAnsi="Arial"/>
                <w:sz w:val="20"/>
                <w:szCs w:val="20"/>
                <w:color w:val="auto"/>
              </w:rPr>
              <w:t>339.7</w:t>
            </w:r>
          </w:p>
        </w:tc>
        <w:tc>
          <w:tcPr>
            <w:tcW w:w="760" w:type="dxa"/>
            <w:vAlign w:val="bottom"/>
          </w:tcPr>
          <w:p>
            <w:pPr>
              <w:ind w:left="100"/>
              <w:spacing w:after="0"/>
              <w:rPr>
                <w:sz w:val="20"/>
                <w:szCs w:val="20"/>
                <w:color w:val="auto"/>
              </w:rPr>
            </w:pPr>
            <w:r>
              <w:rPr>
                <w:rFonts w:ascii="Arial" w:cs="Arial" w:eastAsia="Arial" w:hAnsi="Arial"/>
                <w:sz w:val="20"/>
                <w:szCs w:val="20"/>
                <w:color w:val="auto"/>
              </w:rPr>
              <w:t>31.2</w:t>
            </w:r>
          </w:p>
        </w:tc>
        <w:tc>
          <w:tcPr>
            <w:tcW w:w="1680" w:type="dxa"/>
            <w:vAlign w:val="bottom"/>
          </w:tcPr>
          <w:p>
            <w:pPr>
              <w:jc w:val="right"/>
              <w:ind w:right="720"/>
              <w:spacing w:after="0"/>
              <w:rPr>
                <w:sz w:val="20"/>
                <w:szCs w:val="20"/>
                <w:color w:val="auto"/>
              </w:rPr>
            </w:pPr>
            <w:r>
              <w:rPr>
                <w:rFonts w:ascii="Arial" w:cs="Arial" w:eastAsia="Arial" w:hAnsi="Arial"/>
                <w:sz w:val="20"/>
                <w:szCs w:val="20"/>
                <w:color w:val="auto"/>
              </w:rPr>
              <w:t>379.9</w:t>
            </w:r>
          </w:p>
        </w:tc>
        <w:tc>
          <w:tcPr>
            <w:tcW w:w="900" w:type="dxa"/>
            <w:vAlign w:val="bottom"/>
          </w:tcPr>
          <w:p>
            <w:pPr>
              <w:jc w:val="right"/>
              <w:ind w:right="440"/>
              <w:spacing w:after="0"/>
              <w:rPr>
                <w:sz w:val="20"/>
                <w:szCs w:val="20"/>
                <w:color w:val="auto"/>
              </w:rPr>
            </w:pPr>
            <w:r>
              <w:rPr>
                <w:rFonts w:ascii="Arial" w:cs="Arial" w:eastAsia="Arial" w:hAnsi="Arial"/>
                <w:sz w:val="20"/>
                <w:szCs w:val="20"/>
                <w:color w:val="auto"/>
                <w:w w:val="87"/>
              </w:rPr>
              <w:t>29.3</w:t>
            </w:r>
          </w:p>
        </w:tc>
        <w:tc>
          <w:tcPr>
            <w:tcW w:w="940" w:type="dxa"/>
            <w:vAlign w:val="bottom"/>
          </w:tcPr>
          <w:p>
            <w:pPr>
              <w:jc w:val="right"/>
              <w:ind w:right="220"/>
              <w:spacing w:after="0"/>
              <w:rPr>
                <w:sz w:val="20"/>
                <w:szCs w:val="20"/>
                <w:color w:val="auto"/>
              </w:rPr>
            </w:pPr>
            <w:r>
              <w:rPr>
                <w:rFonts w:ascii="Arial" w:cs="Arial" w:eastAsia="Arial" w:hAnsi="Arial"/>
                <w:sz w:val="20"/>
                <w:szCs w:val="20"/>
                <w:color w:val="auto"/>
              </w:rPr>
              <w:t>337.8</w:t>
            </w:r>
          </w:p>
        </w:tc>
        <w:tc>
          <w:tcPr>
            <w:tcW w:w="720" w:type="dxa"/>
            <w:vAlign w:val="bottom"/>
          </w:tcPr>
          <w:p>
            <w:pPr>
              <w:jc w:val="right"/>
              <w:ind w:right="160"/>
              <w:spacing w:after="0"/>
              <w:rPr>
                <w:sz w:val="20"/>
                <w:szCs w:val="20"/>
                <w:color w:val="auto"/>
              </w:rPr>
            </w:pPr>
            <w:r>
              <w:rPr>
                <w:rFonts w:ascii="Arial" w:cs="Arial" w:eastAsia="Arial" w:hAnsi="Arial"/>
                <w:sz w:val="20"/>
                <w:szCs w:val="20"/>
                <w:color w:val="auto"/>
              </w:rPr>
              <w:t>31.4</w:t>
            </w:r>
          </w:p>
        </w:tc>
      </w:tr>
      <w:tr>
        <w:trPr>
          <w:trHeight w:val="41"/>
        </w:trPr>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0"/>
        </w:trPr>
        <w:tc>
          <w:tcPr>
            <w:tcW w:w="1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Northeast</w:t>
            </w:r>
          </w:p>
        </w:tc>
        <w:tc>
          <w:tcPr>
            <w:tcW w:w="120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263.1</w:t>
            </w:r>
          </w:p>
        </w:tc>
        <w:tc>
          <w:tcPr>
            <w:tcW w:w="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19.9</w:t>
            </w:r>
          </w:p>
        </w:tc>
        <w:tc>
          <w:tcPr>
            <w:tcW w:w="122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211.8</w:t>
            </w:r>
          </w:p>
        </w:tc>
        <w:tc>
          <w:tcPr>
            <w:tcW w:w="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19.4</w:t>
            </w:r>
          </w:p>
        </w:tc>
        <w:tc>
          <w:tcPr>
            <w:tcW w:w="1680" w:type="dxa"/>
            <w:vAlign w:val="bottom"/>
            <w:tcBorders>
              <w:bottom w:val="single" w:sz="8" w:color="CFF0FC"/>
            </w:tcBorders>
            <w:shd w:val="clear" w:color="auto" w:fill="CFF0FC"/>
          </w:tcPr>
          <w:p>
            <w:pPr>
              <w:jc w:val="right"/>
              <w:ind w:right="720"/>
              <w:spacing w:after="0"/>
              <w:rPr>
                <w:sz w:val="20"/>
                <w:szCs w:val="20"/>
                <w:color w:val="auto"/>
              </w:rPr>
            </w:pPr>
            <w:r>
              <w:rPr>
                <w:rFonts w:ascii="Arial" w:cs="Arial" w:eastAsia="Arial" w:hAnsi="Arial"/>
                <w:sz w:val="20"/>
                <w:szCs w:val="20"/>
                <w:color w:val="auto"/>
              </w:rPr>
              <w:t>262.7</w:t>
            </w:r>
          </w:p>
        </w:tc>
        <w:tc>
          <w:tcPr>
            <w:tcW w:w="900" w:type="dxa"/>
            <w:vAlign w:val="bottom"/>
            <w:tcBorders>
              <w:bottom w:val="single" w:sz="8" w:color="CFF0FC"/>
            </w:tcBorders>
            <w:shd w:val="clear" w:color="auto" w:fill="CFF0FC"/>
          </w:tcPr>
          <w:p>
            <w:pPr>
              <w:jc w:val="right"/>
              <w:ind w:right="440"/>
              <w:spacing w:after="0"/>
              <w:rPr>
                <w:sz w:val="20"/>
                <w:szCs w:val="20"/>
                <w:color w:val="auto"/>
              </w:rPr>
            </w:pPr>
            <w:r>
              <w:rPr>
                <w:rFonts w:ascii="Arial" w:cs="Arial" w:eastAsia="Arial" w:hAnsi="Arial"/>
                <w:sz w:val="20"/>
                <w:szCs w:val="20"/>
                <w:color w:val="auto"/>
                <w:w w:val="87"/>
              </w:rPr>
              <w:t>20.2</w:t>
            </w:r>
          </w:p>
        </w:tc>
        <w:tc>
          <w:tcPr>
            <w:tcW w:w="94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202.2</w:t>
            </w:r>
          </w:p>
        </w:tc>
        <w:tc>
          <w:tcPr>
            <w:tcW w:w="72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18.8</w:t>
            </w:r>
          </w:p>
        </w:tc>
      </w:tr>
      <w:tr>
        <w:trPr>
          <w:trHeight w:val="259"/>
        </w:trPr>
        <w:tc>
          <w:tcPr>
            <w:tcW w:w="1200" w:type="dxa"/>
            <w:vAlign w:val="bottom"/>
          </w:tcPr>
          <w:p>
            <w:pPr>
              <w:spacing w:after="0"/>
              <w:rPr>
                <w:sz w:val="20"/>
                <w:szCs w:val="20"/>
                <w:color w:val="auto"/>
              </w:rPr>
            </w:pPr>
            <w:r>
              <w:rPr>
                <w:rFonts w:ascii="Arial" w:cs="Arial" w:eastAsia="Arial" w:hAnsi="Arial"/>
                <w:sz w:val="20"/>
                <w:szCs w:val="20"/>
                <w:color w:val="auto"/>
              </w:rPr>
              <w:t>West</w:t>
            </w:r>
          </w:p>
        </w:tc>
        <w:tc>
          <w:tcPr>
            <w:tcW w:w="1200" w:type="dxa"/>
            <w:vAlign w:val="bottom"/>
          </w:tcPr>
          <w:p>
            <w:pPr>
              <w:jc w:val="right"/>
              <w:ind w:right="240"/>
              <w:spacing w:after="0"/>
              <w:rPr>
                <w:sz w:val="20"/>
                <w:szCs w:val="20"/>
                <w:color w:val="auto"/>
              </w:rPr>
            </w:pPr>
            <w:r>
              <w:rPr>
                <w:rFonts w:ascii="Arial" w:cs="Arial" w:eastAsia="Arial" w:hAnsi="Arial"/>
                <w:sz w:val="20"/>
                <w:szCs w:val="20"/>
                <w:color w:val="auto"/>
              </w:rPr>
              <w:t>213.1</w:t>
            </w:r>
          </w:p>
        </w:tc>
        <w:tc>
          <w:tcPr>
            <w:tcW w:w="780" w:type="dxa"/>
            <w:vAlign w:val="bottom"/>
          </w:tcPr>
          <w:p>
            <w:pPr>
              <w:ind w:left="120"/>
              <w:spacing w:after="0"/>
              <w:rPr>
                <w:sz w:val="20"/>
                <w:szCs w:val="20"/>
                <w:color w:val="auto"/>
              </w:rPr>
            </w:pPr>
            <w:r>
              <w:rPr>
                <w:rFonts w:ascii="Arial" w:cs="Arial" w:eastAsia="Arial" w:hAnsi="Arial"/>
                <w:sz w:val="20"/>
                <w:szCs w:val="20"/>
                <w:color w:val="auto"/>
              </w:rPr>
              <w:t>16.1</w:t>
            </w:r>
          </w:p>
        </w:tc>
        <w:tc>
          <w:tcPr>
            <w:tcW w:w="1220" w:type="dxa"/>
            <w:vAlign w:val="bottom"/>
          </w:tcPr>
          <w:p>
            <w:pPr>
              <w:jc w:val="right"/>
              <w:ind w:right="260"/>
              <w:spacing w:after="0"/>
              <w:rPr>
                <w:sz w:val="20"/>
                <w:szCs w:val="20"/>
                <w:color w:val="auto"/>
              </w:rPr>
            </w:pPr>
            <w:r>
              <w:rPr>
                <w:rFonts w:ascii="Arial" w:cs="Arial" w:eastAsia="Arial" w:hAnsi="Arial"/>
                <w:sz w:val="20"/>
                <w:szCs w:val="20"/>
                <w:color w:val="auto"/>
              </w:rPr>
              <w:t>194.6</w:t>
            </w:r>
          </w:p>
        </w:tc>
        <w:tc>
          <w:tcPr>
            <w:tcW w:w="760" w:type="dxa"/>
            <w:vAlign w:val="bottom"/>
          </w:tcPr>
          <w:p>
            <w:pPr>
              <w:ind w:left="100"/>
              <w:spacing w:after="0"/>
              <w:rPr>
                <w:sz w:val="20"/>
                <w:szCs w:val="20"/>
                <w:color w:val="auto"/>
              </w:rPr>
            </w:pPr>
            <w:r>
              <w:rPr>
                <w:rFonts w:ascii="Arial" w:cs="Arial" w:eastAsia="Arial" w:hAnsi="Arial"/>
                <w:sz w:val="20"/>
                <w:szCs w:val="20"/>
                <w:color w:val="auto"/>
              </w:rPr>
              <w:t>17.8</w:t>
            </w:r>
          </w:p>
        </w:tc>
        <w:tc>
          <w:tcPr>
            <w:tcW w:w="1680" w:type="dxa"/>
            <w:vAlign w:val="bottom"/>
          </w:tcPr>
          <w:p>
            <w:pPr>
              <w:jc w:val="right"/>
              <w:ind w:right="720"/>
              <w:spacing w:after="0"/>
              <w:rPr>
                <w:sz w:val="20"/>
                <w:szCs w:val="20"/>
                <w:color w:val="auto"/>
              </w:rPr>
            </w:pPr>
            <w:r>
              <w:rPr>
                <w:rFonts w:ascii="Arial" w:cs="Arial" w:eastAsia="Arial" w:hAnsi="Arial"/>
                <w:sz w:val="20"/>
                <w:szCs w:val="20"/>
                <w:color w:val="auto"/>
              </w:rPr>
              <w:t>232.8</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-1319530</wp:posOffset>
            </wp:positionV>
            <wp:extent cx="4965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65700" cy="6350"/>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-932180</wp:posOffset>
            </wp:positionV>
            <wp:extent cx="4965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65700"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58 / 58</w:t>
      </w:r>
    </w:p>
    <w:p>
      <w:pPr>
        <w:sectPr>
          <w:pgSz w:w="11900" w:h="16838" w:orient="portrait"/>
          <w:cols w:equalWidth="0" w:num="1">
            <w:col w:w="9406"/>
          </w:cols>
          <w:pgMar w:left="1254" w:top="1440" w:right="1246" w:bottom="0" w:gutter="0" w:footer="0" w:header="0"/>
          <w:type w:val="continuous"/>
        </w:sectPr>
      </w:pPr>
    </w:p>
    <w:bookmarkStart w:id="126" w:name="page127"/>
    <w:bookmarkEnd w:id="126"/>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Southwest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216.8</w:t>
      </w:r>
    </w:p>
    <w:p>
      <w:pPr>
        <w:sectPr>
          <w:pgSz w:w="11900" w:h="16838" w:orient="portrait"/>
          <w:cols w:equalWidth="0" w:num="1">
            <w:col w:w="9320"/>
          </w:cols>
          <w:pgMar w:left="13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 / 33</w:t>
      </w:r>
    </w:p>
    <w:p>
      <w:pPr>
        <w:sectPr>
          <w:pgSz w:w="11900" w:h="16838" w:orient="portrait"/>
          <w:cols w:equalWidth="0" w:num="1">
            <w:col w:w="9320"/>
          </w:cols>
          <w:pgMar w:left="1340" w:top="1440" w:right="1246" w:bottom="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0"/>
          <w:szCs w:val="20"/>
          <w:color w:val="auto"/>
        </w:rPr>
        <w:t>20.2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Total</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w:t>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33</w:t>
      </w:r>
    </w:p>
    <w:p>
      <w:pPr>
        <w:sectPr>
          <w:pgSz w:w="11900" w:h="16838" w:orient="portrait"/>
          <w:cols w:equalWidth="0" w:num="1">
            <w:col w:w="9400"/>
          </w:cols>
          <w:pgMar w:left="1260" w:top="1163" w:right="1246"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1,090.5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1,075.2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60" w:lineRule="exact"/>
        <w:rPr>
          <w:sz w:val="20"/>
          <w:szCs w:val="20"/>
          <w:color w:val="auto"/>
        </w:rPr>
      </w:pPr>
    </w:p>
    <w:p>
      <w:pPr>
        <w:ind w:right="100" w:firstLine="392"/>
        <w:spacing w:after="0" w:line="302" w:lineRule="auto"/>
        <w:rPr>
          <w:sz w:val="20"/>
          <w:szCs w:val="20"/>
          <w:color w:val="auto"/>
        </w:rPr>
      </w:pPr>
      <w:r>
        <w:rPr>
          <w:rFonts w:ascii="Arial" w:cs="Arial" w:eastAsia="Arial" w:hAnsi="Arial"/>
          <w:sz w:val="20"/>
          <w:szCs w:val="20"/>
          <w:color w:val="auto"/>
        </w:rPr>
        <w:t>The following table shows the detailed industry composition of our portfolio at fair value and cost as a percentage of total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3260" w:type="dxa"/>
            <w:vAlign w:val="bottom"/>
            <w:gridSpan w:val="2"/>
          </w:tcPr>
          <w:p>
            <w:pPr>
              <w:jc w:val="right"/>
              <w:ind w:right="1120"/>
              <w:spacing w:after="0"/>
              <w:rPr>
                <w:sz w:val="20"/>
                <w:szCs w:val="20"/>
                <w:color w:val="auto"/>
              </w:rPr>
            </w:pPr>
            <w:r>
              <w:rPr>
                <w:rFonts w:ascii="Arial" w:cs="Arial" w:eastAsia="Arial" w:hAnsi="Arial"/>
                <w:sz w:val="20"/>
                <w:szCs w:val="20"/>
                <w:b w:val="1"/>
                <w:bCs w:val="1"/>
                <w:color w:val="auto"/>
              </w:rPr>
              <w:t>Fair Value</w:t>
            </w:r>
          </w:p>
        </w:tc>
        <w:tc>
          <w:tcPr>
            <w:tcW w:w="1660" w:type="dxa"/>
            <w:vAlign w:val="bottom"/>
          </w:tcPr>
          <w:p>
            <w:pPr>
              <w:jc w:val="right"/>
              <w:spacing w:after="0"/>
              <w:rPr>
                <w:sz w:val="20"/>
                <w:szCs w:val="20"/>
                <w:color w:val="auto"/>
              </w:rPr>
            </w:pPr>
            <w:r>
              <w:rPr>
                <w:rFonts w:ascii="Arial" w:cs="Arial" w:eastAsia="Arial" w:hAnsi="Arial"/>
                <w:sz w:val="20"/>
                <w:szCs w:val="20"/>
                <w:b w:val="1"/>
                <w:bCs w:val="1"/>
                <w:color w:val="auto"/>
              </w:rPr>
              <w:t>Cost</w:t>
            </w:r>
          </w:p>
        </w:tc>
        <w:tc>
          <w:tcPr>
            <w:tcW w:w="1600" w:type="dxa"/>
            <w:vAlign w:val="bottom"/>
          </w:tcPr>
          <w:p>
            <w:pPr>
              <w:spacing w:after="0"/>
              <w:rPr>
                <w:sz w:val="19"/>
                <w:szCs w:val="19"/>
                <w:color w:val="auto"/>
              </w:rPr>
            </w:pPr>
          </w:p>
        </w:tc>
      </w:tr>
      <w:tr>
        <w:trPr>
          <w:trHeight w:val="324"/>
        </w:trPr>
        <w:tc>
          <w:tcPr>
            <w:tcW w:w="2880" w:type="dxa"/>
            <w:vAlign w:val="bottom"/>
          </w:tcPr>
          <w:p>
            <w:pPr>
              <w:spacing w:after="0"/>
              <w:rPr>
                <w:sz w:val="24"/>
                <w:szCs w:val="24"/>
                <w:color w:val="auto"/>
              </w:rPr>
            </w:pPr>
          </w:p>
        </w:tc>
        <w:tc>
          <w:tcPr>
            <w:tcW w:w="1680" w:type="dxa"/>
            <w:vAlign w:val="bottom"/>
          </w:tcPr>
          <w:p>
            <w:pPr>
              <w:jc w:val="right"/>
              <w:ind w:right="220"/>
              <w:spacing w:after="0"/>
              <w:rPr>
                <w:sz w:val="20"/>
                <w:szCs w:val="20"/>
                <w:color w:val="auto"/>
              </w:rPr>
            </w:pPr>
            <w:r>
              <w:rPr>
                <w:rFonts w:ascii="Arial" w:cs="Arial" w:eastAsia="Arial" w:hAnsi="Arial"/>
                <w:sz w:val="20"/>
                <w:szCs w:val="20"/>
                <w:b w:val="1"/>
                <w:bCs w:val="1"/>
                <w:color w:val="auto"/>
              </w:rPr>
              <w:t>December 31,</w:t>
            </w:r>
          </w:p>
        </w:tc>
        <w:tc>
          <w:tcPr>
            <w:tcW w:w="1580" w:type="dxa"/>
            <w:vAlign w:val="bottom"/>
          </w:tcPr>
          <w:p>
            <w:pPr>
              <w:jc w:val="right"/>
              <w:ind w:right="220"/>
              <w:spacing w:after="0"/>
              <w:rPr>
                <w:sz w:val="20"/>
                <w:szCs w:val="20"/>
                <w:color w:val="auto"/>
              </w:rPr>
            </w:pPr>
            <w:r>
              <w:rPr>
                <w:rFonts w:ascii="Arial" w:cs="Arial" w:eastAsia="Arial" w:hAnsi="Arial"/>
                <w:sz w:val="20"/>
                <w:szCs w:val="20"/>
                <w:b w:val="1"/>
                <w:bCs w:val="1"/>
                <w:color w:val="auto"/>
                <w:w w:val="95"/>
              </w:rPr>
              <w:t>December 31,</w:t>
            </w:r>
          </w:p>
        </w:tc>
        <w:tc>
          <w:tcPr>
            <w:tcW w:w="1660" w:type="dxa"/>
            <w:vAlign w:val="bottom"/>
          </w:tcPr>
          <w:p>
            <w:pPr>
              <w:jc w:val="right"/>
              <w:ind w:right="300"/>
              <w:spacing w:after="0"/>
              <w:rPr>
                <w:sz w:val="20"/>
                <w:szCs w:val="20"/>
                <w:color w:val="auto"/>
              </w:rPr>
            </w:pPr>
            <w:r>
              <w:rPr>
                <w:rFonts w:ascii="Arial" w:cs="Arial" w:eastAsia="Arial" w:hAnsi="Arial"/>
                <w:sz w:val="20"/>
                <w:szCs w:val="20"/>
                <w:b w:val="1"/>
                <w:bCs w:val="1"/>
                <w:color w:val="auto"/>
                <w:w w:val="95"/>
              </w:rPr>
              <w:t>December 31,</w:t>
            </w:r>
          </w:p>
        </w:tc>
        <w:tc>
          <w:tcPr>
            <w:tcW w:w="1600" w:type="dxa"/>
            <w:vAlign w:val="bottom"/>
          </w:tcPr>
          <w:p>
            <w:pPr>
              <w:jc w:val="right"/>
              <w:ind w:right="320"/>
              <w:spacing w:after="0"/>
              <w:rPr>
                <w:sz w:val="20"/>
                <w:szCs w:val="20"/>
                <w:color w:val="auto"/>
              </w:rPr>
            </w:pPr>
            <w:r>
              <w:rPr>
                <w:rFonts w:ascii="Arial" w:cs="Arial" w:eastAsia="Arial" w:hAnsi="Arial"/>
                <w:sz w:val="20"/>
                <w:szCs w:val="20"/>
                <w:b w:val="1"/>
                <w:bCs w:val="1"/>
                <w:color w:val="auto"/>
                <w:w w:val="89"/>
              </w:rPr>
              <w:t>December 31,</w:t>
            </w:r>
          </w:p>
        </w:tc>
      </w:tr>
      <w:tr>
        <w:trPr>
          <w:trHeight w:val="324"/>
        </w:trPr>
        <w:tc>
          <w:tcPr>
            <w:tcW w:w="288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1680" w:type="dxa"/>
            <w:vAlign w:val="bottom"/>
          </w:tcPr>
          <w:p>
            <w:pPr>
              <w:jc w:val="right"/>
              <w:ind w:right="600"/>
              <w:spacing w:after="0"/>
              <w:rPr>
                <w:sz w:val="20"/>
                <w:szCs w:val="20"/>
                <w:color w:val="auto"/>
              </w:rPr>
            </w:pPr>
            <w:r>
              <w:rPr>
                <w:rFonts w:ascii="Arial" w:cs="Arial" w:eastAsia="Arial" w:hAnsi="Arial"/>
                <w:sz w:val="20"/>
                <w:szCs w:val="20"/>
                <w:b w:val="1"/>
                <w:bCs w:val="1"/>
                <w:color w:val="auto"/>
              </w:rPr>
              <w:t>2025</w:t>
            </w:r>
          </w:p>
        </w:tc>
        <w:tc>
          <w:tcPr>
            <w:tcW w:w="1580" w:type="dxa"/>
            <w:vAlign w:val="bottom"/>
          </w:tcPr>
          <w:p>
            <w:pPr>
              <w:jc w:val="right"/>
              <w:ind w:right="600"/>
              <w:spacing w:after="0"/>
              <w:rPr>
                <w:sz w:val="20"/>
                <w:szCs w:val="20"/>
                <w:color w:val="auto"/>
              </w:rPr>
            </w:pPr>
            <w:r>
              <w:rPr>
                <w:rFonts w:ascii="Arial" w:cs="Arial" w:eastAsia="Arial" w:hAnsi="Arial"/>
                <w:sz w:val="20"/>
                <w:szCs w:val="20"/>
                <w:b w:val="1"/>
                <w:bCs w:val="1"/>
                <w:color w:val="auto"/>
              </w:rPr>
              <w:t>2024</w:t>
            </w:r>
          </w:p>
        </w:tc>
        <w:tc>
          <w:tcPr>
            <w:tcW w:w="1660" w:type="dxa"/>
            <w:vAlign w:val="bottom"/>
          </w:tcPr>
          <w:p>
            <w:pPr>
              <w:jc w:val="right"/>
              <w:ind w:right="680"/>
              <w:spacing w:after="0"/>
              <w:rPr>
                <w:sz w:val="20"/>
                <w:szCs w:val="20"/>
                <w:color w:val="auto"/>
              </w:rPr>
            </w:pPr>
            <w:r>
              <w:rPr>
                <w:rFonts w:ascii="Arial" w:cs="Arial" w:eastAsia="Arial" w:hAnsi="Arial"/>
                <w:sz w:val="20"/>
                <w:szCs w:val="20"/>
                <w:b w:val="1"/>
                <w:bCs w:val="1"/>
                <w:color w:val="auto"/>
              </w:rPr>
              <w:t>2025</w:t>
            </w:r>
          </w:p>
        </w:tc>
        <w:tc>
          <w:tcPr>
            <w:tcW w:w="1600" w:type="dxa"/>
            <w:vAlign w:val="bottom"/>
          </w:tcPr>
          <w:p>
            <w:pPr>
              <w:jc w:val="right"/>
              <w:ind w:right="700"/>
              <w:spacing w:after="0"/>
              <w:rPr>
                <w:sz w:val="20"/>
                <w:szCs w:val="20"/>
                <w:color w:val="auto"/>
              </w:rPr>
            </w:pPr>
            <w:r>
              <w:rPr>
                <w:rFonts w:ascii="Arial" w:cs="Arial" w:eastAsia="Arial" w:hAnsi="Arial"/>
                <w:sz w:val="20"/>
                <w:szCs w:val="20"/>
                <w:b w:val="1"/>
                <w:bCs w:val="1"/>
                <w:color w:val="auto"/>
              </w:rPr>
              <w:t>2024</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8"/>
              </w:rPr>
              <w:t>Information Technology Services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34.0%</w:t>
            </w: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20"/>
                <w:szCs w:val="20"/>
                <w:color w:val="auto"/>
              </w:rPr>
              <w:t>37.6%</w:t>
            </w:r>
          </w:p>
        </w:tc>
        <w:tc>
          <w:tcPr>
            <w:tcW w:w="16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37.8%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Business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13.3</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12.6</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13.3</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12.4</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Specialty Distribution</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6.7</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2.8</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6.8</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Healthcare Products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6.6</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8.1</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3.8</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4.6</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Utilities: Services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5.5</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4.9</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5.3</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4.7</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Healthcare Services</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5.1</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4.7</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5.5</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4.0</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Component Manufacturing</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4.8</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7.7</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5.4</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7.4</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w w:val="99"/>
              </w:rPr>
              <w:t>Building Products Manufacturing</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3.7</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3.9</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3.5</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4.5</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Consumer Services</w:t>
            </w:r>
          </w:p>
        </w:tc>
        <w:tc>
          <w:tcPr>
            <w:tcW w:w="1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3.7</w:t>
            </w:r>
          </w:p>
        </w:tc>
        <w:tc>
          <w:tcPr>
            <w:tcW w:w="15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20"/>
                <w:szCs w:val="20"/>
                <w:color w:val="auto"/>
              </w:rPr>
              <w:t>3.3</w:t>
            </w:r>
          </w:p>
        </w:tc>
        <w:tc>
          <w:tcPr>
            <w:tcW w:w="166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20"/>
                <w:szCs w:val="20"/>
                <w:color w:val="auto"/>
              </w:rPr>
              <w:t>3.9</w:t>
            </w:r>
          </w:p>
        </w:tc>
        <w:tc>
          <w:tcPr>
            <w:tcW w:w="16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3.3</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Retail</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3.1</w:t>
            </w:r>
          </w:p>
        </w:tc>
        <w:tc>
          <w:tcPr>
            <w:tcW w:w="1580" w:type="dxa"/>
            <w:vAlign w:val="bottom"/>
          </w:tcPr>
          <w:p>
            <w:pPr>
              <w:jc w:val="right"/>
              <w:ind w:right="180"/>
              <w:spacing w:after="0"/>
              <w:rPr>
                <w:sz w:val="20"/>
                <w:szCs w:val="20"/>
                <w:color w:val="auto"/>
              </w:rPr>
            </w:pPr>
            <w:r>
              <w:rPr>
                <w:rFonts w:ascii="Arial" w:cs="Arial" w:eastAsia="Arial" w:hAnsi="Arial"/>
                <w:sz w:val="20"/>
                <w:szCs w:val="20"/>
                <w:color w:val="auto"/>
              </w:rPr>
              <w:t>4.7</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3.0</w:t>
            </w:r>
          </w:p>
        </w:tc>
        <w:tc>
          <w:tcPr>
            <w:tcW w:w="1600" w:type="dxa"/>
            <w:vAlign w:val="bottom"/>
          </w:tcPr>
          <w:p>
            <w:pPr>
              <w:jc w:val="right"/>
              <w:ind w:right="300"/>
              <w:spacing w:after="0"/>
              <w:rPr>
                <w:sz w:val="20"/>
                <w:szCs w:val="20"/>
                <w:color w:val="auto"/>
              </w:rPr>
            </w:pPr>
            <w:r>
              <w:rPr>
                <w:rFonts w:ascii="Arial" w:cs="Arial" w:eastAsia="Arial" w:hAnsi="Arial"/>
                <w:sz w:val="20"/>
                <w:szCs w:val="20"/>
                <w:color w:val="auto"/>
              </w:rPr>
              <w:t>4.5</w:t>
            </w:r>
          </w:p>
        </w:tc>
      </w:tr>
      <w:tr>
        <w:trPr>
          <w:trHeight w:val="41"/>
        </w:trPr>
        <w:tc>
          <w:tcPr>
            <w:tcW w:w="2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4"/>
        </w:trPr>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Aerospace &amp; Defense</w:t>
            </w:r>
          </w:p>
        </w:tc>
        <w:tc>
          <w:tcPr>
            <w:tcW w:w="16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300"/>
        </w:trPr>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Manufacturing</w:t>
            </w:r>
          </w:p>
        </w:tc>
        <w:tc>
          <w:tcPr>
            <w:tcW w:w="168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2.6</w:t>
            </w: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1.8</w:t>
            </w:r>
          </w:p>
        </w:tc>
        <w:tc>
          <w:tcPr>
            <w:tcW w:w="1660" w:type="dxa"/>
            <w:vAlign w:val="bottom"/>
            <w:shd w:val="clear" w:color="auto" w:fill="CCEEFF"/>
          </w:tcPr>
          <w:p>
            <w:pPr>
              <w:jc w:val="right"/>
              <w:ind w:right="260"/>
              <w:spacing w:after="0"/>
              <w:rPr>
                <w:sz w:val="20"/>
                <w:szCs w:val="20"/>
                <w:color w:val="auto"/>
              </w:rPr>
            </w:pPr>
            <w:r>
              <w:rPr>
                <w:rFonts w:ascii="Arial" w:cs="Arial" w:eastAsia="Arial" w:hAnsi="Arial"/>
                <w:sz w:val="20"/>
                <w:szCs w:val="20"/>
                <w:color w:val="auto"/>
              </w:rPr>
              <w:t>2.8</w:t>
            </w:r>
          </w:p>
        </w:tc>
        <w:tc>
          <w:tcPr>
            <w:tcW w:w="1600" w:type="dxa"/>
            <w:vAlign w:val="bottom"/>
            <w:shd w:val="clear" w:color="auto" w:fill="CCEEFF"/>
          </w:tcPr>
          <w:p>
            <w:pPr>
              <w:jc w:val="right"/>
              <w:ind w:right="300"/>
              <w:spacing w:after="0"/>
              <w:rPr>
                <w:sz w:val="20"/>
                <w:szCs w:val="20"/>
                <w:color w:val="auto"/>
              </w:rPr>
            </w:pPr>
            <w:r>
              <w:rPr>
                <w:rFonts w:ascii="Arial" w:cs="Arial" w:eastAsia="Arial" w:hAnsi="Arial"/>
                <w:sz w:val="20"/>
                <w:szCs w:val="20"/>
                <w:color w:val="auto"/>
              </w:rPr>
              <w:t>2.2</w:t>
            </w:r>
          </w:p>
        </w:tc>
      </w:tr>
      <w:tr>
        <w:trPr>
          <w:trHeight w:val="41"/>
        </w:trPr>
        <w:tc>
          <w:tcPr>
            <w:tcW w:w="28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-2797810</wp:posOffset>
            </wp:positionV>
            <wp:extent cx="379539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95395" cy="635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-2392045</wp:posOffset>
            </wp:positionV>
            <wp:extent cx="37953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95395" cy="63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33</w:t>
      </w:r>
    </w:p>
    <w:p>
      <w:pPr>
        <w:sectPr>
          <w:pgSz w:w="11900" w:h="16838" w:orient="portrait"/>
          <w:cols w:equalWidth="0" w:num="1">
            <w:col w:w="9400"/>
          </w:cols>
          <w:pgMar w:left="1260" w:top="1163" w:right="1246"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Environmental Industries</w:t>
            </w:r>
          </w:p>
        </w:tc>
        <w:tc>
          <w:tcPr>
            <w:tcW w:w="1680" w:type="dxa"/>
            <w:vAlign w:val="bottom"/>
          </w:tcPr>
          <w:p>
            <w:pPr>
              <w:jc w:val="right"/>
              <w:ind w:right="560"/>
              <w:spacing w:after="0"/>
              <w:rPr>
                <w:sz w:val="20"/>
                <w:szCs w:val="20"/>
                <w:color w:val="auto"/>
              </w:rPr>
            </w:pPr>
            <w:r>
              <w:rPr>
                <w:rFonts w:ascii="Arial" w:cs="Arial" w:eastAsia="Arial" w:hAnsi="Arial"/>
                <w:sz w:val="20"/>
                <w:szCs w:val="20"/>
                <w:color w:val="auto"/>
              </w:rPr>
              <w:t>2.6</w:t>
            </w:r>
          </w:p>
        </w:tc>
        <w:tc>
          <w:tcPr>
            <w:tcW w:w="1580" w:type="dxa"/>
            <w:vAlign w:val="bottom"/>
          </w:tcPr>
          <w:p>
            <w:pPr>
              <w:jc w:val="right"/>
              <w:ind w:right="560"/>
              <w:spacing w:after="0"/>
              <w:rPr>
                <w:sz w:val="20"/>
                <w:szCs w:val="20"/>
                <w:color w:val="auto"/>
              </w:rPr>
            </w:pPr>
            <w:r>
              <w:rPr>
                <w:rFonts w:ascii="Arial" w:cs="Arial" w:eastAsia="Arial" w:hAnsi="Arial"/>
                <w:sz w:val="20"/>
                <w:szCs w:val="20"/>
                <w:color w:val="auto"/>
              </w:rPr>
              <w:t>2.6</w:t>
            </w: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2.3</w:t>
            </w:r>
          </w:p>
        </w:tc>
        <w:tc>
          <w:tcPr>
            <w:tcW w:w="1320" w:type="dxa"/>
            <w:vAlign w:val="bottom"/>
          </w:tcPr>
          <w:p>
            <w:pPr>
              <w:jc w:val="right"/>
              <w:ind w:right="300"/>
              <w:spacing w:after="0"/>
              <w:rPr>
                <w:sz w:val="20"/>
                <w:szCs w:val="20"/>
                <w:color w:val="auto"/>
              </w:rPr>
            </w:pPr>
            <w:r>
              <w:rPr>
                <w:rFonts w:ascii="Arial" w:cs="Arial" w:eastAsia="Arial" w:hAnsi="Arial"/>
                <w:sz w:val="20"/>
                <w:szCs w:val="20"/>
                <w:color w:val="auto"/>
              </w:rPr>
              <w:t>2.8</w:t>
            </w:r>
          </w:p>
        </w:tc>
      </w:tr>
      <w:tr>
        <w:trPr>
          <w:trHeight w:val="41"/>
        </w:trPr>
        <w:tc>
          <w:tcPr>
            <w:tcW w:w="3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Promotional Products</w:t>
            </w:r>
          </w:p>
        </w:tc>
        <w:tc>
          <w:tcPr>
            <w:tcW w:w="16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2.0</w:t>
            </w:r>
          </w:p>
        </w:tc>
        <w:tc>
          <w:tcPr>
            <w:tcW w:w="15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2.4</w:t>
            </w:r>
          </w:p>
        </w:tc>
        <w:tc>
          <w:tcPr>
            <w:tcW w:w="1560" w:type="dxa"/>
            <w:vAlign w:val="bottom"/>
            <w:tcBorders>
              <w:bottom w:val="single" w:sz="8" w:color="CCEEFF"/>
            </w:tcBorders>
            <w:shd w:val="clear" w:color="auto" w:fill="CCEEFF"/>
          </w:tcPr>
          <w:p>
            <w:pPr>
              <w:jc w:val="right"/>
              <w:ind w:right="540"/>
              <w:spacing w:after="0"/>
              <w:rPr>
                <w:sz w:val="20"/>
                <w:szCs w:val="20"/>
                <w:color w:val="auto"/>
              </w:rPr>
            </w:pPr>
            <w:r>
              <w:rPr>
                <w:rFonts w:ascii="Arial" w:cs="Arial" w:eastAsia="Arial" w:hAnsi="Arial"/>
                <w:sz w:val="20"/>
                <w:szCs w:val="20"/>
                <w:color w:val="auto"/>
              </w:rPr>
              <w:t>1.9</w:t>
            </w:r>
          </w:p>
        </w:tc>
        <w:tc>
          <w:tcPr>
            <w:tcW w:w="13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2.3</w:t>
            </w:r>
          </w:p>
        </w:tc>
      </w:tr>
      <w:tr>
        <w:trPr>
          <w:trHeight w:val="274"/>
        </w:trPr>
        <w:tc>
          <w:tcPr>
            <w:tcW w:w="3260" w:type="dxa"/>
            <w:vAlign w:val="bottom"/>
          </w:tcPr>
          <w:p>
            <w:pPr>
              <w:spacing w:after="0"/>
              <w:rPr>
                <w:sz w:val="20"/>
                <w:szCs w:val="20"/>
                <w:color w:val="auto"/>
              </w:rPr>
            </w:pPr>
            <w:r>
              <w:rPr>
                <w:rFonts w:ascii="Arial" w:cs="Arial" w:eastAsia="Arial" w:hAnsi="Arial"/>
                <w:sz w:val="20"/>
                <w:szCs w:val="20"/>
                <w:color w:val="auto"/>
              </w:rPr>
              <w:t>Industrial Cleaning &amp; Coatings</w:t>
            </w:r>
          </w:p>
        </w:tc>
        <w:tc>
          <w:tcPr>
            <w:tcW w:w="1680" w:type="dxa"/>
            <w:vAlign w:val="bottom"/>
          </w:tcPr>
          <w:p>
            <w:pPr>
              <w:jc w:val="right"/>
              <w:ind w:right="560"/>
              <w:spacing w:after="0"/>
              <w:rPr>
                <w:sz w:val="20"/>
                <w:szCs w:val="20"/>
                <w:color w:val="auto"/>
              </w:rPr>
            </w:pPr>
            <w:r>
              <w:rPr>
                <w:rFonts w:ascii="Arial" w:cs="Arial" w:eastAsia="Arial" w:hAnsi="Arial"/>
                <w:sz w:val="20"/>
                <w:szCs w:val="20"/>
                <w:color w:val="auto"/>
              </w:rPr>
              <w:t>1.2</w:t>
            </w:r>
          </w:p>
        </w:tc>
        <w:tc>
          <w:tcPr>
            <w:tcW w:w="1580" w:type="dxa"/>
            <w:vAlign w:val="bottom"/>
          </w:tcPr>
          <w:p>
            <w:pPr>
              <w:jc w:val="right"/>
              <w:ind w:right="560"/>
              <w:spacing w:after="0"/>
              <w:rPr>
                <w:sz w:val="20"/>
                <w:szCs w:val="20"/>
                <w:color w:val="auto"/>
              </w:rPr>
            </w:pPr>
            <w:r>
              <w:rPr>
                <w:rFonts w:ascii="Arial" w:cs="Arial" w:eastAsia="Arial" w:hAnsi="Arial"/>
                <w:sz w:val="20"/>
                <w:szCs w:val="20"/>
                <w:color w:val="auto"/>
              </w:rPr>
              <w:t>1.2</w:t>
            </w: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1.4</w:t>
            </w:r>
          </w:p>
        </w:tc>
        <w:tc>
          <w:tcPr>
            <w:tcW w:w="1320" w:type="dxa"/>
            <w:vAlign w:val="bottom"/>
          </w:tcPr>
          <w:p>
            <w:pPr>
              <w:jc w:val="right"/>
              <w:ind w:right="300"/>
              <w:spacing w:after="0"/>
              <w:rPr>
                <w:sz w:val="20"/>
                <w:szCs w:val="20"/>
                <w:color w:val="auto"/>
              </w:rPr>
            </w:pPr>
            <w:r>
              <w:rPr>
                <w:rFonts w:ascii="Arial" w:cs="Arial" w:eastAsia="Arial" w:hAnsi="Arial"/>
                <w:sz w:val="20"/>
                <w:szCs w:val="20"/>
                <w:color w:val="auto"/>
              </w:rPr>
              <w:t>1.3</w:t>
            </w:r>
          </w:p>
        </w:tc>
      </w:tr>
      <w:tr>
        <w:trPr>
          <w:trHeight w:val="41"/>
        </w:trPr>
        <w:tc>
          <w:tcPr>
            <w:tcW w:w="3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Consumer Products</w:t>
            </w:r>
          </w:p>
        </w:tc>
        <w:tc>
          <w:tcPr>
            <w:tcW w:w="16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0.9</w:t>
            </w:r>
          </w:p>
        </w:tc>
        <w:tc>
          <w:tcPr>
            <w:tcW w:w="15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1.7</w:t>
            </w:r>
          </w:p>
        </w:tc>
        <w:tc>
          <w:tcPr>
            <w:tcW w:w="1560" w:type="dxa"/>
            <w:vAlign w:val="bottom"/>
            <w:tcBorders>
              <w:bottom w:val="single" w:sz="8" w:color="CCEEFF"/>
            </w:tcBorders>
            <w:shd w:val="clear" w:color="auto" w:fill="CCEEFF"/>
          </w:tcPr>
          <w:p>
            <w:pPr>
              <w:jc w:val="right"/>
              <w:ind w:right="540"/>
              <w:spacing w:after="0"/>
              <w:rPr>
                <w:sz w:val="20"/>
                <w:szCs w:val="20"/>
                <w:color w:val="auto"/>
              </w:rPr>
            </w:pPr>
            <w:r>
              <w:rPr>
                <w:rFonts w:ascii="Arial" w:cs="Arial" w:eastAsia="Arial" w:hAnsi="Arial"/>
                <w:sz w:val="20"/>
                <w:szCs w:val="20"/>
                <w:color w:val="auto"/>
              </w:rPr>
              <w:t>0.9</w:t>
            </w:r>
          </w:p>
        </w:tc>
        <w:tc>
          <w:tcPr>
            <w:tcW w:w="13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1.8</w:t>
            </w:r>
          </w:p>
        </w:tc>
      </w:tr>
      <w:tr>
        <w:trPr>
          <w:trHeight w:val="274"/>
        </w:trPr>
        <w:tc>
          <w:tcPr>
            <w:tcW w:w="3260" w:type="dxa"/>
            <w:vAlign w:val="bottom"/>
          </w:tcPr>
          <w:p>
            <w:pPr>
              <w:spacing w:after="0"/>
              <w:rPr>
                <w:sz w:val="20"/>
                <w:szCs w:val="20"/>
                <w:color w:val="auto"/>
              </w:rPr>
            </w:pPr>
            <w:r>
              <w:rPr>
                <w:rFonts w:ascii="Arial" w:cs="Arial" w:eastAsia="Arial" w:hAnsi="Arial"/>
                <w:sz w:val="20"/>
                <w:szCs w:val="20"/>
                <w:color w:val="auto"/>
              </w:rPr>
              <w:t>Oil &amp; Gas Services</w:t>
            </w:r>
          </w:p>
        </w:tc>
        <w:tc>
          <w:tcPr>
            <w:tcW w:w="1680" w:type="dxa"/>
            <w:vAlign w:val="bottom"/>
          </w:tcPr>
          <w:p>
            <w:pPr>
              <w:jc w:val="right"/>
              <w:ind w:right="560"/>
              <w:spacing w:after="0"/>
              <w:rPr>
                <w:sz w:val="20"/>
                <w:szCs w:val="20"/>
                <w:color w:val="auto"/>
              </w:rPr>
            </w:pPr>
            <w:r>
              <w:rPr>
                <w:rFonts w:ascii="Arial" w:cs="Arial" w:eastAsia="Arial" w:hAnsi="Arial"/>
                <w:sz w:val="20"/>
                <w:szCs w:val="20"/>
                <w:color w:val="auto"/>
              </w:rPr>
              <w:t>0.7</w:t>
            </w:r>
          </w:p>
        </w:tc>
        <w:tc>
          <w:tcPr>
            <w:tcW w:w="1580" w:type="dxa"/>
            <w:vAlign w:val="bottom"/>
          </w:tcPr>
          <w:p>
            <w:pPr>
              <w:jc w:val="right"/>
              <w:ind w:right="560"/>
              <w:spacing w:after="0"/>
              <w:rPr>
                <w:sz w:val="20"/>
                <w:szCs w:val="20"/>
                <w:color w:val="auto"/>
              </w:rPr>
            </w:pPr>
            <w:r>
              <w:rPr>
                <w:rFonts w:ascii="Arial" w:cs="Arial" w:eastAsia="Arial" w:hAnsi="Arial"/>
                <w:sz w:val="20"/>
                <w:szCs w:val="20"/>
                <w:color w:val="auto"/>
              </w:rPr>
              <w:t>0.9</w:t>
            </w: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0.8</w:t>
            </w:r>
          </w:p>
        </w:tc>
        <w:tc>
          <w:tcPr>
            <w:tcW w:w="1320" w:type="dxa"/>
            <w:vAlign w:val="bottom"/>
          </w:tcPr>
          <w:p>
            <w:pPr>
              <w:jc w:val="right"/>
              <w:ind w:right="300"/>
              <w:spacing w:after="0"/>
              <w:rPr>
                <w:sz w:val="20"/>
                <w:szCs w:val="20"/>
                <w:color w:val="auto"/>
              </w:rPr>
            </w:pPr>
            <w:r>
              <w:rPr>
                <w:rFonts w:ascii="Arial" w:cs="Arial" w:eastAsia="Arial" w:hAnsi="Arial"/>
                <w:sz w:val="20"/>
                <w:szCs w:val="20"/>
                <w:color w:val="auto"/>
              </w:rPr>
              <w:t>0.9</w:t>
            </w:r>
          </w:p>
        </w:tc>
      </w:tr>
      <w:tr>
        <w:trPr>
          <w:trHeight w:val="41"/>
        </w:trPr>
        <w:tc>
          <w:tcPr>
            <w:tcW w:w="3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Transportation Services</w:t>
            </w:r>
          </w:p>
        </w:tc>
        <w:tc>
          <w:tcPr>
            <w:tcW w:w="16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0.7</w:t>
            </w:r>
          </w:p>
        </w:tc>
        <w:tc>
          <w:tcPr>
            <w:tcW w:w="15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2.0</w:t>
            </w:r>
          </w:p>
        </w:tc>
        <w:tc>
          <w:tcPr>
            <w:tcW w:w="1560" w:type="dxa"/>
            <w:vAlign w:val="bottom"/>
            <w:tcBorders>
              <w:bottom w:val="single" w:sz="8" w:color="CCEEFF"/>
            </w:tcBorders>
            <w:shd w:val="clear" w:color="auto" w:fill="CCEEFF"/>
          </w:tcPr>
          <w:p>
            <w:pPr>
              <w:jc w:val="right"/>
              <w:ind w:right="540"/>
              <w:spacing w:after="0"/>
              <w:rPr>
                <w:sz w:val="20"/>
                <w:szCs w:val="20"/>
                <w:color w:val="auto"/>
              </w:rPr>
            </w:pPr>
            <w:r>
              <w:rPr>
                <w:rFonts w:ascii="Arial" w:cs="Arial" w:eastAsia="Arial" w:hAnsi="Arial"/>
                <w:sz w:val="20"/>
                <w:szCs w:val="20"/>
                <w:color w:val="auto"/>
              </w:rPr>
              <w:t>0.7</w:t>
            </w:r>
          </w:p>
        </w:tc>
        <w:tc>
          <w:tcPr>
            <w:tcW w:w="13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2.0</w:t>
            </w:r>
          </w:p>
        </w:tc>
      </w:tr>
      <w:tr>
        <w:trPr>
          <w:trHeight w:val="274"/>
        </w:trPr>
        <w:tc>
          <w:tcPr>
            <w:tcW w:w="3260" w:type="dxa"/>
            <w:vAlign w:val="bottom"/>
          </w:tcPr>
          <w:p>
            <w:pPr>
              <w:spacing w:after="0"/>
              <w:rPr>
                <w:sz w:val="20"/>
                <w:szCs w:val="20"/>
                <w:color w:val="auto"/>
              </w:rPr>
            </w:pPr>
            <w:r>
              <w:rPr>
                <w:rFonts w:ascii="Arial" w:cs="Arial" w:eastAsia="Arial" w:hAnsi="Arial"/>
                <w:sz w:val="20"/>
                <w:szCs w:val="20"/>
                <w:color w:val="auto"/>
              </w:rPr>
              <w:t>Industrial Product Services</w:t>
            </w:r>
          </w:p>
        </w:tc>
        <w:tc>
          <w:tcPr>
            <w:tcW w:w="1680" w:type="dxa"/>
            <w:vAlign w:val="bottom"/>
          </w:tcPr>
          <w:p>
            <w:pPr>
              <w:jc w:val="right"/>
              <w:ind w:right="560"/>
              <w:spacing w:after="0"/>
              <w:rPr>
                <w:sz w:val="20"/>
                <w:szCs w:val="20"/>
                <w:color w:val="auto"/>
              </w:rPr>
            </w:pPr>
            <w:r>
              <w:rPr>
                <w:rFonts w:ascii="Arial" w:cs="Arial" w:eastAsia="Arial" w:hAnsi="Arial"/>
                <w:sz w:val="20"/>
                <w:szCs w:val="20"/>
                <w:color w:val="auto"/>
              </w:rPr>
              <w:t>0.6</w:t>
            </w:r>
          </w:p>
        </w:tc>
        <w:tc>
          <w:tcPr>
            <w:tcW w:w="1580" w:type="dxa"/>
            <w:vAlign w:val="bottom"/>
          </w:tcPr>
          <w:p>
            <w:pPr>
              <w:jc w:val="right"/>
              <w:ind w:right="560"/>
              <w:spacing w:after="0"/>
              <w:rPr>
                <w:sz w:val="20"/>
                <w:szCs w:val="20"/>
                <w:color w:val="auto"/>
              </w:rPr>
            </w:pPr>
            <w:r>
              <w:rPr>
                <w:rFonts w:ascii="Arial" w:cs="Arial" w:eastAsia="Arial" w:hAnsi="Arial"/>
                <w:sz w:val="20"/>
                <w:szCs w:val="20"/>
                <w:color w:val="auto"/>
              </w:rPr>
              <w:t>0.7</w:t>
            </w:r>
          </w:p>
        </w:tc>
        <w:tc>
          <w:tcPr>
            <w:tcW w:w="1560" w:type="dxa"/>
            <w:vAlign w:val="bottom"/>
          </w:tcPr>
          <w:p>
            <w:pPr>
              <w:jc w:val="right"/>
              <w:ind w:right="540"/>
              <w:spacing w:after="0"/>
              <w:rPr>
                <w:sz w:val="20"/>
                <w:szCs w:val="20"/>
                <w:color w:val="auto"/>
              </w:rPr>
            </w:pPr>
            <w:r>
              <w:rPr>
                <w:rFonts w:ascii="Arial" w:cs="Arial" w:eastAsia="Arial" w:hAnsi="Arial"/>
                <w:sz w:val="20"/>
                <w:szCs w:val="20"/>
                <w:color w:val="auto"/>
              </w:rPr>
              <w:t>0.6</w:t>
            </w:r>
          </w:p>
        </w:tc>
        <w:tc>
          <w:tcPr>
            <w:tcW w:w="1320" w:type="dxa"/>
            <w:vAlign w:val="bottom"/>
          </w:tcPr>
          <w:p>
            <w:pPr>
              <w:jc w:val="right"/>
              <w:ind w:right="300"/>
              <w:spacing w:after="0"/>
              <w:rPr>
                <w:sz w:val="20"/>
                <w:szCs w:val="20"/>
                <w:color w:val="auto"/>
              </w:rPr>
            </w:pPr>
            <w:r>
              <w:rPr>
                <w:rFonts w:ascii="Arial" w:cs="Arial" w:eastAsia="Arial" w:hAnsi="Arial"/>
                <w:sz w:val="20"/>
                <w:szCs w:val="20"/>
                <w:color w:val="auto"/>
              </w:rPr>
              <w:t>0.7</w:t>
            </w:r>
          </w:p>
        </w:tc>
      </w:tr>
      <w:tr>
        <w:trPr>
          <w:trHeight w:val="41"/>
        </w:trPr>
        <w:tc>
          <w:tcPr>
            <w:tcW w:w="3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Utility Equipment Manufacturing</w:t>
            </w:r>
          </w:p>
        </w:tc>
        <w:tc>
          <w:tcPr>
            <w:tcW w:w="16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0.5</w:t>
            </w:r>
          </w:p>
        </w:tc>
        <w:tc>
          <w:tcPr>
            <w:tcW w:w="158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540"/>
              <w:spacing w:after="0"/>
              <w:rPr>
                <w:sz w:val="20"/>
                <w:szCs w:val="20"/>
                <w:color w:val="auto"/>
              </w:rPr>
            </w:pPr>
            <w:r>
              <w:rPr>
                <w:rFonts w:ascii="Arial" w:cs="Arial" w:eastAsia="Arial" w:hAnsi="Arial"/>
                <w:sz w:val="20"/>
                <w:szCs w:val="20"/>
                <w:color w:val="auto"/>
              </w:rPr>
              <w:t>0.5</w:t>
            </w:r>
          </w:p>
        </w:tc>
        <w:tc>
          <w:tcPr>
            <w:tcW w:w="13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r>
      <w:tr>
        <w:trPr>
          <w:trHeight w:val="319"/>
        </w:trPr>
        <w:tc>
          <w:tcPr>
            <w:tcW w:w="3260" w:type="dxa"/>
            <w:vAlign w:val="bottom"/>
          </w:tcPr>
          <w:p>
            <w:pPr>
              <w:spacing w:after="0"/>
              <w:rPr>
                <w:sz w:val="20"/>
                <w:szCs w:val="20"/>
                <w:color w:val="auto"/>
              </w:rPr>
            </w:pPr>
            <w:r>
              <w:rPr>
                <w:rFonts w:ascii="Arial" w:cs="Arial" w:eastAsia="Arial" w:hAnsi="Arial"/>
                <w:sz w:val="20"/>
                <w:szCs w:val="20"/>
                <w:color w:val="auto"/>
              </w:rPr>
              <w:t>Total</w:t>
            </w:r>
          </w:p>
        </w:tc>
        <w:tc>
          <w:tcPr>
            <w:tcW w:w="1680" w:type="dxa"/>
            <w:vAlign w:val="bottom"/>
          </w:tcPr>
          <w:p>
            <w:pPr>
              <w:jc w:val="right"/>
              <w:ind w:right="380"/>
              <w:spacing w:after="0"/>
              <w:rPr>
                <w:sz w:val="20"/>
                <w:szCs w:val="20"/>
                <w:color w:val="auto"/>
              </w:rPr>
            </w:pPr>
            <w:r>
              <w:rPr>
                <w:rFonts w:ascii="Arial" w:cs="Arial" w:eastAsia="Arial" w:hAnsi="Arial"/>
                <w:sz w:val="20"/>
                <w:szCs w:val="20"/>
                <w:color w:val="auto"/>
              </w:rPr>
              <w:t>100.0%</w:t>
            </w:r>
          </w:p>
        </w:tc>
        <w:tc>
          <w:tcPr>
            <w:tcW w:w="1580" w:type="dxa"/>
            <w:vAlign w:val="bottom"/>
          </w:tcPr>
          <w:p>
            <w:pPr>
              <w:jc w:val="right"/>
              <w:ind w:right="380"/>
              <w:spacing w:after="0"/>
              <w:rPr>
                <w:sz w:val="20"/>
                <w:szCs w:val="20"/>
                <w:color w:val="auto"/>
              </w:rPr>
            </w:pPr>
            <w:r>
              <w:rPr>
                <w:rFonts w:ascii="Arial" w:cs="Arial" w:eastAsia="Arial" w:hAnsi="Arial"/>
                <w:sz w:val="20"/>
                <w:szCs w:val="20"/>
                <w:color w:val="auto"/>
              </w:rPr>
              <w:t>100.0%</w:t>
            </w:r>
          </w:p>
        </w:tc>
        <w:tc>
          <w:tcPr>
            <w:tcW w:w="1560" w:type="dxa"/>
            <w:vAlign w:val="bottom"/>
          </w:tcPr>
          <w:p>
            <w:pPr>
              <w:jc w:val="right"/>
              <w:ind w:right="360"/>
              <w:spacing w:after="0"/>
              <w:rPr>
                <w:sz w:val="20"/>
                <w:szCs w:val="20"/>
                <w:color w:val="auto"/>
              </w:rPr>
            </w:pPr>
            <w:r>
              <w:rPr>
                <w:rFonts w:ascii="Arial" w:cs="Arial" w:eastAsia="Arial" w:hAnsi="Arial"/>
                <w:sz w:val="20"/>
                <w:szCs w:val="20"/>
                <w:color w:val="auto"/>
              </w:rPr>
              <w:t>100.0%</w:t>
            </w: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-208280</wp:posOffset>
            </wp:positionV>
            <wp:extent cx="391033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10330" cy="635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-1905</wp:posOffset>
            </wp:positionV>
            <wp:extent cx="3795395" cy="28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95395" cy="2857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Portfolio Asset Quality</w:t>
      </w:r>
    </w:p>
    <w:p>
      <w:pPr>
        <w:spacing w:after="0" w:line="260" w:lineRule="exact"/>
        <w:rPr>
          <w:sz w:val="20"/>
          <w:szCs w:val="20"/>
          <w:color w:val="auto"/>
        </w:rPr>
      </w:pPr>
    </w:p>
    <w:p>
      <w:pPr>
        <w:jc w:val="both"/>
        <w:ind w:right="60" w:firstLine="401"/>
        <w:spacing w:after="0" w:line="309" w:lineRule="auto"/>
        <w:rPr>
          <w:sz w:val="20"/>
          <w:szCs w:val="20"/>
          <w:color w:val="auto"/>
        </w:rPr>
      </w:pPr>
      <w:r>
        <w:rPr>
          <w:rFonts w:ascii="Arial" w:cs="Arial" w:eastAsia="Arial" w:hAnsi="Arial"/>
          <w:sz w:val="20"/>
          <w:szCs w:val="20"/>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226" w:lineRule="exact"/>
        <w:rPr>
          <w:sz w:val="20"/>
          <w:szCs w:val="20"/>
          <w:color w:val="auto"/>
        </w:rPr>
      </w:pPr>
    </w:p>
    <w:p>
      <w:pPr>
        <w:ind w:left="860" w:right="280" w:hanging="441"/>
        <w:spacing w:after="0" w:line="309" w:lineRule="auto"/>
        <w:tabs>
          <w:tab w:leader="none" w:pos="8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5" w:lineRule="exact"/>
        <w:rPr>
          <w:rFonts w:ascii="Arial" w:cs="Arial" w:eastAsia="Arial" w:hAnsi="Arial"/>
          <w:sz w:val="20"/>
          <w:szCs w:val="20"/>
          <w:color w:val="auto"/>
        </w:rPr>
      </w:pPr>
    </w:p>
    <w:p>
      <w:pPr>
        <w:ind w:left="860" w:right="320" w:hanging="441"/>
        <w:spacing w:after="0" w:line="309" w:lineRule="auto"/>
        <w:tabs>
          <w:tab w:leader="none" w:pos="8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33</w:t>
      </w:r>
    </w:p>
    <w:p>
      <w:pPr>
        <w:sectPr>
          <w:pgSz w:w="11900" w:h="16838" w:orient="portrait"/>
          <w:cols w:equalWidth="0" w:num="1">
            <w:col w:w="9400"/>
          </w:cols>
          <w:pgMar w:left="1260" w:top="1177" w:right="1246" w:bottom="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0" w:right="20" w:hanging="441"/>
        <w:spacing w:after="0" w:line="329"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1" w:lineRule="exact"/>
        <w:rPr>
          <w:rFonts w:ascii="Arial" w:cs="Arial" w:eastAsia="Arial" w:hAnsi="Arial"/>
          <w:sz w:val="19"/>
          <w:szCs w:val="19"/>
          <w:color w:val="auto"/>
        </w:rPr>
      </w:pPr>
    </w:p>
    <w:p>
      <w:pPr>
        <w:ind w:left="860" w:right="320" w:hanging="441"/>
        <w:spacing w:after="0" w:line="307" w:lineRule="auto"/>
        <w:tabs>
          <w:tab w:leader="none" w:pos="8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17" w:lineRule="exact"/>
        <w:rPr>
          <w:rFonts w:ascii="Arial" w:cs="Arial" w:eastAsia="Arial" w:hAnsi="Arial"/>
          <w:sz w:val="20"/>
          <w:szCs w:val="20"/>
          <w:color w:val="auto"/>
        </w:rPr>
      </w:pPr>
    </w:p>
    <w:p>
      <w:pPr>
        <w:ind w:left="860" w:right="40" w:hanging="441"/>
        <w:spacing w:after="0" w:line="302" w:lineRule="auto"/>
        <w:tabs>
          <w:tab w:leader="none" w:pos="8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Investment Rating 5 is used for investments performing substantially below our expectations and the risks have increased substantially since origination. We expect some loss of principal.</w:t>
      </w:r>
    </w:p>
    <w:p>
      <w:pPr>
        <w:spacing w:after="0" w:line="201"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color w:val="auto"/>
        </w:rPr>
        <w:t>We also have observed, and continue to observe, supply chain disruptions, labor and resource shortages, commodity inflation, elements of financial market instability (including elevated interest rates), changes to U.S. tariff and trade policies and uncertainty relating to such changes, an uncertain economic outlook for the United States (which may include a recession), and elements of geopolitical instability (including the ongoing war in Ukraine, U.S. and China relations, and ongoing conflicts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spacing w:after="0" w:line="200" w:lineRule="exact"/>
        <w:rPr>
          <w:sz w:val="20"/>
          <w:szCs w:val="20"/>
          <w:color w:val="auto"/>
        </w:rPr>
      </w:pPr>
    </w:p>
    <w:p>
      <w:pPr>
        <w:ind w:right="60" w:firstLine="401"/>
        <w:spacing w:after="0" w:line="302" w:lineRule="auto"/>
        <w:rPr>
          <w:sz w:val="20"/>
          <w:szCs w:val="20"/>
          <w:color w:val="auto"/>
        </w:rPr>
      </w:pPr>
      <w:r>
        <w:rPr>
          <w:rFonts w:ascii="Arial" w:cs="Arial" w:eastAsia="Arial" w:hAnsi="Arial"/>
          <w:sz w:val="20"/>
          <w:szCs w:val="20"/>
          <w:color w:val="auto"/>
        </w:rPr>
        <w:t>The following table shows the distribution of our investments on the 1 to 5 investment rating scale at fair value and cost as of December 31, 2025 and 2024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40" w:type="dxa"/>
            <w:vAlign w:val="bottom"/>
            <w:gridSpan w:val="3"/>
          </w:tcPr>
          <w:p>
            <w:pPr>
              <w:jc w:val="right"/>
              <w:ind w:right="800"/>
              <w:spacing w:after="0"/>
              <w:rPr>
                <w:sz w:val="20"/>
                <w:szCs w:val="20"/>
                <w:color w:val="auto"/>
              </w:rPr>
            </w:pPr>
            <w:r>
              <w:rPr>
                <w:rFonts w:ascii="Arial" w:cs="Arial" w:eastAsia="Arial" w:hAnsi="Arial"/>
                <w:sz w:val="20"/>
                <w:szCs w:val="20"/>
                <w:b w:val="1"/>
                <w:bCs w:val="1"/>
                <w:color w:val="auto"/>
              </w:rPr>
              <w:t>Fair Value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Cost</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10"/>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20"/>
                <w:szCs w:val="20"/>
                <w:b w:val="1"/>
                <w:bCs w:val="1"/>
                <w:color w:val="auto"/>
                <w:w w:val="98"/>
              </w:rPr>
              <w:t>December 31,</w:t>
            </w:r>
          </w:p>
        </w:tc>
        <w:tc>
          <w:tcPr>
            <w:tcW w:w="260" w:type="dxa"/>
            <w:vAlign w:val="bottom"/>
          </w:tcPr>
          <w:p>
            <w:pPr>
              <w:spacing w:after="0"/>
              <w:rPr>
                <w:sz w:val="24"/>
                <w:szCs w:val="24"/>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w w:val="98"/>
              </w:rPr>
              <w:t>December 31,</w:t>
            </w:r>
          </w:p>
        </w:tc>
        <w:tc>
          <w:tcPr>
            <w:tcW w:w="22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w w:val="93"/>
              </w:rPr>
              <w:t>December 31,</w:t>
            </w:r>
          </w:p>
        </w:tc>
        <w:tc>
          <w:tcPr>
            <w:tcW w:w="260" w:type="dxa"/>
            <w:vAlign w:val="bottom"/>
          </w:tcPr>
          <w:p>
            <w:pPr>
              <w:spacing w:after="0"/>
              <w:rPr>
                <w:sz w:val="24"/>
                <w:szCs w:val="24"/>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20"/>
                <w:szCs w:val="20"/>
                <w:b w:val="1"/>
                <w:bCs w:val="1"/>
                <w:color w:val="auto"/>
                <w:w w:val="95"/>
              </w:rPr>
              <w:t>December 31,</w:t>
            </w:r>
          </w:p>
        </w:tc>
      </w:tr>
      <w:tr>
        <w:trPr>
          <w:trHeight w:val="300"/>
        </w:trPr>
        <w:tc>
          <w:tcPr>
            <w:tcW w:w="1120" w:type="dxa"/>
            <w:vAlign w:val="bottom"/>
          </w:tcPr>
          <w:p>
            <w:pPr>
              <w:spacing w:after="0"/>
              <w:rPr>
                <w:sz w:val="20"/>
                <w:szCs w:val="20"/>
                <w:color w:val="auto"/>
              </w:rPr>
            </w:pPr>
            <w:r>
              <w:rPr>
                <w:rFonts w:ascii="Arial" w:cs="Arial" w:eastAsia="Arial" w:hAnsi="Arial"/>
                <w:sz w:val="20"/>
                <w:szCs w:val="20"/>
                <w:b w:val="1"/>
                <w:bCs w:val="1"/>
                <w:color w:val="auto"/>
              </w:rPr>
              <w:t>Investment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20" w:type="dxa"/>
            <w:vAlign w:val="bottom"/>
          </w:tcPr>
          <w:p>
            <w:pPr>
              <w:spacing w:after="0"/>
              <w:rPr>
                <w:sz w:val="20"/>
                <w:szCs w:val="20"/>
                <w:color w:val="auto"/>
              </w:rPr>
            </w:pPr>
            <w:r>
              <w:rPr>
                <w:rFonts w:ascii="Arial" w:cs="Arial" w:eastAsia="Arial" w:hAnsi="Arial"/>
                <w:sz w:val="20"/>
                <w:szCs w:val="20"/>
                <w:b w:val="1"/>
                <w:bCs w:val="1"/>
                <w:color w:val="auto"/>
              </w:rPr>
              <w:t>Rating</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880" w:type="dxa"/>
            <w:vAlign w:val="bottom"/>
          </w:tcPr>
          <w:p>
            <w:pPr>
              <w:spacing w:after="0"/>
              <w:rPr>
                <w:sz w:val="24"/>
                <w:szCs w:val="24"/>
                <w:color w:val="auto"/>
              </w:rPr>
            </w:pPr>
          </w:p>
        </w:tc>
      </w:tr>
      <w:tr>
        <w:trPr>
          <w:trHeight w:val="51"/>
        </w:trPr>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1</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68.6</w:t>
            </w: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100.0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7.2</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27.2</w:t>
            </w:r>
          </w:p>
        </w:tc>
        <w:tc>
          <w:tcPr>
            <w:tcW w:w="8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2.5%</w:t>
            </w:r>
          </w:p>
        </w:tc>
      </w:tr>
      <w:tr>
        <w:trPr>
          <w:trHeight w:val="259"/>
        </w:trPr>
        <w:tc>
          <w:tcPr>
            <w:tcW w:w="1120" w:type="dxa"/>
            <w:vAlign w:val="bottom"/>
          </w:tcPr>
          <w:p>
            <w:pPr>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2"/>
                <w:szCs w:val="22"/>
                <w:color w:val="auto"/>
              </w:rPr>
            </w:pPr>
          </w:p>
        </w:tc>
        <w:tc>
          <w:tcPr>
            <w:tcW w:w="1000" w:type="dxa"/>
            <w:vAlign w:val="bottom"/>
          </w:tcPr>
          <w:p>
            <w:pPr>
              <w:jc w:val="right"/>
              <w:ind w:right="260"/>
              <w:spacing w:after="0"/>
              <w:rPr>
                <w:sz w:val="20"/>
                <w:szCs w:val="20"/>
                <w:color w:val="auto"/>
              </w:rPr>
            </w:pPr>
            <w:r>
              <w:rPr>
                <w:rFonts w:ascii="Arial" w:cs="Arial" w:eastAsia="Arial" w:hAnsi="Arial"/>
                <w:sz w:val="20"/>
                <w:szCs w:val="20"/>
                <w:color w:val="auto"/>
                <w:w w:val="92"/>
              </w:rPr>
              <w:t>1,145.2</w:t>
            </w: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86.5</w:t>
            </w:r>
          </w:p>
        </w:tc>
        <w:tc>
          <w:tcPr>
            <w:tcW w:w="260" w:type="dxa"/>
            <w:vAlign w:val="bottom"/>
          </w:tcPr>
          <w:p>
            <w:pPr>
              <w:spacing w:after="0"/>
              <w:rPr>
                <w:sz w:val="22"/>
                <w:szCs w:val="22"/>
                <w:color w:val="auto"/>
              </w:rPr>
            </w:pPr>
          </w:p>
        </w:tc>
        <w:tc>
          <w:tcPr>
            <w:tcW w:w="1020" w:type="dxa"/>
            <w:vAlign w:val="bottom"/>
          </w:tcPr>
          <w:p>
            <w:pPr>
              <w:jc w:val="right"/>
              <w:ind w:right="280"/>
              <w:spacing w:after="0"/>
              <w:rPr>
                <w:sz w:val="20"/>
                <w:szCs w:val="20"/>
                <w:color w:val="auto"/>
              </w:rPr>
            </w:pPr>
            <w:r>
              <w:rPr>
                <w:rFonts w:ascii="Arial" w:cs="Arial" w:eastAsia="Arial" w:hAnsi="Arial"/>
                <w:sz w:val="20"/>
                <w:szCs w:val="20"/>
                <w:color w:val="auto"/>
              </w:rPr>
              <w:t>895.9</w:t>
            </w:r>
          </w:p>
        </w:tc>
        <w:tc>
          <w:tcPr>
            <w:tcW w:w="800" w:type="dxa"/>
            <w:vAlign w:val="bottom"/>
          </w:tcPr>
          <w:p>
            <w:pPr>
              <w:jc w:val="right"/>
              <w:ind w:right="160"/>
              <w:spacing w:after="0"/>
              <w:rPr>
                <w:sz w:val="20"/>
                <w:szCs w:val="20"/>
                <w:color w:val="auto"/>
              </w:rPr>
            </w:pPr>
            <w:r>
              <w:rPr>
                <w:rFonts w:ascii="Arial" w:cs="Arial" w:eastAsia="Arial" w:hAnsi="Arial"/>
                <w:sz w:val="20"/>
                <w:szCs w:val="20"/>
                <w:color w:val="auto"/>
              </w:rPr>
              <w:t>82.1</w:t>
            </w:r>
          </w:p>
        </w:tc>
        <w:tc>
          <w:tcPr>
            <w:tcW w:w="220" w:type="dxa"/>
            <w:vAlign w:val="bottom"/>
          </w:tcPr>
          <w:p>
            <w:pPr>
              <w:spacing w:after="0"/>
              <w:rPr>
                <w:sz w:val="22"/>
                <w:szCs w:val="22"/>
                <w:color w:val="auto"/>
              </w:rPr>
            </w:pPr>
          </w:p>
        </w:tc>
        <w:tc>
          <w:tcPr>
            <w:tcW w:w="920" w:type="dxa"/>
            <w:vAlign w:val="bottom"/>
          </w:tcPr>
          <w:p>
            <w:pPr>
              <w:jc w:val="right"/>
              <w:ind w:right="180"/>
              <w:spacing w:after="0"/>
              <w:rPr>
                <w:sz w:val="20"/>
                <w:szCs w:val="20"/>
                <w:color w:val="auto"/>
              </w:rPr>
            </w:pPr>
            <w:r>
              <w:rPr>
                <w:rFonts w:ascii="Arial" w:cs="Arial" w:eastAsia="Arial" w:hAnsi="Arial"/>
                <w:sz w:val="20"/>
                <w:szCs w:val="20"/>
                <w:color w:val="auto"/>
                <w:w w:val="92"/>
              </w:rPr>
              <w:t>1,130.8</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87.0</w:t>
            </w:r>
          </w:p>
        </w:tc>
        <w:tc>
          <w:tcPr>
            <w:tcW w:w="260" w:type="dxa"/>
            <w:vAlign w:val="bottom"/>
          </w:tcPr>
          <w:p>
            <w:pPr>
              <w:spacing w:after="0"/>
              <w:rPr>
                <w:sz w:val="22"/>
                <w:szCs w:val="22"/>
                <w:color w:val="auto"/>
              </w:rPr>
            </w:pPr>
          </w:p>
        </w:tc>
        <w:tc>
          <w:tcPr>
            <w:tcW w:w="960" w:type="dxa"/>
            <w:vAlign w:val="bottom"/>
          </w:tcPr>
          <w:p>
            <w:pPr>
              <w:jc w:val="right"/>
              <w:ind w:right="200"/>
              <w:spacing w:after="0"/>
              <w:rPr>
                <w:sz w:val="20"/>
                <w:szCs w:val="20"/>
                <w:color w:val="auto"/>
              </w:rPr>
            </w:pPr>
            <w:r>
              <w:rPr>
                <w:rFonts w:ascii="Arial" w:cs="Arial" w:eastAsia="Arial" w:hAnsi="Arial"/>
                <w:sz w:val="20"/>
                <w:szCs w:val="20"/>
                <w:color w:val="auto"/>
              </w:rPr>
              <w:t>886.7</w:t>
            </w:r>
          </w:p>
        </w:tc>
        <w:tc>
          <w:tcPr>
            <w:tcW w:w="880" w:type="dxa"/>
            <w:vAlign w:val="bottom"/>
          </w:tcPr>
          <w:p>
            <w:pPr>
              <w:jc w:val="right"/>
              <w:ind w:right="240"/>
              <w:spacing w:after="0"/>
              <w:rPr>
                <w:sz w:val="20"/>
                <w:szCs w:val="20"/>
                <w:color w:val="auto"/>
              </w:rPr>
            </w:pPr>
            <w:r>
              <w:rPr>
                <w:rFonts w:ascii="Arial" w:cs="Arial" w:eastAsia="Arial" w:hAnsi="Arial"/>
                <w:sz w:val="20"/>
                <w:szCs w:val="20"/>
                <w:color w:val="auto"/>
              </w:rPr>
              <w:t>82.6</w:t>
            </w:r>
          </w:p>
        </w:tc>
      </w:tr>
      <w:tr>
        <w:trPr>
          <w:trHeight w:val="41"/>
        </w:trPr>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0"/>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3</w:t>
            </w: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109.2</w:t>
            </w:r>
          </w:p>
        </w:tc>
        <w:tc>
          <w:tcPr>
            <w:tcW w:w="8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8.2</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83.7</w:t>
            </w:r>
          </w:p>
        </w:tc>
        <w:tc>
          <w:tcPr>
            <w:tcW w:w="8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7.7</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118.1</w:t>
            </w:r>
          </w:p>
        </w:tc>
        <w:tc>
          <w:tcPr>
            <w:tcW w:w="78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9.1</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99.4</w:t>
            </w:r>
          </w:p>
        </w:tc>
        <w:tc>
          <w:tcPr>
            <w:tcW w:w="88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9.2</w:t>
            </w:r>
          </w:p>
        </w:tc>
      </w:tr>
      <w:tr>
        <w:trPr>
          <w:trHeight w:val="259"/>
        </w:trPr>
        <w:tc>
          <w:tcPr>
            <w:tcW w:w="1120" w:type="dxa"/>
            <w:vAlign w:val="bottom"/>
          </w:tcPr>
          <w:p>
            <w:pPr>
              <w:spacing w:after="0"/>
              <w:rPr>
                <w:sz w:val="20"/>
                <w:szCs w:val="20"/>
                <w:color w:val="auto"/>
              </w:rPr>
            </w:pPr>
            <w:r>
              <w:rPr>
                <w:rFonts w:ascii="Arial" w:cs="Arial" w:eastAsia="Arial" w:hAnsi="Arial"/>
                <w:sz w:val="20"/>
                <w:szCs w:val="20"/>
                <w:color w:val="auto"/>
              </w:rPr>
              <w:t>4</w:t>
            </w:r>
          </w:p>
        </w:tc>
        <w:tc>
          <w:tcPr>
            <w:tcW w:w="320" w:type="dxa"/>
            <w:vAlign w:val="bottom"/>
          </w:tcPr>
          <w:p>
            <w:pPr>
              <w:spacing w:after="0"/>
              <w:rPr>
                <w:sz w:val="22"/>
                <w:szCs w:val="22"/>
                <w:color w:val="auto"/>
              </w:rPr>
            </w:pPr>
          </w:p>
        </w:tc>
        <w:tc>
          <w:tcPr>
            <w:tcW w:w="1000" w:type="dxa"/>
            <w:vAlign w:val="bottom"/>
          </w:tcPr>
          <w:p>
            <w:pPr>
              <w:jc w:val="right"/>
              <w:ind w:right="260"/>
              <w:spacing w:after="0"/>
              <w:rPr>
                <w:sz w:val="20"/>
                <w:szCs w:val="20"/>
                <w:color w:val="auto"/>
              </w:rPr>
            </w:pPr>
            <w:r>
              <w:rPr>
                <w:rFonts w:ascii="Arial" w:cs="Arial" w:eastAsia="Arial" w:hAnsi="Arial"/>
                <w:sz w:val="20"/>
                <w:szCs w:val="20"/>
                <w:color w:val="auto"/>
              </w:rPr>
              <w:t>1.8</w:t>
            </w: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0.1</w:t>
            </w:r>
          </w:p>
        </w:tc>
        <w:tc>
          <w:tcPr>
            <w:tcW w:w="260" w:type="dxa"/>
            <w:vAlign w:val="bottom"/>
          </w:tcPr>
          <w:p>
            <w:pPr>
              <w:spacing w:after="0"/>
              <w:rPr>
                <w:sz w:val="22"/>
                <w:szCs w:val="22"/>
                <w:color w:val="auto"/>
              </w:rPr>
            </w:pPr>
          </w:p>
        </w:tc>
        <w:tc>
          <w:tcPr>
            <w:tcW w:w="1020" w:type="dxa"/>
            <w:vAlign w:val="bottom"/>
          </w:tcPr>
          <w:p>
            <w:pPr>
              <w:jc w:val="right"/>
              <w:ind w:right="280"/>
              <w:spacing w:after="0"/>
              <w:rPr>
                <w:sz w:val="20"/>
                <w:szCs w:val="20"/>
                <w:color w:val="auto"/>
              </w:rPr>
            </w:pPr>
            <w:r>
              <w:rPr>
                <w:rFonts w:ascii="Arial" w:cs="Arial" w:eastAsia="Arial" w:hAnsi="Arial"/>
                <w:sz w:val="20"/>
                <w:szCs w:val="20"/>
                <w:color w:val="auto"/>
              </w:rPr>
              <w:t>10.5</w:t>
            </w:r>
          </w:p>
        </w:tc>
        <w:tc>
          <w:tcPr>
            <w:tcW w:w="800" w:type="dxa"/>
            <w:vAlign w:val="bottom"/>
          </w:tcPr>
          <w:p>
            <w:pPr>
              <w:jc w:val="right"/>
              <w:ind w:right="160"/>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2"/>
                <w:szCs w:val="22"/>
                <w:color w:val="auto"/>
              </w:rPr>
            </w:pPr>
          </w:p>
        </w:tc>
        <w:tc>
          <w:tcPr>
            <w:tcW w:w="920" w:type="dxa"/>
            <w:vAlign w:val="bottom"/>
          </w:tcPr>
          <w:p>
            <w:pPr>
              <w:jc w:val="right"/>
              <w:ind w:right="180"/>
              <w:spacing w:after="0"/>
              <w:rPr>
                <w:sz w:val="20"/>
                <w:szCs w:val="20"/>
                <w:color w:val="auto"/>
              </w:rPr>
            </w:pPr>
            <w:r>
              <w:rPr>
                <w:rFonts w:ascii="Arial" w:cs="Arial" w:eastAsia="Arial" w:hAnsi="Arial"/>
                <w:sz w:val="20"/>
                <w:szCs w:val="20"/>
                <w:color w:val="auto"/>
              </w:rPr>
              <w:t>21.8</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1.7</w:t>
            </w:r>
          </w:p>
        </w:tc>
        <w:tc>
          <w:tcPr>
            <w:tcW w:w="260" w:type="dxa"/>
            <w:vAlign w:val="bottom"/>
          </w:tcPr>
          <w:p>
            <w:pPr>
              <w:spacing w:after="0"/>
              <w:rPr>
                <w:sz w:val="22"/>
                <w:szCs w:val="22"/>
                <w:color w:val="auto"/>
              </w:rPr>
            </w:pPr>
          </w:p>
        </w:tc>
        <w:tc>
          <w:tcPr>
            <w:tcW w:w="960" w:type="dxa"/>
            <w:vAlign w:val="bottom"/>
          </w:tcPr>
          <w:p>
            <w:pPr>
              <w:jc w:val="right"/>
              <w:ind w:right="200"/>
              <w:spacing w:after="0"/>
              <w:rPr>
                <w:sz w:val="20"/>
                <w:szCs w:val="20"/>
                <w:color w:val="auto"/>
              </w:rPr>
            </w:pPr>
            <w:r>
              <w:rPr>
                <w:rFonts w:ascii="Arial" w:cs="Arial" w:eastAsia="Arial" w:hAnsi="Arial"/>
                <w:sz w:val="20"/>
                <w:szCs w:val="20"/>
                <w:color w:val="auto"/>
              </w:rPr>
              <w:t>34.6</w:t>
            </w:r>
          </w:p>
        </w:tc>
        <w:tc>
          <w:tcPr>
            <w:tcW w:w="880" w:type="dxa"/>
            <w:vAlign w:val="bottom"/>
          </w:tcPr>
          <w:p>
            <w:pPr>
              <w:jc w:val="right"/>
              <w:ind w:right="240"/>
              <w:spacing w:after="0"/>
              <w:rPr>
                <w:sz w:val="20"/>
                <w:szCs w:val="20"/>
                <w:color w:val="auto"/>
              </w:rPr>
            </w:pPr>
            <w:r>
              <w:rPr>
                <w:rFonts w:ascii="Arial" w:cs="Arial" w:eastAsia="Arial" w:hAnsi="Arial"/>
                <w:sz w:val="20"/>
                <w:szCs w:val="20"/>
                <w:color w:val="auto"/>
              </w:rPr>
              <w:t>3.2</w:t>
            </w:r>
          </w:p>
        </w:tc>
      </w:tr>
      <w:tr>
        <w:trPr>
          <w:trHeight w:val="41"/>
        </w:trPr>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0"/>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5</w:t>
            </w: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0.4</w:t>
            </w:r>
          </w:p>
        </w:tc>
        <w:tc>
          <w:tcPr>
            <w:tcW w:w="8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21.4</w:t>
            </w:r>
          </w:p>
        </w:tc>
        <w:tc>
          <w:tcPr>
            <w:tcW w:w="78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1.6</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27.3</w:t>
            </w:r>
          </w:p>
        </w:tc>
        <w:tc>
          <w:tcPr>
            <w:tcW w:w="88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2.5</w:t>
            </w:r>
          </w:p>
        </w:tc>
      </w:tr>
      <w:tr>
        <w:trPr>
          <w:trHeight w:val="304"/>
        </w:trPr>
        <w:tc>
          <w:tcPr>
            <w:tcW w:w="1120" w:type="dxa"/>
            <w:vAlign w:val="bottom"/>
          </w:tcPr>
          <w:p>
            <w:pPr>
              <w:spacing w:after="0"/>
              <w:rPr>
                <w:sz w:val="20"/>
                <w:szCs w:val="20"/>
                <w:color w:val="auto"/>
              </w:rPr>
            </w:pPr>
            <w:r>
              <w:rPr>
                <w:rFonts w:ascii="Arial" w:cs="Arial" w:eastAsia="Arial" w:hAnsi="Arial"/>
                <w:sz w:val="20"/>
                <w:szCs w:val="20"/>
                <w:color w:val="auto"/>
              </w:rPr>
              <w:t>Total</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60"/>
              <w:spacing w:after="0"/>
              <w:rPr>
                <w:sz w:val="20"/>
                <w:szCs w:val="20"/>
                <w:color w:val="auto"/>
              </w:rPr>
            </w:pPr>
            <w:r>
              <w:rPr>
                <w:rFonts w:ascii="Arial" w:cs="Arial" w:eastAsia="Arial" w:hAnsi="Arial"/>
                <w:sz w:val="20"/>
                <w:szCs w:val="20"/>
                <w:color w:val="auto"/>
                <w:w w:val="92"/>
              </w:rPr>
              <w:t>1,324.8</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100.0%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80"/>
              <w:spacing w:after="0"/>
              <w:rPr>
                <w:sz w:val="20"/>
                <w:szCs w:val="20"/>
                <w:color w:val="auto"/>
              </w:rPr>
            </w:pPr>
            <w:r>
              <w:rPr>
                <w:rFonts w:ascii="Arial" w:cs="Arial" w:eastAsia="Arial" w:hAnsi="Arial"/>
                <w:sz w:val="20"/>
                <w:szCs w:val="20"/>
                <w:color w:val="auto"/>
                <w:w w:val="92"/>
              </w:rPr>
              <w:t>1,090.5</w:t>
            </w:r>
          </w:p>
        </w:tc>
        <w:tc>
          <w:tcPr>
            <w:tcW w:w="800" w:type="dxa"/>
            <w:vAlign w:val="bottom"/>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80"/>
              <w:spacing w:after="0"/>
              <w:rPr>
                <w:sz w:val="20"/>
                <w:szCs w:val="20"/>
                <w:color w:val="auto"/>
              </w:rPr>
            </w:pPr>
            <w:r>
              <w:rPr>
                <w:rFonts w:ascii="Arial" w:cs="Arial" w:eastAsia="Arial" w:hAnsi="Arial"/>
                <w:sz w:val="20"/>
                <w:szCs w:val="20"/>
                <w:color w:val="auto"/>
                <w:w w:val="92"/>
              </w:rPr>
              <w:t>1,299.3</w:t>
            </w:r>
          </w:p>
        </w:tc>
        <w:tc>
          <w:tcPr>
            <w:tcW w:w="78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0"/>
              <w:spacing w:after="0"/>
              <w:rPr>
                <w:sz w:val="20"/>
                <w:szCs w:val="20"/>
                <w:color w:val="auto"/>
              </w:rPr>
            </w:pPr>
            <w:r>
              <w:rPr>
                <w:rFonts w:ascii="Arial" w:cs="Arial" w:eastAsia="Arial" w:hAnsi="Arial"/>
                <w:sz w:val="20"/>
                <w:szCs w:val="20"/>
                <w:color w:val="auto"/>
                <w:w w:val="95"/>
              </w:rPr>
              <w:t>1,075.2</w:t>
            </w:r>
          </w:p>
        </w:tc>
        <w:tc>
          <w:tcPr>
            <w:tcW w:w="880" w:type="dxa"/>
            <w:vAlign w:val="bottom"/>
          </w:tcPr>
          <w:p>
            <w:pPr>
              <w:jc w:val="right"/>
              <w:ind w:right="60"/>
              <w:spacing w:after="0"/>
              <w:rPr>
                <w:sz w:val="20"/>
                <w:szCs w:val="20"/>
                <w:color w:val="auto"/>
              </w:rPr>
            </w:pPr>
            <w:r>
              <w:rPr>
                <w:rFonts w:ascii="Arial" w:cs="Arial" w:eastAsia="Arial" w:hAnsi="Arial"/>
                <w:sz w:val="20"/>
                <w:szCs w:val="20"/>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-1735455</wp:posOffset>
            </wp:positionV>
            <wp:extent cx="49301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301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-1157605</wp:posOffset>
            </wp:positionV>
            <wp:extent cx="576008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0085" cy="635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-198755</wp:posOffset>
            </wp:positionV>
            <wp:extent cx="50355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35550" cy="635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-1905</wp:posOffset>
            </wp:positionV>
            <wp:extent cx="4930140"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30140" cy="28575"/>
                    </a:xfrm>
                    <a:prstGeom prst="rect">
                      <a:avLst/>
                    </a:prstGeom>
                    <a:noFill/>
                  </pic:spPr>
                </pic:pic>
              </a:graphicData>
            </a:graphic>
          </wp:anchor>
        </w:drawing>
      </w:r>
    </w:p>
    <w:p>
      <w:pPr>
        <w:spacing w:after="0" w:line="240" w:lineRule="exact"/>
        <w:rPr>
          <w:sz w:val="20"/>
          <w:szCs w:val="20"/>
          <w:color w:val="auto"/>
        </w:rPr>
      </w:pPr>
    </w:p>
    <w:p>
      <w:pPr>
        <w:ind w:right="60" w:firstLine="400"/>
        <w:spacing w:after="0" w:line="363"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2025 and 2024 was 2.0 and 2.0, respectively, on a fair value basis and 2.2 and 2.2, respectively, on a cost basis.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Non-Accrual</w:t>
      </w:r>
    </w:p>
    <w:p>
      <w:pPr>
        <w:spacing w:after="0" w:line="260" w:lineRule="exact"/>
        <w:rPr>
          <w:sz w:val="20"/>
          <w:szCs w:val="20"/>
          <w:color w:val="auto"/>
        </w:rPr>
      </w:pPr>
    </w:p>
    <w:p>
      <w:pPr>
        <w:ind w:right="100" w:firstLine="400"/>
        <w:spacing w:after="0" w:line="302" w:lineRule="auto"/>
        <w:rPr>
          <w:sz w:val="20"/>
          <w:szCs w:val="20"/>
          <w:color w:val="auto"/>
        </w:rPr>
      </w:pPr>
      <w:r>
        <w:rPr>
          <w:rFonts w:ascii="Arial" w:cs="Arial" w:eastAsia="Arial" w:hAnsi="Arial"/>
          <w:sz w:val="20"/>
          <w:szCs w:val="20"/>
          <w:color w:val="auto"/>
        </w:rPr>
        <w:t>As of December 31, 2025 and December 31, 2024, we had debt investments in two and four portfolio companies, respectively on non-accrual status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8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 2025</w:t>
            </w:r>
          </w:p>
        </w:tc>
        <w:tc>
          <w:tcPr>
            <w:tcW w:w="200" w:type="dxa"/>
            <w:vAlign w:val="bottom"/>
          </w:tcPr>
          <w:p>
            <w:pPr>
              <w:spacing w:after="0"/>
              <w:rPr>
                <w:sz w:val="17"/>
                <w:szCs w:val="17"/>
                <w:color w:val="auto"/>
              </w:rPr>
            </w:pPr>
          </w:p>
        </w:tc>
        <w:tc>
          <w:tcPr>
            <w:tcW w:w="23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9"/>
              </w:rPr>
              <w:t>December 31, 2024</w:t>
            </w:r>
          </w:p>
        </w:tc>
      </w:tr>
      <w:tr>
        <w:trPr>
          <w:trHeight w:val="294"/>
        </w:trPr>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49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tcPr>
          <w:p>
            <w:pPr>
              <w:spacing w:after="0"/>
              <w:rPr>
                <w:sz w:val="24"/>
                <w:szCs w:val="24"/>
                <w:color w:val="auto"/>
              </w:rPr>
            </w:pPr>
          </w:p>
        </w:tc>
      </w:tr>
      <w:tr>
        <w:trPr>
          <w:trHeight w:val="284"/>
        </w:trPr>
        <w:tc>
          <w:tcPr>
            <w:tcW w:w="34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28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4"/>
                <w:szCs w:val="24"/>
                <w:color w:val="auto"/>
              </w:rPr>
            </w:pPr>
          </w:p>
        </w:tc>
        <w:tc>
          <w:tcPr>
            <w:tcW w:w="118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Cost</w:t>
            </w:r>
          </w:p>
        </w:tc>
      </w:tr>
      <w:tr>
        <w:trPr>
          <w:trHeight w:val="46"/>
        </w:trPr>
        <w:tc>
          <w:tcPr>
            <w:tcW w:w="3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84"/>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Quantum IR Technologies, LLC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00"/>
              <w:spacing w:after="0" w:line="28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500"/>
              <w:spacing w:after="0" w:line="28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w:t>
            </w: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US GreenFiber, LLC</w:t>
            </w:r>
          </w:p>
        </w:tc>
        <w:tc>
          <w:tcPr>
            <w:tcW w:w="128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2"/>
                <w:szCs w:val="12"/>
                <w:color w:val="auto"/>
              </w:rPr>
              <w:t xml:space="preserve"> (1)</w:t>
            </w:r>
          </w:p>
        </w:tc>
        <w:tc>
          <w:tcPr>
            <w:tcW w:w="180" w:type="dxa"/>
            <w:vAlign w:val="bottom"/>
          </w:tcPr>
          <w:p>
            <w:pPr>
              <w:spacing w:after="0"/>
              <w:rPr>
                <w:sz w:val="24"/>
                <w:szCs w:val="24"/>
                <w:color w:val="auto"/>
              </w:rPr>
            </w:pPr>
          </w:p>
        </w:tc>
        <w:tc>
          <w:tcPr>
            <w:tcW w:w="940" w:type="dxa"/>
            <w:vAlign w:val="bottom"/>
          </w:tcPr>
          <w:p>
            <w:pPr>
              <w:ind w:left="500"/>
              <w:spacing w:after="0"/>
              <w:rPr>
                <w:sz w:val="20"/>
                <w:szCs w:val="20"/>
                <w:color w:val="auto"/>
              </w:rPr>
            </w:pPr>
            <w:r>
              <w:rPr>
                <w:rFonts w:ascii="Arial" w:cs="Arial" w:eastAsia="Arial" w:hAnsi="Arial"/>
                <w:sz w:val="36"/>
                <w:szCs w:val="36"/>
                <w:color w:val="auto"/>
                <w:w w:val="99"/>
                <w:vertAlign w:val="subscript"/>
              </w:rPr>
              <w:t>—</w:t>
            </w:r>
            <w:r>
              <w:rPr>
                <w:rFonts w:ascii="Arial" w:cs="Arial" w:eastAsia="Arial" w:hAnsi="Arial"/>
                <w:sz w:val="12"/>
                <w:szCs w:val="12"/>
                <w:color w:val="auto"/>
                <w:w w:val="99"/>
              </w:rPr>
              <w:t xml:space="preserve"> (1)</w:t>
            </w:r>
          </w:p>
        </w:tc>
        <w:tc>
          <w:tcPr>
            <w:tcW w:w="200" w:type="dxa"/>
            <w:vAlign w:val="bottom"/>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-832485</wp:posOffset>
            </wp:positionV>
            <wp:extent cx="288671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8671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57848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848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33</w:t>
      </w:r>
    </w:p>
    <w:p>
      <w:pPr>
        <w:sectPr>
          <w:pgSz w:w="11900" w:h="16838" w:orient="portrait"/>
          <w:cols w:equalWidth="0" w:num="1">
            <w:col w:w="9400"/>
          </w:cols>
          <w:pgMar w:left="1260" w:top="1440" w:right="1246"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Suited Connector LLC</w:t>
            </w:r>
          </w:p>
        </w:tc>
        <w:tc>
          <w:tcPr>
            <w:tcW w:w="18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w:t>
            </w:r>
          </w:p>
        </w:tc>
      </w:tr>
      <w:tr>
        <w:trPr>
          <w:trHeight w:val="258"/>
        </w:trPr>
        <w:tc>
          <w:tcPr>
            <w:tcW w:w="3100" w:type="dxa"/>
            <w:vAlign w:val="bottom"/>
          </w:tcPr>
          <w:p>
            <w:pPr>
              <w:spacing w:after="0"/>
              <w:rPr>
                <w:sz w:val="20"/>
                <w:szCs w:val="20"/>
                <w:color w:val="auto"/>
              </w:rPr>
            </w:pPr>
            <w:r>
              <w:rPr>
                <w:rFonts w:ascii="Arial" w:cs="Arial" w:eastAsia="Arial" w:hAnsi="Arial"/>
                <w:sz w:val="18"/>
                <w:szCs w:val="18"/>
                <w:color w:val="auto"/>
              </w:rPr>
              <w:t>Virtex Enterprises, LP</w:t>
            </w:r>
          </w:p>
        </w:tc>
        <w:tc>
          <w:tcPr>
            <w:tcW w:w="186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2"/>
                <w:szCs w:val="22"/>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11.3</w:t>
            </w:r>
          </w:p>
        </w:tc>
      </w:tr>
      <w:tr>
        <w:trPr>
          <w:trHeight w:val="36"/>
        </w:trPr>
        <w:tc>
          <w:tcPr>
            <w:tcW w:w="3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44.4</w:t>
            </w:r>
          </w:p>
        </w:tc>
      </w:tr>
      <w:tr>
        <w:trPr>
          <w:trHeight w:val="36"/>
        </w:trPr>
        <w:tc>
          <w:tcPr>
            <w:tcW w:w="31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-214630</wp:posOffset>
            </wp:positionV>
            <wp:extent cx="288671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86710" cy="635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-27940</wp:posOffset>
            </wp:positionV>
            <wp:extent cx="2946400"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46400" cy="2857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(1) The Company exited its debt investments in such portfolio companies and did not hold such investments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Discussion and Analysis of Results of Operations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Comparison of fiscal years ended December 31, 2025, 2024, and 2023</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Investment Income</w:t>
      </w:r>
    </w:p>
    <w:p>
      <w:pPr>
        <w:spacing w:after="0" w:line="260" w:lineRule="exact"/>
        <w:rPr>
          <w:sz w:val="20"/>
          <w:szCs w:val="20"/>
          <w:color w:val="auto"/>
        </w:rPr>
      </w:pPr>
    </w:p>
    <w:p>
      <w:pPr>
        <w:jc w:val="both"/>
        <w:ind w:right="60" w:firstLine="401"/>
        <w:spacing w:after="0" w:line="307" w:lineRule="auto"/>
        <w:rPr>
          <w:sz w:val="20"/>
          <w:szCs w:val="20"/>
          <w:color w:val="auto"/>
        </w:rPr>
      </w:pPr>
      <w:r>
        <w:rPr>
          <w:rFonts w:ascii="Arial" w:cs="Arial" w:eastAsia="Arial" w:hAnsi="Arial"/>
          <w:sz w:val="20"/>
          <w:szCs w:val="20"/>
          <w:color w:val="auto"/>
        </w:rPr>
        <w:t>Below is a summary of the changes in total investment income for the years ended December 31, 2025, 2024, and 2023, as well as a comparison of those periods year-over-year (dollars in millions, percent change calculated based on underlying dollar amounts in thousands):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33</w:t>
      </w:r>
    </w:p>
    <w:p>
      <w:pPr>
        <w:sectPr>
          <w:pgSz w:w="11900" w:h="16838" w:orient="portrait"/>
          <w:cols w:equalWidth="0" w:num="1">
            <w:col w:w="9400"/>
          </w:cols>
          <w:pgMar w:left="1260" w:top="1133" w:right="1246" w:bottom="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8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320" w:type="dxa"/>
            <w:vAlign w:val="bottom"/>
          </w:tcPr>
          <w:p>
            <w:pPr>
              <w:spacing w:after="0"/>
              <w:rPr>
                <w:sz w:val="17"/>
                <w:szCs w:val="17"/>
                <w:color w:val="auto"/>
              </w:rPr>
            </w:pPr>
          </w:p>
        </w:tc>
        <w:tc>
          <w:tcPr>
            <w:tcW w:w="1580" w:type="dxa"/>
            <w:vAlign w:val="bottom"/>
            <w:gridSpan w:val="2"/>
          </w:tcPr>
          <w:p>
            <w:pPr>
              <w:jc w:val="right"/>
              <w:ind w:right="413"/>
              <w:spacing w:after="0"/>
              <w:rPr>
                <w:sz w:val="20"/>
                <w:szCs w:val="20"/>
                <w:color w:val="auto"/>
              </w:rPr>
            </w:pPr>
            <w:r>
              <w:rPr>
                <w:rFonts w:ascii="Arial" w:cs="Arial" w:eastAsia="Arial" w:hAnsi="Arial"/>
                <w:sz w:val="18"/>
                <w:szCs w:val="18"/>
                <w:b w:val="1"/>
                <w:bCs w:val="1"/>
                <w:color w:val="auto"/>
                <w:w w:val="92"/>
              </w:rPr>
              <w:t>2025 vs. 2024</w:t>
            </w:r>
          </w:p>
        </w:tc>
        <w:tc>
          <w:tcPr>
            <w:tcW w:w="280" w:type="dxa"/>
            <w:vAlign w:val="bottom"/>
          </w:tcPr>
          <w:p>
            <w:pPr>
              <w:spacing w:after="0"/>
              <w:rPr>
                <w:sz w:val="17"/>
                <w:szCs w:val="17"/>
                <w:color w:val="auto"/>
              </w:rPr>
            </w:pPr>
          </w:p>
        </w:tc>
        <w:tc>
          <w:tcPr>
            <w:tcW w:w="1460" w:type="dxa"/>
            <w:vAlign w:val="bottom"/>
            <w:gridSpan w:val="2"/>
          </w:tcPr>
          <w:p>
            <w:pPr>
              <w:jc w:val="right"/>
              <w:ind w:right="313"/>
              <w:spacing w:after="0"/>
              <w:rPr>
                <w:sz w:val="20"/>
                <w:szCs w:val="20"/>
                <w:color w:val="auto"/>
              </w:rPr>
            </w:pPr>
            <w:r>
              <w:rPr>
                <w:rFonts w:ascii="Arial" w:cs="Arial" w:eastAsia="Arial" w:hAnsi="Arial"/>
                <w:sz w:val="18"/>
                <w:szCs w:val="18"/>
                <w:b w:val="1"/>
                <w:bCs w:val="1"/>
                <w:color w:val="auto"/>
                <w:w w:val="90"/>
              </w:rPr>
              <w:t>2024 vs. 2023</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3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w w:val="99"/>
              </w:rPr>
              <w:t>Change</w:t>
            </w:r>
          </w:p>
        </w:tc>
        <w:tc>
          <w:tcPr>
            <w:tcW w:w="280" w:type="dxa"/>
            <w:vAlign w:val="bottom"/>
          </w:tcPr>
          <w:p>
            <w:pPr>
              <w:spacing w:after="0"/>
              <w:rPr>
                <w:sz w:val="23"/>
                <w:szCs w:val="23"/>
                <w:color w:val="auto"/>
              </w:rPr>
            </w:pPr>
          </w:p>
        </w:tc>
        <w:tc>
          <w:tcPr>
            <w:tcW w:w="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53"/>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8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453"/>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jc w:val="right"/>
              <w:ind w:right="353"/>
              <w:spacing w:after="0"/>
              <w:rPr>
                <w:sz w:val="20"/>
                <w:szCs w:val="20"/>
                <w:color w:val="auto"/>
              </w:rPr>
            </w:pP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96"/>
        </w:trPr>
        <w:tc>
          <w:tcPr>
            <w:tcW w:w="28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$ 126.4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$ 123.1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$ 109.9</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Payment-in-kind interest income</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8"/>
        </w:trPr>
        <w:tc>
          <w:tcPr>
            <w:tcW w:w="2880" w:type="dxa"/>
            <w:vAlign w:val="bottom"/>
          </w:tcPr>
          <w:p>
            <w:pPr>
              <w:spacing w:after="0"/>
              <w:rPr>
                <w:sz w:val="20"/>
                <w:szCs w:val="20"/>
                <w:color w:val="auto"/>
              </w:rPr>
            </w:pPr>
            <w:r>
              <w:rPr>
                <w:rFonts w:ascii="Arial" w:cs="Arial" w:eastAsia="Arial" w:hAnsi="Arial"/>
                <w:sz w:val="18"/>
                <w:szCs w:val="18"/>
                <w:color w:val="auto"/>
              </w:rPr>
              <w:t>Dividend income</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Fee income</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3"/>
        </w:trPr>
        <w:tc>
          <w:tcPr>
            <w:tcW w:w="2880" w:type="dxa"/>
            <w:vAlign w:val="bottom"/>
          </w:tcPr>
          <w:p>
            <w:pPr>
              <w:spacing w:after="0"/>
              <w:rPr>
                <w:sz w:val="20"/>
                <w:szCs w:val="20"/>
                <w:color w:val="auto"/>
              </w:rPr>
            </w:pPr>
            <w:r>
              <w:rPr>
                <w:rFonts w:ascii="Arial" w:cs="Arial" w:eastAsia="Arial" w:hAnsi="Arial"/>
                <w:sz w:val="18"/>
                <w:szCs w:val="18"/>
                <w:color w:val="auto"/>
              </w:rPr>
              <w:t>Interest on idle funds</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$ 155.9</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$ 146.1</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$ 130.1</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59"/>
        </w:trPr>
        <w:tc>
          <w:tcPr>
            <w:tcW w:w="28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-1654175</wp:posOffset>
            </wp:positionV>
            <wp:extent cx="369316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93160" cy="63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-1123950</wp:posOffset>
            </wp:positionV>
            <wp:extent cx="369316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93160" cy="63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-214630</wp:posOffset>
            </wp:positionV>
            <wp:extent cx="369316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93160" cy="63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-27940</wp:posOffset>
            </wp:positionV>
            <wp:extent cx="3797935"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97935" cy="28575"/>
                    </a:xfrm>
                    <a:prstGeom prst="rect">
                      <a:avLst/>
                    </a:prstGeom>
                    <a:noFill/>
                  </pic:spPr>
                </pic:pic>
              </a:graphicData>
            </a:graphic>
          </wp:anchor>
        </w:drawing>
      </w:r>
    </w:p>
    <w:p>
      <w:pPr>
        <w:spacing w:after="0" w:line="167" w:lineRule="exact"/>
        <w:rPr>
          <w:sz w:val="20"/>
          <w:szCs w:val="20"/>
          <w:color w:val="auto"/>
        </w:rPr>
      </w:pPr>
    </w:p>
    <w:p>
      <w:pPr>
        <w:ind w:left="226" w:hanging="226"/>
        <w:spacing w:after="0"/>
        <w:tabs>
          <w:tab w:leader="none" w:pos="226" w:val="left"/>
        </w:tabs>
        <w:numPr>
          <w:ilvl w:val="0"/>
          <w:numId w:val="57"/>
        </w:numPr>
        <w:rPr>
          <w:rFonts w:ascii="Arial" w:cs="Arial" w:eastAsia="Arial" w:hAnsi="Arial"/>
          <w:sz w:val="16"/>
          <w:szCs w:val="16"/>
          <w:color w:val="auto"/>
        </w:rPr>
      </w:pPr>
      <w:r>
        <w:rPr>
          <w:rFonts w:ascii="Arial" w:cs="Arial" w:eastAsia="Arial" w:hAnsi="Arial"/>
          <w:sz w:val="16"/>
          <w:szCs w:val="16"/>
          <w:color w:val="auto"/>
        </w:rPr>
        <w:t>NM = Not meaningful</w:t>
      </w:r>
    </w:p>
    <w:p>
      <w:pPr>
        <w:spacing w:after="0" w:line="123" w:lineRule="exact"/>
        <w:rPr>
          <w:rFonts w:ascii="Arial" w:cs="Arial" w:eastAsia="Arial" w:hAnsi="Arial"/>
          <w:sz w:val="16"/>
          <w:szCs w:val="16"/>
          <w:color w:val="auto"/>
        </w:rPr>
      </w:pPr>
    </w:p>
    <w:p>
      <w:pPr>
        <w:ind w:left="226" w:hanging="226"/>
        <w:spacing w:after="0"/>
        <w:tabs>
          <w:tab w:leader="none" w:pos="226" w:val="left"/>
        </w:tabs>
        <w:numPr>
          <w:ilvl w:val="0"/>
          <w:numId w:val="57"/>
        </w:numPr>
        <w:rPr>
          <w:rFonts w:ascii="Arial" w:cs="Arial" w:eastAsia="Arial" w:hAnsi="Arial"/>
          <w:sz w:val="15"/>
          <w:szCs w:val="15"/>
          <w:color w:val="auto"/>
        </w:rPr>
      </w:pPr>
      <w:r>
        <w:rPr>
          <w:rFonts w:ascii="Arial" w:cs="Arial" w:eastAsia="Arial" w:hAnsi="Arial"/>
          <w:sz w:val="15"/>
          <w:szCs w:val="15"/>
          <w:color w:val="auto"/>
        </w:rPr>
        <w:t>Percent change calculated based on underlying dollar amounts in thousands as presented on the consolidated statements of operations.</w:t>
      </w:r>
    </w:p>
    <w:p>
      <w:pPr>
        <w:spacing w:after="0" w:line="272" w:lineRule="exact"/>
        <w:rPr>
          <w:sz w:val="20"/>
          <w:szCs w:val="20"/>
          <w:color w:val="auto"/>
        </w:rPr>
      </w:pPr>
    </w:p>
    <w:p>
      <w:pPr>
        <w:jc w:val="both"/>
        <w:ind w:left="6" w:right="40" w:firstLine="401"/>
        <w:spacing w:after="0" w:line="307" w:lineRule="auto"/>
        <w:rPr>
          <w:sz w:val="20"/>
          <w:szCs w:val="20"/>
          <w:color w:val="auto"/>
        </w:rPr>
      </w:pPr>
      <w:r>
        <w:rPr>
          <w:rFonts w:ascii="Arial" w:cs="Arial" w:eastAsia="Arial" w:hAnsi="Arial"/>
          <w:sz w:val="20"/>
          <w:szCs w:val="20"/>
          <w:color w:val="auto"/>
        </w:rPr>
        <w:t>For the year ended December 31, 2025, total investment income was $155.9 million, an increase of $9.8 million or 6.6%, from the $146.1 million of total investment income for the year ended December 31, 2024. As reflected in the table above, the increase is primarily attributable to the following:</w:t>
      </w:r>
    </w:p>
    <w:p>
      <w:pPr>
        <w:spacing w:after="0" w:line="243" w:lineRule="exact"/>
        <w:rPr>
          <w:sz w:val="20"/>
          <w:szCs w:val="20"/>
          <w:color w:val="auto"/>
        </w:rPr>
      </w:pPr>
    </w:p>
    <w:p>
      <w:pPr>
        <w:jc w:val="both"/>
        <w:ind w:left="946" w:right="60" w:hanging="320"/>
        <w:spacing w:after="0" w:line="372" w:lineRule="auto"/>
        <w:tabs>
          <w:tab w:leader="none" w:pos="946" w:val="left"/>
        </w:tabs>
        <w:numPr>
          <w:ilvl w:val="0"/>
          <w:numId w:val="58"/>
        </w:numPr>
        <w:rPr>
          <w:rFonts w:ascii="Arial" w:cs="Arial" w:eastAsia="Arial" w:hAnsi="Arial"/>
          <w:sz w:val="20"/>
          <w:szCs w:val="20"/>
          <w:color w:val="auto"/>
        </w:rPr>
      </w:pPr>
      <w:r>
        <w:rPr>
          <w:rFonts w:ascii="Arial" w:cs="Arial" w:eastAsia="Arial" w:hAnsi="Arial"/>
          <w:sz w:val="20"/>
          <w:szCs w:val="20"/>
          <w:color w:val="auto"/>
        </w:rPr>
        <w:t>$6.4 million increase in total interest income (which includes a $3.1 million increase in PIK interest income) resulting from an increase in average debt investment balances outstanding, partially offset by a decrease in weighted average yield on debt investment balances outstanding during 2025 as compared to 2024.</w:t>
      </w:r>
    </w:p>
    <w:p>
      <w:pPr>
        <w:spacing w:after="0" w:line="194" w:lineRule="exact"/>
        <w:rPr>
          <w:rFonts w:ascii="Arial" w:cs="Arial" w:eastAsia="Arial" w:hAnsi="Arial"/>
          <w:sz w:val="20"/>
          <w:szCs w:val="20"/>
          <w:color w:val="auto"/>
        </w:rPr>
      </w:pPr>
    </w:p>
    <w:p>
      <w:pPr>
        <w:ind w:left="946" w:right="60" w:hanging="320"/>
        <w:spacing w:after="0" w:line="365" w:lineRule="auto"/>
        <w:tabs>
          <w:tab w:leader="none" w:pos="946" w:val="left"/>
        </w:tabs>
        <w:numPr>
          <w:ilvl w:val="0"/>
          <w:numId w:val="58"/>
        </w:numPr>
        <w:rPr>
          <w:rFonts w:ascii="Arial" w:cs="Arial" w:eastAsia="Arial" w:hAnsi="Arial"/>
          <w:sz w:val="20"/>
          <w:szCs w:val="20"/>
          <w:color w:val="auto"/>
        </w:rPr>
      </w:pPr>
      <w:r>
        <w:rPr>
          <w:rFonts w:ascii="Arial" w:cs="Arial" w:eastAsia="Arial" w:hAnsi="Arial"/>
          <w:sz w:val="20"/>
          <w:szCs w:val="20"/>
          <w:color w:val="auto"/>
        </w:rPr>
        <w:t>$0.8 million increase in dividend income, during 2025 as compared to 2024, due to increased levels of distributions received from equity investments.</w:t>
      </w:r>
    </w:p>
    <w:p>
      <w:pPr>
        <w:spacing w:after="0" w:line="200" w:lineRule="exact"/>
        <w:rPr>
          <w:rFonts w:ascii="Arial" w:cs="Arial" w:eastAsia="Arial" w:hAnsi="Arial"/>
          <w:sz w:val="20"/>
          <w:szCs w:val="20"/>
          <w:color w:val="auto"/>
        </w:rPr>
      </w:pPr>
    </w:p>
    <w:p>
      <w:pPr>
        <w:ind w:left="946" w:right="100" w:hanging="320"/>
        <w:spacing w:after="0" w:line="365" w:lineRule="auto"/>
        <w:tabs>
          <w:tab w:leader="none" w:pos="946" w:val="left"/>
        </w:tabs>
        <w:numPr>
          <w:ilvl w:val="0"/>
          <w:numId w:val="58"/>
        </w:numPr>
        <w:rPr>
          <w:rFonts w:ascii="Arial" w:cs="Arial" w:eastAsia="Arial" w:hAnsi="Arial"/>
          <w:sz w:val="20"/>
          <w:szCs w:val="20"/>
          <w:color w:val="auto"/>
        </w:rPr>
      </w:pPr>
      <w:r>
        <w:rPr>
          <w:rFonts w:ascii="Arial" w:cs="Arial" w:eastAsia="Arial" w:hAnsi="Arial"/>
          <w:sz w:val="20"/>
          <w:szCs w:val="20"/>
          <w:color w:val="auto"/>
        </w:rPr>
        <w:t>$2.6 million increase in fee income resulting from an increase in origination and prepayment fees, partially offset by a decrease in amendment fees during 2025 as compared to 2024.</w:t>
      </w:r>
    </w:p>
    <w:p>
      <w:pPr>
        <w:spacing w:after="0" w:line="155" w:lineRule="exact"/>
        <w:rPr>
          <w:sz w:val="20"/>
          <w:szCs w:val="20"/>
          <w:color w:val="auto"/>
        </w:rPr>
      </w:pPr>
    </w:p>
    <w:p>
      <w:pPr>
        <w:jc w:val="both"/>
        <w:ind w:left="6" w:right="80" w:firstLine="401"/>
        <w:spacing w:after="0" w:line="307" w:lineRule="auto"/>
        <w:rPr>
          <w:sz w:val="20"/>
          <w:szCs w:val="20"/>
          <w:color w:val="auto"/>
        </w:rPr>
      </w:pPr>
      <w:r>
        <w:rPr>
          <w:rFonts w:ascii="Arial" w:cs="Arial" w:eastAsia="Arial" w:hAnsi="Arial"/>
          <w:sz w:val="20"/>
          <w:szCs w:val="20"/>
          <w:color w:val="auto"/>
        </w:rPr>
        <w:t>For the year ended December 31, 2024, total investment income was $146.1 million, an increase of $16.0 million or 12.3%, from the $130.1 million of total investment income for the year ended December 31, 2023. As reflected in the table above, the increase is primarily attributable to the following:</w:t>
      </w:r>
    </w:p>
    <w:p>
      <w:pPr>
        <w:spacing w:after="0" w:line="243" w:lineRule="exact"/>
        <w:rPr>
          <w:sz w:val="20"/>
          <w:szCs w:val="20"/>
          <w:color w:val="auto"/>
        </w:rPr>
      </w:pPr>
    </w:p>
    <w:p>
      <w:pPr>
        <w:jc w:val="both"/>
        <w:ind w:left="946" w:right="60" w:hanging="320"/>
        <w:spacing w:after="0" w:line="372" w:lineRule="auto"/>
        <w:tabs>
          <w:tab w:leader="none" w:pos="946" w:val="left"/>
        </w:tabs>
        <w:numPr>
          <w:ilvl w:val="0"/>
          <w:numId w:val="59"/>
        </w:numPr>
        <w:rPr>
          <w:rFonts w:ascii="Arial" w:cs="Arial" w:eastAsia="Arial" w:hAnsi="Arial"/>
          <w:sz w:val="20"/>
          <w:szCs w:val="20"/>
          <w:color w:val="auto"/>
        </w:rPr>
      </w:pPr>
      <w:r>
        <w:rPr>
          <w:rFonts w:ascii="Arial" w:cs="Arial" w:eastAsia="Arial" w:hAnsi="Arial"/>
          <w:sz w:val="20"/>
          <w:szCs w:val="20"/>
          <w:color w:val="auto"/>
        </w:rPr>
        <w:t>$14.4 million increase in total interest income (which includes a $1.2 million increase in PIK interest income) resulting from an increase in average debt investment balances outstanding, partially offset by a decrease in weighted average yield on debt investment balances outstanding during 2024 as compared to 2023.</w:t>
      </w:r>
    </w:p>
    <w:p>
      <w:pPr>
        <w:spacing w:after="0" w:line="194" w:lineRule="exact"/>
        <w:rPr>
          <w:rFonts w:ascii="Arial" w:cs="Arial" w:eastAsia="Arial" w:hAnsi="Arial"/>
          <w:sz w:val="20"/>
          <w:szCs w:val="20"/>
          <w:color w:val="auto"/>
        </w:rPr>
      </w:pPr>
    </w:p>
    <w:p>
      <w:pPr>
        <w:ind w:left="946" w:right="60" w:hanging="320"/>
        <w:spacing w:after="0" w:line="365" w:lineRule="auto"/>
        <w:tabs>
          <w:tab w:leader="none" w:pos="946" w:val="left"/>
        </w:tabs>
        <w:numPr>
          <w:ilvl w:val="0"/>
          <w:numId w:val="59"/>
        </w:numPr>
        <w:rPr>
          <w:rFonts w:ascii="Arial" w:cs="Arial" w:eastAsia="Arial" w:hAnsi="Arial"/>
          <w:sz w:val="20"/>
          <w:szCs w:val="20"/>
          <w:color w:val="auto"/>
        </w:rPr>
      </w:pPr>
      <w:r>
        <w:rPr>
          <w:rFonts w:ascii="Arial" w:cs="Arial" w:eastAsia="Arial" w:hAnsi="Arial"/>
          <w:sz w:val="20"/>
          <w:szCs w:val="20"/>
          <w:color w:val="auto"/>
        </w:rPr>
        <w:t>$1.0 million increase in dividend income, during 2024 as compared to 2023, due to increased levels of distributions received from equity investments.</w:t>
      </w:r>
    </w:p>
    <w:p>
      <w:pPr>
        <w:spacing w:after="0" w:line="200" w:lineRule="exact"/>
        <w:rPr>
          <w:rFonts w:ascii="Arial" w:cs="Arial" w:eastAsia="Arial" w:hAnsi="Arial"/>
          <w:sz w:val="20"/>
          <w:szCs w:val="20"/>
          <w:color w:val="auto"/>
        </w:rPr>
      </w:pPr>
    </w:p>
    <w:p>
      <w:pPr>
        <w:jc w:val="both"/>
        <w:ind w:left="946" w:right="60" w:hanging="320"/>
        <w:spacing w:after="0" w:line="370" w:lineRule="auto"/>
        <w:tabs>
          <w:tab w:leader="none" w:pos="946" w:val="left"/>
        </w:tabs>
        <w:numPr>
          <w:ilvl w:val="0"/>
          <w:numId w:val="59"/>
        </w:numPr>
        <w:rPr>
          <w:rFonts w:ascii="Arial" w:cs="Arial" w:eastAsia="Arial" w:hAnsi="Arial"/>
          <w:sz w:val="20"/>
          <w:szCs w:val="20"/>
          <w:color w:val="auto"/>
        </w:rPr>
      </w:pPr>
      <w:r>
        <w:rPr>
          <w:rFonts w:ascii="Arial" w:cs="Arial" w:eastAsia="Arial" w:hAnsi="Arial"/>
          <w:sz w:val="20"/>
          <w:szCs w:val="20"/>
          <w:color w:val="auto"/>
        </w:rPr>
        <w:t>$0.1 million increase in fee income resulting from an increase in amendment and administrative fees, partially offset by a decrease in origination, management, and prepayment fees during 2024 as compared to 2023.</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33</w:t>
      </w:r>
    </w:p>
    <w:p>
      <w:pPr>
        <w:sectPr>
          <w:pgSz w:w="11900" w:h="16838" w:orient="portrait"/>
          <w:cols w:equalWidth="0" w:num="1">
            <w:col w:w="9406"/>
          </w:cols>
          <w:pgMar w:left="1254" w:top="1440" w:right="1246" w:bottom="0" w:gutter="0" w:footer="0" w:header="0"/>
          <w:type w:val="continuous"/>
        </w:sectPr>
      </w:pPr>
    </w:p>
    <w:bookmarkStart w:id="133" w:name="page134"/>
    <w:bookmarkEnd w:id="133"/>
    <w:p>
      <w:pPr>
        <w:ind w:left="940" w:right="80" w:hanging="320"/>
        <w:spacing w:after="0" w:line="365" w:lineRule="auto"/>
        <w:tabs>
          <w:tab w:leader="none" w:pos="9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$0.5 million increase in interest on idle funds due to an increase in average cash balances outstanding during 2024 as compared to 2023.</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Expenses</w:t>
      </w:r>
    </w:p>
    <w:p>
      <w:pPr>
        <w:spacing w:after="0" w:line="260" w:lineRule="exact"/>
        <w:rPr>
          <w:sz w:val="20"/>
          <w:szCs w:val="20"/>
          <w:color w:val="auto"/>
        </w:rPr>
      </w:pPr>
    </w:p>
    <w:p>
      <w:pPr>
        <w:jc w:val="both"/>
        <w:ind w:right="80" w:firstLine="400"/>
        <w:spacing w:after="0" w:line="307" w:lineRule="auto"/>
        <w:rPr>
          <w:sz w:val="20"/>
          <w:szCs w:val="20"/>
          <w:color w:val="auto"/>
        </w:rPr>
      </w:pPr>
      <w:r>
        <w:rPr>
          <w:rFonts w:ascii="Arial" w:cs="Arial" w:eastAsia="Arial" w:hAnsi="Arial"/>
          <w:sz w:val="20"/>
          <w:szCs w:val="20"/>
          <w:color w:val="auto"/>
        </w:rPr>
        <w:t>Below is a summary of the changes in total expenses, including income tax provision, for the years ended December 31, 2025, 2024, and 2023, as well as a comparison of those periods year-over-year (dollars in millions, percent change calculated based on underlying dollar amounts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w w:val="97"/>
              </w:rPr>
              <w:t>Years Ended December 31,</w:t>
            </w:r>
          </w:p>
        </w:tc>
        <w:tc>
          <w:tcPr>
            <w:tcW w:w="220" w:type="dxa"/>
            <w:vAlign w:val="bottom"/>
          </w:tcPr>
          <w:p>
            <w:pPr>
              <w:spacing w:after="0"/>
              <w:rPr>
                <w:sz w:val="14"/>
                <w:szCs w:val="14"/>
                <w:color w:val="auto"/>
              </w:rPr>
            </w:pP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2025 vs. 2024</w:t>
            </w:r>
          </w:p>
        </w:tc>
        <w:tc>
          <w:tcPr>
            <w:tcW w:w="220" w:type="dxa"/>
            <w:vAlign w:val="bottom"/>
          </w:tcPr>
          <w:p>
            <w:pPr>
              <w:spacing w:after="0"/>
              <w:rPr>
                <w:sz w:val="14"/>
                <w:szCs w:val="14"/>
                <w:color w:val="auto"/>
              </w:rPr>
            </w:pPr>
          </w:p>
        </w:tc>
        <w:tc>
          <w:tcPr>
            <w:tcW w:w="15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210"/>
              <w:spacing w:after="0"/>
              <w:rPr>
                <w:sz w:val="20"/>
                <w:szCs w:val="20"/>
                <w:color w:val="auto"/>
              </w:rPr>
            </w:pPr>
            <w:r>
              <w:rPr>
                <w:rFonts w:ascii="Arial" w:cs="Arial" w:eastAsia="Arial" w:hAnsi="Arial"/>
                <w:sz w:val="14"/>
                <w:szCs w:val="14"/>
                <w:b w:val="1"/>
                <w:bCs w:val="1"/>
                <w:color w:val="auto"/>
                <w:w w:val="96"/>
              </w:rPr>
              <w:t>2025</w:t>
            </w:r>
          </w:p>
        </w:tc>
        <w:tc>
          <w:tcPr>
            <w:tcW w:w="200" w:type="dxa"/>
            <w:vAlign w:val="bottom"/>
          </w:tcPr>
          <w:p>
            <w:pPr>
              <w:spacing w:after="0"/>
              <w:rPr>
                <w:sz w:val="22"/>
                <w:szCs w:val="22"/>
                <w:color w:val="auto"/>
              </w:rPr>
            </w:pPr>
          </w:p>
        </w:tc>
        <w:tc>
          <w:tcPr>
            <w:tcW w:w="600" w:type="dxa"/>
            <w:vAlign w:val="bottom"/>
          </w:tcPr>
          <w:p>
            <w:pPr>
              <w:jc w:val="right"/>
              <w:ind w:right="21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Pr>
          <w:p>
            <w:pPr>
              <w:spacing w:after="0"/>
              <w:rPr>
                <w:sz w:val="22"/>
                <w:szCs w:val="22"/>
                <w:color w:val="auto"/>
              </w:rPr>
            </w:pPr>
          </w:p>
        </w:tc>
        <w:tc>
          <w:tcPr>
            <w:tcW w:w="660" w:type="dxa"/>
            <w:vAlign w:val="bottom"/>
          </w:tcPr>
          <w:p>
            <w:pPr>
              <w:jc w:val="right"/>
              <w:ind w:right="270"/>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Pr>
          <w:p>
            <w:pPr>
              <w:jc w:val="right"/>
              <w:ind w:right="210"/>
              <w:spacing w:after="0"/>
              <w:rPr>
                <w:sz w:val="20"/>
                <w:szCs w:val="20"/>
                <w:color w:val="auto"/>
              </w:rPr>
            </w:pPr>
            <w:r>
              <w:rPr>
                <w:rFonts w:ascii="Arial" w:cs="Arial" w:eastAsia="Arial" w:hAnsi="Arial"/>
                <w:sz w:val="14"/>
                <w:szCs w:val="14"/>
                <w:b w:val="1"/>
                <w:bCs w:val="1"/>
                <w:color w:val="auto"/>
                <w:w w:val="94"/>
              </w:rPr>
              <w:t xml:space="preserve">Change </w:t>
            </w:r>
            <w:r>
              <w:rPr>
                <w:rFonts w:ascii="Arial" w:cs="Arial" w:eastAsia="Arial" w:hAnsi="Arial"/>
                <w:sz w:val="18"/>
                <w:szCs w:val="18"/>
                <w:b w:val="1"/>
                <w:bCs w:val="1"/>
                <w:color w:val="auto"/>
                <w:w w:val="94"/>
                <w:vertAlign w:val="superscript"/>
              </w:rPr>
              <w:t>(1)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 xml:space="preserve">Change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Arial" w:cs="Arial" w:eastAsia="Arial" w:hAnsi="Arial"/>
                <w:sz w:val="14"/>
                <w:szCs w:val="14"/>
                <w:color w:val="auto"/>
              </w:rPr>
              <w:t>Interest and financing expenses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31.6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22.7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7.2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Base management fee</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20.9</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18.9</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16.3</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20"/>
                <w:szCs w:val="20"/>
                <w:color w:val="auto"/>
              </w:rPr>
            </w:pPr>
            <w:r>
              <w:rPr>
                <w:rFonts w:ascii="Arial" w:cs="Arial" w:eastAsia="Arial" w:hAnsi="Arial"/>
                <w:sz w:val="14"/>
                <w:szCs w:val="14"/>
                <w:color w:val="auto"/>
              </w:rPr>
              <w:t>Incentive fee - income</w:t>
            </w:r>
          </w:p>
        </w:tc>
        <w:tc>
          <w:tcPr>
            <w:tcW w:w="22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18.5</w:t>
            </w:r>
          </w:p>
        </w:tc>
        <w:tc>
          <w:tcPr>
            <w:tcW w:w="20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18.5</w:t>
            </w:r>
          </w:p>
        </w:tc>
        <w:tc>
          <w:tcPr>
            <w:tcW w:w="20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7"/>
                <w:szCs w:val="17"/>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Incentive fee - capital gains</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134.1%</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20"/>
                <w:szCs w:val="20"/>
                <w:color w:val="auto"/>
              </w:rPr>
            </w:pPr>
            <w:r>
              <w:rPr>
                <w:rFonts w:ascii="Arial" w:cs="Arial" w:eastAsia="Arial" w:hAnsi="Arial"/>
                <w:sz w:val="14"/>
                <w:szCs w:val="14"/>
                <w:color w:val="auto"/>
              </w:rPr>
              <w:t>Administrative service expenses</w:t>
            </w:r>
          </w:p>
        </w:tc>
        <w:tc>
          <w:tcPr>
            <w:tcW w:w="22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7"/>
                <w:szCs w:val="17"/>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3.4</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4"/>
                <w:szCs w:val="14"/>
                <w:color w:val="auto"/>
              </w:rPr>
              <w:t>Other general and administrative expenses</w:t>
            </w:r>
          </w:p>
        </w:tc>
        <w:tc>
          <w:tcPr>
            <w:tcW w:w="22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0.2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7"/>
                <w:szCs w:val="17"/>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expenses, before base management fee waiver</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80.0</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69.3</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64.3</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10.7</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15.4%</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4"/>
                <w:szCs w:val="14"/>
                <w:color w:val="auto"/>
              </w:rPr>
              <w:t>Base management fee waiver</w:t>
            </w:r>
          </w:p>
        </w:tc>
        <w:tc>
          <w:tcPr>
            <w:tcW w:w="22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7"/>
                <w:szCs w:val="17"/>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7"/>
                <w:szCs w:val="17"/>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w w:val="91"/>
              </w:rPr>
              <w:t>Total expenses, net of base management fee waiver before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provision</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79.8</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69.1</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64.0</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10.7</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15.5%</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3400" w:type="dxa"/>
            <w:vAlign w:val="bottom"/>
          </w:tcPr>
          <w:p>
            <w:pPr>
              <w:spacing w:after="0"/>
              <w:rPr>
                <w:sz w:val="20"/>
                <w:szCs w:val="20"/>
                <w:color w:val="auto"/>
              </w:rPr>
            </w:pPr>
            <w:r>
              <w:rPr>
                <w:rFonts w:ascii="Arial" w:cs="Arial" w:eastAsia="Arial" w:hAnsi="Arial"/>
                <w:sz w:val="14"/>
                <w:szCs w:val="14"/>
                <w:color w:val="auto"/>
              </w:rPr>
              <w:t>Income tax provision</w:t>
            </w:r>
          </w:p>
        </w:tc>
        <w:tc>
          <w:tcPr>
            <w:tcW w:w="22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7"/>
                <w:szCs w:val="17"/>
                <w:color w:val="auto"/>
              </w:rPr>
            </w:pP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(0.2)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7"/>
                <w:szCs w:val="17"/>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880" w:type="dxa"/>
            <w:vAlign w:val="bottom"/>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expenses, including income tax provision</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10.5</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5"/>
        </w:trPr>
        <w:tc>
          <w:tcPr>
            <w:tcW w:w="340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3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-2178685</wp:posOffset>
            </wp:positionV>
            <wp:extent cx="361886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635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-1896745</wp:posOffset>
            </wp:positionV>
            <wp:extent cx="361886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635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-892810</wp:posOffset>
            </wp:positionV>
            <wp:extent cx="361886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635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-601345</wp:posOffset>
            </wp:positionV>
            <wp:extent cx="361886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635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-176530</wp:posOffset>
            </wp:positionV>
            <wp:extent cx="361886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635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-27940</wp:posOffset>
            </wp:positionV>
            <wp:extent cx="3731260" cy="28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31260" cy="2857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33</w:t>
      </w:r>
    </w:p>
    <w:p>
      <w:pPr>
        <w:sectPr>
          <w:pgSz w:w="11900" w:h="16838" w:orient="portrait"/>
          <w:cols w:equalWidth="0" w:num="1">
            <w:col w:w="9400"/>
          </w:cols>
          <w:pgMar w:left="1260" w:top="1398" w:right="1246" w:bottom="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6" w:hanging="226"/>
        <w:spacing w:after="0"/>
        <w:tabs>
          <w:tab w:leader="none" w:pos="2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NM = Not meaningful</w:t>
      </w:r>
    </w:p>
    <w:p>
      <w:pPr>
        <w:spacing w:after="0" w:line="123" w:lineRule="exact"/>
        <w:rPr>
          <w:rFonts w:ascii="Arial" w:cs="Arial" w:eastAsia="Arial" w:hAnsi="Arial"/>
          <w:sz w:val="16"/>
          <w:szCs w:val="16"/>
          <w:color w:val="auto"/>
        </w:rPr>
      </w:pPr>
    </w:p>
    <w:p>
      <w:pPr>
        <w:ind w:left="226" w:hanging="226"/>
        <w:spacing w:after="0"/>
        <w:tabs>
          <w:tab w:leader="none" w:pos="226" w:val="left"/>
        </w:tabs>
        <w:numPr>
          <w:ilvl w:val="0"/>
          <w:numId w:val="61"/>
        </w:numPr>
        <w:rPr>
          <w:rFonts w:ascii="Arial" w:cs="Arial" w:eastAsia="Arial" w:hAnsi="Arial"/>
          <w:sz w:val="15"/>
          <w:szCs w:val="15"/>
          <w:color w:val="auto"/>
        </w:rPr>
      </w:pPr>
      <w:r>
        <w:rPr>
          <w:rFonts w:ascii="Arial" w:cs="Arial" w:eastAsia="Arial" w:hAnsi="Arial"/>
          <w:sz w:val="15"/>
          <w:szCs w:val="15"/>
          <w:color w:val="auto"/>
        </w:rPr>
        <w:t>Percent change calculated based on underlying dollar amounts in thousands as presented on the consolidated statements of operations.</w:t>
      </w:r>
    </w:p>
    <w:p>
      <w:pPr>
        <w:spacing w:after="0" w:line="272" w:lineRule="exact"/>
        <w:rPr>
          <w:sz w:val="20"/>
          <w:szCs w:val="20"/>
          <w:color w:val="auto"/>
        </w:rPr>
      </w:pPr>
    </w:p>
    <w:p>
      <w:pPr>
        <w:jc w:val="both"/>
        <w:ind w:left="6" w:firstLine="400"/>
        <w:spacing w:after="0" w:line="309" w:lineRule="auto"/>
        <w:rPr>
          <w:sz w:val="20"/>
          <w:szCs w:val="20"/>
          <w:color w:val="auto"/>
        </w:rPr>
      </w:pPr>
      <w:r>
        <w:rPr>
          <w:rFonts w:ascii="Arial" w:cs="Arial" w:eastAsia="Arial" w:hAnsi="Arial"/>
          <w:sz w:val="20"/>
          <w:szCs w:val="20"/>
          <w:color w:val="auto"/>
        </w:rPr>
        <w:t>For the year ended December 31, 2025, total expenses, including income tax provision, were $82.0 million, an increase of $10.5 million or 14.7%, from the $71.5 million of total expenses, including income tax provision, for the year ended December 31, 2024. As reflected in the table above, the increase is primarily attributable to the following:</w:t>
      </w:r>
    </w:p>
    <w:p>
      <w:pPr>
        <w:spacing w:after="0" w:line="241" w:lineRule="exact"/>
        <w:rPr>
          <w:sz w:val="20"/>
          <w:szCs w:val="20"/>
          <w:color w:val="auto"/>
        </w:rPr>
      </w:pPr>
    </w:p>
    <w:p>
      <w:pPr>
        <w:jc w:val="both"/>
        <w:ind w:left="1066" w:hanging="309"/>
        <w:spacing w:after="0" w:line="370"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color w:val="auto"/>
        </w:rPr>
        <w:t>$7.2 million increase in interest and financing expenses due to an increase in the weighted average interest rate of our debt outstanding and an increase in average borrowings outstanding during 2025 as compared to 2024.</w:t>
      </w:r>
    </w:p>
    <w:p>
      <w:pPr>
        <w:spacing w:after="0" w:line="196" w:lineRule="exact"/>
        <w:rPr>
          <w:rFonts w:ascii="Arial" w:cs="Arial" w:eastAsia="Arial" w:hAnsi="Arial"/>
          <w:sz w:val="20"/>
          <w:szCs w:val="20"/>
          <w:color w:val="auto"/>
        </w:rPr>
      </w:pPr>
    </w:p>
    <w:p>
      <w:pPr>
        <w:ind w:left="1066" w:right="20" w:hanging="309"/>
        <w:spacing w:after="0" w:line="365"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color w:val="auto"/>
        </w:rPr>
        <w:t>$2.1 million net increase in base management fee, including the base management fee waiver, due to higher average total assets during 2025 as compared to 2024.</w:t>
      </w:r>
    </w:p>
    <w:p>
      <w:pPr>
        <w:spacing w:after="0" w:line="200" w:lineRule="exact"/>
        <w:rPr>
          <w:rFonts w:ascii="Arial" w:cs="Arial" w:eastAsia="Arial" w:hAnsi="Arial"/>
          <w:sz w:val="20"/>
          <w:szCs w:val="20"/>
          <w:color w:val="auto"/>
        </w:rPr>
      </w:pPr>
    </w:p>
    <w:p>
      <w:pPr>
        <w:jc w:val="both"/>
        <w:ind w:left="1066" w:right="20" w:hanging="309"/>
        <w:spacing w:after="0" w:line="370"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color w:val="auto"/>
        </w:rPr>
        <w:t>$1.0 million increase in the capital gains incentive fee due to a $5.3 million increase in net gain on investments (net realized gains (losses) plus net change in unrealized appreciation (depreciation) on investments) during 2025, as compared to the same period in 2024.</w:t>
      </w:r>
    </w:p>
    <w:p>
      <w:pPr>
        <w:spacing w:after="0" w:line="196" w:lineRule="exact"/>
        <w:rPr>
          <w:rFonts w:ascii="Arial" w:cs="Arial" w:eastAsia="Arial" w:hAnsi="Arial"/>
          <w:sz w:val="20"/>
          <w:szCs w:val="20"/>
          <w:color w:val="auto"/>
        </w:rPr>
      </w:pPr>
    </w:p>
    <w:p>
      <w:pPr>
        <w:ind w:left="1066" w:right="40" w:hanging="309"/>
        <w:spacing w:after="0" w:line="365"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color w:val="auto"/>
        </w:rPr>
        <w:t>$0.2 million increase in professional fees due to increased proxy solicitation fees during 2025 as compared to 2024.</w:t>
      </w:r>
    </w:p>
    <w:p>
      <w:pPr>
        <w:spacing w:after="0" w:line="200" w:lineRule="exact"/>
        <w:rPr>
          <w:rFonts w:ascii="Arial" w:cs="Arial" w:eastAsia="Arial" w:hAnsi="Arial"/>
          <w:sz w:val="20"/>
          <w:szCs w:val="20"/>
          <w:color w:val="auto"/>
        </w:rPr>
      </w:pPr>
    </w:p>
    <w:p>
      <w:pPr>
        <w:ind w:left="1066" w:right="20" w:hanging="309"/>
        <w:spacing w:after="0" w:line="365" w:lineRule="auto"/>
        <w:tabs>
          <w:tab w:leader="none" w:pos="1066" w:val="left"/>
        </w:tabs>
        <w:numPr>
          <w:ilvl w:val="0"/>
          <w:numId w:val="62"/>
        </w:numPr>
        <w:rPr>
          <w:rFonts w:ascii="Arial" w:cs="Arial" w:eastAsia="Arial" w:hAnsi="Arial"/>
          <w:sz w:val="20"/>
          <w:szCs w:val="20"/>
          <w:color w:val="auto"/>
        </w:rPr>
      </w:pPr>
      <w:r>
        <w:rPr>
          <w:rFonts w:ascii="Arial" w:cs="Arial" w:eastAsia="Arial" w:hAnsi="Arial"/>
          <w:sz w:val="20"/>
          <w:szCs w:val="20"/>
          <w:color w:val="auto"/>
        </w:rPr>
        <w:t>$0.2 million decrease in income tax provision resulting from decreased distributions received at the Taxable Subsidiaries during 2025 as compared to 2024.</w:t>
      </w:r>
    </w:p>
    <w:p>
      <w:pPr>
        <w:spacing w:after="0" w:line="155" w:lineRule="exact"/>
        <w:rPr>
          <w:sz w:val="20"/>
          <w:szCs w:val="20"/>
          <w:color w:val="auto"/>
        </w:rPr>
      </w:pPr>
    </w:p>
    <w:p>
      <w:pPr>
        <w:jc w:val="both"/>
        <w:ind w:left="6" w:firstLine="400"/>
        <w:spacing w:after="0" w:line="309" w:lineRule="auto"/>
        <w:rPr>
          <w:sz w:val="20"/>
          <w:szCs w:val="20"/>
          <w:color w:val="auto"/>
        </w:rPr>
      </w:pPr>
      <w:r>
        <w:rPr>
          <w:rFonts w:ascii="Arial" w:cs="Arial" w:eastAsia="Arial" w:hAnsi="Arial"/>
          <w:sz w:val="20"/>
          <w:szCs w:val="20"/>
          <w:color w:val="auto"/>
        </w:rPr>
        <w:t>For the year ended December 31, 2024, total expenses, including income tax provision, were $71.5 million, an increase of $6.5 million or 10.0%, from the $65.0 million of total expenses, including income tax provision, for the year ended December 31, 2023. As reflected in the table above, the increase is primarily attributable to the following:</w:t>
      </w:r>
    </w:p>
    <w:p>
      <w:pPr>
        <w:spacing w:after="0" w:line="241" w:lineRule="exact"/>
        <w:rPr>
          <w:sz w:val="20"/>
          <w:szCs w:val="20"/>
          <w:color w:val="auto"/>
        </w:rPr>
      </w:pPr>
    </w:p>
    <w:p>
      <w:pPr>
        <w:jc w:val="both"/>
        <w:ind w:left="1066" w:hanging="309"/>
        <w:spacing w:after="0" w:line="370" w:lineRule="auto"/>
        <w:tabs>
          <w:tab w:leader="none" w:pos="1066" w:val="left"/>
        </w:tabs>
        <w:numPr>
          <w:ilvl w:val="0"/>
          <w:numId w:val="63"/>
        </w:numPr>
        <w:rPr>
          <w:rFonts w:ascii="Arial" w:cs="Arial" w:eastAsia="Arial" w:hAnsi="Arial"/>
          <w:sz w:val="20"/>
          <w:szCs w:val="20"/>
          <w:color w:val="auto"/>
        </w:rPr>
      </w:pPr>
      <w:r>
        <w:rPr>
          <w:rFonts w:ascii="Arial" w:cs="Arial" w:eastAsia="Arial" w:hAnsi="Arial"/>
          <w:sz w:val="20"/>
          <w:szCs w:val="20"/>
          <w:color w:val="auto"/>
        </w:rPr>
        <w:t>$1.7 million increase in interest and financing expenses due to an increase in the weighted average interest rate of our debt outstanding and an increase in average borrowings outstanding during 2024 as compared to 2023.</w:t>
      </w:r>
    </w:p>
    <w:p>
      <w:pPr>
        <w:spacing w:after="0" w:line="196" w:lineRule="exact"/>
        <w:rPr>
          <w:rFonts w:ascii="Arial" w:cs="Arial" w:eastAsia="Arial" w:hAnsi="Arial"/>
          <w:sz w:val="20"/>
          <w:szCs w:val="20"/>
          <w:color w:val="auto"/>
        </w:rPr>
      </w:pPr>
    </w:p>
    <w:p>
      <w:pPr>
        <w:ind w:left="1066" w:right="20" w:hanging="309"/>
        <w:spacing w:after="0" w:line="365" w:lineRule="auto"/>
        <w:tabs>
          <w:tab w:leader="none" w:pos="1066" w:val="left"/>
        </w:tabs>
        <w:numPr>
          <w:ilvl w:val="0"/>
          <w:numId w:val="63"/>
        </w:numPr>
        <w:rPr>
          <w:rFonts w:ascii="Arial" w:cs="Arial" w:eastAsia="Arial" w:hAnsi="Arial"/>
          <w:sz w:val="20"/>
          <w:szCs w:val="20"/>
          <w:color w:val="auto"/>
        </w:rPr>
      </w:pPr>
      <w:r>
        <w:rPr>
          <w:rFonts w:ascii="Arial" w:cs="Arial" w:eastAsia="Arial" w:hAnsi="Arial"/>
          <w:sz w:val="20"/>
          <w:szCs w:val="20"/>
          <w:color w:val="auto"/>
        </w:rPr>
        <w:t>$2.6 million net increase in base management fee, including the base management fee waiver, due to higher average total assets during 2024 as compared to 2023.</w:t>
      </w:r>
    </w:p>
    <w:p>
      <w:pPr>
        <w:spacing w:after="0" w:line="200" w:lineRule="exact"/>
        <w:rPr>
          <w:rFonts w:ascii="Arial" w:cs="Arial" w:eastAsia="Arial" w:hAnsi="Arial"/>
          <w:sz w:val="20"/>
          <w:szCs w:val="20"/>
          <w:color w:val="auto"/>
        </w:rPr>
      </w:pPr>
    </w:p>
    <w:p>
      <w:pPr>
        <w:ind w:left="1066" w:right="20" w:hanging="309"/>
        <w:spacing w:after="0" w:line="365" w:lineRule="auto"/>
        <w:tabs>
          <w:tab w:leader="none" w:pos="1066" w:val="left"/>
        </w:tabs>
        <w:numPr>
          <w:ilvl w:val="0"/>
          <w:numId w:val="63"/>
        </w:numPr>
        <w:rPr>
          <w:rFonts w:ascii="Arial" w:cs="Arial" w:eastAsia="Arial" w:hAnsi="Arial"/>
          <w:sz w:val="20"/>
          <w:szCs w:val="20"/>
          <w:color w:val="auto"/>
        </w:rPr>
      </w:pPr>
      <w:r>
        <w:rPr>
          <w:rFonts w:ascii="Arial" w:cs="Arial" w:eastAsia="Arial" w:hAnsi="Arial"/>
          <w:sz w:val="20"/>
          <w:szCs w:val="20"/>
          <w:color w:val="auto"/>
        </w:rPr>
        <w:t>$2.0 million net increase in the income incentive fee due to an increase in pre-incentive fee income during 2024, as compared to the same period in 2023.</w:t>
      </w:r>
    </w:p>
    <w:p>
      <w:pPr>
        <w:spacing w:after="0" w:line="200" w:lineRule="exact"/>
        <w:rPr>
          <w:rFonts w:ascii="Arial" w:cs="Arial" w:eastAsia="Arial" w:hAnsi="Arial"/>
          <w:sz w:val="20"/>
          <w:szCs w:val="20"/>
          <w:color w:val="auto"/>
        </w:rPr>
      </w:pPr>
    </w:p>
    <w:p>
      <w:pPr>
        <w:jc w:val="both"/>
        <w:ind w:left="1066" w:hanging="309"/>
        <w:spacing w:after="0" w:line="370" w:lineRule="auto"/>
        <w:tabs>
          <w:tab w:leader="none" w:pos="1066" w:val="left"/>
        </w:tabs>
        <w:numPr>
          <w:ilvl w:val="0"/>
          <w:numId w:val="63"/>
        </w:numPr>
        <w:rPr>
          <w:rFonts w:ascii="Arial" w:cs="Arial" w:eastAsia="Arial" w:hAnsi="Arial"/>
          <w:sz w:val="20"/>
          <w:szCs w:val="20"/>
          <w:color w:val="auto"/>
        </w:rPr>
      </w:pPr>
      <w:r>
        <w:rPr>
          <w:rFonts w:ascii="Arial" w:cs="Arial" w:eastAsia="Arial" w:hAnsi="Arial"/>
          <w:sz w:val="20"/>
          <w:szCs w:val="20"/>
          <w:color w:val="auto"/>
        </w:rPr>
        <w:t>$1.7 million decrease in the capital gains incentive fee due to a $(7.9) million decrease in net gain on investments (net realized gains (losses) plus net change in unrealized appreciation (depreciation) on investments) during 2024, as compared to the same period in 2023.</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9 / 33</w:t>
      </w:r>
    </w:p>
    <w:p>
      <w:pPr>
        <w:sectPr>
          <w:pgSz w:w="11900" w:h="16838" w:orient="portrait"/>
          <w:cols w:equalWidth="0" w:num="1">
            <w:col w:w="9346"/>
          </w:cols>
          <w:pgMar w:left="1254" w:top="1440" w:right="1306" w:bottom="0" w:gutter="0" w:footer="0" w:header="0"/>
          <w:type w:val="continuous"/>
        </w:sectPr>
      </w:pPr>
    </w:p>
    <w:bookmarkStart w:id="135" w:name="page136"/>
    <w:bookmarkEnd w:id="135"/>
    <w:p>
      <w:pPr>
        <w:ind w:left="1060" w:right="80" w:hanging="309"/>
        <w:spacing w:after="0" w:line="365" w:lineRule="auto"/>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$0.2 million increase in professional fees due to increased legal and audit costs during 2024 as compared to 2023.</w:t>
      </w:r>
    </w:p>
    <w:p>
      <w:pPr>
        <w:spacing w:after="0" w:line="140" w:lineRule="exact"/>
        <w:rPr>
          <w:rFonts w:ascii="Arial" w:cs="Arial" w:eastAsia="Arial" w:hAnsi="Arial"/>
          <w:sz w:val="20"/>
          <w:szCs w:val="20"/>
          <w:color w:val="auto"/>
        </w:rPr>
      </w:pPr>
    </w:p>
    <w:p>
      <w:pPr>
        <w:ind w:left="1060" w:right="440" w:hanging="314"/>
        <w:spacing w:after="0" w:line="432"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$1.4 million increase in income tax provision resulting from increased distributions received at the Taxable Subsidiaries and an increase in excise tax accrued during 2024 as compared to 2023.</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Investment Income</w:t>
      </w:r>
    </w:p>
    <w:p>
      <w:pPr>
        <w:spacing w:after="0" w:line="260" w:lineRule="exact"/>
        <w:rPr>
          <w:sz w:val="20"/>
          <w:szCs w:val="20"/>
          <w:color w:val="auto"/>
        </w:rPr>
      </w:pPr>
    </w:p>
    <w:p>
      <w:pPr>
        <w:ind w:right="40" w:firstLine="400"/>
        <w:spacing w:after="0" w:line="302" w:lineRule="auto"/>
        <w:rPr>
          <w:sz w:val="20"/>
          <w:szCs w:val="20"/>
          <w:color w:val="auto"/>
        </w:rPr>
      </w:pPr>
      <w:r>
        <w:rPr>
          <w:rFonts w:ascii="Arial" w:cs="Arial" w:eastAsia="Arial" w:hAnsi="Arial"/>
          <w:sz w:val="20"/>
          <w:szCs w:val="20"/>
          <w:color w:val="auto"/>
        </w:rPr>
        <w:t>Net investment income was $73.9 million, $74.6 million, and $65.1 million for the years ended December 31, 2025, 2024, and 2023, respectively.</w:t>
      </w:r>
    </w:p>
    <w:p>
      <w:pPr>
        <w:spacing w:after="0" w:line="201" w:lineRule="exact"/>
        <w:rPr>
          <w:sz w:val="20"/>
          <w:szCs w:val="20"/>
          <w:color w:val="auto"/>
        </w:rPr>
      </w:pPr>
    </w:p>
    <w:p>
      <w:pPr>
        <w:jc w:val="both"/>
        <w:ind w:firstLine="400"/>
        <w:spacing w:after="0" w:line="307" w:lineRule="auto"/>
        <w:rPr>
          <w:sz w:val="20"/>
          <w:szCs w:val="20"/>
          <w:color w:val="auto"/>
        </w:rPr>
      </w:pPr>
      <w:r>
        <w:rPr>
          <w:rFonts w:ascii="Arial" w:cs="Arial" w:eastAsia="Arial" w:hAnsi="Arial"/>
          <w:sz w:val="20"/>
          <w:szCs w:val="20"/>
          <w:color w:val="auto"/>
        </w:rPr>
        <w:t>Net investment income decreased by $0.7 million, or (1.1)%, during fiscal 2025 as compared to fiscal 2024, as a result of the $9.8 million increase in total investment income, offset by the $10.5 million increase in total expenses, including the base management fee waiver and income tax provision.</w:t>
      </w:r>
    </w:p>
    <w:p>
      <w:pPr>
        <w:spacing w:after="0" w:line="197" w:lineRule="exact"/>
        <w:rPr>
          <w:sz w:val="20"/>
          <w:szCs w:val="20"/>
          <w:color w:val="auto"/>
        </w:rPr>
      </w:pPr>
    </w:p>
    <w:p>
      <w:pPr>
        <w:jc w:val="both"/>
        <w:ind w:right="40" w:firstLine="400"/>
        <w:spacing w:after="0" w:line="307" w:lineRule="auto"/>
        <w:rPr>
          <w:sz w:val="20"/>
          <w:szCs w:val="20"/>
          <w:color w:val="auto"/>
        </w:rPr>
      </w:pPr>
      <w:r>
        <w:rPr>
          <w:rFonts w:ascii="Arial" w:cs="Arial" w:eastAsia="Arial" w:hAnsi="Arial"/>
          <w:sz w:val="20"/>
          <w:szCs w:val="20"/>
          <w:color w:val="auto"/>
        </w:rPr>
        <w:t>Net investment income increased by $9.5 million, or 14.6%, during fiscal 2024 as compared to fiscal 2023, as a result of the $16.0 million increase in total investment income, partially offset by the $6.5 million increase in total expenses, including the base management fee waiver and income tax provision.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Gain (Loss) on Investments</w:t>
      </w:r>
    </w:p>
    <w:p>
      <w:pPr>
        <w:spacing w:after="0" w:line="260" w:lineRule="exact"/>
        <w:rPr>
          <w:sz w:val="20"/>
          <w:szCs w:val="20"/>
          <w:color w:val="auto"/>
        </w:rPr>
      </w:pPr>
    </w:p>
    <w:p>
      <w:pPr>
        <w:jc w:val="both"/>
        <w:ind w:right="20" w:firstLine="401"/>
        <w:spacing w:after="0" w:line="330" w:lineRule="auto"/>
        <w:rPr>
          <w:sz w:val="20"/>
          <w:szCs w:val="20"/>
          <w:color w:val="auto"/>
        </w:rPr>
      </w:pPr>
      <w:r>
        <w:rPr>
          <w:rFonts w:ascii="Arial" w:cs="Arial" w:eastAsia="Arial" w:hAnsi="Arial"/>
          <w:sz w:val="19"/>
          <w:szCs w:val="19"/>
          <w:color w:val="auto"/>
        </w:rPr>
        <w:t>For the year ended December 31, 2025, the total net realized gain/(loss) on investments, before income tax (provision)/benefit, was $3.4 million. Income tax (provision)/benefit from realized gains on investments was $(4.0) million for the year ended December 31, 2025. We realize a gain/(loss) on our equity investments primarily when we either sell our equity investment or the underlying portfolio company is sold. Significant realized gains (losses) for the year ended December 31, 2025 are summarized below (dollars in millions):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9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 33</w:t>
      </w:r>
    </w:p>
    <w:p>
      <w:pPr>
        <w:sectPr>
          <w:pgSz w:w="11900" w:h="16838" w:orient="portrait"/>
          <w:cols w:equalWidth="0" w:num="1">
            <w:col w:w="9380"/>
          </w:cols>
          <w:pgMar w:left="1260" w:top="1398" w:right="1266" w:bottom="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Net Realized</w:t>
            </w:r>
          </w:p>
        </w:tc>
      </w:tr>
      <w:tr>
        <w:trPr>
          <w:trHeight w:val="349"/>
        </w:trPr>
        <w:tc>
          <w:tcPr>
            <w:tcW w:w="51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780" w:type="dxa"/>
            <w:vAlign w:val="bottom"/>
          </w:tcPr>
          <w:p>
            <w:pPr>
              <w:ind w:left="64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Gains (Losses)</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Healthfuse, LLC</w:t>
            </w:r>
          </w:p>
        </w:tc>
        <w:tc>
          <w:tcPr>
            <w:tcW w:w="2780" w:type="dxa"/>
            <w:vAlign w:val="bottom"/>
          </w:tcPr>
          <w:p>
            <w:pPr>
              <w:ind w:left="100"/>
              <w:spacing w:after="0"/>
              <w:rPr>
                <w:sz w:val="20"/>
                <w:szCs w:val="20"/>
                <w:color w:val="auto"/>
              </w:rPr>
            </w:pPr>
            <w:r>
              <w:rPr>
                <w:rFonts w:ascii="Arial" w:cs="Arial" w:eastAsia="Arial" w:hAnsi="Arial"/>
                <w:sz w:val="18"/>
                <w:szCs w:val="18"/>
                <w:color w:val="auto"/>
              </w:rPr>
              <w:t>Exit of portfolio company</w:t>
            </w: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Medsurant Holdings,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Sale of portfolio company</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Rhino Assembly Company, LLC</w:t>
            </w:r>
          </w:p>
        </w:tc>
        <w:tc>
          <w:tcPr>
            <w:tcW w:w="2780" w:type="dxa"/>
            <w:vAlign w:val="bottom"/>
          </w:tcPr>
          <w:p>
            <w:pPr>
              <w:ind w:left="100"/>
              <w:spacing w:after="0"/>
              <w:rPr>
                <w:sz w:val="20"/>
                <w:szCs w:val="20"/>
                <w:color w:val="auto"/>
              </w:rPr>
            </w:pPr>
            <w:r>
              <w:rPr>
                <w:rFonts w:ascii="Arial" w:cs="Arial" w:eastAsia="Arial" w:hAnsi="Arial"/>
                <w:sz w:val="18"/>
                <w:szCs w:val="18"/>
                <w:color w:val="auto"/>
              </w:rPr>
              <w:t>Escrow distribution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8"/>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Micronics Filtration Holdings, Inc. (dba Micronics Engineered</w:t>
            </w:r>
          </w:p>
        </w:tc>
        <w:tc>
          <w:tcPr>
            <w:tcW w:w="2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86"/>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Filtration Group, Inc.)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Exit of portfolio company</w:t>
            </w: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OnePath Systems, LLC</w:t>
            </w:r>
          </w:p>
        </w:tc>
        <w:tc>
          <w:tcPr>
            <w:tcW w:w="2780" w:type="dxa"/>
            <w:vAlign w:val="bottom"/>
          </w:tcPr>
          <w:p>
            <w:pPr>
              <w:ind w:left="100"/>
              <w:spacing w:after="0"/>
              <w:rPr>
                <w:sz w:val="20"/>
                <w:szCs w:val="20"/>
                <w:color w:val="auto"/>
              </w:rPr>
            </w:pPr>
            <w:r>
              <w:rPr>
                <w:rFonts w:ascii="Arial" w:cs="Arial" w:eastAsia="Arial" w:hAnsi="Arial"/>
                <w:sz w:val="18"/>
                <w:szCs w:val="18"/>
                <w:color w:val="auto"/>
              </w:rPr>
              <w:t>Sale of portfolio company</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USG AS Holdings,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Sale of portfolio company</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Quantum IR Technologies, LLC</w:t>
            </w:r>
          </w:p>
        </w:tc>
        <w:tc>
          <w:tcPr>
            <w:tcW w:w="2780" w:type="dxa"/>
            <w:vAlign w:val="bottom"/>
          </w:tcPr>
          <w:p>
            <w:pPr>
              <w:ind w:left="100"/>
              <w:spacing w:after="0"/>
              <w:rPr>
                <w:sz w:val="20"/>
                <w:szCs w:val="20"/>
                <w:color w:val="auto"/>
              </w:rPr>
            </w:pPr>
            <w:r>
              <w:rPr>
                <w:rFonts w:ascii="Arial" w:cs="Arial" w:eastAsia="Arial" w:hAnsi="Arial"/>
                <w:sz w:val="18"/>
                <w:szCs w:val="18"/>
                <w:color w:val="auto"/>
              </w:rPr>
              <w:t>Exit of portfolio company</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PowerGrid Services Acquisition,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Sale of portfolio company</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w w:val="93"/>
              </w:rPr>
              <w:t>Choice Technology Solutions, LLC (dba Choice Merchant Solutions,</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LLC)</w:t>
            </w:r>
          </w:p>
        </w:tc>
        <w:tc>
          <w:tcPr>
            <w:tcW w:w="2780" w:type="dxa"/>
            <w:vAlign w:val="bottom"/>
          </w:tcPr>
          <w:p>
            <w:pPr>
              <w:ind w:left="100"/>
              <w:spacing w:after="0"/>
              <w:rPr>
                <w:sz w:val="20"/>
                <w:szCs w:val="20"/>
                <w:color w:val="auto"/>
              </w:rPr>
            </w:pPr>
            <w:r>
              <w:rPr>
                <w:rFonts w:ascii="Arial" w:cs="Arial" w:eastAsia="Arial" w:hAnsi="Arial"/>
                <w:sz w:val="18"/>
                <w:szCs w:val="18"/>
                <w:color w:val="auto"/>
              </w:rPr>
              <w:t>Sale of portfolio company</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Quest Software US Holdings Inc.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Exchange of debt investment</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Power Grid Components, Inc.</w:t>
            </w:r>
          </w:p>
        </w:tc>
        <w:tc>
          <w:tcPr>
            <w:tcW w:w="2780" w:type="dxa"/>
            <w:vAlign w:val="bottom"/>
          </w:tcPr>
          <w:p>
            <w:pPr>
              <w:ind w:left="100"/>
              <w:spacing w:after="0"/>
              <w:rPr>
                <w:sz w:val="20"/>
                <w:szCs w:val="20"/>
                <w:color w:val="auto"/>
              </w:rPr>
            </w:pPr>
            <w:r>
              <w:rPr>
                <w:rFonts w:ascii="Arial" w:cs="Arial" w:eastAsia="Arial" w:hAnsi="Arial"/>
                <w:sz w:val="18"/>
                <w:szCs w:val="18"/>
                <w:color w:val="auto"/>
              </w:rPr>
              <w:t>Escrow distribution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Comply365,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Escrow distribution</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Aldinger Company</w:t>
            </w:r>
          </w:p>
        </w:tc>
        <w:tc>
          <w:tcPr>
            <w:tcW w:w="2780" w:type="dxa"/>
            <w:vAlign w:val="bottom"/>
          </w:tcPr>
          <w:p>
            <w:pPr>
              <w:ind w:left="100"/>
              <w:spacing w:after="0"/>
              <w:rPr>
                <w:sz w:val="20"/>
                <w:szCs w:val="20"/>
                <w:color w:val="auto"/>
              </w:rPr>
            </w:pPr>
            <w:r>
              <w:rPr>
                <w:rFonts w:ascii="Arial" w:cs="Arial" w:eastAsia="Arial" w:hAnsi="Arial"/>
                <w:sz w:val="18"/>
                <w:szCs w:val="18"/>
                <w:color w:val="auto"/>
              </w:rPr>
              <w:t>Exit of portfolio company</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GP&amp;C Operations, LLC (dba Garlock Printing and Converting)</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Exit of portfolio company</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Fraser Steel LLC</w:t>
            </w:r>
          </w:p>
        </w:tc>
        <w:tc>
          <w:tcPr>
            <w:tcW w:w="2780" w:type="dxa"/>
            <w:vAlign w:val="bottom"/>
          </w:tcPr>
          <w:p>
            <w:pPr>
              <w:ind w:left="100"/>
              <w:spacing w:after="0"/>
              <w:rPr>
                <w:sz w:val="20"/>
                <w:szCs w:val="20"/>
                <w:color w:val="auto"/>
              </w:rPr>
            </w:pPr>
            <w:r>
              <w:rPr>
                <w:rFonts w:ascii="Arial" w:cs="Arial" w:eastAsia="Arial" w:hAnsi="Arial"/>
                <w:sz w:val="18"/>
                <w:szCs w:val="18"/>
                <w:color w:val="auto"/>
                <w:w w:val="95"/>
              </w:rPr>
              <w:t>Sale of preferred equity investment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Mirage Trailers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Escrow distribution</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Hallmark Health Care Solutions, Inc.</w:t>
            </w:r>
          </w:p>
        </w:tc>
        <w:tc>
          <w:tcPr>
            <w:tcW w:w="2780" w:type="dxa"/>
            <w:vAlign w:val="bottom"/>
          </w:tcPr>
          <w:p>
            <w:pPr>
              <w:ind w:left="100"/>
              <w:spacing w:after="0"/>
              <w:rPr>
                <w:sz w:val="20"/>
                <w:szCs w:val="20"/>
                <w:color w:val="auto"/>
              </w:rPr>
            </w:pPr>
            <w:r>
              <w:rPr>
                <w:rFonts w:ascii="Arial" w:cs="Arial" w:eastAsia="Arial" w:hAnsi="Arial"/>
                <w:sz w:val="18"/>
                <w:szCs w:val="18"/>
                <w:color w:val="auto"/>
              </w:rPr>
              <w:t>Escrow distribution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GreenFiber, LLC</w:t>
            </w:r>
          </w:p>
        </w:tc>
        <w:tc>
          <w:tcPr>
            <w:tcW w:w="2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Exit of debt investments</w:t>
            </w:r>
          </w:p>
        </w:tc>
        <w:tc>
          <w:tcPr>
            <w:tcW w:w="26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51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36"/>
        </w:trPr>
        <w:tc>
          <w:tcPr>
            <w:tcW w:w="51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Income tax (provision) benefit from realized gains on investments</w:t>
            </w:r>
          </w:p>
        </w:tc>
        <w:tc>
          <w:tcPr>
            <w:tcW w:w="27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93"/>
        </w:trPr>
        <w:tc>
          <w:tcPr>
            <w:tcW w:w="5100" w:type="dxa"/>
            <w:vAlign w:val="bottom"/>
          </w:tcPr>
          <w:p>
            <w:pPr>
              <w:spacing w:after="0"/>
              <w:rPr>
                <w:sz w:val="20"/>
                <w:szCs w:val="20"/>
                <w:color w:val="auto"/>
              </w:rPr>
            </w:pPr>
            <w:r>
              <w:rPr>
                <w:rFonts w:ascii="Arial" w:cs="Arial" w:eastAsia="Arial" w:hAnsi="Arial"/>
                <w:sz w:val="18"/>
                <w:szCs w:val="18"/>
                <w:color w:val="auto"/>
                <w:w w:val="94"/>
              </w:rPr>
              <w:t>Net realized gain (loss), net of income tax provision, on investments</w:t>
            </w:r>
          </w:p>
        </w:tc>
        <w:tc>
          <w:tcPr>
            <w:tcW w:w="27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-4159250</wp:posOffset>
            </wp:positionV>
            <wp:extent cx="59080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-559435</wp:posOffset>
            </wp:positionV>
            <wp:extent cx="8750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7503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-191770</wp:posOffset>
            </wp:positionV>
            <wp:extent cx="87503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7503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-5080</wp:posOffset>
            </wp:positionV>
            <wp:extent cx="815340" cy="28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5340" cy="28575"/>
                    </a:xfrm>
                    <a:prstGeom prst="rect">
                      <a:avLst/>
                    </a:prstGeom>
                    <a:noFill/>
                  </pic:spPr>
                </pic:pic>
              </a:graphicData>
            </a:graphic>
          </wp:anchor>
        </w:drawing>
      </w:r>
    </w:p>
    <w:p>
      <w:pPr>
        <w:spacing w:after="0" w:line="193" w:lineRule="exact"/>
        <w:rPr>
          <w:sz w:val="20"/>
          <w:szCs w:val="20"/>
          <w:color w:val="auto"/>
        </w:rPr>
      </w:pPr>
    </w:p>
    <w:p>
      <w:pPr>
        <w:ind w:left="180" w:right="60" w:hanging="187"/>
        <w:spacing w:after="0" w:line="438" w:lineRule="auto"/>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 As it relates to realization events, we define an 'exit' of a portfolio company as situations where we have completely exited our position in all</w:t>
      </w:r>
      <w:r>
        <w:rPr>
          <w:rFonts w:ascii="Arial" w:cs="Arial" w:eastAsia="Arial" w:hAnsi="Arial"/>
          <w:sz w:val="17"/>
          <w:szCs w:val="17"/>
          <w:color w:val="auto"/>
        </w:rPr>
        <w:t xml:space="preserve"> </w:t>
      </w:r>
      <w:r>
        <w:rPr>
          <w:rFonts w:ascii="Arial" w:cs="Arial" w:eastAsia="Arial" w:hAnsi="Arial"/>
          <w:sz w:val="14"/>
          <w:szCs w:val="14"/>
          <w:color w:val="auto"/>
        </w:rPr>
        <w:t>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p>
    <w:p>
      <w:pPr>
        <w:spacing w:after="0" w:line="136"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color w:val="auto"/>
        </w:rPr>
        <w:t>For the year ended December 31, 2024, the total net realized gain/(loss) on investments, before income tax (provision)/benefit was $11.6 million. Income tax (provision)/benefit from realized gains on investments was $(1.5) million for the year ended December 31, 2024. We realize a gain/(loss) on our equity investments primarily when we either sell our equity investment or the underlying portfolio company is sold. Significant realized gains (losses) for the year ended December 31, 2024 are summarized below (dollars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Net Realized</w:t>
            </w:r>
          </w:p>
        </w:tc>
      </w:tr>
      <w:tr>
        <w:trPr>
          <w:trHeight w:val="331"/>
        </w:trPr>
        <w:tc>
          <w:tcPr>
            <w:tcW w:w="38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3800" w:type="dxa"/>
            <w:vAlign w:val="bottom"/>
          </w:tcPr>
          <w:p>
            <w:pPr>
              <w:ind w:left="188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Gains (Losses)</w:t>
            </w:r>
          </w:p>
        </w:tc>
      </w:tr>
      <w:tr>
        <w:trPr>
          <w:trHeight w:val="26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Applied Data Corporation</w:t>
            </w:r>
          </w:p>
        </w:tc>
        <w:tc>
          <w:tcPr>
            <w:tcW w:w="3800" w:type="dxa"/>
            <w:vAlign w:val="bottom"/>
            <w:tcBorders>
              <w:bottom w:val="single" w:sz="8" w:color="CFF0FC"/>
            </w:tcBorders>
            <w:shd w:val="clear" w:color="auto" w:fill="CFF0FC"/>
          </w:tcPr>
          <w:p>
            <w:pPr>
              <w:ind w:left="1360"/>
              <w:spacing w:after="0"/>
              <w:rPr>
                <w:sz w:val="20"/>
                <w:szCs w:val="20"/>
                <w:color w:val="auto"/>
              </w:rPr>
            </w:pPr>
            <w:r>
              <w:rPr>
                <w:rFonts w:ascii="Arial" w:cs="Arial" w:eastAsia="Arial" w:hAnsi="Arial"/>
                <w:sz w:val="18"/>
                <w:szCs w:val="18"/>
                <w:color w:val="auto"/>
              </w:rPr>
              <w:t>Exit of portfolio company</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48"/>
        </w:trPr>
        <w:tc>
          <w:tcPr>
            <w:tcW w:w="3840" w:type="dxa"/>
            <w:vAlign w:val="bottom"/>
          </w:tcPr>
          <w:p>
            <w:pPr>
              <w:spacing w:after="0"/>
              <w:rPr>
                <w:sz w:val="20"/>
                <w:szCs w:val="20"/>
                <w:color w:val="auto"/>
              </w:rPr>
            </w:pPr>
            <w:r>
              <w:rPr>
                <w:rFonts w:ascii="Arial" w:cs="Arial" w:eastAsia="Arial" w:hAnsi="Arial"/>
                <w:sz w:val="18"/>
                <w:szCs w:val="18"/>
                <w:color w:val="auto"/>
              </w:rPr>
              <w:t>Power Grid Components, Inc.</w:t>
            </w:r>
          </w:p>
        </w:tc>
        <w:tc>
          <w:tcPr>
            <w:tcW w:w="3800" w:type="dxa"/>
            <w:vAlign w:val="bottom"/>
          </w:tcPr>
          <w:p>
            <w:pPr>
              <w:ind w:left="1360"/>
              <w:spacing w:after="0"/>
              <w:rPr>
                <w:sz w:val="20"/>
                <w:szCs w:val="20"/>
                <w:color w:val="auto"/>
              </w:rPr>
            </w:pPr>
            <w:r>
              <w:rPr>
                <w:rFonts w:ascii="Arial" w:cs="Arial" w:eastAsia="Arial" w:hAnsi="Arial"/>
                <w:sz w:val="18"/>
                <w:szCs w:val="18"/>
                <w:color w:val="auto"/>
              </w:rPr>
              <w:t>Escrow distribution</w:t>
            </w:r>
          </w:p>
        </w:tc>
        <w:tc>
          <w:tcPr>
            <w:tcW w:w="4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36"/>
        </w:trPr>
        <w:tc>
          <w:tcPr>
            <w:tcW w:w="384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Comply365, LLC</w:t>
            </w:r>
          </w:p>
        </w:tc>
        <w:tc>
          <w:tcPr>
            <w:tcW w:w="3800" w:type="dxa"/>
            <w:vAlign w:val="bottom"/>
            <w:tcBorders>
              <w:bottom w:val="single" w:sz="8" w:color="CFF0FC"/>
            </w:tcBorders>
            <w:shd w:val="clear" w:color="auto" w:fill="CFF0FC"/>
          </w:tcPr>
          <w:p>
            <w:pPr>
              <w:ind w:left="1360"/>
              <w:spacing w:after="0"/>
              <w:rPr>
                <w:sz w:val="20"/>
                <w:szCs w:val="20"/>
                <w:color w:val="auto"/>
              </w:rPr>
            </w:pPr>
            <w:r>
              <w:rPr>
                <w:rFonts w:ascii="Arial" w:cs="Arial" w:eastAsia="Arial" w:hAnsi="Arial"/>
                <w:sz w:val="18"/>
                <w:szCs w:val="18"/>
                <w:color w:val="auto"/>
              </w:rPr>
              <w:t>Exit of portfolio company</w:t>
            </w:r>
          </w:p>
        </w:tc>
        <w:tc>
          <w:tcPr>
            <w:tcW w:w="4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3840" w:type="dxa"/>
            <w:vAlign w:val="bottom"/>
          </w:tcPr>
          <w:p>
            <w:pPr>
              <w:spacing w:after="0"/>
              <w:rPr>
                <w:sz w:val="20"/>
                <w:szCs w:val="20"/>
                <w:color w:val="auto"/>
              </w:rPr>
            </w:pPr>
            <w:r>
              <w:rPr>
                <w:rFonts w:ascii="Arial" w:cs="Arial" w:eastAsia="Arial" w:hAnsi="Arial"/>
                <w:sz w:val="18"/>
                <w:szCs w:val="18"/>
                <w:color w:val="auto"/>
              </w:rPr>
              <w:t>Frontline Food Services, LLC</w:t>
            </w:r>
          </w:p>
        </w:tc>
        <w:tc>
          <w:tcPr>
            <w:tcW w:w="3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(f/k/a Accent Food Services, LLC)</w:t>
            </w:r>
          </w:p>
        </w:tc>
        <w:tc>
          <w:tcPr>
            <w:tcW w:w="3800" w:type="dxa"/>
            <w:vAlign w:val="bottom"/>
          </w:tcPr>
          <w:p>
            <w:pPr>
              <w:ind w:left="1360"/>
              <w:spacing w:after="0"/>
              <w:rPr>
                <w:sz w:val="20"/>
                <w:szCs w:val="20"/>
                <w:color w:val="auto"/>
              </w:rPr>
            </w:pPr>
            <w:r>
              <w:rPr>
                <w:rFonts w:ascii="Arial" w:cs="Arial" w:eastAsia="Arial" w:hAnsi="Arial"/>
                <w:sz w:val="18"/>
                <w:szCs w:val="18"/>
                <w:color w:val="auto"/>
              </w:rPr>
              <w:t>Escrow distribution</w:t>
            </w:r>
          </w:p>
        </w:tc>
        <w:tc>
          <w:tcPr>
            <w:tcW w:w="4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36"/>
        </w:trPr>
        <w:tc>
          <w:tcPr>
            <w:tcW w:w="384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LifeSpan Biosciences, Inc.</w:t>
            </w:r>
          </w:p>
        </w:tc>
        <w:tc>
          <w:tcPr>
            <w:tcW w:w="3800" w:type="dxa"/>
            <w:vAlign w:val="bottom"/>
            <w:shd w:val="clear" w:color="auto" w:fill="CFF0FC"/>
          </w:tcPr>
          <w:p>
            <w:pPr>
              <w:ind w:left="1360"/>
              <w:spacing w:after="0"/>
              <w:rPr>
                <w:sz w:val="20"/>
                <w:szCs w:val="20"/>
                <w:color w:val="auto"/>
              </w:rPr>
            </w:pPr>
            <w:r>
              <w:rPr>
                <w:rFonts w:ascii="Arial" w:cs="Arial" w:eastAsia="Arial" w:hAnsi="Arial"/>
                <w:sz w:val="18"/>
                <w:szCs w:val="18"/>
                <w:color w:val="auto"/>
              </w:rPr>
              <w:t>Sale of portfolio company</w:t>
            </w:r>
          </w:p>
        </w:tc>
        <w:tc>
          <w:tcPr>
            <w:tcW w:w="4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36"/>
        </w:trPr>
        <w:tc>
          <w:tcPr>
            <w:tcW w:w="3840" w:type="dxa"/>
            <w:vAlign w:val="bottom"/>
            <w:shd w:val="clear" w:color="auto" w:fill="CFF0FC"/>
          </w:tcPr>
          <w:p>
            <w:pPr>
              <w:spacing w:after="0"/>
              <w:rPr>
                <w:sz w:val="3"/>
                <w:szCs w:val="3"/>
                <w:color w:val="auto"/>
              </w:rPr>
            </w:pPr>
          </w:p>
        </w:tc>
        <w:tc>
          <w:tcPr>
            <w:tcW w:w="380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2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-1080135</wp:posOffset>
            </wp:positionV>
            <wp:extent cx="590804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0804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33</w:t>
      </w:r>
    </w:p>
    <w:p>
      <w:pPr>
        <w:sectPr>
          <w:pgSz w:w="11900" w:h="16838" w:orient="portrait"/>
          <w:cols w:equalWidth="0" w:num="1">
            <w:col w:w="9400"/>
          </w:cols>
          <w:pgMar w:left="1260" w:top="1440" w:right="1246" w:bottom="0" w:gutter="0" w:footer="0" w:header="0"/>
          <w:type w:val="continuous"/>
        </w:sectPr>
      </w:pPr>
    </w:p>
    <w:bookmarkStart w:id="137" w:name="page138"/>
    <w:bookmarkEnd w:id="137"/>
    <w:tbl>
      <w:tblPr>
        <w:tblLayout w:type="fixed"/>
        <w:tblInd w:w="6"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Virginia Tile Company, LLC</w:t>
            </w:r>
          </w:p>
        </w:tc>
        <w:tc>
          <w:tcPr>
            <w:tcW w:w="3480" w:type="dxa"/>
            <w:vAlign w:val="bottom"/>
          </w:tcPr>
          <w:p>
            <w:pPr>
              <w:ind w:left="140"/>
              <w:spacing w:after="0"/>
              <w:rPr>
                <w:sz w:val="20"/>
                <w:szCs w:val="20"/>
                <w:color w:val="auto"/>
              </w:rPr>
            </w:pPr>
            <w:r>
              <w:rPr>
                <w:rFonts w:ascii="Arial" w:cs="Arial" w:eastAsia="Arial" w:hAnsi="Arial"/>
                <w:sz w:val="18"/>
                <w:szCs w:val="18"/>
                <w:color w:val="auto"/>
              </w:rPr>
              <w:t>Sale of portfolio company</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Pool &amp; Electrical Products, LLC</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Exit of portfolio company</w:t>
            </w: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r>
      <w:tr>
        <w:trPr>
          <w:trHeight w:val="248"/>
        </w:trPr>
        <w:tc>
          <w:tcPr>
            <w:tcW w:w="5060" w:type="dxa"/>
            <w:vAlign w:val="bottom"/>
          </w:tcPr>
          <w:p>
            <w:pPr>
              <w:spacing w:after="0"/>
              <w:rPr>
                <w:sz w:val="20"/>
                <w:szCs w:val="20"/>
                <w:color w:val="auto"/>
              </w:rPr>
            </w:pPr>
            <w:r>
              <w:rPr>
                <w:rFonts w:ascii="Arial" w:cs="Arial" w:eastAsia="Arial" w:hAnsi="Arial"/>
                <w:sz w:val="18"/>
                <w:szCs w:val="18"/>
                <w:color w:val="auto"/>
              </w:rPr>
              <w:t>Rhino Assembly Company, LLC</w:t>
            </w:r>
          </w:p>
        </w:tc>
        <w:tc>
          <w:tcPr>
            <w:tcW w:w="3480" w:type="dxa"/>
            <w:vAlign w:val="bottom"/>
          </w:tcPr>
          <w:p>
            <w:pPr>
              <w:ind w:left="140"/>
              <w:spacing w:after="0"/>
              <w:rPr>
                <w:sz w:val="20"/>
                <w:szCs w:val="20"/>
                <w:color w:val="auto"/>
              </w:rPr>
            </w:pPr>
            <w:r>
              <w:rPr>
                <w:rFonts w:ascii="Arial" w:cs="Arial" w:eastAsia="Arial" w:hAnsi="Arial"/>
                <w:sz w:val="18"/>
                <w:szCs w:val="18"/>
                <w:color w:val="auto"/>
              </w:rPr>
              <w:t>Sale of portfolio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Magenta Buyer LLC (dba Trellix)</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Exit of portfolio company</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5060" w:type="dxa"/>
            <w:vAlign w:val="bottom"/>
          </w:tcPr>
          <w:p>
            <w:pPr>
              <w:spacing w:after="0"/>
              <w:rPr>
                <w:sz w:val="20"/>
                <w:szCs w:val="20"/>
                <w:color w:val="auto"/>
              </w:rPr>
            </w:pPr>
            <w:r>
              <w:rPr>
                <w:rFonts w:ascii="Arial" w:cs="Arial" w:eastAsia="Arial" w:hAnsi="Arial"/>
                <w:sz w:val="18"/>
                <w:szCs w:val="18"/>
                <w:color w:val="auto"/>
              </w:rPr>
              <w:t>Gurobi Optimization, LLC</w:t>
            </w:r>
          </w:p>
        </w:tc>
        <w:tc>
          <w:tcPr>
            <w:tcW w:w="3480" w:type="dxa"/>
            <w:vAlign w:val="bottom"/>
          </w:tcPr>
          <w:p>
            <w:pPr>
              <w:ind w:left="140"/>
              <w:spacing w:after="0"/>
              <w:rPr>
                <w:sz w:val="20"/>
                <w:szCs w:val="20"/>
                <w:color w:val="auto"/>
              </w:rPr>
            </w:pPr>
            <w:r>
              <w:rPr>
                <w:rFonts w:ascii="Arial" w:cs="Arial" w:eastAsia="Arial" w:hAnsi="Arial"/>
                <w:sz w:val="18"/>
                <w:szCs w:val="18"/>
                <w:color w:val="auto"/>
              </w:rPr>
              <w:t>Exit of portfolio company</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Mirage Trailers LLC</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Escrow distribution</w:t>
            </w: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48"/>
        </w:trPr>
        <w:tc>
          <w:tcPr>
            <w:tcW w:w="5060" w:type="dxa"/>
            <w:vAlign w:val="bottom"/>
          </w:tcPr>
          <w:p>
            <w:pPr>
              <w:spacing w:after="0"/>
              <w:rPr>
                <w:sz w:val="20"/>
                <w:szCs w:val="20"/>
                <w:color w:val="auto"/>
              </w:rPr>
            </w:pPr>
            <w:r>
              <w:rPr>
                <w:rFonts w:ascii="Arial" w:cs="Arial" w:eastAsia="Arial" w:hAnsi="Arial"/>
                <w:sz w:val="18"/>
                <w:szCs w:val="18"/>
                <w:color w:val="auto"/>
              </w:rPr>
              <w:t>Sonicwall US Holdings, Inc.</w:t>
            </w:r>
          </w:p>
        </w:tc>
        <w:tc>
          <w:tcPr>
            <w:tcW w:w="3480" w:type="dxa"/>
            <w:vAlign w:val="bottom"/>
          </w:tcPr>
          <w:p>
            <w:pPr>
              <w:ind w:left="140"/>
              <w:spacing w:after="0"/>
              <w:rPr>
                <w:sz w:val="20"/>
                <w:szCs w:val="20"/>
                <w:color w:val="auto"/>
              </w:rPr>
            </w:pPr>
            <w:r>
              <w:rPr>
                <w:rFonts w:ascii="Arial" w:cs="Arial" w:eastAsia="Arial" w:hAnsi="Arial"/>
                <w:sz w:val="18"/>
                <w:szCs w:val="18"/>
                <w:color w:val="auto"/>
              </w:rPr>
              <w:t>Exit of portfolio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Xeeva, Inc.</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Escrow receivable reduction</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58"/>
        </w:trPr>
        <w:tc>
          <w:tcPr>
            <w:tcW w:w="5060" w:type="dxa"/>
            <w:vAlign w:val="bottom"/>
          </w:tcPr>
          <w:p>
            <w:pPr>
              <w:spacing w:after="0"/>
              <w:rPr>
                <w:sz w:val="20"/>
                <w:szCs w:val="20"/>
                <w:color w:val="auto"/>
              </w:rPr>
            </w:pPr>
            <w:r>
              <w:rPr>
                <w:rFonts w:ascii="Arial" w:cs="Arial" w:eastAsia="Arial" w:hAnsi="Arial"/>
                <w:sz w:val="18"/>
                <w:szCs w:val="18"/>
                <w:color w:val="auto"/>
              </w:rPr>
              <w:t>BurgerFi International, LLC (dba BurgerFi)</w:t>
            </w:r>
          </w:p>
        </w:tc>
        <w:tc>
          <w:tcPr>
            <w:tcW w:w="3480" w:type="dxa"/>
            <w:vAlign w:val="bottom"/>
          </w:tcPr>
          <w:p>
            <w:pPr>
              <w:ind w:left="140"/>
              <w:spacing w:after="0"/>
              <w:rPr>
                <w:sz w:val="20"/>
                <w:szCs w:val="20"/>
                <w:color w:val="auto"/>
              </w:rPr>
            </w:pPr>
            <w:r>
              <w:rPr>
                <w:rFonts w:ascii="Arial" w:cs="Arial" w:eastAsia="Arial" w:hAnsi="Arial"/>
                <w:sz w:val="18"/>
                <w:szCs w:val="18"/>
                <w:color w:val="auto"/>
              </w:rPr>
              <w:t>Exit of portfolio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gain (loss) on investments</w:t>
            </w:r>
          </w:p>
        </w:tc>
        <w:tc>
          <w:tcPr>
            <w:tcW w:w="34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r>
      <w:tr>
        <w:trPr>
          <w:trHeight w:val="258"/>
        </w:trPr>
        <w:tc>
          <w:tcPr>
            <w:tcW w:w="5060" w:type="dxa"/>
            <w:vAlign w:val="bottom"/>
          </w:tcPr>
          <w:p>
            <w:pPr>
              <w:spacing w:after="0"/>
              <w:rPr>
                <w:sz w:val="20"/>
                <w:szCs w:val="20"/>
                <w:color w:val="auto"/>
              </w:rPr>
            </w:pPr>
            <w:r>
              <w:rPr>
                <w:rFonts w:ascii="Arial" w:cs="Arial" w:eastAsia="Arial" w:hAnsi="Arial"/>
                <w:sz w:val="18"/>
                <w:szCs w:val="18"/>
                <w:color w:val="auto"/>
                <w:w w:val="97"/>
              </w:rPr>
              <w:t>Income tax (provision) benefit from realized gains on investments</w:t>
            </w:r>
          </w:p>
        </w:tc>
        <w:tc>
          <w:tcPr>
            <w:tcW w:w="3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
        </w:trPr>
        <w:tc>
          <w:tcPr>
            <w:tcW w:w="50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w w:val="93"/>
              </w:rPr>
              <w:t>Net realized gain (loss), net of income tax provision, on investments</w:t>
            </w:r>
          </w:p>
        </w:tc>
        <w:tc>
          <w:tcPr>
            <w:tcW w:w="3480" w:type="dxa"/>
            <w:vAlign w:val="bottom"/>
            <w:shd w:val="clear" w:color="auto" w:fill="CFF0FC"/>
          </w:tcPr>
          <w:p>
            <w:pPr>
              <w:ind w:left="2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r>
      <w:tr>
        <w:trPr>
          <w:trHeight w:val="36"/>
        </w:trPr>
        <w:tc>
          <w:tcPr>
            <w:tcW w:w="5060" w:type="dxa"/>
            <w:vAlign w:val="bottom"/>
            <w:shd w:val="clear" w:color="auto" w:fill="CFF0FC"/>
          </w:tcPr>
          <w:p>
            <w:pPr>
              <w:spacing w:after="0"/>
              <w:rPr>
                <w:sz w:val="3"/>
                <w:szCs w:val="3"/>
                <w:color w:val="auto"/>
              </w:rPr>
            </w:pPr>
          </w:p>
        </w:tc>
        <w:tc>
          <w:tcPr>
            <w:tcW w:w="348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5090160</wp:posOffset>
            </wp:positionH>
            <wp:positionV relativeFrom="paragraph">
              <wp:posOffset>-582295</wp:posOffset>
            </wp:positionV>
            <wp:extent cx="81851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635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-214630</wp:posOffset>
            </wp:positionV>
            <wp:extent cx="81851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8515" cy="635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-27940</wp:posOffset>
            </wp:positionV>
            <wp:extent cx="877570" cy="28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77570" cy="28575"/>
                    </a:xfrm>
                    <a:prstGeom prst="rect">
                      <a:avLst/>
                    </a:prstGeom>
                    <a:noFill/>
                  </pic:spPr>
                </pic:pic>
              </a:graphicData>
            </a:graphic>
          </wp:anchor>
        </w:drawing>
      </w:r>
    </w:p>
    <w:p>
      <w:pPr>
        <w:spacing w:after="0" w:line="175" w:lineRule="exact"/>
        <w:rPr>
          <w:sz w:val="20"/>
          <w:szCs w:val="20"/>
          <w:color w:val="auto"/>
        </w:rPr>
      </w:pPr>
    </w:p>
    <w:p>
      <w:pPr>
        <w:ind w:left="186" w:right="60" w:hanging="186"/>
        <w:spacing w:after="0" w:line="434" w:lineRule="auto"/>
        <w:tabs>
          <w:tab w:leader="none" w:pos="248" w:val="left"/>
        </w:tabs>
        <w:numPr>
          <w:ilvl w:val="0"/>
          <w:numId w:val="65"/>
        </w:numPr>
        <w:rPr>
          <w:rFonts w:ascii="Arial" w:cs="Arial" w:eastAsia="Arial" w:hAnsi="Arial"/>
          <w:sz w:val="16"/>
          <w:szCs w:val="16"/>
          <w:color w:val="auto"/>
        </w:rPr>
      </w:pPr>
      <w:r>
        <w:rPr>
          <w:rFonts w:ascii="Arial" w:cs="Arial" w:eastAsia="Arial" w:hAnsi="Arial"/>
          <w:sz w:val="14"/>
          <w:szCs w:val="14"/>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w:t>
      </w:r>
    </w:p>
    <w:p>
      <w:pPr>
        <w:ind w:left="186"/>
        <w:spacing w:after="0" w:line="233" w:lineRule="auto"/>
        <w:rPr>
          <w:sz w:val="20"/>
          <w:szCs w:val="20"/>
          <w:color w:val="auto"/>
        </w:rPr>
      </w:pPr>
      <w:r>
        <w:rPr>
          <w:rFonts w:ascii="Arial" w:cs="Arial" w:eastAsia="Arial" w:hAnsi="Arial"/>
          <w:sz w:val="16"/>
          <w:szCs w:val="16"/>
          <w:color w:val="auto"/>
        </w:rPr>
        <w:t>portfolio company have been sold, but where we retain a residual ownership interest in the new acquiring entity.</w:t>
      </w:r>
    </w:p>
    <w:p>
      <w:pPr>
        <w:spacing w:after="0" w:line="7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12 / 33</w:t>
      </w:r>
    </w:p>
    <w:p>
      <w:pPr>
        <w:sectPr>
          <w:pgSz w:w="11900" w:h="16838" w:orient="portrait"/>
          <w:cols w:equalWidth="0" w:num="1">
            <w:col w:w="9406"/>
          </w:cols>
          <w:pgMar w:left="1254" w:top="1175" w:right="1246" w:bottom="0" w:gutter="0" w:footer="0" w:header="0"/>
          <w:type w:val="continuous"/>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color w:val="auto"/>
        </w:rPr>
        <w:t>For the year ended December 31, 2023, the total net realized gain/(loss) on investments, before income tax (provision)/benefit was $24.1 million. Income tax (provision)/benefit from realized gains on investments was $(1.7) million for the year ended December 31, 2023. We realize a gain/(loss) on our equity investments primarily when we either sell our equity investment or the underlying portfolio company is sold. Significant realized gains (losses) for the year ended December 31, 2023 are summarized below (dollars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Net Realized</w:t>
            </w:r>
          </w:p>
        </w:tc>
      </w:tr>
      <w:tr>
        <w:trPr>
          <w:trHeight w:val="349"/>
        </w:trPr>
        <w:tc>
          <w:tcPr>
            <w:tcW w:w="50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680" w:type="dxa"/>
            <w:vAlign w:val="bottom"/>
          </w:tcPr>
          <w:p>
            <w:pPr>
              <w:ind w:left="660"/>
              <w:spacing w:after="0"/>
              <w:rPr>
                <w:sz w:val="20"/>
                <w:szCs w:val="20"/>
                <w:color w:val="auto"/>
              </w:rPr>
            </w:pPr>
            <w:r>
              <w:rPr>
                <w:rFonts w:ascii="Arial" w:cs="Arial" w:eastAsia="Arial" w:hAnsi="Arial"/>
                <w:sz w:val="18"/>
                <w:szCs w:val="18"/>
                <w:b w:val="1"/>
                <w:bCs w:val="1"/>
                <w:color w:val="auto"/>
              </w:rPr>
              <w:t xml:space="preserve">Realization Event </w:t>
            </w:r>
            <w:r>
              <w:rPr>
                <w:rFonts w:ascii="Arial" w:cs="Arial" w:eastAsia="Arial" w:hAnsi="Arial"/>
                <w:sz w:val="24"/>
                <w:szCs w:val="24"/>
                <w:b w:val="1"/>
                <w:bCs w:val="1"/>
                <w:color w:val="auto"/>
                <w:vertAlign w:val="superscript"/>
              </w:rPr>
              <w:t>(1)</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Gains (Losses)</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The Tranzonic Companies</w:t>
            </w:r>
          </w:p>
        </w:tc>
        <w:tc>
          <w:tcPr>
            <w:tcW w:w="2680" w:type="dxa"/>
            <w:vAlign w:val="bottom"/>
          </w:tcPr>
          <w:p>
            <w:pPr>
              <w:ind w:left="120"/>
              <w:spacing w:after="0"/>
              <w:rPr>
                <w:sz w:val="20"/>
                <w:szCs w:val="20"/>
                <w:color w:val="auto"/>
              </w:rPr>
            </w:pPr>
            <w:r>
              <w:rPr>
                <w:rFonts w:ascii="Arial" w:cs="Arial" w:eastAsia="Arial" w:hAnsi="Arial"/>
                <w:sz w:val="18"/>
                <w:szCs w:val="18"/>
                <w:color w:val="auto"/>
              </w:rPr>
              <w:t>Escrow distribution</w:t>
            </w: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Rhino Assembly Company, LLC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ECM Industries, LLC</w:t>
            </w:r>
          </w:p>
        </w:tc>
        <w:tc>
          <w:tcPr>
            <w:tcW w:w="2680" w:type="dxa"/>
            <w:vAlign w:val="bottom"/>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Frontline Food Services, LLC</w:t>
            </w:r>
          </w:p>
        </w:tc>
        <w:tc>
          <w:tcPr>
            <w:tcW w:w="26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86"/>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(f/k/a Accent Food Services, LLC)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Escrow distribution</w:t>
            </w:r>
          </w:p>
        </w:tc>
        <w:tc>
          <w:tcPr>
            <w:tcW w:w="3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EBL, LLC (EbLens)</w:t>
            </w:r>
          </w:p>
        </w:tc>
        <w:tc>
          <w:tcPr>
            <w:tcW w:w="2680" w:type="dxa"/>
            <w:vAlign w:val="bottom"/>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FAR Research Inc.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Escrow distribution</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Ipro Tech, LLC</w:t>
            </w:r>
          </w:p>
        </w:tc>
        <w:tc>
          <w:tcPr>
            <w:tcW w:w="2680" w:type="dxa"/>
            <w:vAlign w:val="bottom"/>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Hallmark Health Care Solutions, Inc.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Partial sale of equity investment</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w w:val="95"/>
              </w:rPr>
              <w:t>K2 Merger Agreement Agent, LLC (fka K2 Industrial Services, Inc.)</w:t>
            </w:r>
          </w:p>
        </w:tc>
        <w:tc>
          <w:tcPr>
            <w:tcW w:w="2680" w:type="dxa"/>
            <w:vAlign w:val="bottom"/>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NGT Acquisition Holdings, LLC (dba Techniks Industries)</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Power Grid Components, Inc.</w:t>
            </w:r>
          </w:p>
        </w:tc>
        <w:tc>
          <w:tcPr>
            <w:tcW w:w="2680" w:type="dxa"/>
            <w:vAlign w:val="bottom"/>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Road Safety Services, Inc.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Mirage Trailers LLC</w:t>
            </w:r>
          </w:p>
        </w:tc>
        <w:tc>
          <w:tcPr>
            <w:tcW w:w="2680" w:type="dxa"/>
            <w:vAlign w:val="bottom"/>
          </w:tcPr>
          <w:p>
            <w:pPr>
              <w:ind w:left="120"/>
              <w:spacing w:after="0"/>
              <w:rPr>
                <w:sz w:val="20"/>
                <w:szCs w:val="20"/>
                <w:color w:val="auto"/>
              </w:rPr>
            </w:pPr>
            <w:r>
              <w:rPr>
                <w:rFonts w:ascii="Arial" w:cs="Arial" w:eastAsia="Arial" w:hAnsi="Arial"/>
                <w:sz w:val="18"/>
                <w:szCs w:val="18"/>
                <w:color w:val="auto"/>
              </w:rPr>
              <w:t>Escrow distribution</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Aeronix Inc.</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Exit of portfolio company</w:t>
            </w:r>
          </w:p>
        </w:tc>
        <w:tc>
          <w:tcPr>
            <w:tcW w:w="3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Comply365, LLC</w:t>
            </w:r>
          </w:p>
        </w:tc>
        <w:tc>
          <w:tcPr>
            <w:tcW w:w="2680" w:type="dxa"/>
            <w:vAlign w:val="bottom"/>
          </w:tcPr>
          <w:p>
            <w:pPr>
              <w:ind w:left="120"/>
              <w:spacing w:after="0"/>
              <w:rPr>
                <w:sz w:val="20"/>
                <w:szCs w:val="20"/>
                <w:color w:val="auto"/>
              </w:rPr>
            </w:pPr>
            <w:r>
              <w:rPr>
                <w:rFonts w:ascii="Arial" w:cs="Arial" w:eastAsia="Arial" w:hAnsi="Arial"/>
                <w:sz w:val="18"/>
                <w:szCs w:val="18"/>
                <w:color w:val="auto"/>
                <w:w w:val="99"/>
              </w:rPr>
              <w:t>Partial sale of equity investment</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Oaktree Medical Centre, P.C. (dba Pain Management Associates)</w:t>
            </w:r>
          </w:p>
        </w:tc>
        <w:tc>
          <w:tcPr>
            <w:tcW w:w="2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Escrow distribution</w:t>
            </w:r>
          </w:p>
        </w:tc>
        <w:tc>
          <w:tcPr>
            <w:tcW w:w="38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r>
      <w:tr>
        <w:trPr>
          <w:trHeight w:val="248"/>
        </w:trPr>
        <w:tc>
          <w:tcPr>
            <w:tcW w:w="50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36"/>
        </w:trPr>
        <w:tc>
          <w:tcPr>
            <w:tcW w:w="50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Income tax (provision) benefit from realized gains on investments</w:t>
            </w:r>
          </w:p>
        </w:tc>
        <w:tc>
          <w:tcPr>
            <w:tcW w:w="26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93"/>
        </w:trPr>
        <w:tc>
          <w:tcPr>
            <w:tcW w:w="5080" w:type="dxa"/>
            <w:vAlign w:val="bottom"/>
          </w:tcPr>
          <w:p>
            <w:pPr>
              <w:spacing w:after="0"/>
              <w:rPr>
                <w:sz w:val="20"/>
                <w:szCs w:val="20"/>
                <w:color w:val="auto"/>
              </w:rPr>
            </w:pPr>
            <w:r>
              <w:rPr>
                <w:rFonts w:ascii="Arial" w:cs="Arial" w:eastAsia="Arial" w:hAnsi="Arial"/>
                <w:sz w:val="18"/>
                <w:szCs w:val="18"/>
                <w:color w:val="auto"/>
                <w:w w:val="93"/>
              </w:rPr>
              <w:t>Net realized gain (loss), net of income tax provision, on investments</w:t>
            </w:r>
          </w:p>
        </w:tc>
        <w:tc>
          <w:tcPr>
            <w:tcW w:w="26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-3626485</wp:posOffset>
            </wp:positionV>
            <wp:extent cx="590804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-559435</wp:posOffset>
            </wp:positionV>
            <wp:extent cx="87503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7503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-191770</wp:posOffset>
            </wp:positionV>
            <wp:extent cx="87503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75030" cy="63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-5080</wp:posOffset>
            </wp:positionV>
            <wp:extent cx="815975" cy="28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5975" cy="28575"/>
                    </a:xfrm>
                    <a:prstGeom prst="rect">
                      <a:avLst/>
                    </a:prstGeom>
                    <a:noFill/>
                  </pic:spPr>
                </pic:pic>
              </a:graphicData>
            </a:graphic>
          </wp:anchor>
        </w:drawing>
      </w:r>
    </w:p>
    <w:p>
      <w:pPr>
        <w:spacing w:after="0" w:line="193" w:lineRule="exact"/>
        <w:rPr>
          <w:sz w:val="20"/>
          <w:szCs w:val="20"/>
          <w:color w:val="auto"/>
        </w:rPr>
      </w:pPr>
    </w:p>
    <w:p>
      <w:pPr>
        <w:ind w:left="180" w:right="60" w:hanging="187"/>
        <w:spacing w:after="0" w:line="438" w:lineRule="auto"/>
        <w:rPr>
          <w:sz w:val="20"/>
          <w:szCs w:val="20"/>
          <w:color w:val="auto"/>
        </w:rPr>
      </w:pPr>
      <w:r>
        <w:rPr>
          <w:rFonts w:ascii="Arial" w:cs="Arial" w:eastAsia="Arial" w:hAnsi="Arial"/>
          <w:sz w:val="17"/>
          <w:szCs w:val="17"/>
          <w:color w:val="auto"/>
        </w:rPr>
        <w:t>(1</w:t>
      </w:r>
      <w:r>
        <w:rPr>
          <w:rFonts w:ascii="Arial" w:cs="Arial" w:eastAsia="Arial" w:hAnsi="Arial"/>
          <w:sz w:val="14"/>
          <w:szCs w:val="14"/>
          <w:color w:val="auto"/>
        </w:rPr>
        <w:t>) As it relates to realization events, we define an 'exit' of a portfolio company as situations where we have completely exited our position in all</w:t>
      </w:r>
      <w:r>
        <w:rPr>
          <w:rFonts w:ascii="Arial" w:cs="Arial" w:eastAsia="Arial" w:hAnsi="Arial"/>
          <w:sz w:val="17"/>
          <w:szCs w:val="17"/>
          <w:color w:val="auto"/>
        </w:rPr>
        <w:t xml:space="preserve"> </w:t>
      </w:r>
      <w:r>
        <w:rPr>
          <w:rFonts w:ascii="Arial" w:cs="Arial" w:eastAsia="Arial" w:hAnsi="Arial"/>
          <w:sz w:val="14"/>
          <w:szCs w:val="14"/>
          <w:color w:val="auto"/>
        </w:rPr>
        <w:t>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p>
    <w:p>
      <w:pPr>
        <w:spacing w:after="0" w:line="136" w:lineRule="exact"/>
        <w:rPr>
          <w:sz w:val="20"/>
          <w:szCs w:val="20"/>
          <w:color w:val="auto"/>
        </w:rPr>
      </w:pPr>
    </w:p>
    <w:p>
      <w:pPr>
        <w:ind w:right="120" w:firstLine="401"/>
        <w:spacing w:after="0" w:line="302" w:lineRule="auto"/>
        <w:rPr>
          <w:sz w:val="20"/>
          <w:szCs w:val="20"/>
          <w:color w:val="auto"/>
        </w:rPr>
      </w:pPr>
      <w:r>
        <w:rPr>
          <w:rFonts w:ascii="Arial" w:cs="Arial" w:eastAsia="Arial" w:hAnsi="Arial"/>
          <w:sz w:val="20"/>
          <w:szCs w:val="20"/>
          <w:color w:val="auto"/>
        </w:rPr>
        <w:t>During the years ended December 31, 2025, 2024, and 2023, we recorded a net change in unrealized appreciation (depreciation) on investments attributable to the following (dollars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60" w:type="dxa"/>
            <w:vAlign w:val="bottom"/>
            <w:gridSpan w:val="5"/>
          </w:tcPr>
          <w:p>
            <w:pPr>
              <w:jc w:val="right"/>
              <w:ind w:right="640"/>
              <w:spacing w:after="0"/>
              <w:rPr>
                <w:sz w:val="20"/>
                <w:szCs w:val="20"/>
                <w:color w:val="auto"/>
              </w:rPr>
            </w:pPr>
            <w:r>
              <w:rPr>
                <w:rFonts w:ascii="Arial" w:cs="Arial" w:eastAsia="Arial" w:hAnsi="Arial"/>
                <w:sz w:val="20"/>
                <w:szCs w:val="20"/>
                <w:b w:val="1"/>
                <w:bCs w:val="1"/>
                <w:color w:val="auto"/>
              </w:rPr>
              <w:t>Year Ended December 31,</w:t>
            </w:r>
          </w:p>
        </w:tc>
      </w:tr>
      <w:tr>
        <w:trPr>
          <w:trHeight w:val="310"/>
        </w:trPr>
        <w:tc>
          <w:tcPr>
            <w:tcW w:w="4980" w:type="dxa"/>
            <w:vAlign w:val="bottom"/>
          </w:tcPr>
          <w:p>
            <w:pPr>
              <w:spacing w:after="0"/>
              <w:rPr>
                <w:sz w:val="20"/>
                <w:szCs w:val="20"/>
                <w:color w:val="auto"/>
              </w:rPr>
            </w:pPr>
            <w:r>
              <w:rPr>
                <w:rFonts w:ascii="Arial" w:cs="Arial" w:eastAsia="Arial" w:hAnsi="Arial"/>
                <w:sz w:val="20"/>
                <w:szCs w:val="20"/>
                <w:b w:val="1"/>
                <w:bCs w:val="1"/>
                <w:color w:val="auto"/>
              </w:rPr>
              <w:t>Unrealized Appreciation (Depreciation)</w:t>
            </w:r>
          </w:p>
        </w:tc>
        <w:tc>
          <w:tcPr>
            <w:tcW w:w="960" w:type="dxa"/>
            <w:vAlign w:val="bottom"/>
          </w:tcPr>
          <w:p>
            <w:pPr>
              <w:spacing w:after="0"/>
              <w:rPr>
                <w:sz w:val="24"/>
                <w:szCs w:val="24"/>
                <w:color w:val="auto"/>
              </w:rPr>
            </w:pPr>
          </w:p>
        </w:tc>
        <w:tc>
          <w:tcPr>
            <w:tcW w:w="940" w:type="dxa"/>
            <w:vAlign w:val="bottom"/>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360" w:type="dxa"/>
            <w:vAlign w:val="bottom"/>
          </w:tcPr>
          <w:p>
            <w:pPr>
              <w:spacing w:after="0"/>
              <w:rPr>
                <w:sz w:val="24"/>
                <w:szCs w:val="24"/>
                <w:color w:val="auto"/>
              </w:rPr>
            </w:pPr>
          </w:p>
        </w:tc>
        <w:tc>
          <w:tcPr>
            <w:tcW w:w="96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320" w:type="dxa"/>
            <w:vAlign w:val="bottom"/>
          </w:tcPr>
          <w:p>
            <w:pPr>
              <w:spacing w:after="0"/>
              <w:rPr>
                <w:sz w:val="24"/>
                <w:szCs w:val="24"/>
                <w:color w:val="auto"/>
              </w:rPr>
            </w:pPr>
          </w:p>
        </w:tc>
        <w:tc>
          <w:tcPr>
            <w:tcW w:w="880" w:type="dxa"/>
            <w:vAlign w:val="bottom"/>
          </w:tcPr>
          <w:p>
            <w:pPr>
              <w:jc w:val="right"/>
              <w:ind w:right="280"/>
              <w:spacing w:after="0"/>
              <w:rPr>
                <w:sz w:val="20"/>
                <w:szCs w:val="20"/>
                <w:color w:val="auto"/>
              </w:rPr>
            </w:pPr>
            <w:r>
              <w:rPr>
                <w:rFonts w:ascii="Arial" w:cs="Arial" w:eastAsia="Arial" w:hAnsi="Arial"/>
                <w:sz w:val="20"/>
                <w:szCs w:val="20"/>
                <w:b w:val="1"/>
                <w:bCs w:val="1"/>
                <w:color w:val="auto"/>
              </w:rPr>
              <w:t>2023</w:t>
            </w:r>
          </w:p>
        </w:tc>
      </w:tr>
      <w:tr>
        <w:trPr>
          <w:trHeight w:val="51"/>
        </w:trPr>
        <w:tc>
          <w:tcPr>
            <w:tcW w:w="4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Exit, sale or restructuring of investments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0.6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(9.5)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(7.5)</w:t>
            </w:r>
          </w:p>
        </w:tc>
      </w:tr>
      <w:tr>
        <w:trPr>
          <w:trHeight w:val="259"/>
        </w:trPr>
        <w:tc>
          <w:tcPr>
            <w:tcW w:w="4980" w:type="dxa"/>
            <w:vAlign w:val="bottom"/>
          </w:tcPr>
          <w:p>
            <w:pPr>
              <w:spacing w:after="0"/>
              <w:rPr>
                <w:sz w:val="20"/>
                <w:szCs w:val="20"/>
                <w:color w:val="auto"/>
              </w:rPr>
            </w:pPr>
            <w:r>
              <w:rPr>
                <w:rFonts w:ascii="Arial" w:cs="Arial" w:eastAsia="Arial" w:hAnsi="Arial"/>
                <w:sz w:val="20"/>
                <w:szCs w:val="20"/>
                <w:color w:val="auto"/>
              </w:rPr>
              <w:t>Fair value adjustments to debt investments</w:t>
            </w:r>
          </w:p>
        </w:tc>
        <w:tc>
          <w:tcPr>
            <w:tcW w:w="960" w:type="dxa"/>
            <w:vAlign w:val="bottom"/>
          </w:tcPr>
          <w:p>
            <w:pPr>
              <w:spacing w:after="0"/>
              <w:rPr>
                <w:sz w:val="22"/>
                <w:szCs w:val="22"/>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1.2</w:t>
            </w: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(15.4)</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41"/>
        </w:trPr>
        <w:tc>
          <w:tcPr>
            <w:tcW w:w="4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Fair value adjustments to equity investments</w:t>
            </w:r>
          </w:p>
        </w:tc>
        <w:tc>
          <w:tcPr>
            <w:tcW w:w="9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8.3</w:t>
            </w:r>
          </w:p>
        </w:tc>
        <w:tc>
          <w:tcPr>
            <w:tcW w:w="3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19.0</w:t>
            </w:r>
          </w:p>
        </w:tc>
        <w:tc>
          <w:tcPr>
            <w:tcW w:w="3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7.6</w:t>
            </w:r>
          </w:p>
        </w:tc>
      </w:tr>
      <w:tr>
        <w:trPr>
          <w:trHeight w:val="282"/>
        </w:trPr>
        <w:tc>
          <w:tcPr>
            <w:tcW w:w="4980" w:type="dxa"/>
            <w:vAlign w:val="bottom"/>
          </w:tcPr>
          <w:p>
            <w:pPr>
              <w:spacing w:after="0"/>
              <w:rPr>
                <w:sz w:val="20"/>
                <w:szCs w:val="20"/>
                <w:color w:val="auto"/>
              </w:rPr>
            </w:pPr>
            <w:r>
              <w:rPr>
                <w:rFonts w:ascii="Arial" w:cs="Arial" w:eastAsia="Arial" w:hAnsi="Arial"/>
                <w:sz w:val="20"/>
                <w:szCs w:val="20"/>
                <w:color w:val="auto"/>
              </w:rPr>
              <w:t>Net change in unrealized appreciation (depreciation)</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10.1</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(5.9)</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-959485</wp:posOffset>
            </wp:positionV>
            <wp:extent cx="224663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466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-762635</wp:posOffset>
            </wp:positionV>
            <wp:extent cx="590804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-184785</wp:posOffset>
            </wp:positionV>
            <wp:extent cx="230632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06320" cy="63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11430</wp:posOffset>
            </wp:positionV>
            <wp:extent cx="224663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46630" cy="28575"/>
                    </a:xfrm>
                    <a:prstGeom prst="rect">
                      <a:avLst/>
                    </a:prstGeom>
                    <a:noFill/>
                  </pic:spPr>
                </pic:pic>
              </a:graphicData>
            </a:graphic>
          </wp:anchor>
        </w:drawing>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Increase in Net Assets Resulting From Operations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33</w:t>
      </w:r>
    </w:p>
    <w:p>
      <w:pPr>
        <w:sectPr>
          <w:pgSz w:w="11900" w:h="16838" w:orient="portrait"/>
          <w:cols w:equalWidth="0" w:num="1">
            <w:col w:w="9400"/>
          </w:cols>
          <w:pgMar w:left="1260" w:top="1440" w:right="1246" w:bottom="0" w:gutter="0" w:footer="0" w:header="0"/>
          <w:type w:val="continuous"/>
        </w:sectPr>
      </w:pPr>
    </w:p>
    <w:bookmarkStart w:id="139" w:name="page140"/>
    <w:bookmarkEnd w:id="139"/>
    <w:p>
      <w:pPr>
        <w:jc w:val="both"/>
        <w:ind w:firstLine="401"/>
        <w:spacing w:after="0" w:line="331" w:lineRule="auto"/>
        <w:rPr>
          <w:sz w:val="20"/>
          <w:szCs w:val="20"/>
          <w:color w:val="auto"/>
        </w:rPr>
      </w:pPr>
      <w:r>
        <w:rPr>
          <w:rFonts w:ascii="Arial" w:cs="Arial" w:eastAsia="Arial" w:hAnsi="Arial"/>
          <w:sz w:val="19"/>
          <w:szCs w:val="19"/>
          <w:color w:val="auto"/>
        </w:rPr>
        <w:t>Net increase in net assets resulting from operations was $82.4 million, $78.3 million, and $77.1 million for the years ended December 31, 2025, 2024, and 2023, respectively, as a result of the events described above.</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260"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As of December 31, 2025, we had $70.0 million in cash and cash equivalents, $9.6 million in restricted cash, and our net assets totaled $741.9 million. We believe that our current cash and cash equivalents on hand, restricted cash, our SPV Credit Facility (as defined below),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jc w:val="center"/>
        <w:ind w:right="-39"/>
        <w:spacing w:after="0" w:line="235" w:lineRule="auto"/>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 / 33</w:t>
      </w:r>
    </w:p>
    <w:p>
      <w:pPr>
        <w:sectPr>
          <w:pgSz w:w="11900" w:h="16838" w:orient="portrait"/>
          <w:cols w:equalWidth="0" w:num="1">
            <w:col w:w="9340"/>
          </w:cols>
          <w:pgMar w:left="1260" w:top="1173" w:right="1306"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Flows</w:t>
      </w:r>
    </w:p>
    <w:p>
      <w:pPr>
        <w:spacing w:after="0" w:line="260"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For the year ended December 31, 2025, we experienced a net increase in cash, cash equivalents and restricted cash of $22.4 million. During that period, we used $147.0 million of cash from operating activities, which included proceeds received from sales and repayments of investments of $288.0 million, which were offset by the funding of $498.2 million of investments. During the same period, we received net proceeds from the ATM Program of $79.3 million, proceeds from the issuance of the March 2030 Notes of $200.0 million, proceeds from the issuances of SBA debentures of $91.0 million, and net borrowings of $38.9 million under our Credit Facilities (as defined below), made repayments of SBA debentures relating to Fund III of $28.5 million, fully redeemed the outstanding $125.0 million of our January 2026 Notes, paid cash dividends to stockholders of $75.5 million, received repayments of $1.7 million on our secured borrowings, and paid deferred financing costs related to our debt financings of $9.1 million.</w:t>
      </w:r>
    </w:p>
    <w:p>
      <w:pPr>
        <w:spacing w:after="0" w:line="185"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color w:val="auto"/>
        </w:rPr>
        <w:t>For the year ended December 31, 2024, we experienced a net decrease in cash, cash equivalents and restricted cash of $62.0 million. During that period, we used $55.3 million of cash from operating activities, which included proceeds received from sales and repayments of investments of $276.9 million, which were offset by the funding of $394.5 million of investments. During the same period, we received net proceeds from the ATM Program of $66.3 million and net borrowings of $45.0 million under our Revolving Credit Facility, made repayments of SBA debentures relating to Fund II of $35.0 million, paid cash dividends to stockholders of $78.4 million, received repayments of $2.2 million on our secured borrowings, and paid deferred financing costs related to our debt financings of $2.4 million.</w:t>
      </w:r>
    </w:p>
    <w:p>
      <w:pPr>
        <w:spacing w:after="0" w:line="196"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For the year ended December 31, 2023, we experienced a net increase in cash, cash equivalents and restricted cash of $56.7 million. During that period, we used $29.5 million of cash from operating activities, which included proceeds received from sales and repayments of investments of $258.9 million, which were offset by the funding of $336.7 million of investments. During the same period, we received net proceeds from the ATM Program of $110.3 million and proceeds from the issuances of SBA debentures of $62.0 million, which was partially offset by repayments of SBA debentures of $5.0 million, paid cash dividends to stockholders of $78.3 million, and paid deferred financing costs related to our debt financings of $1.8 million.</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Resources</w:t>
      </w:r>
    </w:p>
    <w:p>
      <w:pPr>
        <w:spacing w:after="0" w:line="260"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color w:val="auto"/>
        </w:rPr>
        <w:t>We anticipate that we will continue to fund our investment activities on a long-term basis through a combination of additional debt and equity capital. As of December 31, 2025, our debt consisted of the SPV Credit Facility (as defined below), SBA debentures, and unsecured notes. As of December 31, 2024, our debt consisted of the Revolving Credit Facility, SBA debentures, and unsecured notes. The term “Credit Facilities” refers to both the SPV Credit Facility and the Revolving Credit Facility. See Notes 6 to our consolidated financial statements for more information about our debt.</w:t>
      </w:r>
    </w:p>
    <w:p>
      <w:pPr>
        <w:spacing w:after="0" w:line="192" w:lineRule="exact"/>
        <w:rPr>
          <w:sz w:val="20"/>
          <w:szCs w:val="20"/>
          <w:color w:val="auto"/>
        </w:rPr>
      </w:pPr>
    </w:p>
    <w:p>
      <w:pPr>
        <w:jc w:val="both"/>
        <w:ind w:firstLine="401"/>
        <w:spacing w:after="0" w:line="310" w:lineRule="auto"/>
        <w:rPr>
          <w:sz w:val="20"/>
          <w:szCs w:val="20"/>
          <w:color w:val="auto"/>
        </w:rPr>
      </w:pPr>
      <w:r>
        <w:rPr>
          <w:rFonts w:ascii="Arial" w:cs="Arial" w:eastAsia="Arial" w:hAnsi="Arial"/>
          <w:sz w:val="20"/>
          <w:szCs w:val="20"/>
          <w:color w:val="auto"/>
        </w:rPr>
        <w:t>As of December 31, 2025, the weighted average stated interest rates for our SBA debentures and the outstanding unsecured notes were 4.332% and 5.500%, respectively. As of December 31, 2025, we had $141.2 million of unutilized commitment under our SPV Credit Facility, subject to our remaining borrowing base availability of $102.2 million, and we were subject to a 0.500% fee on such amount. As of December 31, 2025, the weighted average stated interest rate on total debt outstanding was 5.230%.</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SBA Debentures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 / 33</w:t>
      </w:r>
    </w:p>
    <w:p>
      <w:pPr>
        <w:sectPr>
          <w:pgSz w:w="11900" w:h="16838" w:orient="portrait"/>
          <w:cols w:equalWidth="0" w:num="1">
            <w:col w:w="9340"/>
          </w:cols>
          <w:pgMar w:left="1260" w:top="1440" w:right="1306" w:bottom="0" w:gutter="0" w:footer="0" w:header="0"/>
          <w:type w:val="continuous"/>
        </w:sectPr>
      </w:pPr>
    </w:p>
    <w:bookmarkStart w:id="141" w:name="page142"/>
    <w:bookmarkEnd w:id="141"/>
    <w:p>
      <w:pPr>
        <w:jc w:val="both"/>
        <w:ind w:firstLine="401"/>
        <w:spacing w:after="0" w:line="329" w:lineRule="auto"/>
        <w:rPr>
          <w:sz w:val="20"/>
          <w:szCs w:val="20"/>
          <w:color w:val="auto"/>
        </w:rPr>
      </w:pPr>
      <w:r>
        <w:rPr>
          <w:rFonts w:ascii="Arial" w:cs="Arial" w:eastAsia="Arial" w:hAnsi="Arial"/>
          <w:sz w:val="19"/>
          <w:szCs w:val="19"/>
          <w:color w:val="auto"/>
        </w:rPr>
        <w:t>Both Fund III and Fund IV are licensed to operate as an SBIC,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SBIC's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2025, Fund III and Fund IV had $146.5 million and $91.0 million of outstanding SBA debentures, respectively. Subject to SBA regulatory requirements and approval of SBA debenture commitments, Fund IV may access up to $84.0 million of additional SBA debentures under the SBIC debenture program.</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Revolving Credit Facility</w:t>
      </w:r>
    </w:p>
    <w:p>
      <w:pPr>
        <w:spacing w:after="0" w:line="260" w:lineRule="exact"/>
        <w:rPr>
          <w:sz w:val="20"/>
          <w:szCs w:val="20"/>
          <w:color w:val="auto"/>
        </w:rPr>
      </w:pPr>
    </w:p>
    <w:p>
      <w:pPr>
        <w:jc w:val="both"/>
        <w:ind w:right="20" w:firstLine="401"/>
        <w:spacing w:after="0" w:line="352" w:lineRule="auto"/>
        <w:rPr>
          <w:sz w:val="20"/>
          <w:szCs w:val="20"/>
          <w:color w:val="auto"/>
        </w:rPr>
      </w:pPr>
      <w:r>
        <w:rPr>
          <w:rFonts w:ascii="Arial" w:cs="Arial" w:eastAsia="Arial" w:hAnsi="Arial"/>
          <w:sz w:val="18"/>
          <w:szCs w:val="18"/>
          <w:color w:val="auto"/>
        </w:rPr>
        <w:t>On June 16, 2014, we entered into a senior secured revolving credit agreement (as amended from time to time, the "Revolving Credit Agreement" and the senior secured revolving credit facility thereunder, the “Revolving Credit Facility”) with ING Capital LLC (“ING”), as the administrative agent, collateral agent, and lender. The Revolving Credit Facility was secured by certain portfolio investments held by us, except for the assets held by the SBIC Funds.</w:t>
      </w:r>
    </w:p>
    <w:p>
      <w:pPr>
        <w:spacing w:after="0" w:line="166" w:lineRule="exact"/>
        <w:rPr>
          <w:sz w:val="20"/>
          <w:szCs w:val="20"/>
          <w:color w:val="auto"/>
        </w:rPr>
      </w:pPr>
    </w:p>
    <w:p>
      <w:pPr>
        <w:jc w:val="both"/>
        <w:ind w:right="80" w:firstLine="401"/>
        <w:spacing w:after="0" w:line="307" w:lineRule="auto"/>
        <w:rPr>
          <w:sz w:val="20"/>
          <w:szCs w:val="20"/>
          <w:color w:val="auto"/>
        </w:rPr>
      </w:pPr>
      <w:r>
        <w:rPr>
          <w:rFonts w:ascii="Arial" w:cs="Arial" w:eastAsia="Arial" w:hAnsi="Arial"/>
          <w:sz w:val="20"/>
          <w:szCs w:val="20"/>
          <w:color w:val="auto"/>
        </w:rPr>
        <w:t>Concurrently with entering into the SPV Credit Agreement (as described below), on October 16, 2025, we terminated in full (i) the Revolving Credit Agreement and (ii) the amended and restated guarantee, pledge and security agreement, dated as of April 24, 2019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33</w:t>
      </w:r>
    </w:p>
    <w:p>
      <w:pPr>
        <w:sectPr>
          <w:pgSz w:w="11900" w:h="16838" w:orient="portrait"/>
          <w:cols w:equalWidth="0" w:num="1">
            <w:col w:w="9400"/>
          </w:cols>
          <w:pgMar w:left="1260" w:top="1173" w:right="1246" w:bottom="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(as amended from time to time, the “Guarantee and Security Agreement”), by and among us,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our obligations and liabilities to the lending parties thereunder, including, without limitation, payments of principal and interest, other fees, breakage costs and other amounts owing to the lending parties.</w:t>
      </w:r>
    </w:p>
    <w:p>
      <w:pPr>
        <w:spacing w:after="0" w:line="183"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color w:val="auto"/>
        </w:rPr>
        <w:t>The total commitments available under the Revolving Credit Facility was $140.0 million. Under the Revolving Credit Agreement, we paid a commitment fee that varied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SPV Credit Facility</w:t>
      </w:r>
    </w:p>
    <w:p>
      <w:pPr>
        <w:spacing w:after="0" w:line="260"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On October 16, 2025, we entered into a credit and security agreement (the “SPV Credit Agreement”) relating to a special purpose vehicle credit facility (the “SPV Credit Facility”) by and among FIC Funding, LLC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spacing w:after="0" w:line="177" w:lineRule="exact"/>
        <w:rPr>
          <w:sz w:val="20"/>
          <w:szCs w:val="20"/>
          <w:color w:val="auto"/>
        </w:rPr>
      </w:pPr>
    </w:p>
    <w:p>
      <w:pPr>
        <w:jc w:val="both"/>
        <w:ind w:right="20" w:firstLine="401"/>
        <w:spacing w:after="0" w:line="351" w:lineRule="auto"/>
        <w:rPr>
          <w:sz w:val="20"/>
          <w:szCs w:val="20"/>
          <w:color w:val="auto"/>
        </w:rPr>
      </w:pPr>
      <w:r>
        <w:rPr>
          <w:rFonts w:ascii="Arial" w:cs="Arial" w:eastAsia="Arial" w:hAnsi="Arial"/>
          <w:sz w:val="18"/>
          <w:szCs w:val="18"/>
          <w:color w:val="auto"/>
        </w:rPr>
        <w:t>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66" w:lineRule="exact"/>
        <w:rPr>
          <w:sz w:val="20"/>
          <w:szCs w:val="20"/>
          <w:color w:val="auto"/>
        </w:rPr>
      </w:pPr>
    </w:p>
    <w:p>
      <w:pPr>
        <w:jc w:val="both"/>
        <w:ind w:firstLine="401"/>
        <w:spacing w:after="0" w:line="352"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December 31, 2025, we were in compliance in all material respects with the terms of the SPV Credit Agreement.</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33</w:t>
      </w:r>
    </w:p>
    <w:p>
      <w:pPr>
        <w:sectPr>
          <w:pgSz w:w="11900" w:h="16838" w:orient="portrait"/>
          <w:cols w:equalWidth="0" w:num="1">
            <w:col w:w="9380"/>
          </w:cols>
          <w:pgMar w:left="1260" w:top="1440" w:right="1266" w:bottom="0" w:gutter="0" w:footer="0" w:header="0"/>
          <w:type w:val="continuous"/>
        </w:sectPr>
      </w:pPr>
    </w:p>
    <w:bookmarkStart w:id="143" w:name="page144"/>
    <w:bookmarkEnd w:id="143"/>
    <w:p>
      <w:pPr>
        <w:ind w:left="400"/>
        <w:spacing w:after="0"/>
        <w:rPr>
          <w:sz w:val="20"/>
          <w:szCs w:val="20"/>
          <w:color w:val="auto"/>
        </w:rPr>
      </w:pPr>
      <w:r>
        <w:rPr>
          <w:rFonts w:ascii="Arial" w:cs="Arial" w:eastAsia="Arial" w:hAnsi="Arial"/>
          <w:sz w:val="20"/>
          <w:szCs w:val="20"/>
          <w:i w:val="1"/>
          <w:iCs w:val="1"/>
          <w:color w:val="auto"/>
        </w:rPr>
        <w:t>Notes</w:t>
      </w:r>
    </w:p>
    <w:p>
      <w:pPr>
        <w:spacing w:after="0" w:line="260" w:lineRule="exact"/>
        <w:rPr>
          <w:sz w:val="20"/>
          <w:szCs w:val="20"/>
          <w:color w:val="auto"/>
        </w:rPr>
      </w:pPr>
    </w:p>
    <w:p>
      <w:pPr>
        <w:jc w:val="both"/>
        <w:ind w:right="40" w:firstLine="392"/>
        <w:spacing w:after="0" w:line="309" w:lineRule="auto"/>
        <w:rPr>
          <w:sz w:val="20"/>
          <w:szCs w:val="20"/>
          <w:color w:val="auto"/>
        </w:rPr>
      </w:pPr>
      <w:r>
        <w:rPr>
          <w:rFonts w:ascii="Arial" w:cs="Arial" w:eastAsia="Arial" w:hAnsi="Arial"/>
          <w:sz w:val="20"/>
          <w:szCs w:val="20"/>
          <w:color w:val="auto"/>
        </w:rPr>
        <w:t>The unsecured notes described below are our direct unsecured obligations, rank pari passu with our other outstanding and future unsecured unsubordinated indebtedness and are effectively or structurally subordinated to all of our existing and future secured indebtedness, including borrowings under the SPV Credit Facility and the SBA debentures.</w:t>
      </w:r>
    </w:p>
    <w:p>
      <w:pPr>
        <w:spacing w:after="0" w:line="196" w:lineRule="exact"/>
        <w:rPr>
          <w:sz w:val="20"/>
          <w:szCs w:val="20"/>
          <w:color w:val="auto"/>
        </w:rPr>
      </w:pPr>
    </w:p>
    <w:p>
      <w:pPr>
        <w:jc w:val="both"/>
        <w:ind w:firstLine="392"/>
        <w:spacing w:after="0" w:line="350" w:lineRule="auto"/>
        <w:rPr>
          <w:sz w:val="20"/>
          <w:szCs w:val="20"/>
          <w:color w:val="auto"/>
        </w:rPr>
      </w:pPr>
      <w:r>
        <w:rPr>
          <w:rFonts w:ascii="Arial" w:cs="Arial" w:eastAsia="Arial" w:hAnsi="Arial"/>
          <w:sz w:val="18"/>
          <w:szCs w:val="18"/>
          <w:color w:val="auto"/>
        </w:rPr>
        <w:t>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maturity date of the January 2026 Notes was January 31, 2026, and the January 2026 Notes bore interest at a rate of 4.75%. On May 21, 2025, we redeemed $25.0 million of the $125.0 million aggregate principal amount on the January 2026 Notes, resulting in a realized loss on extinguishment of debt of $0.1 million. On November 3, 2025, we fully redeemed the remaining $100.0 million in aggregate principal amount of the January 2026 Notes, resulting in a realized loss on extinguishment of debt of $0.1 million.</w:t>
      </w:r>
    </w:p>
    <w:p>
      <w:pPr>
        <w:spacing w:after="0" w:line="165" w:lineRule="exact"/>
        <w:rPr>
          <w:sz w:val="20"/>
          <w:szCs w:val="20"/>
          <w:color w:val="auto"/>
        </w:rPr>
      </w:pPr>
    </w:p>
    <w:p>
      <w:pPr>
        <w:jc w:val="both"/>
        <w:ind w:right="40" w:firstLine="401"/>
        <w:spacing w:after="0" w:line="347" w:lineRule="auto"/>
        <w:rPr>
          <w:sz w:val="20"/>
          <w:szCs w:val="20"/>
          <w:color w:val="auto"/>
        </w:rPr>
      </w:pPr>
      <w:r>
        <w:rPr>
          <w:rFonts w:ascii="Arial" w:cs="Arial" w:eastAsia="Arial" w:hAnsi="Arial"/>
          <w:sz w:val="18"/>
          <w:szCs w:val="18"/>
          <w:color w:val="auto"/>
        </w:rPr>
        <w:t>On October 8, 2021, we closed the offering of $125.0 million in aggregate principal amount of our 3.50% notes due 2026, or the “November 2026 Notes”. The total net proceeds to us from the November 2026 Notes, based on a</w:t>
      </w:r>
    </w:p>
    <w:p>
      <w:pPr>
        <w:spacing w:after="0"/>
        <w:tabs>
          <w:tab w:leader="none" w:pos="1400" w:val="left"/>
          <w:tab w:leader="none" w:pos="2980" w:val="left"/>
          <w:tab w:leader="none" w:pos="4300" w:val="left"/>
          <w:tab w:leader="none" w:pos="5400" w:val="left"/>
          <w:tab w:leader="none" w:pos="7040" w:val="left"/>
          <w:tab w:leader="none" w:pos="8140" w:val="left"/>
        </w:tabs>
        <w:rPr>
          <w:sz w:val="20"/>
          <w:szCs w:val="20"/>
          <w:color w:val="auto"/>
        </w:rPr>
      </w:pPr>
      <w:r>
        <w:rPr>
          <w:rFonts w:ascii="Arial" w:cs="Arial" w:eastAsia="Arial" w:hAnsi="Arial"/>
          <w:sz w:val="20"/>
          <w:szCs w:val="20"/>
          <w:color w:val="auto"/>
        </w:rPr>
        <w:t>public</w:t>
      </w:r>
      <w:r>
        <w:rPr>
          <w:sz w:val="20"/>
          <w:szCs w:val="20"/>
          <w:color w:val="auto"/>
        </w:rPr>
        <w:tab/>
      </w:r>
      <w:r>
        <w:rPr>
          <w:rFonts w:ascii="Arial" w:cs="Arial" w:eastAsia="Arial" w:hAnsi="Arial"/>
          <w:sz w:val="20"/>
          <w:szCs w:val="20"/>
          <w:color w:val="auto"/>
        </w:rPr>
        <w:t>offering</w:t>
      </w:r>
      <w:r>
        <w:rPr>
          <w:sz w:val="20"/>
          <w:szCs w:val="20"/>
          <w:color w:val="auto"/>
        </w:rPr>
        <w:tab/>
      </w:r>
      <w:r>
        <w:rPr>
          <w:rFonts w:ascii="Arial" w:cs="Arial" w:eastAsia="Arial" w:hAnsi="Arial"/>
          <w:sz w:val="20"/>
          <w:szCs w:val="20"/>
          <w:color w:val="auto"/>
        </w:rPr>
        <w:t>price</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99.996%</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17"/>
          <w:szCs w:val="17"/>
          <w:color w:val="auto"/>
        </w:rPr>
        <w:t>par,</w:t>
      </w:r>
    </w:p>
    <w:p>
      <w:pPr>
        <w:spacing w:after="0" w:line="8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w:t>
      </w:r>
    </w:p>
    <w:p>
      <w:pPr>
        <w:jc w:val="center"/>
        <w:spacing w:after="0" w:line="232" w:lineRule="auto"/>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33</w:t>
      </w:r>
    </w:p>
    <w:p>
      <w:pPr>
        <w:sectPr>
          <w:pgSz w:w="11900" w:h="16838" w:orient="portrait"/>
          <w:cols w:equalWidth="0" w:num="1">
            <w:col w:w="9380"/>
          </w:cols>
          <w:pgMar w:left="1260" w:top="1163" w:right="1266"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November 15 of each year. We do not intend to list the November 2026 Notes on any securities exchange or automated dealer quotation system. As of December 31, 2025, the outstanding principal balance of the November 2026 Notes was $125.0 million.</w:t>
      </w:r>
    </w:p>
    <w:p>
      <w:pPr>
        <w:spacing w:after="0" w:line="197" w:lineRule="exact"/>
        <w:rPr>
          <w:sz w:val="20"/>
          <w:szCs w:val="20"/>
          <w:color w:val="auto"/>
        </w:rPr>
      </w:pPr>
    </w:p>
    <w:p>
      <w:pPr>
        <w:jc w:val="both"/>
        <w:ind w:right="20" w:firstLine="401"/>
        <w:spacing w:after="0" w:line="348" w:lineRule="auto"/>
        <w:rPr>
          <w:sz w:val="20"/>
          <w:szCs w:val="20"/>
          <w:color w:val="auto"/>
        </w:rPr>
      </w:pPr>
      <w:r>
        <w:rPr>
          <w:rFonts w:ascii="Arial" w:cs="Arial" w:eastAsia="Arial" w:hAnsi="Arial"/>
          <w:sz w:val="18"/>
          <w:szCs w:val="18"/>
          <w:color w:val="auto"/>
        </w:rPr>
        <w:t>On March 19, 2025, we closed the offering of $100.0 million in aggregate principal amount of our 6.75% notes due 2030, or the “Existing March 2030 Notes”. The total net proceeds to us from the Existing March 2030 Notes, based on a public offering price of 99.29954% of par, after deducting underwriting discounts of $2.0 million and offering expenses of $0.4 million, was $96.9 million. On October 3, 2025, we issued an additional $100.0 million in aggregate principal amount of the 6.75% notes due 2030 (the “Additional March 2030 Notes” and together with the Existing March 2030 Notes, the “March 2030 Notes”). The total net proceeds to us from the Additional March 2030 Notes, based on a public offering price of 100.705% of par, after deducting underwriting discounts of $1.5 million and offering expenses of $0.3 million, was $98.9 million. The Additional March 2030 Notes are treated as a single series with the Existing March 2030 Notes under the indenture and have the same terms as the Initial March 2030 Notes (except the issue date, the offering price and the initial interest payment date). Upon issuance of the Additional March 2030 Notes, the outstanding aggregate principal amount of the March 2030 Notes was $200.0 million.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We do not intend to list the March 2030 Notes on any securities exchange or automated dealer quotation system.</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Secured Borrowing</w:t>
      </w:r>
    </w:p>
    <w:p>
      <w:pPr>
        <w:spacing w:after="0" w:line="260" w:lineRule="exact"/>
        <w:rPr>
          <w:sz w:val="20"/>
          <w:szCs w:val="20"/>
          <w:color w:val="auto"/>
        </w:rPr>
      </w:pPr>
    </w:p>
    <w:p>
      <w:pPr>
        <w:jc w:val="both"/>
        <w:ind w:right="20" w:firstLine="401"/>
        <w:spacing w:after="0" w:line="350" w:lineRule="auto"/>
        <w:rPr>
          <w:sz w:val="20"/>
          <w:szCs w:val="20"/>
          <w:color w:val="auto"/>
        </w:rPr>
      </w:pPr>
      <w:r>
        <w:rPr>
          <w:rFonts w:ascii="Arial" w:cs="Arial" w:eastAsia="Arial" w:hAnsi="Arial"/>
          <w:sz w:val="18"/>
          <w:szCs w:val="18"/>
          <w:color w:val="auto"/>
        </w:rPr>
        <w:t>As of December 31, 2025, the carrying value of secured borrowings totaled $12.0 million and the fair value of the associated loans included in investments was $12.0 million. As of December 31, 2024, carrying value of secured borrowings totaled $13.7 million and the fair value of the associated loans included in investments was $13.5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7.917% and 8.568% as of December 31, 2025 and 2024, respectively.</w:t>
      </w:r>
    </w:p>
    <w:p>
      <w:pPr>
        <w:spacing w:after="0" w:line="165"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As a BDC, we are generally required to meet an asset coverage ratio of at least 150%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w:t>
      </w:r>
    </w:p>
    <w:p>
      <w:pPr>
        <w:spacing w:after="0" w:line="170" w:lineRule="exact"/>
        <w:rPr>
          <w:sz w:val="20"/>
          <w:szCs w:val="20"/>
          <w:color w:val="auto"/>
        </w:rPr>
      </w:pPr>
    </w:p>
    <w:p>
      <w:pPr>
        <w:jc w:val="both"/>
        <w:ind w:right="20" w:firstLine="401"/>
        <w:spacing w:after="0" w:line="355" w:lineRule="auto"/>
        <w:rPr>
          <w:sz w:val="20"/>
          <w:szCs w:val="20"/>
          <w:color w:val="auto"/>
        </w:rPr>
      </w:pPr>
      <w:r>
        <w:rPr>
          <w:rFonts w:ascii="Arial" w:cs="Arial" w:eastAsia="Arial" w:hAnsi="Arial"/>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33</w:t>
      </w:r>
    </w:p>
    <w:p>
      <w:pPr>
        <w:sectPr>
          <w:pgSz w:w="11900" w:h="16838" w:orient="portrait"/>
          <w:cols w:equalWidth="0" w:num="1">
            <w:col w:w="9400"/>
          </w:cols>
          <w:pgMar w:left="1260" w:top="1440" w:right="1246" w:bottom="0" w:gutter="0" w:footer="0" w:header="0"/>
          <w:type w:val="continuous"/>
        </w:sectPr>
      </w:pPr>
    </w:p>
    <w:bookmarkStart w:id="145" w:name="page146"/>
    <w:bookmarkEnd w:id="145"/>
    <w:p>
      <w:pPr>
        <w:jc w:val="both"/>
        <w:ind w:right="20"/>
        <w:spacing w:after="0" w:line="311" w:lineRule="auto"/>
        <w:rPr>
          <w:sz w:val="20"/>
          <w:szCs w:val="20"/>
          <w:color w:val="auto"/>
        </w:rPr>
      </w:pPr>
      <w:r>
        <w:rPr>
          <w:rFonts w:ascii="Arial" w:cs="Arial" w:eastAsia="Arial" w:hAnsi="Arial"/>
          <w:sz w:val="20"/>
          <w:szCs w:val="20"/>
          <w:color w:val="auto"/>
        </w:rPr>
        <w:t>directors, determines that such sale is in the best interests of us and our stockholders, and if our stockholders approve such sale. On June 11, 2025, our stockholders approved a proposal to authorize us to sell or otherwise issue common stock at a price below net asset value per share for a period of one year ending on the earlier of June 11, 2026 or the date of our 2026 Annual Meeting of Stockholders. Our stockholders specified that the cumulative number of shares sold pursuant to such authority during such period may not exceed 25% of our then outstanding common stock immediately prior to each such sale.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Equity ATM Program</w:t>
      </w:r>
    </w:p>
    <w:p>
      <w:pPr>
        <w:spacing w:after="0" w:line="260" w:lineRule="exact"/>
        <w:rPr>
          <w:sz w:val="20"/>
          <w:szCs w:val="20"/>
          <w:color w:val="auto"/>
        </w:rPr>
      </w:pPr>
    </w:p>
    <w:p>
      <w:pPr>
        <w:jc w:val="both"/>
        <w:ind w:firstLine="313"/>
        <w:spacing w:after="0" w:line="329" w:lineRule="auto"/>
        <w:rPr>
          <w:sz w:val="20"/>
          <w:szCs w:val="20"/>
          <w:color w:val="auto"/>
        </w:rPr>
      </w:pPr>
      <w:r>
        <w:rPr>
          <w:rFonts w:ascii="Arial" w:cs="Arial" w:eastAsia="Arial" w:hAnsi="Arial"/>
          <w:sz w:val="19"/>
          <w:szCs w:val="19"/>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13,300,342 shares of common stock under the ATM Program at a weighted-average price of $19.94, raising $265.2 million of gross proceeds. Net proceeds were $261.8 million after commissions to the sales agents on sales sold. As of December 31, 2025, the Company had $34.8 million available under the ATM Program.</w:t>
      </w:r>
    </w:p>
    <w:p>
      <w:pPr>
        <w:jc w:val="center"/>
        <w:spacing w:after="0" w:line="234" w:lineRule="auto"/>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33</w:t>
      </w:r>
    </w:p>
    <w:p>
      <w:pPr>
        <w:sectPr>
          <w:pgSz w:w="11900" w:h="16838" w:orient="portrait"/>
          <w:cols w:equalWidth="0" w:num="1">
            <w:col w:w="9380"/>
          </w:cols>
          <w:pgMar w:left="1260" w:top="1173" w:right="1266"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 Repurchase Program</w:t>
      </w:r>
    </w:p>
    <w:p>
      <w:pPr>
        <w:spacing w:after="0" w:line="260"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November 3, 2025, the Board extended the Stock Repurchase Program through December 31, 2026,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years ended December 31, 2025, 2024, and 2023. Refer to Note 8 to our consolidated financial statements for additional information concerning stock repurchases.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Use of Estimates</w:t>
      </w:r>
    </w:p>
    <w:p>
      <w:pPr>
        <w:spacing w:after="0" w:line="260" w:lineRule="exact"/>
        <w:rPr>
          <w:sz w:val="20"/>
          <w:szCs w:val="20"/>
          <w:color w:val="auto"/>
        </w:rPr>
      </w:pPr>
    </w:p>
    <w:p>
      <w:pPr>
        <w:jc w:val="both"/>
        <w:ind w:right="60" w:firstLine="400"/>
        <w:spacing w:after="0" w:line="329" w:lineRule="auto"/>
        <w:rPr>
          <w:sz w:val="20"/>
          <w:szCs w:val="20"/>
          <w:color w:val="auto"/>
        </w:rPr>
      </w:pPr>
      <w:r>
        <w:rPr>
          <w:rFonts w:ascii="Arial" w:cs="Arial" w:eastAsia="Arial" w:hAnsi="Arial"/>
          <w:sz w:val="19"/>
          <w:szCs w:val="19"/>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of Portfolio Investments</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a BDC, we report our assets and liabilities at fair value at all times consistent with GAAP and the 1940 Act.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Accordingly, we are required to periodically determine the fair value of all of our portfolio investments.</w:t>
      </w:r>
    </w:p>
    <w:p>
      <w:pPr>
        <w:spacing w:after="0" w:line="260"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spacing w:after="0" w:line="165" w:lineRule="exact"/>
        <w:rPr>
          <w:sz w:val="20"/>
          <w:szCs w:val="20"/>
          <w:color w:val="auto"/>
        </w:rPr>
      </w:pPr>
    </w:p>
    <w:p>
      <w:pPr>
        <w:ind w:right="100" w:firstLine="400"/>
        <w:spacing w:after="0" w:line="302" w:lineRule="auto"/>
        <w:rPr>
          <w:sz w:val="20"/>
          <w:szCs w:val="20"/>
          <w:color w:val="auto"/>
        </w:rPr>
      </w:pPr>
      <w:r>
        <w:rPr>
          <w:rFonts w:ascii="Arial" w:cs="Arial" w:eastAsia="Arial" w:hAnsi="Arial"/>
          <w:sz w:val="20"/>
          <w:szCs w:val="20"/>
          <w:color w:val="auto"/>
        </w:rPr>
        <w:t>With respect to investments for which market quotations are not readily available, our board of directors undertakes a multi-step valuation process each quarter, as described below:</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33</w:t>
      </w:r>
    </w:p>
    <w:p>
      <w:pPr>
        <w:sectPr>
          <w:pgSz w:w="11900" w:h="16838" w:orient="portrait"/>
          <w:cols w:equalWidth="0" w:num="1">
            <w:col w:w="9400"/>
          </w:cols>
          <w:pgMar w:left="1260" w:top="1440" w:right="1246" w:bottom="0" w:gutter="0" w:footer="0" w:header="0"/>
          <w:type w:val="continuous"/>
        </w:sectPr>
      </w:pPr>
    </w:p>
    <w:bookmarkStart w:id="147" w:name="page148"/>
    <w:bookmarkEnd w:id="147"/>
    <w:p>
      <w:pPr>
        <w:ind w:left="860" w:right="660" w:hanging="338"/>
        <w:spacing w:after="0" w:line="307" w:lineRule="auto"/>
        <w:tabs>
          <w:tab w:leader="none" w:pos="8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our quarterly valuation process begins with each portfolio company or investment being initially evaluated and rated by the investment professionals of the Investment Advisor responsible for the portfolio investment;</w:t>
      </w:r>
    </w:p>
    <w:p>
      <w:pPr>
        <w:spacing w:after="0" w:line="17" w:lineRule="exact"/>
        <w:rPr>
          <w:rFonts w:ascii="Arial" w:cs="Arial" w:eastAsia="Arial" w:hAnsi="Arial"/>
          <w:sz w:val="20"/>
          <w:szCs w:val="20"/>
          <w:color w:val="auto"/>
        </w:rPr>
      </w:pPr>
    </w:p>
    <w:p>
      <w:pPr>
        <w:ind w:left="860" w:right="140" w:hanging="338"/>
        <w:spacing w:after="0" w:line="302" w:lineRule="auto"/>
        <w:tabs>
          <w:tab w:leader="none" w:pos="8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preliminary valuation conclusions are then documented and discussed with the investment committee of the Investment Advisor;</w:t>
      </w:r>
    </w:p>
    <w:p>
      <w:pPr>
        <w:spacing w:after="0" w:line="21" w:lineRule="exact"/>
        <w:rPr>
          <w:rFonts w:ascii="Arial" w:cs="Arial" w:eastAsia="Arial" w:hAnsi="Arial"/>
          <w:sz w:val="20"/>
          <w:szCs w:val="20"/>
          <w:color w:val="auto"/>
        </w:rPr>
      </w:pPr>
    </w:p>
    <w:p>
      <w:pPr>
        <w:ind w:left="860" w:right="320" w:hanging="338"/>
        <w:spacing w:after="0" w:line="347"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6" w:lineRule="exact"/>
        <w:rPr>
          <w:rFonts w:ascii="Arial" w:cs="Arial" w:eastAsia="Arial" w:hAnsi="Arial"/>
          <w:sz w:val="18"/>
          <w:szCs w:val="18"/>
          <w:color w:val="auto"/>
        </w:rPr>
      </w:pPr>
    </w:p>
    <w:p>
      <w:pPr>
        <w:ind w:left="860" w:right="320" w:hanging="338"/>
        <w:spacing w:after="0" w:line="307" w:lineRule="auto"/>
        <w:tabs>
          <w:tab w:leader="none" w:pos="8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17" w:lineRule="exact"/>
        <w:rPr>
          <w:rFonts w:ascii="Arial" w:cs="Arial" w:eastAsia="Arial" w:hAnsi="Arial"/>
          <w:sz w:val="20"/>
          <w:szCs w:val="20"/>
          <w:color w:val="auto"/>
        </w:rPr>
      </w:pPr>
    </w:p>
    <w:p>
      <w:pPr>
        <w:ind w:left="860" w:right="220" w:hanging="338"/>
        <w:spacing w:after="0" w:line="307" w:lineRule="auto"/>
        <w:tabs>
          <w:tab w:leader="none" w:pos="8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97" w:lineRule="exact"/>
        <w:rPr>
          <w:sz w:val="20"/>
          <w:szCs w:val="20"/>
          <w:color w:val="auto"/>
        </w:rPr>
      </w:pPr>
    </w:p>
    <w:p>
      <w:pPr>
        <w:jc w:val="both"/>
        <w:ind w:firstLine="400"/>
        <w:spacing w:after="0" w:line="309" w:lineRule="auto"/>
        <w:rPr>
          <w:sz w:val="20"/>
          <w:szCs w:val="20"/>
          <w:color w:val="auto"/>
        </w:rPr>
      </w:pPr>
      <w:r>
        <w:rPr>
          <w:rFonts w:ascii="Arial" w:cs="Arial" w:eastAsia="Arial" w:hAnsi="Arial"/>
          <w:sz w:val="20"/>
          <w:szCs w:val="20"/>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33</w:t>
      </w:r>
    </w:p>
    <w:p>
      <w:pPr>
        <w:sectPr>
          <w:pgSz w:w="11900" w:h="16838" w:orient="portrait"/>
          <w:cols w:equalWidth="0" w:num="1">
            <w:col w:w="9340"/>
          </w:cols>
          <w:pgMar w:left="1260" w:top="1173" w:right="1306" w:bottom="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80" w:firstLine="400"/>
        <w:spacing w:after="0" w:line="330" w:lineRule="auto"/>
        <w:rPr>
          <w:sz w:val="20"/>
          <w:szCs w:val="20"/>
          <w:color w:val="auto"/>
        </w:rPr>
      </w:pPr>
      <w:r>
        <w:rPr>
          <w:rFonts w:ascii="Arial" w:cs="Arial" w:eastAsia="Arial" w:hAnsi="Arial"/>
          <w:sz w:val="19"/>
          <w:szCs w:val="19"/>
          <w:color w:val="auto"/>
        </w:rPr>
        <w:t>Our Board consulted with the independent third-party valuation firm(s) in arriving at our determination of fair value for 21 and 21 of our portfolio company investments representing 26.7% and 27.5% of the total portfolio investments at fair value (exclusive of new portfolio company investments made during the three months ended December 31, 2025 and 2024, respectively) as of December 31, 2025 and 2024, respectively;</w:t>
      </w:r>
    </w:p>
    <w:p>
      <w:pPr>
        <w:spacing w:after="0" w:line="178" w:lineRule="exact"/>
        <w:rPr>
          <w:sz w:val="20"/>
          <w:szCs w:val="20"/>
          <w:color w:val="auto"/>
        </w:rPr>
      </w:pPr>
    </w:p>
    <w:p>
      <w:pPr>
        <w:jc w:val="both"/>
        <w:ind w:right="60" w:firstLine="400"/>
        <w:spacing w:after="0" w:line="350" w:lineRule="auto"/>
        <w:rPr>
          <w:sz w:val="20"/>
          <w:szCs w:val="20"/>
          <w:color w:val="auto"/>
        </w:rPr>
      </w:pPr>
      <w:r>
        <w:rPr>
          <w:rFonts w:ascii="Arial" w:cs="Arial" w:eastAsia="Arial" w:hAnsi="Arial"/>
          <w:sz w:val="18"/>
          <w:szCs w:val="18"/>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5"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96" w:lineRule="exact"/>
        <w:rPr>
          <w:sz w:val="20"/>
          <w:szCs w:val="20"/>
          <w:color w:val="auto"/>
        </w:rPr>
      </w:pPr>
    </w:p>
    <w:p>
      <w:pPr>
        <w:jc w:val="both"/>
        <w:ind w:right="40" w:firstLine="400"/>
        <w:spacing w:after="0" w:line="348" w:lineRule="auto"/>
        <w:rPr>
          <w:sz w:val="20"/>
          <w:szCs w:val="20"/>
          <w:color w:val="auto"/>
        </w:rPr>
      </w:pPr>
      <w:r>
        <w:rPr>
          <w:rFonts w:ascii="Arial" w:cs="Arial" w:eastAsia="Arial" w:hAnsi="Arial"/>
          <w:sz w:val="18"/>
          <w:szCs w:val="18"/>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8"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33</w:t>
      </w:r>
    </w:p>
    <w:p>
      <w:pPr>
        <w:sectPr>
          <w:pgSz w:w="11900" w:h="16838" w:orient="portrait"/>
          <w:cols w:equalWidth="0" w:num="1">
            <w:col w:w="9400"/>
          </w:cols>
          <w:pgMar w:left="1260" w:top="1440" w:right="1246" w:bottom="0" w:gutter="0" w:footer="0" w:header="0"/>
          <w:type w:val="continuous"/>
        </w:sectPr>
      </w:pPr>
    </w:p>
    <w:bookmarkStart w:id="149" w:name="page150"/>
    <w:bookmarkEnd w:id="149"/>
    <w:p>
      <w:pPr>
        <w:jc w:val="both"/>
        <w:ind w:right="20" w:firstLine="401"/>
        <w:spacing w:after="0" w:line="311" w:lineRule="auto"/>
        <w:rPr>
          <w:sz w:val="20"/>
          <w:szCs w:val="20"/>
          <w:color w:val="auto"/>
        </w:rPr>
      </w:pPr>
      <w:r>
        <w:rPr>
          <w:rFonts w:ascii="Arial" w:cs="Arial" w:eastAsia="Arial" w:hAnsi="Arial"/>
          <w:sz w:val="20"/>
          <w:szCs w:val="20"/>
          <w:color w:val="auto"/>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96" w:lineRule="exact"/>
        <w:rPr>
          <w:sz w:val="20"/>
          <w:szCs w:val="20"/>
          <w:color w:val="auto"/>
        </w:rPr>
      </w:pPr>
    </w:p>
    <w:p>
      <w:pPr>
        <w:jc w:val="both"/>
        <w:ind w:right="20" w:firstLine="400"/>
        <w:spacing w:after="0" w:line="307" w:lineRule="auto"/>
        <w:rPr>
          <w:sz w:val="20"/>
          <w:szCs w:val="20"/>
          <w:color w:val="auto"/>
        </w:rPr>
      </w:pPr>
      <w:r>
        <w:rPr>
          <w:rFonts w:ascii="Arial" w:cs="Arial" w:eastAsia="Arial" w:hAnsi="Arial"/>
          <w:sz w:val="20"/>
          <w:szCs w:val="20"/>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60"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i w:val="1"/>
          <w:iCs w:val="1"/>
          <w:color w:val="auto"/>
        </w:rPr>
        <w:t xml:space="preserve">Investments and related investment income. </w:t>
      </w:r>
      <w:r>
        <w:rPr>
          <w:rFonts w:ascii="Arial" w:cs="Arial" w:eastAsia="Arial" w:hAnsi="Arial"/>
          <w:sz w:val="19"/>
          <w:szCs w:val="19"/>
          <w:color w:val="auto"/>
        </w:rPr>
        <w:t>Realized gains or losses on investments are recorded upon the sale</w:t>
      </w:r>
      <w:r>
        <w:rPr>
          <w:rFonts w:ascii="Arial" w:cs="Arial" w:eastAsia="Arial" w:hAnsi="Arial"/>
          <w:sz w:val="19"/>
          <w:szCs w:val="19"/>
          <w:i w:val="1"/>
          <w:iCs w:val="1"/>
          <w:color w:val="auto"/>
        </w:rPr>
        <w:t xml:space="preserve"> </w:t>
      </w:r>
      <w:r>
        <w:rPr>
          <w:rFonts w:ascii="Arial" w:cs="Arial" w:eastAsia="Arial" w:hAnsi="Arial"/>
          <w:sz w:val="19"/>
          <w:szCs w:val="19"/>
          <w:color w:val="auto"/>
        </w:rPr>
        <w:t>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jc w:val="center"/>
        <w:ind w:right="-19"/>
        <w:spacing w:after="0" w:line="233" w:lineRule="auto"/>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 / 33</w:t>
      </w:r>
    </w:p>
    <w:p>
      <w:pPr>
        <w:sectPr>
          <w:pgSz w:w="11900" w:h="16838" w:orient="portrait"/>
          <w:cols w:equalWidth="0" w:num="1">
            <w:col w:w="9360"/>
          </w:cols>
          <w:pgMar w:left="1260" w:top="1173" w:right="1286" w:bottom="0" w:gutter="0" w:footer="0" w:header="0"/>
          <w:type w:val="continuous"/>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firstLine="401"/>
        <w:spacing w:after="0" w:line="311" w:lineRule="auto"/>
        <w:rPr>
          <w:sz w:val="20"/>
          <w:szCs w:val="20"/>
          <w:color w:val="auto"/>
        </w:rPr>
      </w:pPr>
      <w:r>
        <w:rPr>
          <w:rFonts w:ascii="Arial" w:cs="Arial" w:eastAsia="Arial" w:hAnsi="Arial"/>
          <w:sz w:val="20"/>
          <w:szCs w:val="20"/>
          <w:i w:val="1"/>
          <w:iCs w:val="1"/>
          <w:color w:val="auto"/>
        </w:rPr>
        <w:t>Interest and dividend income</w:t>
      </w:r>
      <w:r>
        <w:rPr>
          <w:rFonts w:ascii="Arial" w:cs="Arial" w:eastAsia="Arial" w:hAnsi="Arial"/>
          <w:sz w:val="20"/>
          <w:szCs w:val="20"/>
          <w:color w:val="auto"/>
        </w:rPr>
        <w:t>. Interest and dividend income are recorded on the accrual basis to the extent that</w:t>
      </w:r>
      <w:r>
        <w:rPr>
          <w:rFonts w:ascii="Arial" w:cs="Arial" w:eastAsia="Arial" w:hAnsi="Arial"/>
          <w:sz w:val="20"/>
          <w:szCs w:val="20"/>
          <w:i w:val="1"/>
          <w:iCs w:val="1"/>
          <w:color w:val="auto"/>
        </w:rPr>
        <w:t xml:space="preserve"> </w:t>
      </w:r>
      <w:r>
        <w:rPr>
          <w:rFonts w:ascii="Arial" w:cs="Arial" w:eastAsia="Arial" w:hAnsi="Arial"/>
          <w:sz w:val="20"/>
          <w:szCs w:val="20"/>
          <w:color w:val="auto"/>
        </w:rPr>
        <w:t>we expect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96"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i w:val="1"/>
          <w:iCs w:val="1"/>
          <w:color w:val="auto"/>
        </w:rPr>
        <w:t xml:space="preserve">PIK income. </w:t>
      </w:r>
      <w:r>
        <w:rPr>
          <w:rFonts w:ascii="Arial" w:cs="Arial" w:eastAsia="Arial" w:hAnsi="Arial"/>
          <w:sz w:val="19"/>
          <w:szCs w:val="19"/>
          <w:color w:val="auto"/>
        </w:rPr>
        <w:t>Certain of our investments contain a PIK income provision. The PIK income, computed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spacing w:after="0" w:line="185"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i w:val="1"/>
          <w:iCs w:val="1"/>
          <w:color w:val="auto"/>
        </w:rPr>
        <w:t xml:space="preserve">Non-accrual. </w:t>
      </w:r>
      <w:r>
        <w:rPr>
          <w:rFonts w:ascii="Arial" w:cs="Arial" w:eastAsia="Arial" w:hAnsi="Arial"/>
          <w:sz w:val="19"/>
          <w:szCs w:val="19"/>
          <w:color w:val="auto"/>
        </w:rPr>
        <w:t>Debt investments or preferred equity investments (for which we are accruing PIK dividends) are</w:t>
      </w:r>
      <w:r>
        <w:rPr>
          <w:rFonts w:ascii="Arial" w:cs="Arial" w:eastAsia="Arial" w:hAnsi="Arial"/>
          <w:sz w:val="19"/>
          <w:szCs w:val="19"/>
          <w:i w:val="1"/>
          <w:iCs w:val="1"/>
          <w:color w:val="auto"/>
        </w:rPr>
        <w:t xml:space="preserve"> </w:t>
      </w:r>
      <w:r>
        <w:rPr>
          <w:rFonts w:ascii="Arial" w:cs="Arial" w:eastAsia="Arial" w:hAnsi="Arial"/>
          <w:sz w:val="19"/>
          <w:szCs w:val="19"/>
          <w:color w:val="auto"/>
        </w:rPr>
        <w:t>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84" w:lineRule="exact"/>
        <w:rPr>
          <w:sz w:val="20"/>
          <w:szCs w:val="20"/>
          <w:color w:val="auto"/>
        </w:rPr>
      </w:pPr>
    </w:p>
    <w:p>
      <w:pPr>
        <w:jc w:val="both"/>
        <w:ind w:right="40" w:firstLine="401"/>
        <w:spacing w:after="0" w:line="350"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(Warrants). We 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69" w:lineRule="exact"/>
        <w:rPr>
          <w:sz w:val="20"/>
          <w:szCs w:val="20"/>
          <w:color w:val="auto"/>
        </w:rPr>
      </w:pPr>
    </w:p>
    <w:p>
      <w:pPr>
        <w:jc w:val="both"/>
        <w:ind w:firstLine="401"/>
        <w:spacing w:after="0" w:line="330" w:lineRule="auto"/>
        <w:rPr>
          <w:sz w:val="20"/>
          <w:szCs w:val="20"/>
          <w:color w:val="auto"/>
        </w:rPr>
      </w:pPr>
      <w:r>
        <w:rPr>
          <w:rFonts w:ascii="Arial" w:cs="Arial" w:eastAsia="Arial" w:hAnsi="Arial"/>
          <w:sz w:val="19"/>
          <w:szCs w:val="19"/>
          <w:i w:val="1"/>
          <w:iCs w:val="1"/>
          <w:color w:val="auto"/>
        </w:rPr>
        <w:t xml:space="preserve">Fee income. </w:t>
      </w:r>
      <w:r>
        <w:rPr>
          <w:rFonts w:ascii="Arial" w:cs="Arial" w:eastAsia="Arial" w:hAnsi="Arial"/>
          <w:sz w:val="19"/>
          <w:szCs w:val="19"/>
          <w:color w:val="auto"/>
        </w:rPr>
        <w:t>All transaction fees earned in connection with our investments are recognized as fee income and</w:t>
      </w:r>
      <w:r>
        <w:rPr>
          <w:rFonts w:ascii="Arial" w:cs="Arial" w:eastAsia="Arial" w:hAnsi="Arial"/>
          <w:sz w:val="19"/>
          <w:szCs w:val="19"/>
          <w:i w:val="1"/>
          <w:iCs w:val="1"/>
          <w:color w:val="auto"/>
        </w:rPr>
        <w:t xml:space="preserve"> </w:t>
      </w:r>
      <w:r>
        <w:rPr>
          <w:rFonts w:ascii="Arial" w:cs="Arial" w:eastAsia="Arial" w:hAnsi="Arial"/>
          <w:sz w:val="19"/>
          <w:szCs w:val="19"/>
          <w:color w:val="auto"/>
        </w:rPr>
        <w:t>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33</w:t>
      </w:r>
    </w:p>
    <w:p>
      <w:pPr>
        <w:sectPr>
          <w:pgSz w:w="11900" w:h="16838" w:orient="portrait"/>
          <w:cols w:equalWidth="0" w:num="1">
            <w:col w:w="9380"/>
          </w:cols>
          <w:pgMar w:left="1260" w:top="1440" w:right="1266" w:bottom="0" w:gutter="0" w:footer="0" w:header="0"/>
          <w:type w:val="continuous"/>
        </w:sectPr>
      </w:pPr>
    </w:p>
    <w:bookmarkStart w:id="151" w:name="page152"/>
    <w:bookmarkEnd w:id="151"/>
    <w:p>
      <w:pPr>
        <w:jc w:val="both"/>
        <w:ind w:right="60" w:firstLine="401"/>
        <w:spacing w:after="0" w:line="310" w:lineRule="auto"/>
        <w:rPr>
          <w:sz w:val="20"/>
          <w:szCs w:val="20"/>
          <w:color w:val="auto"/>
        </w:rPr>
      </w:pPr>
      <w:r>
        <w:rPr>
          <w:rFonts w:ascii="Arial" w:cs="Arial" w:eastAsia="Arial" w:hAnsi="Arial"/>
          <w:sz w:val="20"/>
          <w:szCs w:val="20"/>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Transfers of Financial Assets</w:t>
      </w:r>
    </w:p>
    <w:p>
      <w:pPr>
        <w:spacing w:after="0" w:line="260" w:lineRule="exact"/>
        <w:rPr>
          <w:sz w:val="20"/>
          <w:szCs w:val="20"/>
          <w:color w:val="auto"/>
        </w:rPr>
      </w:pPr>
    </w:p>
    <w:p>
      <w:pPr>
        <w:jc w:val="both"/>
        <w:ind w:right="40" w:firstLine="401"/>
        <w:spacing w:after="0" w:line="350" w:lineRule="auto"/>
        <w:rPr>
          <w:sz w:val="20"/>
          <w:szCs w:val="20"/>
          <w:color w:val="auto"/>
        </w:rPr>
      </w:pPr>
      <w:r>
        <w:rPr>
          <w:rFonts w:ascii="Arial" w:cs="Arial" w:eastAsia="Arial" w:hAnsi="Arial"/>
          <w:sz w:val="18"/>
          <w:szCs w:val="18"/>
          <w:i w:val="1"/>
          <w:iCs w:val="1"/>
          <w:color w:val="auto"/>
        </w:rPr>
        <w:t xml:space="preserve">Partial loan and equity sales. </w:t>
      </w:r>
      <w:r>
        <w:rPr>
          <w:rFonts w:ascii="Arial" w:cs="Arial" w:eastAsia="Arial" w:hAnsi="Arial"/>
          <w:sz w:val="18"/>
          <w:szCs w:val="18"/>
          <w:color w:val="auto"/>
        </w:rPr>
        <w:t>We follow the guidance in ASC 860,</w:t>
      </w:r>
      <w:r>
        <w:rPr>
          <w:rFonts w:ascii="Arial" w:cs="Arial" w:eastAsia="Arial" w:hAnsi="Arial"/>
          <w:sz w:val="18"/>
          <w:szCs w:val="18"/>
          <w:i w:val="1"/>
          <w:iCs w:val="1"/>
          <w:color w:val="auto"/>
        </w:rPr>
        <w:t xml:space="preserve"> Transfers and Servicing, </w:t>
      </w:r>
      <w:r>
        <w:rPr>
          <w:rFonts w:ascii="Arial" w:cs="Arial" w:eastAsia="Arial" w:hAnsi="Arial"/>
          <w:sz w:val="18"/>
          <w:szCs w:val="18"/>
          <w:color w:val="auto"/>
        </w:rPr>
        <w:t>when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w:t>
      </w:r>
    </w:p>
    <w:p>
      <w:pPr>
        <w:spacing w:after="0" w:line="260"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have adopted ASU 2023-09 effective as of December 31, 2025 and concluded that the application of this guidance did not have a material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33</w:t>
      </w:r>
    </w:p>
    <w:p>
      <w:pPr>
        <w:sectPr>
          <w:pgSz w:w="11900" w:h="16838" w:orient="portrait"/>
          <w:cols w:equalWidth="0" w:num="1">
            <w:col w:w="9400"/>
          </w:cols>
          <w:pgMar w:left="1260" w:top="1173" w:right="1246" w:bottom="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401"/>
        <w:spacing w:after="0" w:line="302" w:lineRule="auto"/>
        <w:rPr>
          <w:sz w:val="20"/>
          <w:szCs w:val="20"/>
          <w:color w:val="auto"/>
        </w:rPr>
      </w:pPr>
      <w:r>
        <w:rPr>
          <w:rFonts w:ascii="Arial" w:cs="Arial" w:eastAsia="Arial" w:hAnsi="Arial"/>
          <w:sz w:val="20"/>
          <w:szCs w:val="20"/>
          <w:color w:val="auto"/>
        </w:rPr>
        <w:t>We have entered into a number of business relationships with affiliated or related parties, including the following:</w:t>
      </w:r>
    </w:p>
    <w:p>
      <w:pPr>
        <w:spacing w:after="0" w:line="231" w:lineRule="exact"/>
        <w:rPr>
          <w:sz w:val="20"/>
          <w:szCs w:val="20"/>
          <w:color w:val="auto"/>
        </w:rPr>
      </w:pPr>
    </w:p>
    <w:p>
      <w:pPr>
        <w:ind w:left="720" w:hanging="392"/>
        <w:spacing w:after="0" w:line="329" w:lineRule="auto"/>
        <w:tabs>
          <w:tab w:leader="none" w:pos="7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We have entered into the Investment Advisory Agreement with Fidus Investment Advisors, LLC, as our investment advisor. Pursuant to the Investment Advisory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$0.2 million, $0.3 million, and $0.3 million of the base management fees on any assets accounted for as secured borrowings as defined under GAAP for the years ended December 31, 2025, 2024, and 2023, respectively.</w:t>
      </w:r>
    </w:p>
    <w:p>
      <w:pPr>
        <w:spacing w:after="0" w:line="183" w:lineRule="exact"/>
        <w:rPr>
          <w:rFonts w:ascii="Arial" w:cs="Arial" w:eastAsia="Arial" w:hAnsi="Arial"/>
          <w:sz w:val="19"/>
          <w:szCs w:val="19"/>
          <w:color w:val="auto"/>
        </w:rPr>
      </w:pPr>
    </w:p>
    <w:p>
      <w:pPr>
        <w:ind w:left="720" w:right="160" w:hanging="392"/>
        <w:spacing w:after="0" w:line="307"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197" w:lineRule="exact"/>
        <w:rPr>
          <w:rFonts w:ascii="Arial" w:cs="Arial" w:eastAsia="Arial" w:hAnsi="Arial"/>
          <w:sz w:val="20"/>
          <w:szCs w:val="20"/>
          <w:color w:val="auto"/>
        </w:rPr>
      </w:pPr>
    </w:p>
    <w:p>
      <w:pPr>
        <w:ind w:left="720" w:hanging="392"/>
        <w:spacing w:after="0" w:line="307"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197" w:lineRule="exact"/>
        <w:rPr>
          <w:rFonts w:ascii="Arial" w:cs="Arial" w:eastAsia="Arial" w:hAnsi="Arial"/>
          <w:sz w:val="20"/>
          <w:szCs w:val="20"/>
          <w:color w:val="auto"/>
        </w:rPr>
      </w:pPr>
    </w:p>
    <w:p>
      <w:pPr>
        <w:ind w:left="720" w:right="140" w:hanging="392"/>
        <w:spacing w:after="0" w:line="302"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entered into a license agreement with Fidus Partners, LLC, pursuant to which Fidus Partners, LLC has granted us a non-exclusive, royalty-free license to use the name “Fidus.”</w:t>
      </w:r>
    </w:p>
    <w:p>
      <w:pPr>
        <w:spacing w:after="0" w:line="200" w:lineRule="exact"/>
        <w:rPr>
          <w:sz w:val="20"/>
          <w:szCs w:val="20"/>
          <w:color w:val="auto"/>
        </w:rPr>
      </w:pPr>
    </w:p>
    <w:p>
      <w:pPr>
        <w:spacing w:after="0" w:line="301" w:lineRule="exact"/>
        <w:rPr>
          <w:sz w:val="20"/>
          <w:szCs w:val="20"/>
          <w:color w:val="auto"/>
        </w:rPr>
      </w:pPr>
    </w:p>
    <w:p>
      <w:pPr>
        <w:jc w:val="both"/>
        <w:ind w:right="40" w:firstLine="401"/>
        <w:spacing w:after="0" w:line="351"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w:t>
      </w:r>
    </w:p>
    <w:p>
      <w:pPr>
        <w:spacing w:after="0" w:line="166" w:lineRule="exact"/>
        <w:rPr>
          <w:sz w:val="20"/>
          <w:szCs w:val="20"/>
          <w:color w:val="auto"/>
        </w:rPr>
      </w:pPr>
    </w:p>
    <w:p>
      <w:pPr>
        <w:jc w:val="both"/>
        <w:ind w:firstLine="401"/>
        <w:spacing w:after="0" w:line="349" w:lineRule="auto"/>
        <w:rPr>
          <w:sz w:val="20"/>
          <w:szCs w:val="20"/>
          <w:color w:val="auto"/>
        </w:rPr>
      </w:pPr>
      <w:r>
        <w:rPr>
          <w:rFonts w:ascii="Arial" w:cs="Arial" w:eastAsia="Arial" w:hAnsi="Arial"/>
          <w:sz w:val="18"/>
          <w:szCs w:val="18"/>
          <w:color w:val="auto"/>
        </w:rPr>
        <w:t>While we may co-invest with investment entities managed by the Investment Advisor or its affiliates, to the extent permitted by the 1940 Act and the rules and regulations thereunder, the 1940 Act imposes significant limits on co-investment. Our Investment 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67" w:lineRule="exact"/>
        <w:rPr>
          <w:sz w:val="20"/>
          <w:szCs w:val="20"/>
          <w:color w:val="auto"/>
        </w:rPr>
      </w:pPr>
    </w:p>
    <w:p>
      <w:pPr>
        <w:jc w:val="both"/>
        <w:ind w:right="40" w:firstLine="401"/>
        <w:spacing w:after="0" w:line="355" w:lineRule="auto"/>
        <w:rPr>
          <w:sz w:val="20"/>
          <w:szCs w:val="20"/>
          <w:color w:val="auto"/>
        </w:rPr>
      </w:pPr>
      <w:r>
        <w:rPr>
          <w:rFonts w:ascii="Arial" w:cs="Arial" w:eastAsia="Arial" w:hAnsi="Arial"/>
          <w:sz w:val="18"/>
          <w:szCs w:val="18"/>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33</w:t>
      </w:r>
    </w:p>
    <w:p>
      <w:pPr>
        <w:sectPr>
          <w:pgSz w:w="11900" w:h="16838" w:orient="portrait"/>
          <w:cols w:equalWidth="0" w:num="1">
            <w:col w:w="9380"/>
          </w:cols>
          <w:pgMar w:left="1260" w:top="1440" w:right="1266" w:bottom="0" w:gutter="0" w:footer="0" w:header="0"/>
          <w:type w:val="continuous"/>
        </w:sectPr>
      </w:pPr>
    </w:p>
    <w:bookmarkStart w:id="153" w:name="page154"/>
    <w:bookmarkEnd w:id="153"/>
    <w:p>
      <w:pPr>
        <w:jc w:val="both"/>
        <w:spacing w:after="0" w:line="309" w:lineRule="auto"/>
        <w:rPr>
          <w:sz w:val="20"/>
          <w:szCs w:val="20"/>
          <w:color w:val="auto"/>
        </w:rPr>
      </w:pPr>
      <w:r>
        <w:rPr>
          <w:rFonts w:ascii="Arial" w:cs="Arial" w:eastAsia="Arial" w:hAnsi="Arial"/>
          <w:sz w:val="20"/>
          <w:szCs w:val="20"/>
          <w:color w:val="auto"/>
        </w:rPr>
        <w:t>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w:t>
      </w:r>
    </w:p>
    <w:p>
      <w:pPr>
        <w:spacing w:after="0" w:line="260"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On January 28, 2026, we invested $6.0 million in first lien debt and $1.0 million in preferred equity of Gap Intelligence Acquisition, LLC (dba OpenBrand), a market intelligence platform that provides real-time competitive and pricing data to leading consumer durable original equipment manufacturers and retailers.</w:t>
      </w:r>
    </w:p>
    <w:p>
      <w:pPr>
        <w:spacing w:after="0" w:line="197"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On January 30, 2026, we exited our preferred and common equity investments in CIH Intermediate, LLC. We received a distribution on our preferred and common equity investments for a realized gain of approximately $3.4 million.</w:t>
      </w:r>
    </w:p>
    <w:p>
      <w:pPr>
        <w:spacing w:after="0" w:line="197" w:lineRule="exact"/>
        <w:rPr>
          <w:sz w:val="20"/>
          <w:szCs w:val="20"/>
          <w:color w:val="auto"/>
        </w:rPr>
      </w:pPr>
    </w:p>
    <w:p>
      <w:pPr>
        <w:jc w:val="both"/>
        <w:ind w:firstLine="392"/>
        <w:spacing w:after="0" w:line="363" w:lineRule="auto"/>
        <w:rPr>
          <w:sz w:val="20"/>
          <w:szCs w:val="20"/>
          <w:color w:val="auto"/>
        </w:rPr>
      </w:pPr>
      <w:r>
        <w:rPr>
          <w:rFonts w:ascii="Arial" w:cs="Arial" w:eastAsia="Arial" w:hAnsi="Arial"/>
          <w:sz w:val="18"/>
          <w:szCs w:val="18"/>
          <w:color w:val="auto"/>
        </w:rPr>
        <w:t>On February 17, 2026, our Board declared a regular quarterly dividend of $0.43 per share and a supplemental dividend of $0.09 per share payable March 30, 2026, to stockholders of record as of March 20, 2026.</w:t>
      </w:r>
    </w:p>
    <w:p>
      <w:pPr>
        <w:spacing w:after="0" w:line="154"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20"/>
          <w:szCs w:val="20"/>
          <w:color w:val="auto"/>
        </w:rPr>
        <w:t>On February 19, 2026, we issued an additional $30.0 million in SBA debentures, which will bear interest at a fixed interim interest rate of 4.587% until the pooling date in March 2026.</w:t>
      </w:r>
    </w:p>
    <w:p>
      <w:pPr>
        <w:spacing w:after="0" w:line="201"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On February 26, 2026, we repaid $5.0 million and $2.0 million of SBA debentures with weighted average interest rates of 5.439% and 5.861%, respectively, which would have matured on dates ranging from March 2033 to September 2033.</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 / 33</w:t>
      </w:r>
    </w:p>
    <w:p>
      <w:pPr>
        <w:sectPr>
          <w:pgSz w:w="11900" w:h="16838" w:orient="portrait"/>
          <w:cols w:equalWidth="0" w:num="1">
            <w:col w:w="9340"/>
          </w:cols>
          <w:pgMar w:left="1260" w:top="1173" w:right="1306" w:bottom="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33</w:t>
      </w:r>
    </w:p>
    <w:p>
      <w:pPr>
        <w:sectPr>
          <w:pgSz w:w="11900" w:h="16838" w:orient="portrait"/>
          <w:cols w:equalWidth="0" w:num="1">
            <w:col w:w="9026"/>
          </w:cols>
          <w:pgMar w:left="1440" w:top="1440" w:right="1440" w:bottom="0" w:gutter="0" w:footer="0" w:header="0"/>
          <w:type w:val="continuous"/>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60" w:lineRule="exact"/>
        <w:rPr>
          <w:sz w:val="20"/>
          <w:szCs w:val="20"/>
          <w:color w:val="auto"/>
        </w:rPr>
      </w:pPr>
    </w:p>
    <w:p>
      <w:pPr>
        <w:jc w:val="both"/>
        <w:ind w:left="6" w:right="20" w:firstLine="401"/>
        <w:spacing w:after="0" w:line="329" w:lineRule="auto"/>
        <w:rPr>
          <w:sz w:val="20"/>
          <w:szCs w:val="20"/>
          <w:color w:val="auto"/>
        </w:rPr>
      </w:pPr>
      <w:r>
        <w:rPr>
          <w:rFonts w:ascii="Arial" w:cs="Arial" w:eastAsia="Arial" w:hAnsi="Arial"/>
          <w:sz w:val="19"/>
          <w:szCs w:val="19"/>
          <w:color w:val="auto"/>
        </w:rPr>
        <w:t>We are subject to financial market risks, including changes in interest rates. Changes in interest rates affect both our cost of funding and the valuation of our investment portfolio. Uncertainty with respect to interest rates, inflationary pressures, geopolitical conditions</w:t>
      </w:r>
      <w:r>
        <w:rPr>
          <w:rFonts w:ascii="Arial" w:cs="Arial" w:eastAsia="Arial" w:hAnsi="Arial"/>
          <w:sz w:val="19"/>
          <w:szCs w:val="19"/>
          <w:color w:val="231F20"/>
        </w:rPr>
        <w:t>, new tariffs and trade barriers</w:t>
      </w:r>
      <w:r>
        <w:rPr>
          <w:rFonts w:ascii="Arial" w:cs="Arial" w:eastAsia="Arial" w:hAnsi="Arial"/>
          <w:sz w:val="19"/>
          <w:szCs w:val="19"/>
          <w:color w:val="auto"/>
        </w:rPr>
        <w:t xml:space="preserve">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w:t>
      </w:r>
    </w:p>
    <w:p>
      <w:pPr>
        <w:spacing w:after="0" w:line="185" w:lineRule="exact"/>
        <w:rPr>
          <w:sz w:val="20"/>
          <w:szCs w:val="20"/>
          <w:color w:val="auto"/>
        </w:rPr>
      </w:pPr>
    </w:p>
    <w:p>
      <w:pPr>
        <w:jc w:val="both"/>
        <w:ind w:left="6" w:firstLine="401"/>
        <w:spacing w:after="0" w:line="348" w:lineRule="auto"/>
        <w:rPr>
          <w:sz w:val="20"/>
          <w:szCs w:val="20"/>
          <w:color w:val="auto"/>
        </w:rPr>
      </w:pPr>
      <w:r>
        <w:rPr>
          <w:rFonts w:ascii="Arial" w:cs="Arial" w:eastAsia="Arial" w:hAnsi="Arial"/>
          <w:sz w:val="18"/>
          <w:szCs w:val="18"/>
          <w:color w:val="auto"/>
        </w:rPr>
        <w:t>In the future, our investment income may also be affected by changes in various interest rates, including SOFR and prime rates, to the extent of any debt investments that include floating interest rates. The Federal Reserve reduced interest rates by 0.25% in each of September, October and December of 2025, bringing the benchmark rate to the 3.50% to 3.75% range. These actions represented cumulative cuts of 75 basis points during 2025, as the Federal Reserve balanced persistent inflationary pressures against signs of labor market softness. Core inflation, while moderating from earlier levels, remains above the Federal Reserve's stated target. Given the evolving economic environment and the Federal Reserve's continued focus on monitoring both inflationary pressures and labor market conditions, there can be no assurance regarding the magnitude or timing of future federal funds rate adjustments in either direction. In an elevated interest rate environment, our cost of funds would increase, which could reduce our net investment income if there is not a corresponding increase in interest income generated by our investment portfolio. Conversely, sustained reductions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our operating expenses, including with respect to our income incentive fee, or a decrease in the interest rate of our floating interest rate liabilities tied to such base rate. See Item 1A. "Risk Factors – Changes in interest rates will affect our cost of capital and net investment income” and “Risk Factors – Inflation may adversely affect the business, results of operations and financial condition of our portfolio companies, which may, in turn, impact the valuation of such portfolio companies.</w:t>
      </w:r>
    </w:p>
    <w:p>
      <w:pPr>
        <w:spacing w:after="0" w:line="178" w:lineRule="exact"/>
        <w:rPr>
          <w:sz w:val="20"/>
          <w:szCs w:val="20"/>
          <w:color w:val="auto"/>
        </w:rPr>
      </w:pPr>
    </w:p>
    <w:p>
      <w:pPr>
        <w:jc w:val="both"/>
        <w:ind w:left="6" w:firstLine="401"/>
        <w:spacing w:after="0" w:line="347" w:lineRule="auto"/>
        <w:rPr>
          <w:sz w:val="20"/>
          <w:szCs w:val="20"/>
          <w:color w:val="auto"/>
        </w:rPr>
      </w:pPr>
      <w:r>
        <w:rPr>
          <w:rFonts w:ascii="Arial" w:cs="Arial" w:eastAsia="Arial" w:hAnsi="Arial"/>
          <w:sz w:val="18"/>
          <w:szCs w:val="18"/>
          <w:color w:val="auto"/>
        </w:rPr>
        <w:t>As of December 31, 2025 and 2024, 58 and 50 portfolio companies’ debt investments, respectively, bore interest at a variable rate, which represented $890.1 million and $704.0 million of our portfolio on a fair value basis, respectively, and the remainder of our debt portfolio was comprised entirely of fixed rate investments. Our pooled SBA debentures and our unsecured notes bear interest at fixed rates. Our SPV Credit Facility bears interest, at our election, at a rate per annum equal to one-month Term SOFR plus 0.11448% and an applicable margin of 2.675% (or 2.50% after satisfying certain step-down conditions, with commensurate reductions in the applicable margins for alternate base rate loans). We pay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w:t>
      </w:r>
    </w:p>
    <w:p>
      <w:pPr>
        <w:spacing w:after="0" w:line="8" w:lineRule="exact"/>
        <w:rPr>
          <w:sz w:val="20"/>
          <w:szCs w:val="20"/>
          <w:color w:val="auto"/>
        </w:rPr>
      </w:pPr>
    </w:p>
    <w:p>
      <w:pPr>
        <w:ind w:left="6" w:right="40" w:hanging="6"/>
        <w:spacing w:after="0" w:line="302" w:lineRule="auto"/>
        <w:tabs>
          <w:tab w:leader="none" w:pos="289" w:val="left"/>
        </w:tabs>
        <w:numPr>
          <w:ilvl w:val="0"/>
          <w:numId w:val="68"/>
        </w:numPr>
        <w:rPr>
          <w:rFonts w:ascii="Arial" w:cs="Arial" w:eastAsia="Arial" w:hAnsi="Arial"/>
          <w:sz w:val="20"/>
          <w:szCs w:val="20"/>
          <w:color w:val="auto"/>
        </w:rPr>
      </w:pPr>
      <w:r>
        <w:rPr>
          <w:rFonts w:ascii="Arial" w:cs="Arial" w:eastAsia="Arial" w:hAnsi="Arial"/>
          <w:sz w:val="20"/>
          <w:szCs w:val="20"/>
          <w:color w:val="auto"/>
        </w:rPr>
        <w:t>if the utilized portion of the aggregate commitments is greater than or equal to the Minimum Utilization Amount, the commitment fee will equal 0.50% multiplied by the unused amount of the commitments.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30 / 33</w:t>
      </w:r>
    </w:p>
    <w:p>
      <w:pPr>
        <w:sectPr>
          <w:pgSz w:w="11900" w:h="16838" w:orient="portrait"/>
          <w:cols w:equalWidth="0" w:num="1">
            <w:col w:w="9386"/>
          </w:cols>
          <w:pgMar w:left="1254" w:top="1440" w:right="1266" w:bottom="0" w:gutter="0" w:footer="0" w:header="0"/>
          <w:type w:val="continuous"/>
        </w:sectPr>
      </w:pPr>
    </w:p>
    <w:bookmarkStart w:id="156" w:name="page157"/>
    <w:bookmarkEnd w:id="156"/>
    <w:p>
      <w:pPr>
        <w:jc w:val="both"/>
        <w:ind w:right="60" w:firstLine="401"/>
        <w:spacing w:after="0" w:line="309" w:lineRule="auto"/>
        <w:rPr>
          <w:sz w:val="20"/>
          <w:szCs w:val="20"/>
          <w:color w:val="auto"/>
        </w:rPr>
      </w:pPr>
      <w:r>
        <w:rPr>
          <w:rFonts w:ascii="Arial" w:cs="Arial" w:eastAsia="Arial" w:hAnsi="Arial"/>
          <w:sz w:val="20"/>
          <w:szCs w:val="20"/>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w:t>
      </w:r>
    </w:p>
    <w:p>
      <w:pPr>
        <w:spacing w:after="0" w:line="196" w:lineRule="exact"/>
        <w:rPr>
          <w:sz w:val="20"/>
          <w:szCs w:val="20"/>
          <w:color w:val="auto"/>
        </w:rPr>
      </w:pPr>
    </w:p>
    <w:p>
      <w:pPr>
        <w:jc w:val="both"/>
        <w:ind w:right="80" w:firstLine="401"/>
        <w:spacing w:after="0" w:line="307" w:lineRule="auto"/>
        <w:rPr>
          <w:sz w:val="20"/>
          <w:szCs w:val="20"/>
          <w:color w:val="auto"/>
        </w:rPr>
      </w:pPr>
      <w:r>
        <w:rPr>
          <w:rFonts w:ascii="Arial" w:cs="Arial" w:eastAsia="Arial" w:hAnsi="Arial"/>
          <w:sz w:val="20"/>
          <w:szCs w:val="20"/>
          <w:color w:val="auto"/>
        </w:rPr>
        <w:t>The following table shows the approximate annualized increase or decrease in the components of net investment income due to hypothetical base rate changes in interest rates, assuming no changes in our investments and borrowings as of December 31, 2025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220"/>
              <w:spacing w:after="0"/>
              <w:rPr>
                <w:sz w:val="20"/>
                <w:szCs w:val="20"/>
                <w:color w:val="auto"/>
              </w:rPr>
            </w:pPr>
            <w:r>
              <w:rPr>
                <w:rFonts w:ascii="Arial" w:cs="Arial" w:eastAsia="Arial" w:hAnsi="Arial"/>
                <w:sz w:val="20"/>
                <w:szCs w:val="20"/>
                <w:b w:val="1"/>
                <w:bCs w:val="1"/>
                <w:color w:val="auto"/>
                <w:w w:val="91"/>
              </w:rPr>
              <w:t>Interest</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0"/>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180"/>
              <w:spacing w:after="0"/>
              <w:rPr>
                <w:sz w:val="20"/>
                <w:szCs w:val="20"/>
                <w:color w:val="auto"/>
              </w:rPr>
            </w:pPr>
            <w:r>
              <w:rPr>
                <w:rFonts w:ascii="Arial" w:cs="Arial" w:eastAsia="Arial" w:hAnsi="Arial"/>
                <w:sz w:val="20"/>
                <w:szCs w:val="20"/>
                <w:b w:val="1"/>
                <w:bCs w:val="1"/>
                <w:color w:val="auto"/>
                <w:w w:val="88"/>
              </w:rPr>
              <w:t>Income</w:t>
            </w:r>
          </w:p>
        </w:tc>
        <w:tc>
          <w:tcPr>
            <w:tcW w:w="17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8"/>
              </w:rPr>
              <w:t>Interest Expense</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0"/>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Arial" w:cs="Arial" w:eastAsia="Arial" w:hAnsi="Arial"/>
                <w:sz w:val="20"/>
                <w:szCs w:val="20"/>
                <w:b w:val="1"/>
                <w:bCs w:val="1"/>
                <w:color w:val="auto"/>
                <w:w w:val="92"/>
              </w:rPr>
              <w:t>Net</w:t>
            </w:r>
          </w:p>
        </w:tc>
      </w:tr>
      <w:tr>
        <w:trPr>
          <w:trHeight w:val="300"/>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160"/>
              <w:spacing w:after="0"/>
              <w:rPr>
                <w:sz w:val="20"/>
                <w:szCs w:val="20"/>
                <w:color w:val="auto"/>
              </w:rPr>
            </w:pPr>
            <w:r>
              <w:rPr>
                <w:rFonts w:ascii="Arial" w:cs="Arial" w:eastAsia="Arial" w:hAnsi="Arial"/>
                <w:sz w:val="20"/>
                <w:szCs w:val="20"/>
                <w:b w:val="1"/>
                <w:bCs w:val="1"/>
                <w:color w:val="auto"/>
                <w:w w:val="88"/>
              </w:rPr>
              <w:t>Increase</w:t>
            </w:r>
          </w:p>
        </w:tc>
        <w:tc>
          <w:tcPr>
            <w:tcW w:w="300" w:type="dxa"/>
            <w:vAlign w:val="bottom"/>
          </w:tcPr>
          <w:p>
            <w:pPr>
              <w:spacing w:after="0"/>
              <w:rPr>
                <w:sz w:val="24"/>
                <w:szCs w:val="24"/>
                <w:color w:val="auto"/>
              </w:rPr>
            </w:pPr>
          </w:p>
        </w:tc>
        <w:tc>
          <w:tcPr>
            <w:tcW w:w="1480" w:type="dxa"/>
            <w:vAlign w:val="bottom"/>
          </w:tcPr>
          <w:p>
            <w:pPr>
              <w:jc w:val="center"/>
              <w:ind w:right="180"/>
              <w:spacing w:after="0"/>
              <w:rPr>
                <w:sz w:val="20"/>
                <w:szCs w:val="20"/>
                <w:color w:val="auto"/>
              </w:rPr>
            </w:pPr>
            <w:r>
              <w:rPr>
                <w:rFonts w:ascii="Arial" w:cs="Arial" w:eastAsia="Arial" w:hAnsi="Arial"/>
                <w:sz w:val="20"/>
                <w:szCs w:val="20"/>
                <w:b w:val="1"/>
                <w:bCs w:val="1"/>
                <w:color w:val="auto"/>
                <w:w w:val="88"/>
              </w:rPr>
              <w:t>Increase</w:t>
            </w:r>
          </w:p>
        </w:tc>
        <w:tc>
          <w:tcPr>
            <w:tcW w:w="180" w:type="dxa"/>
            <w:vAlign w:val="bottom"/>
          </w:tcPr>
          <w:p>
            <w:pPr>
              <w:spacing w:after="0"/>
              <w:rPr>
                <w:sz w:val="24"/>
                <w:szCs w:val="24"/>
                <w:color w:val="auto"/>
              </w:rPr>
            </w:pPr>
          </w:p>
        </w:tc>
        <w:tc>
          <w:tcPr>
            <w:tcW w:w="1360" w:type="dxa"/>
            <w:vAlign w:val="bottom"/>
          </w:tcPr>
          <w:p>
            <w:pPr>
              <w:jc w:val="right"/>
              <w:ind w:right="180"/>
              <w:spacing w:after="0"/>
              <w:rPr>
                <w:sz w:val="20"/>
                <w:szCs w:val="20"/>
                <w:color w:val="auto"/>
              </w:rPr>
            </w:pPr>
            <w:r>
              <w:rPr>
                <w:rFonts w:ascii="Arial" w:cs="Arial" w:eastAsia="Arial" w:hAnsi="Arial"/>
                <w:sz w:val="20"/>
                <w:szCs w:val="20"/>
                <w:b w:val="1"/>
                <w:bCs w:val="1"/>
                <w:color w:val="auto"/>
                <w:w w:val="89"/>
              </w:rPr>
              <w:t>Net Increase</w:t>
            </w:r>
          </w:p>
        </w:tc>
        <w:tc>
          <w:tcPr>
            <w:tcW w:w="22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Arial" w:cs="Arial" w:eastAsia="Arial" w:hAnsi="Arial"/>
                <w:sz w:val="20"/>
                <w:szCs w:val="20"/>
                <w:b w:val="1"/>
                <w:bCs w:val="1"/>
                <w:color w:val="auto"/>
                <w:w w:val="88"/>
              </w:rPr>
              <w:t>Investment</w:t>
            </w:r>
          </w:p>
        </w:tc>
      </w:tr>
      <w:tr>
        <w:trPr>
          <w:trHeight w:val="351"/>
        </w:trPr>
        <w:tc>
          <w:tcPr>
            <w:tcW w:w="3140" w:type="dxa"/>
            <w:vAlign w:val="bottom"/>
          </w:tcPr>
          <w:p>
            <w:pPr>
              <w:jc w:val="right"/>
              <w:ind w:right="380"/>
              <w:spacing w:after="0"/>
              <w:rPr>
                <w:sz w:val="20"/>
                <w:szCs w:val="20"/>
                <w:color w:val="auto"/>
              </w:rPr>
            </w:pPr>
            <w:r>
              <w:rPr>
                <w:rFonts w:ascii="Arial" w:cs="Arial" w:eastAsia="Arial" w:hAnsi="Arial"/>
                <w:sz w:val="20"/>
                <w:szCs w:val="20"/>
                <w:b w:val="1"/>
                <w:bCs w:val="1"/>
                <w:color w:val="auto"/>
                <w:w w:val="86"/>
              </w:rPr>
              <w:t>Basis Point Increase (Decrease)</w:t>
            </w:r>
          </w:p>
        </w:tc>
        <w:tc>
          <w:tcPr>
            <w:tcW w:w="14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3"/>
              </w:rPr>
              <w:t xml:space="preserve">(Decrease) </w:t>
            </w:r>
            <w:r>
              <w:rPr>
                <w:rFonts w:ascii="Arial" w:cs="Arial" w:eastAsia="Arial" w:hAnsi="Arial"/>
                <w:sz w:val="26"/>
                <w:szCs w:val="26"/>
                <w:b w:val="1"/>
                <w:bCs w:val="1"/>
                <w:color w:val="auto"/>
                <w:w w:val="83"/>
                <w:vertAlign w:val="superscript"/>
              </w:rPr>
              <w:t>(1) (2)</w:t>
            </w:r>
          </w:p>
        </w:tc>
        <w:tc>
          <w:tcPr>
            <w:tcW w:w="300" w:type="dxa"/>
            <w:vAlign w:val="bottom"/>
          </w:tcPr>
          <w:p>
            <w:pPr>
              <w:spacing w:after="0"/>
              <w:rPr>
                <w:sz w:val="24"/>
                <w:szCs w:val="24"/>
                <w:color w:val="auto"/>
              </w:rPr>
            </w:pPr>
          </w:p>
        </w:tc>
        <w:tc>
          <w:tcPr>
            <w:tcW w:w="1480" w:type="dxa"/>
            <w:vAlign w:val="bottom"/>
          </w:tcPr>
          <w:p>
            <w:pPr>
              <w:jc w:val="center"/>
              <w:ind w:right="200"/>
              <w:spacing w:after="0"/>
              <w:rPr>
                <w:sz w:val="20"/>
                <w:szCs w:val="20"/>
                <w:color w:val="auto"/>
              </w:rPr>
            </w:pPr>
            <w:r>
              <w:rPr>
                <w:rFonts w:ascii="Arial" w:cs="Arial" w:eastAsia="Arial" w:hAnsi="Arial"/>
                <w:sz w:val="20"/>
                <w:szCs w:val="20"/>
                <w:b w:val="1"/>
                <w:bCs w:val="1"/>
                <w:color w:val="auto"/>
                <w:w w:val="85"/>
              </w:rPr>
              <w:t xml:space="preserve">(Decrease) </w:t>
            </w:r>
            <w:r>
              <w:rPr>
                <w:rFonts w:ascii="Arial" w:cs="Arial" w:eastAsia="Arial" w:hAnsi="Arial"/>
                <w:sz w:val="26"/>
                <w:szCs w:val="26"/>
                <w:b w:val="1"/>
                <w:bCs w:val="1"/>
                <w:color w:val="auto"/>
                <w:w w:val="85"/>
                <w:vertAlign w:val="superscript"/>
              </w:rPr>
              <w:t>(4)</w:t>
            </w:r>
          </w:p>
        </w:tc>
        <w:tc>
          <w:tcPr>
            <w:tcW w:w="180" w:type="dxa"/>
            <w:vAlign w:val="bottom"/>
          </w:tcPr>
          <w:p>
            <w:pPr>
              <w:spacing w:after="0"/>
              <w:rPr>
                <w:sz w:val="24"/>
                <w:szCs w:val="24"/>
                <w:color w:val="auto"/>
              </w:rPr>
            </w:pPr>
          </w:p>
        </w:tc>
        <w:tc>
          <w:tcPr>
            <w:tcW w:w="1360" w:type="dxa"/>
            <w:vAlign w:val="bottom"/>
          </w:tcPr>
          <w:p>
            <w:pPr>
              <w:jc w:val="right"/>
              <w:ind w:right="260"/>
              <w:spacing w:after="0"/>
              <w:rPr>
                <w:sz w:val="20"/>
                <w:szCs w:val="20"/>
                <w:color w:val="auto"/>
              </w:rPr>
            </w:pPr>
            <w:r>
              <w:rPr>
                <w:rFonts w:ascii="Arial" w:cs="Arial" w:eastAsia="Arial" w:hAnsi="Arial"/>
                <w:sz w:val="20"/>
                <w:szCs w:val="20"/>
                <w:b w:val="1"/>
                <w:bCs w:val="1"/>
                <w:color w:val="auto"/>
                <w:w w:val="95"/>
              </w:rPr>
              <w:t>(Decrease)</w:t>
            </w:r>
          </w:p>
        </w:tc>
        <w:tc>
          <w:tcPr>
            <w:tcW w:w="22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b w:val="1"/>
                <w:bCs w:val="1"/>
                <w:color w:val="auto"/>
                <w:w w:val="86"/>
              </w:rPr>
              <w:t xml:space="preserve">Income </w:t>
            </w:r>
            <w:r>
              <w:rPr>
                <w:rFonts w:ascii="Arial" w:cs="Arial" w:eastAsia="Arial" w:hAnsi="Arial"/>
                <w:sz w:val="26"/>
                <w:szCs w:val="26"/>
                <w:b w:val="1"/>
                <w:bCs w:val="1"/>
                <w:color w:val="auto"/>
                <w:w w:val="86"/>
                <w:vertAlign w:val="superscript"/>
              </w:rPr>
              <w:t>(3)</w:t>
            </w:r>
          </w:p>
        </w:tc>
      </w:tr>
      <w:tr>
        <w:trPr>
          <w:trHeight w:val="280"/>
        </w:trPr>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(11.1)</w:t>
            </w:r>
          </w:p>
        </w:tc>
      </w:tr>
      <w:tr>
        <w:trPr>
          <w:trHeight w:val="259"/>
        </w:trPr>
        <w:tc>
          <w:tcPr>
            <w:tcW w:w="3140" w:type="dxa"/>
            <w:vAlign w:val="bottom"/>
          </w:tcPr>
          <w:p>
            <w:pPr>
              <w:jc w:val="right"/>
              <w:spacing w:after="0"/>
              <w:rPr>
                <w:sz w:val="20"/>
                <w:szCs w:val="20"/>
                <w:color w:val="auto"/>
              </w:rPr>
            </w:pPr>
            <w:r>
              <w:rPr>
                <w:rFonts w:ascii="Arial" w:cs="Arial" w:eastAsia="Arial" w:hAnsi="Arial"/>
                <w:sz w:val="20"/>
                <w:szCs w:val="20"/>
                <w:color w:val="auto"/>
              </w:rPr>
              <w:t>(150)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(13.1)</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(11.7)</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41"/>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0"/>
        </w:trPr>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(8.8)</w:t>
            </w: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(6.2)</w:t>
            </w:r>
          </w:p>
        </w:tc>
      </w:tr>
      <w:tr>
        <w:trPr>
          <w:trHeight w:val="259"/>
        </w:trPr>
        <w:tc>
          <w:tcPr>
            <w:tcW w:w="3140" w:type="dxa"/>
            <w:vAlign w:val="bottom"/>
          </w:tcPr>
          <w:p>
            <w:pPr>
              <w:jc w:val="right"/>
              <w:spacing w:after="0"/>
              <w:rPr>
                <w:sz w:val="20"/>
                <w:szCs w:val="20"/>
                <w:color w:val="auto"/>
              </w:rPr>
            </w:pPr>
            <w:r>
              <w:rPr>
                <w:rFonts w:ascii="Arial" w:cs="Arial" w:eastAsia="Arial" w:hAnsi="Arial"/>
                <w:sz w:val="20"/>
                <w:szCs w:val="20"/>
                <w:color w:val="auto"/>
              </w:rPr>
              <w:t>(50)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(0.4)</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1"/>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0"/>
        </w:trPr>
        <w:tc>
          <w:tcPr>
            <w:tcW w:w="3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50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0.5</w:t>
            </w:r>
          </w:p>
        </w:tc>
        <w:tc>
          <w:tcPr>
            <w:tcW w:w="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4.0</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w:t>
            </w:r>
          </w:p>
        </w:tc>
      </w:tr>
      <w:tr>
        <w:trPr>
          <w:trHeight w:val="259"/>
        </w:trPr>
        <w:tc>
          <w:tcPr>
            <w:tcW w:w="3140" w:type="dxa"/>
            <w:vAlign w:val="bottom"/>
          </w:tcPr>
          <w:p>
            <w:pPr>
              <w:jc w:val="right"/>
              <w:ind w:right="60"/>
              <w:spacing w:after="0"/>
              <w:rPr>
                <w:sz w:val="20"/>
                <w:szCs w:val="20"/>
                <w:color w:val="auto"/>
              </w:rPr>
            </w:pPr>
            <w:r>
              <w:rPr>
                <w:rFonts w:ascii="Arial" w:cs="Arial" w:eastAsia="Arial" w:hAnsi="Arial"/>
                <w:sz w:val="20"/>
                <w:szCs w:val="20"/>
                <w:color w:val="auto"/>
              </w:rPr>
              <w:t>100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9.0</w:t>
            </w:r>
          </w:p>
        </w:tc>
        <w:tc>
          <w:tcPr>
            <w:tcW w:w="300" w:type="dxa"/>
            <w:vAlign w:val="bottom"/>
          </w:tcPr>
          <w:p>
            <w:pPr>
              <w:spacing w:after="0"/>
              <w:rPr>
                <w:sz w:val="22"/>
                <w:szCs w:val="22"/>
                <w:color w:val="auto"/>
              </w:rPr>
            </w:pPr>
          </w:p>
        </w:tc>
        <w:tc>
          <w:tcPr>
            <w:tcW w:w="1480" w:type="dxa"/>
            <w:vAlign w:val="bottom"/>
          </w:tcPr>
          <w:p>
            <w:pPr>
              <w:jc w:val="right"/>
              <w:ind w:right="60"/>
              <w:spacing w:after="0"/>
              <w:rPr>
                <w:sz w:val="20"/>
                <w:szCs w:val="20"/>
                <w:color w:val="auto"/>
              </w:rPr>
            </w:pPr>
            <w:r>
              <w:rPr>
                <w:rFonts w:ascii="Arial" w:cs="Arial" w:eastAsia="Arial" w:hAnsi="Arial"/>
                <w:sz w:val="20"/>
                <w:szCs w:val="20"/>
                <w:color w:val="auto"/>
              </w:rPr>
              <w:t>1.0</w:t>
            </w:r>
          </w:p>
        </w:tc>
        <w:tc>
          <w:tcPr>
            <w:tcW w:w="18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20"/>
                <w:szCs w:val="20"/>
                <w:color w:val="auto"/>
              </w:rPr>
              <w:t>8.0</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41"/>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0"/>
        </w:trPr>
        <w:tc>
          <w:tcPr>
            <w:tcW w:w="3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150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1.4</w:t>
            </w:r>
          </w:p>
        </w:tc>
        <w:tc>
          <w:tcPr>
            <w:tcW w:w="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12.2</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9.8</w:t>
            </w:r>
          </w:p>
        </w:tc>
      </w:tr>
      <w:tr>
        <w:trPr>
          <w:trHeight w:val="259"/>
        </w:trPr>
        <w:tc>
          <w:tcPr>
            <w:tcW w:w="3140" w:type="dxa"/>
            <w:vAlign w:val="bottom"/>
          </w:tcPr>
          <w:p>
            <w:pPr>
              <w:jc w:val="right"/>
              <w:ind w:right="60"/>
              <w:spacing w:after="0"/>
              <w:rPr>
                <w:sz w:val="20"/>
                <w:szCs w:val="20"/>
                <w:color w:val="auto"/>
              </w:rPr>
            </w:pPr>
            <w:r>
              <w:rPr>
                <w:rFonts w:ascii="Arial" w:cs="Arial" w:eastAsia="Arial" w:hAnsi="Arial"/>
                <w:sz w:val="20"/>
                <w:szCs w:val="20"/>
                <w:color w:val="auto"/>
              </w:rPr>
              <w:t>200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18.1</w:t>
            </w:r>
          </w:p>
        </w:tc>
        <w:tc>
          <w:tcPr>
            <w:tcW w:w="300" w:type="dxa"/>
            <w:vAlign w:val="bottom"/>
          </w:tcPr>
          <w:p>
            <w:pPr>
              <w:spacing w:after="0"/>
              <w:rPr>
                <w:sz w:val="22"/>
                <w:szCs w:val="22"/>
                <w:color w:val="auto"/>
              </w:rPr>
            </w:pPr>
          </w:p>
        </w:tc>
        <w:tc>
          <w:tcPr>
            <w:tcW w:w="1480" w:type="dxa"/>
            <w:vAlign w:val="bottom"/>
          </w:tcPr>
          <w:p>
            <w:pPr>
              <w:jc w:val="right"/>
              <w:ind w:right="60"/>
              <w:spacing w:after="0"/>
              <w:rPr>
                <w:sz w:val="20"/>
                <w:szCs w:val="20"/>
                <w:color w:val="auto"/>
              </w:rPr>
            </w:pPr>
            <w:r>
              <w:rPr>
                <w:rFonts w:ascii="Arial" w:cs="Arial" w:eastAsia="Arial" w:hAnsi="Arial"/>
                <w:sz w:val="20"/>
                <w:szCs w:val="20"/>
                <w:color w:val="auto"/>
              </w:rPr>
              <w:t>2.0</w:t>
            </w:r>
          </w:p>
        </w:tc>
        <w:tc>
          <w:tcPr>
            <w:tcW w:w="18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20"/>
                <w:szCs w:val="20"/>
                <w:color w:val="auto"/>
              </w:rPr>
              <w:t>16.1</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41"/>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0"/>
        </w:trPr>
        <w:tc>
          <w:tcPr>
            <w:tcW w:w="3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250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22.6</w:t>
            </w: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2.4</w:t>
            </w:r>
          </w:p>
        </w:tc>
        <w:tc>
          <w:tcPr>
            <w:tcW w:w="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20.2</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16.2</w:t>
            </w:r>
          </w:p>
        </w:tc>
      </w:tr>
      <w:tr>
        <w:trPr>
          <w:trHeight w:val="259"/>
        </w:trPr>
        <w:tc>
          <w:tcPr>
            <w:tcW w:w="3140" w:type="dxa"/>
            <w:vAlign w:val="bottom"/>
          </w:tcPr>
          <w:p>
            <w:pPr>
              <w:jc w:val="right"/>
              <w:ind w:right="60"/>
              <w:spacing w:after="0"/>
              <w:rPr>
                <w:sz w:val="20"/>
                <w:szCs w:val="20"/>
                <w:color w:val="auto"/>
              </w:rPr>
            </w:pPr>
            <w:r>
              <w:rPr>
                <w:rFonts w:ascii="Arial" w:cs="Arial" w:eastAsia="Arial" w:hAnsi="Arial"/>
                <w:sz w:val="20"/>
                <w:szCs w:val="20"/>
                <w:color w:val="auto"/>
              </w:rPr>
              <w:t>300</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27.2</w:t>
            </w:r>
          </w:p>
        </w:tc>
        <w:tc>
          <w:tcPr>
            <w:tcW w:w="300" w:type="dxa"/>
            <w:vAlign w:val="bottom"/>
          </w:tcPr>
          <w:p>
            <w:pPr>
              <w:spacing w:after="0"/>
              <w:rPr>
                <w:sz w:val="22"/>
                <w:szCs w:val="22"/>
                <w:color w:val="auto"/>
              </w:rPr>
            </w:pPr>
          </w:p>
        </w:tc>
        <w:tc>
          <w:tcPr>
            <w:tcW w:w="1480" w:type="dxa"/>
            <w:vAlign w:val="bottom"/>
          </w:tcPr>
          <w:p>
            <w:pPr>
              <w:jc w:val="right"/>
              <w:ind w:right="60"/>
              <w:spacing w:after="0"/>
              <w:rPr>
                <w:sz w:val="20"/>
                <w:szCs w:val="20"/>
                <w:color w:val="auto"/>
              </w:rPr>
            </w:pPr>
            <w:r>
              <w:rPr>
                <w:rFonts w:ascii="Arial" w:cs="Arial" w:eastAsia="Arial" w:hAnsi="Arial"/>
                <w:sz w:val="20"/>
                <w:szCs w:val="20"/>
                <w:color w:val="auto"/>
              </w:rPr>
              <w:t>2.9</w:t>
            </w:r>
          </w:p>
        </w:tc>
        <w:tc>
          <w:tcPr>
            <w:tcW w:w="18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20"/>
                <w:szCs w:val="20"/>
                <w:color w:val="auto"/>
              </w:rPr>
              <w:t>24.3</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600"/>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80"/>
              </w:rPr>
              <w:t>79</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91"/>
        </w:trPr>
        <w:tc>
          <w:tcPr>
            <w:tcW w:w="3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590867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08675"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33</w:t>
      </w:r>
    </w:p>
    <w:p>
      <w:pPr>
        <w:sectPr>
          <w:pgSz w:w="11900" w:h="16838" w:orient="portrait"/>
          <w:cols w:equalWidth="0" w:num="1">
            <w:col w:w="9400"/>
          </w:cols>
          <w:pgMar w:left="1260" w:top="1173" w:right="1246" w:bottom="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 w:hanging="286"/>
        <w:spacing w:after="0"/>
        <w:tabs>
          <w:tab w:leader="none" w:pos="286" w:val="left"/>
        </w:tabs>
        <w:numPr>
          <w:ilvl w:val="0"/>
          <w:numId w:val="69"/>
        </w:numPr>
        <w:rPr>
          <w:rFonts w:ascii="Arial" w:cs="Arial" w:eastAsia="Arial" w:hAnsi="Arial"/>
          <w:sz w:val="14"/>
          <w:szCs w:val="14"/>
          <w:color w:val="auto"/>
        </w:rPr>
      </w:pPr>
      <w:r>
        <w:rPr>
          <w:rFonts w:ascii="Arial" w:cs="Arial" w:eastAsia="Arial" w:hAnsi="Arial"/>
          <w:sz w:val="14"/>
          <w:szCs w:val="14"/>
          <w:color w:val="auto"/>
        </w:rPr>
        <w:t>Certain of our variable rate debt investments have a SOFR or prime interest rate floor, which lessens the impact of decreases in interest rates.</w:t>
      </w:r>
    </w:p>
    <w:p>
      <w:pPr>
        <w:spacing w:after="0" w:line="86" w:lineRule="exact"/>
        <w:rPr>
          <w:rFonts w:ascii="Arial" w:cs="Arial" w:eastAsia="Arial" w:hAnsi="Arial"/>
          <w:sz w:val="14"/>
          <w:szCs w:val="14"/>
          <w:color w:val="auto"/>
        </w:rPr>
      </w:pPr>
    </w:p>
    <w:p>
      <w:pPr>
        <w:ind w:left="286" w:hanging="286"/>
        <w:spacing w:after="0"/>
        <w:tabs>
          <w:tab w:leader="none" w:pos="28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Interest income calculated assuming three-month SOFR rate and prime rate as of December 31, 2025.</w:t>
      </w:r>
    </w:p>
    <w:p>
      <w:pPr>
        <w:spacing w:after="0" w:line="86" w:lineRule="exact"/>
        <w:rPr>
          <w:rFonts w:ascii="Arial" w:cs="Arial" w:eastAsia="Arial" w:hAnsi="Arial"/>
          <w:sz w:val="16"/>
          <w:szCs w:val="16"/>
          <w:color w:val="auto"/>
        </w:rPr>
      </w:pPr>
    </w:p>
    <w:p>
      <w:pPr>
        <w:ind w:left="286" w:hanging="286"/>
        <w:spacing w:after="0"/>
        <w:tabs>
          <w:tab w:leader="none" w:pos="28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the impact of income incentive fee at 20.0% on net increase (decrease) in net interest.</w:t>
      </w:r>
    </w:p>
    <w:p>
      <w:pPr>
        <w:spacing w:after="0" w:line="79" w:lineRule="exact"/>
        <w:rPr>
          <w:rFonts w:ascii="Arial" w:cs="Arial" w:eastAsia="Arial" w:hAnsi="Arial"/>
          <w:sz w:val="16"/>
          <w:szCs w:val="16"/>
          <w:color w:val="auto"/>
        </w:rPr>
      </w:pPr>
    </w:p>
    <w:p>
      <w:pPr>
        <w:ind w:left="286" w:hanging="286"/>
        <w:spacing w:after="0"/>
        <w:tabs>
          <w:tab w:leader="none" w:pos="28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of December 31, 2025, we had $83.9 million of borrowings outstanding under our SPV Credit Facility.</w:t>
      </w:r>
    </w:p>
    <w:p>
      <w:pPr>
        <w:spacing w:after="0" w:line="200" w:lineRule="exact"/>
        <w:rPr>
          <w:sz w:val="20"/>
          <w:szCs w:val="20"/>
          <w:color w:val="auto"/>
        </w:rPr>
      </w:pPr>
    </w:p>
    <w:p>
      <w:pPr>
        <w:spacing w:after="0" w:line="207"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6"/>
          </w:cols>
          <w:pgMar w:left="1254"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32 / 33</w:t>
      </w:r>
    </w:p>
    <w:p>
      <w:pPr>
        <w:sectPr>
          <w:pgSz w:w="11900" w:h="16838" w:orient="portrait"/>
          <w:cols w:equalWidth="0" w:num="1">
            <w:col w:w="9306"/>
          </w:cols>
          <w:pgMar w:left="1254" w:top="1440" w:right="1346" w:bottom="0"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Consolidated Financial Statements and Supplementary Data.</w:t>
      </w:r>
    </w:p>
    <w:p>
      <w:pPr>
        <w:spacing w:after="0" w:line="250" w:lineRule="exact"/>
        <w:rPr>
          <w:sz w:val="20"/>
          <w:szCs w:val="20"/>
          <w:color w:val="auto"/>
        </w:rPr>
      </w:pPr>
    </w:p>
    <w:p>
      <w:pPr>
        <w:jc w:val="center"/>
        <w:ind w:right="-233"/>
        <w:spacing w:after="0"/>
        <w:rPr>
          <w:sz w:val="20"/>
          <w:szCs w:val="20"/>
          <w:color w:val="auto"/>
        </w:rPr>
      </w:pPr>
      <w:r>
        <w:rPr>
          <w:rFonts w:ascii="Arial" w:cs="Arial" w:eastAsia="Arial" w:hAnsi="Arial"/>
          <w:sz w:val="20"/>
          <w:szCs w:val="20"/>
          <w:b w:val="1"/>
          <w:bCs w:val="1"/>
          <w:u w:val="single" w:color="auto"/>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644"/>
        </w:trPr>
        <w:tc>
          <w:tcPr>
            <w:tcW w:w="546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0"/>
              </w:rPr>
              <w:t>Management's Report on Internal Controls over Financial Reporting</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82</w:t>
            </w:r>
          </w:p>
        </w:tc>
        <w:tc>
          <w:tcPr>
            <w:tcW w:w="0" w:type="dxa"/>
            <w:vAlign w:val="bottom"/>
          </w:tcPr>
          <w:p>
            <w:pPr>
              <w:spacing w:after="0"/>
              <w:rPr>
                <w:sz w:val="1"/>
                <w:szCs w:val="1"/>
                <w:color w:val="auto"/>
              </w:rPr>
            </w:pPr>
          </w:p>
        </w:tc>
      </w:tr>
      <w:tr>
        <w:trPr>
          <w:trHeight w:val="52"/>
        </w:trPr>
        <w:tc>
          <w:tcPr>
            <w:tcW w:w="4800" w:type="dxa"/>
            <w:vAlign w:val="bottom"/>
            <w:gridSpan w:val="5"/>
            <w:vMerge w:val="restart"/>
          </w:tcPr>
          <w:p>
            <w:pPr>
              <w:spacing w:after="0"/>
              <w:rPr>
                <w:sz w:val="20"/>
                <w:szCs w:val="20"/>
                <w:color w:val="auto"/>
              </w:rPr>
            </w:pPr>
            <w:r>
              <w:rPr>
                <w:rFonts w:ascii="Arial" w:cs="Arial" w:eastAsia="Arial" w:hAnsi="Arial"/>
                <w:sz w:val="20"/>
                <w:szCs w:val="20"/>
                <w:color w:val="0000FF"/>
                <w:w w:val="91"/>
              </w:rPr>
              <w:t>Reports of Independent Registered Public Accounting Firm</w:t>
            </w:r>
          </w:p>
        </w:tc>
        <w:tc>
          <w:tcPr>
            <w:tcW w:w="3380" w:type="dxa"/>
            <w:vAlign w:val="bottom"/>
            <w:gridSpan w:val="6"/>
            <w:vMerge w:val="restart"/>
          </w:tcPr>
          <w:p>
            <w:pPr>
              <w:spacing w:after="0"/>
              <w:rPr>
                <w:sz w:val="20"/>
                <w:szCs w:val="20"/>
                <w:color w:val="auto"/>
              </w:rPr>
            </w:pPr>
            <w:r>
              <w:rPr>
                <w:rFonts w:ascii="Arial" w:cs="Arial" w:eastAsia="Arial" w:hAnsi="Arial"/>
                <w:sz w:val="20"/>
                <w:szCs w:val="20"/>
                <w:color w:val="auto"/>
              </w:rPr>
              <w:t>(PCAOB ID: 49)</w:t>
            </w: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4800" w:type="dxa"/>
            <w:vAlign w:val="bottom"/>
            <w:tcBorders>
              <w:bottom w:val="single" w:sz="8" w:color="0000FF"/>
            </w:tcBorders>
            <w:gridSpan w:val="5"/>
            <w:vMerge w:val="continue"/>
          </w:tcPr>
          <w:p>
            <w:pPr>
              <w:spacing w:after="0"/>
              <w:rPr>
                <w:sz w:val="24"/>
                <w:szCs w:val="24"/>
                <w:color w:val="auto"/>
              </w:rPr>
            </w:pPr>
          </w:p>
        </w:tc>
        <w:tc>
          <w:tcPr>
            <w:tcW w:w="3380" w:type="dxa"/>
            <w:vAlign w:val="bottom"/>
            <w:gridSpan w:val="6"/>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83</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380" w:type="dxa"/>
            <w:vAlign w:val="bottom"/>
            <w:gridSpan w:val="6"/>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8180" w:type="dxa"/>
            <w:vAlign w:val="bottom"/>
            <w:gridSpan w:val="11"/>
          </w:tcPr>
          <w:p>
            <w:pPr>
              <w:spacing w:after="0"/>
              <w:rPr>
                <w:sz w:val="20"/>
                <w:szCs w:val="20"/>
                <w:color w:val="auto"/>
              </w:rPr>
            </w:pPr>
            <w:r>
              <w:rPr>
                <w:rFonts w:ascii="Arial" w:cs="Arial" w:eastAsia="Arial" w:hAnsi="Arial"/>
                <w:sz w:val="20"/>
                <w:szCs w:val="20"/>
                <w:color w:val="auto"/>
              </w:rPr>
              <w:t>Consolidated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300" w:type="dxa"/>
            <w:vAlign w:val="bottom"/>
          </w:tcPr>
          <w:p>
            <w:pPr>
              <w:spacing w:after="0"/>
              <w:rPr>
                <w:sz w:val="24"/>
                <w:szCs w:val="24"/>
                <w:color w:val="auto"/>
              </w:rPr>
            </w:pPr>
          </w:p>
        </w:tc>
        <w:tc>
          <w:tcPr>
            <w:tcW w:w="682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9"/>
              </w:rPr>
              <w:t>Consolidated Statements of Assets and Liabilities as of December 31, 2025 and 2024</w:t>
            </w:r>
          </w:p>
        </w:tc>
        <w:tc>
          <w:tcPr>
            <w:tcW w:w="86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86</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7680" w:type="dxa"/>
            <w:vAlign w:val="bottom"/>
            <w:gridSpan w:val="8"/>
            <w:vMerge w:val="restart"/>
          </w:tcPr>
          <w:p>
            <w:pPr>
              <w:spacing w:after="0"/>
              <w:rPr>
                <w:sz w:val="20"/>
                <w:szCs w:val="20"/>
                <w:color w:val="auto"/>
              </w:rPr>
            </w:pPr>
            <w:r>
              <w:rPr>
                <w:rFonts w:ascii="Arial" w:cs="Arial" w:eastAsia="Arial" w:hAnsi="Arial"/>
                <w:sz w:val="20"/>
                <w:szCs w:val="20"/>
                <w:color w:val="0000FF"/>
                <w:w w:val="89"/>
              </w:rPr>
              <w:t>Consolidated Statements of Operations for the Years Ended December 31, 2025, 2024 and 2023</w:t>
            </w:r>
          </w:p>
        </w:tc>
        <w:tc>
          <w:tcPr>
            <w:tcW w:w="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300" w:type="dxa"/>
            <w:vAlign w:val="bottom"/>
          </w:tcPr>
          <w:p>
            <w:pPr>
              <w:spacing w:after="0"/>
              <w:rPr>
                <w:sz w:val="24"/>
                <w:szCs w:val="24"/>
                <w:color w:val="auto"/>
              </w:rPr>
            </w:pPr>
          </w:p>
        </w:tc>
        <w:tc>
          <w:tcPr>
            <w:tcW w:w="7680" w:type="dxa"/>
            <w:vAlign w:val="bottom"/>
            <w:tcBorders>
              <w:bottom w:val="single" w:sz="8" w:color="0000FF"/>
            </w:tcBorders>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87</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7880" w:type="dxa"/>
            <w:vAlign w:val="bottom"/>
            <w:gridSpan w:val="10"/>
            <w:vMerge w:val="restart"/>
          </w:tcPr>
          <w:p>
            <w:pPr>
              <w:spacing w:after="0"/>
              <w:rPr>
                <w:sz w:val="20"/>
                <w:szCs w:val="20"/>
                <w:color w:val="auto"/>
              </w:rPr>
            </w:pPr>
            <w:r>
              <w:rPr>
                <w:rFonts w:ascii="Arial" w:cs="Arial" w:eastAsia="Arial" w:hAnsi="Arial"/>
                <w:sz w:val="20"/>
                <w:szCs w:val="20"/>
                <w:color w:val="0000FF"/>
                <w:w w:val="89"/>
              </w:rPr>
              <w:t>Consolidated Statements of Changes in Net Assets for the Years Ended December 31, 2025, 2024</w:t>
            </w: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300" w:type="dxa"/>
            <w:vAlign w:val="bottom"/>
          </w:tcPr>
          <w:p>
            <w:pPr>
              <w:spacing w:after="0"/>
              <w:rPr>
                <w:sz w:val="24"/>
                <w:szCs w:val="24"/>
                <w:color w:val="auto"/>
              </w:rPr>
            </w:pPr>
          </w:p>
        </w:tc>
        <w:tc>
          <w:tcPr>
            <w:tcW w:w="7880" w:type="dxa"/>
            <w:vAlign w:val="bottom"/>
            <w:tcBorders>
              <w:bottom w:val="single" w:sz="8" w:color="0000FF"/>
            </w:tcBorders>
            <w:gridSpan w:val="10"/>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40" w:type="dxa"/>
            <w:vAlign w:val="bottom"/>
            <w:gridSpan w:val="9"/>
          </w:tcPr>
          <w:p>
            <w:pPr>
              <w:spacing w:after="0"/>
              <w:rPr>
                <w:sz w:val="20"/>
                <w:szCs w:val="20"/>
                <w:color w:val="auto"/>
              </w:rPr>
            </w:pPr>
            <w:r>
              <w:rPr>
                <w:rFonts w:ascii="Arial" w:cs="Arial" w:eastAsia="Arial" w:hAnsi="Arial"/>
                <w:sz w:val="20"/>
                <w:szCs w:val="20"/>
                <w:color w:val="0000FF"/>
              </w:rPr>
              <w:t>and 2023</w:t>
            </w:r>
          </w:p>
        </w:tc>
        <w:tc>
          <w:tcPr>
            <w:tcW w:w="1000" w:type="dxa"/>
            <w:vAlign w:val="bottom"/>
          </w:tcPr>
          <w:p>
            <w:pPr>
              <w:jc w:val="right"/>
              <w:spacing w:after="0"/>
              <w:rPr>
                <w:sz w:val="20"/>
                <w:szCs w:val="20"/>
                <w:color w:val="auto"/>
              </w:rPr>
            </w:pPr>
            <w:r>
              <w:rPr>
                <w:rFonts w:ascii="Arial" w:cs="Arial" w:eastAsia="Arial" w:hAnsi="Arial"/>
                <w:sz w:val="24"/>
                <w:szCs w:val="24"/>
                <w:color w:val="auto"/>
              </w:rPr>
              <w:t>88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0" w:type="dxa"/>
            <w:vAlign w:val="bottom"/>
          </w:tcPr>
          <w:p>
            <w:pPr>
              <w:spacing w:after="0"/>
              <w:rPr>
                <w:sz w:val="24"/>
                <w:szCs w:val="24"/>
                <w:color w:val="auto"/>
              </w:rPr>
            </w:pPr>
          </w:p>
        </w:tc>
        <w:tc>
          <w:tcPr>
            <w:tcW w:w="776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89"/>
              </w:rPr>
              <w:t>Consolidated Statements of Cash Flows for the Years Ended December 31, 2025, 2024 and 2023</w:t>
            </w:r>
          </w:p>
        </w:tc>
        <w:tc>
          <w:tcPr>
            <w:tcW w:w="120" w:type="dxa"/>
            <w:vAlign w:val="bottom"/>
            <w:vMerge w:val="restart"/>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89</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5980" w:type="dxa"/>
            <w:vAlign w:val="bottom"/>
            <w:gridSpan w:val="6"/>
            <w:vMerge w:val="restart"/>
          </w:tcPr>
          <w:p>
            <w:pPr>
              <w:spacing w:after="0"/>
              <w:rPr>
                <w:sz w:val="20"/>
                <w:szCs w:val="20"/>
                <w:color w:val="auto"/>
              </w:rPr>
            </w:pPr>
            <w:r>
              <w:rPr>
                <w:rFonts w:ascii="Arial" w:cs="Arial" w:eastAsia="Arial" w:hAnsi="Arial"/>
                <w:sz w:val="20"/>
                <w:szCs w:val="20"/>
                <w:color w:val="0000FF"/>
                <w:w w:val="88"/>
              </w:rPr>
              <w:t>Consolidated Schedules of Investments as of December 31, 2025 and 2024</w:t>
            </w:r>
          </w:p>
        </w:tc>
        <w:tc>
          <w:tcPr>
            <w:tcW w:w="178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300" w:type="dxa"/>
            <w:vAlign w:val="bottom"/>
          </w:tcPr>
          <w:p>
            <w:pPr>
              <w:spacing w:after="0"/>
              <w:rPr>
                <w:sz w:val="24"/>
                <w:szCs w:val="24"/>
                <w:color w:val="auto"/>
              </w:rPr>
            </w:pPr>
          </w:p>
        </w:tc>
        <w:tc>
          <w:tcPr>
            <w:tcW w:w="5980" w:type="dxa"/>
            <w:vAlign w:val="bottom"/>
            <w:tcBorders>
              <w:bottom w:val="single" w:sz="8" w:color="0000FF"/>
            </w:tcBorders>
            <w:gridSpan w:val="6"/>
            <w:vMerge w:val="continue"/>
          </w:tcPr>
          <w:p>
            <w:pPr>
              <w:spacing w:after="0"/>
              <w:rPr>
                <w:sz w:val="24"/>
                <w:szCs w:val="24"/>
                <w:color w:val="auto"/>
              </w:rPr>
            </w:pPr>
          </w:p>
        </w:tc>
        <w:tc>
          <w:tcPr>
            <w:tcW w:w="1900" w:type="dxa"/>
            <w:vAlign w:val="bottom"/>
            <w:gridSpan w:val="4"/>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4"/>
                <w:szCs w:val="24"/>
                <w:color w:val="auto"/>
              </w:rPr>
              <w:t>90</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3500" w:type="dxa"/>
            <w:vAlign w:val="bottom"/>
            <w:gridSpan w:val="3"/>
            <w:vMerge w:val="restart"/>
          </w:tcPr>
          <w:p>
            <w:pPr>
              <w:spacing w:after="0"/>
              <w:rPr>
                <w:sz w:val="20"/>
                <w:szCs w:val="20"/>
                <w:color w:val="auto"/>
              </w:rPr>
            </w:pPr>
            <w:r>
              <w:rPr>
                <w:rFonts w:ascii="Arial" w:cs="Arial" w:eastAsia="Arial" w:hAnsi="Arial"/>
                <w:sz w:val="20"/>
                <w:szCs w:val="20"/>
                <w:color w:val="0000FF"/>
                <w:w w:val="89"/>
              </w:rPr>
              <w:t>Notes to Consolidated Financial Statements</w:t>
            </w:r>
          </w:p>
        </w:tc>
        <w:tc>
          <w:tcPr>
            <w:tcW w:w="4380" w:type="dxa"/>
            <w:vAlign w:val="bottom"/>
            <w:gridSpan w:val="7"/>
            <w:vMerge w:val="restart"/>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300" w:type="dxa"/>
            <w:vAlign w:val="bottom"/>
          </w:tcPr>
          <w:p>
            <w:pPr>
              <w:spacing w:after="0"/>
              <w:rPr>
                <w:sz w:val="24"/>
                <w:szCs w:val="24"/>
                <w:color w:val="auto"/>
              </w:rPr>
            </w:pPr>
          </w:p>
        </w:tc>
        <w:tc>
          <w:tcPr>
            <w:tcW w:w="3500" w:type="dxa"/>
            <w:vAlign w:val="bottom"/>
            <w:tcBorders>
              <w:bottom w:val="single" w:sz="8" w:color="0000FF"/>
            </w:tcBorders>
            <w:gridSpan w:val="3"/>
            <w:vMerge w:val="continue"/>
          </w:tcPr>
          <w:p>
            <w:pPr>
              <w:spacing w:after="0"/>
              <w:rPr>
                <w:sz w:val="24"/>
                <w:szCs w:val="24"/>
                <w:color w:val="auto"/>
              </w:rPr>
            </w:pPr>
          </w:p>
        </w:tc>
        <w:tc>
          <w:tcPr>
            <w:tcW w:w="4380" w:type="dxa"/>
            <w:vAlign w:val="bottom"/>
            <w:gridSpan w:val="7"/>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5426710</wp:posOffset>
            </wp:positionH>
            <wp:positionV relativeFrom="paragraph">
              <wp:posOffset>-4205605</wp:posOffset>
            </wp:positionV>
            <wp:extent cx="409575" cy="9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9575" cy="9525"/>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33 / 33</w:t>
      </w:r>
    </w:p>
    <w:p>
      <w:pPr>
        <w:sectPr>
          <w:pgSz w:w="11900" w:h="16838" w:orient="portrait"/>
          <w:cols w:equalWidth="0" w:num="1">
            <w:col w:w="9206"/>
          </w:cols>
          <w:pgMar w:left="1260" w:top="1440" w:right="1440" w:bottom="0" w:gutter="0" w:footer="0" w:header="0"/>
          <w:type w:val="continuous"/>
        </w:sectPr>
      </w:pPr>
    </w:p>
    <w:bookmarkStart w:id="159" w:name="page160"/>
    <w:bookmarkEnd w:id="159"/>
    <w:p>
      <w:pPr>
        <w:spacing w:after="0" w:line="149"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200"/>
          </w:cols>
          <w:pgMar w:left="1440" w:top="1440" w:right="1266" w:bottom="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management of Fidus Investment Corporation (and collectively with its subsidiaries, the “Company,” “we,” “us,” and “our”) is responsible for establishing and maintaining adequate internal control over financial reporting. Our internal control system is a process designed to provide reasonable assurance to our management and board of directors regarding the preparation and fair presentation of its consolidated financial statements for external publishing purposes in accordance with generally accepted accounting principles.</w:t>
      </w:r>
    </w:p>
    <w:p>
      <w:pPr>
        <w:spacing w:after="0" w:line="298"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financial statements.</w:t>
      </w:r>
    </w:p>
    <w:p>
      <w:pPr>
        <w:spacing w:after="0" w:line="303"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as to future periods are subject to the risk that controls could become inadequate because of changes in conditions, or that the degree of compliance with the policies or procedures could deteriorate.</w:t>
      </w:r>
    </w:p>
    <w:p>
      <w:pPr>
        <w:spacing w:after="0" w:line="315"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 xml:space="preserve">Management assessed the effectiveness of the Company’s internal control over financial reporting as of December 31, 2025. In making this assessment, we used the criteria set forth by the Committee of Sponsoring Organizations of the Treadway Commission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in 2013. Based on the assessment, management believes that, as of December 31, 2025, our internal control over financial reporting is effective based on those criteria.</w:t>
      </w:r>
    </w:p>
    <w:p>
      <w:pPr>
        <w:spacing w:after="0" w:line="315"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Company’s independent registered public accounting firm that audited the financial statements has issued an audit report on the effectiveness of our internal control over financial reporting as of December 31, 2025. This report appears on page 85.</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340"/>
          </w:cols>
          <w:pgMar w:left="1260" w:top="1440" w:right="1306"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Fidus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We have audited the accompanying consolidated statements of assets and liabilities of Fidus Investment Corporation and Subsidiaries (the Company), including the consolidated schedules of investments, as of December 31, 2025 and 2024, the related consolidated statements of operations, changes in net assets, and cash flows for each of the three years in the period ended December 31, 2025, and the related notes to the consolidated financial statements (collectively, the financial statements), which includes the senior securities table. In our opinion, the financial statements present fairly, in all material respects, the financial position of the Company as of December 31, 2025 and 2024, and the results of its operations, changes in net assets, and cash flows for each of the three years in the period ended December 31, 2025, in conformity with accounting principles generally accepted in the United States of America.</w:t>
      </w:r>
    </w:p>
    <w:p>
      <w:pPr>
        <w:spacing w:after="0" w:line="318"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and our report dated February 26, 2026, expressed an unqualified opinion on the effectiveness of the Company’s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Company’s financial statements based on our audits. We are a public accounting firm registered with</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the PCAOB and are required to be independent with respect to the Company in accordance with U.S. federal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securities laws and the applicable rules and regulations of the Securities and Exchange Commission and the PCAOB.</w:t>
      </w:r>
    </w:p>
    <w:p>
      <w:pPr>
        <w:spacing w:after="0" w:line="393"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317"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2025 and 2024 by correspondence with the custodian,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380"/>
          </w:cols>
          <w:pgMar w:left="1260" w:top="1440" w:right="1266" w:bottom="0" w:gutter="0" w:footer="0" w:header="0"/>
          <w:type w:val="continuous"/>
        </w:sectPr>
      </w:pPr>
    </w:p>
    <w:bookmarkStart w:id="162" w:name="page163"/>
    <w:bookmarkEnd w:id="162"/>
    <w:p>
      <w:pPr>
        <w:jc w:val="both"/>
        <w:spacing w:after="0" w:line="3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Level 3 Fair Value Measurements</w:t>
      </w:r>
    </w:p>
    <w:p>
      <w:pPr>
        <w:spacing w:after="0" w:line="38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As discussed in Notes 2 and 4 to the consolidated financial statements,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Therefore, the Company values such portfolio investments at fair value using unobservable inputs and assumptions classified as Level 3 fair value measurements within the fair value hierarchy. Such investments classified as level 3 within the fair value hierarchy were approximately $1.325 billion as of December 31, 2025.</w:t>
      </w:r>
    </w:p>
    <w:p>
      <w:pPr>
        <w:spacing w:after="0" w:line="314"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We identified the valuation of Level 3 fair value measurements as a critical audit matter due to the subjective nature of the judgments necessary for management to select valuation techniques and the use of significant unobservable inputs to estimate the fair value, including revenue, earnings or asset coverage multiples, volatility and discount rates. Auditing the reasonableness of management’s selection of valuation techniques and the related unobservable inputs required a high degree of auditor judgement and increased audit effort, including evaluation of the nature of audit evidence obtained and the use of internal valuation specialists.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The primary procedures we performed to address this critical audit matter included the following, among others: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360"/>
          </w:cols>
          <w:pgMar w:left="1260" w:top="1173" w:right="1286" w:bottom="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06" w:right="60" w:hanging="306"/>
        <w:spacing w:after="0" w:line="370" w:lineRule="auto"/>
        <w:tabs>
          <w:tab w:leader="none" w:pos="306" w:val="left"/>
        </w:tabs>
        <w:numPr>
          <w:ilvl w:val="0"/>
          <w:numId w:val="70"/>
        </w:numPr>
        <w:rPr>
          <w:rFonts w:ascii="Arial" w:cs="Arial" w:eastAsia="Arial" w:hAnsi="Arial"/>
          <w:sz w:val="20"/>
          <w:szCs w:val="20"/>
          <w:color w:val="auto"/>
        </w:rPr>
      </w:pPr>
      <w:r>
        <w:rPr>
          <w:rFonts w:ascii="Arial" w:cs="Arial" w:eastAsia="Arial" w:hAnsi="Arial"/>
          <w:sz w:val="20"/>
          <w:szCs w:val="20"/>
          <w:color w:val="auto"/>
        </w:rPr>
        <w:t>We obtained an understanding of the relevant controls related to management’s valuation of investments utilizing Level 3 fair value measurements, including those related to valuation techniques and significant unobservable inputs, and tested such controls for design and operating effectiveness.</w:t>
      </w:r>
    </w:p>
    <w:p>
      <w:pPr>
        <w:spacing w:after="0" w:line="316" w:lineRule="exact"/>
        <w:rPr>
          <w:rFonts w:ascii="Arial" w:cs="Arial" w:eastAsia="Arial" w:hAnsi="Arial"/>
          <w:sz w:val="20"/>
          <w:szCs w:val="20"/>
          <w:color w:val="auto"/>
        </w:rPr>
      </w:pPr>
    </w:p>
    <w:p>
      <w:pPr>
        <w:jc w:val="both"/>
        <w:ind w:left="306" w:right="20" w:hanging="306"/>
        <w:spacing w:after="0" w:line="395" w:lineRule="auto"/>
        <w:tabs>
          <w:tab w:leader="none" w:pos="306" w:val="left"/>
        </w:tabs>
        <w:numPr>
          <w:ilvl w:val="0"/>
          <w:numId w:val="70"/>
        </w:numPr>
        <w:rPr>
          <w:rFonts w:ascii="Arial" w:cs="Arial" w:eastAsia="Arial" w:hAnsi="Arial"/>
          <w:sz w:val="19"/>
          <w:szCs w:val="19"/>
          <w:color w:val="auto"/>
        </w:rPr>
      </w:pPr>
      <w:r>
        <w:rPr>
          <w:rFonts w:ascii="Arial" w:cs="Arial" w:eastAsia="Arial" w:hAnsi="Arial"/>
          <w:sz w:val="19"/>
          <w:szCs w:val="19"/>
          <w:color w:val="auto"/>
        </w:rPr>
        <w:t>We evaluated the appropriateness of management’s valuation techniques, such as the discounted cash flow or enterprise value, and management’s asset coverage analysis. We also evaluated whether assumptions used by management, including revenue, earnings or asset coverage multiples, volatility, and discount rates were reasonable by comparing and calibrating these inputs to relevant historical data and market information obtained from external sources while considering portfolio company-specific factors like performance. For a selection of investments, we utilized valuation specialists to assist with this evaluation.</w:t>
      </w:r>
    </w:p>
    <w:p>
      <w:pPr>
        <w:spacing w:after="0" w:line="302" w:lineRule="exact"/>
        <w:rPr>
          <w:rFonts w:ascii="Arial" w:cs="Arial" w:eastAsia="Arial" w:hAnsi="Arial"/>
          <w:sz w:val="19"/>
          <w:szCs w:val="19"/>
          <w:color w:val="auto"/>
        </w:rPr>
      </w:pPr>
    </w:p>
    <w:p>
      <w:pPr>
        <w:ind w:left="306" w:right="40" w:hanging="306"/>
        <w:spacing w:after="0" w:line="365" w:lineRule="auto"/>
        <w:tabs>
          <w:tab w:leader="none" w:pos="306"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For a select number of investments we developed an independent fair value estimate which was compared to management’s estimate.</w:t>
      </w:r>
    </w:p>
    <w:p>
      <w:pPr>
        <w:spacing w:after="0" w:line="320"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0"/>
        </w:numPr>
        <w:rPr>
          <w:rFonts w:ascii="Arial" w:cs="Arial" w:eastAsia="Arial" w:hAnsi="Arial"/>
          <w:sz w:val="20"/>
          <w:szCs w:val="20"/>
          <w:color w:val="auto"/>
        </w:rPr>
      </w:pPr>
      <w:r>
        <w:rPr>
          <w:rFonts w:ascii="Arial" w:cs="Arial" w:eastAsia="Arial" w:hAnsi="Arial"/>
          <w:sz w:val="20"/>
          <w:szCs w:val="20"/>
          <w:color w:val="auto"/>
        </w:rPr>
        <w:t>We evaluated the Company’s historical ability to estimate fair value by comparing the fair value as estimated by management against sale transactions, taking into consideration changes in market or investment specific factors, where applicable and available.</w:t>
      </w:r>
    </w:p>
    <w:p>
      <w:pPr>
        <w:spacing w:after="0" w:line="200" w:lineRule="exact"/>
        <w:rPr>
          <w:sz w:val="20"/>
          <w:szCs w:val="20"/>
          <w:color w:val="auto"/>
        </w:rPr>
      </w:pPr>
    </w:p>
    <w:p>
      <w:pPr>
        <w:spacing w:after="0" w:line="361" w:lineRule="exact"/>
        <w:rPr>
          <w:sz w:val="20"/>
          <w:szCs w:val="20"/>
          <w:color w:val="auto"/>
        </w:rPr>
      </w:pPr>
    </w:p>
    <w:p>
      <w:pPr>
        <w:ind w:left="6"/>
        <w:spacing w:after="0"/>
        <w:rPr>
          <w:sz w:val="20"/>
          <w:szCs w:val="20"/>
          <w:color w:val="auto"/>
        </w:rPr>
      </w:pPr>
      <w:r>
        <w:rPr>
          <w:rFonts w:ascii="Arial" w:cs="Arial" w:eastAsia="Arial" w:hAnsi="Arial"/>
          <w:sz w:val="20"/>
          <w:szCs w:val="20"/>
          <w:color w:val="auto"/>
        </w:rPr>
        <w:t>/s/ RSM US LLP</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We have served as the Company’s auditor since 2007.</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Chicago, Illinois</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366"/>
          </w:cols>
          <w:pgMar w:left="1254" w:top="1440" w:right="1286" w:bottom="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Fidus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Internal Control Over Financial Reporting</w:t>
      </w:r>
    </w:p>
    <w:p>
      <w:pPr>
        <w:spacing w:after="0" w:line="80"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 xml:space="preserve">We have audited Fidus Investment Corporation and Subsidiaries' (the Company) internal control over financial reporting as of December 31, 2025, based on criteria established in </w:t>
      </w:r>
      <w:r>
        <w:rPr>
          <w:rFonts w:ascii="Arial" w:cs="Arial" w:eastAsia="Arial" w:hAnsi="Arial"/>
          <w:sz w:val="19"/>
          <w:szCs w:val="19"/>
          <w:i w:val="1"/>
          <w:iCs w:val="1"/>
          <w:color w:val="auto"/>
        </w:rPr>
        <w:t>Internal Control — 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in 2013. In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opinion, the Company maintained, in all material respects, effective internal control over financial reporting as of December 31, 2025,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in 2013.</w:t>
      </w:r>
    </w:p>
    <w:p>
      <w:pPr>
        <w:spacing w:after="0" w:line="303"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of the Company, including the consolidated schedules of investments, as of December 31, 2025 and 2024, the related consolidated statements of operations, changes in net assets, and cash flows for each of the three years in the period ended December 31, 2025, and the related notes to the consolidated financial statements (collectively, the financial statements), which includes the senior securities table, and our report dated February 26, 2026 expressed an unqualified opinion.</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80"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80"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380"/>
          </w:cols>
          <w:pgMar w:left="1260" w:top="1440" w:right="1266" w:bottom="0" w:gutter="0" w:footer="0" w:header="0"/>
          <w:type w:val="continuous"/>
        </w:sectPr>
      </w:pPr>
    </w:p>
    <w:bookmarkStart w:id="165" w:name="page166"/>
    <w:bookmarkEnd w:id="165"/>
    <w:p>
      <w:pPr>
        <w:jc w:val="both"/>
        <w:spacing w:after="0" w:line="329" w:lineRule="auto"/>
        <w:rPr>
          <w:sz w:val="20"/>
          <w:szCs w:val="20"/>
          <w:color w:val="auto"/>
        </w:rPr>
      </w:pPr>
      <w:r>
        <w:rPr>
          <w:rFonts w:ascii="Arial" w:cs="Arial" w:eastAsia="Arial" w:hAnsi="Arial"/>
          <w:sz w:val="19"/>
          <w:szCs w:val="19"/>
          <w:color w:val="auto"/>
        </w:rPr>
        <w:t>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3"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 RSM US LLP</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380"/>
          </w:cols>
          <w:pgMar w:left="1260" w:top="1173" w:right="1266" w:bottom="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Consolidated Statements of Assets and Liabilities</w:t>
      </w:r>
    </w:p>
    <w:p>
      <w:pPr>
        <w:spacing w:after="0" w:line="70"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16"/>
                <w:szCs w:val="16"/>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54"/>
        </w:trPr>
        <w:tc>
          <w:tcPr>
            <w:tcW w:w="6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2"/>
                <w:szCs w:val="22"/>
                <w:color w:val="auto"/>
              </w:rPr>
            </w:pPr>
          </w:p>
        </w:tc>
        <w:tc>
          <w:tcPr>
            <w:tcW w:w="1180" w:type="dxa"/>
            <w:vAlign w:val="bottom"/>
          </w:tcPr>
          <w:p>
            <w:pPr>
              <w:jc w:val="right"/>
              <w:ind w:right="460"/>
              <w:spacing w:after="0"/>
              <w:rPr>
                <w:sz w:val="20"/>
                <w:szCs w:val="20"/>
                <w:color w:val="auto"/>
              </w:rPr>
            </w:pPr>
            <w:r>
              <w:rPr>
                <w:rFonts w:ascii="Arial" w:cs="Arial" w:eastAsia="Arial" w:hAnsi="Arial"/>
                <w:sz w:val="16"/>
                <w:szCs w:val="16"/>
                <w:b w:val="1"/>
                <w:bCs w:val="1"/>
                <w:color w:val="auto"/>
              </w:rPr>
              <w:t>2024</w:t>
            </w:r>
          </w:p>
        </w:tc>
      </w:tr>
      <w:tr>
        <w:trPr>
          <w:trHeight w:val="42"/>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6"/>
                <w:szCs w:val="16"/>
                <w:color w:val="auto"/>
              </w:rPr>
              <w:t>Investments, at fair value: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4"/>
        </w:trPr>
        <w:tc>
          <w:tcPr>
            <w:tcW w:w="6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Control investments (cost: $1,610 and $6,832, respectively)</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66"/>
        </w:trPr>
        <w:tc>
          <w:tcPr>
            <w:tcW w:w="6600" w:type="dxa"/>
            <w:vAlign w:val="bottom"/>
          </w:tcPr>
          <w:p>
            <w:pPr>
              <w:ind w:left="180"/>
              <w:spacing w:after="0"/>
              <w:rPr>
                <w:sz w:val="20"/>
                <w:szCs w:val="20"/>
                <w:color w:val="auto"/>
              </w:rPr>
            </w:pPr>
            <w:r>
              <w:rPr>
                <w:rFonts w:ascii="Arial" w:cs="Arial" w:eastAsia="Arial" w:hAnsi="Arial"/>
                <w:sz w:val="16"/>
                <w:szCs w:val="16"/>
                <w:color w:val="auto"/>
              </w:rPr>
              <w:t>Affiliate investments (cost: $75,208 and $56,679, respectively)</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119,015</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102,024</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304"/>
        </w:trPr>
        <w:tc>
          <w:tcPr>
            <w:tcW w:w="6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Non-control/non-affiliate investments (cost: $1,222,476 and $1,011,646, respectively)</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1,205,738</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988,482</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Total investments, at fair value (cost: $1,299,294 and $1,075,157, respectively)</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1,324,753</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1,090,506</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69,995</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57,159</w:t>
            </w:r>
          </w:p>
        </w:tc>
      </w:tr>
      <w:tr>
        <w:trPr>
          <w:trHeight w:val="282"/>
        </w:trPr>
        <w:tc>
          <w:tcPr>
            <w:tcW w:w="6600" w:type="dxa"/>
            <w:vAlign w:val="bottom"/>
          </w:tcPr>
          <w:p>
            <w:pPr>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4"/>
                <w:szCs w:val="24"/>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9,611</w:t>
            </w:r>
          </w:p>
        </w:tc>
        <w:tc>
          <w:tcPr>
            <w:tcW w:w="200" w:type="dxa"/>
            <w:vAlign w:val="bottom"/>
          </w:tcPr>
          <w:p>
            <w:pPr>
              <w:spacing w:after="0"/>
              <w:rPr>
                <w:sz w:val="24"/>
                <w:szCs w:val="24"/>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2"/>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receivable</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21,414</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15,119</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766</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1,328</w:t>
            </w:r>
          </w:p>
        </w:tc>
      </w:tr>
      <w:tr>
        <w:trPr>
          <w:trHeight w:val="59"/>
        </w:trPr>
        <w:tc>
          <w:tcPr>
            <w:tcW w:w="6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82"/>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1,426,539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1,164,112</w:t>
            </w:r>
          </w:p>
        </w:tc>
      </w:tr>
      <w:tr>
        <w:trPr>
          <w:trHeight w:val="77"/>
        </w:trPr>
        <w:tc>
          <w:tcPr>
            <w:tcW w:w="6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5"/>
              </w:rPr>
              <w:t>SBA debentures (net of $6,943 and $6,101, respectively, of unamortized deferred financing costs)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230,557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168,899</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Notes (net of $4,109 and $1,638, respectively, of unamortized deferred financing costs)</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320,891</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248,362</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6"/>
              </w:rPr>
              <w:t>Credit Facilities (net of $3,223 and $1,046, respectively, of unamortized deferred financing costs)</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80,627</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43,954</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Secured borrowings</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12,000</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13,674</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Accrued interest and fees payable</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7,449</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5,784</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Base management fee payable, net of base management fee waiver – due to affiliate</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5,596</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4,805</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incentive fee payable – due to affiliate</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4,721</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4,477</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Capital gains incentive fee payable – due to affiliate</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16,414</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14,703</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Administration fee payable and other – due to affiliate</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988</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919</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Taxes payable</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3,568</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1,850</w:t>
            </w:r>
          </w:p>
        </w:tc>
      </w:tr>
      <w:tr>
        <w:trPr>
          <w:trHeight w:val="49"/>
        </w:trPr>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30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1,829</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1,019</w:t>
            </w:r>
          </w:p>
        </w:tc>
      </w:tr>
      <w:tr>
        <w:trPr>
          <w:trHeight w:val="282"/>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684,640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508,446</w:t>
            </w:r>
          </w:p>
        </w:tc>
      </w:tr>
      <w:tr>
        <w:trPr>
          <w:trHeight w:val="42"/>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6"/>
                <w:szCs w:val="16"/>
                <w:b w:val="1"/>
                <w:bCs w:val="1"/>
                <w:color w:val="auto"/>
              </w:rPr>
              <w:t>NET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w w:val="91"/>
              </w:rPr>
              <w:t>Common stock, $0.001 par value (100,000,000 shares authorized, 37,954,364 and 33,914,652 shares</w:t>
            </w:r>
          </w:p>
        </w:tc>
        <w:tc>
          <w:tcPr>
            <w:tcW w:w="24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r>
      <w:tr>
        <w:trPr>
          <w:trHeight w:val="329"/>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issued and</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r>
      <w:tr>
        <w:trPr>
          <w:trHeight w:val="282"/>
        </w:trPr>
        <w:tc>
          <w:tcPr>
            <w:tcW w:w="6600" w:type="dxa"/>
            <w:vAlign w:val="bottom"/>
          </w:tcPr>
          <w:p>
            <w:pPr>
              <w:ind w:left="100"/>
              <w:spacing w:after="0"/>
              <w:rPr>
                <w:sz w:val="20"/>
                <w:szCs w:val="20"/>
                <w:color w:val="auto"/>
              </w:rPr>
            </w:pPr>
            <w:r>
              <w:rPr>
                <w:rFonts w:ascii="Arial" w:cs="Arial" w:eastAsia="Arial" w:hAnsi="Arial"/>
                <w:sz w:val="16"/>
                <w:szCs w:val="16"/>
                <w:color w:val="auto"/>
              </w:rPr>
              <w:t>outstanding at December 31, 2025 and December 31, 2024, respectively)</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34</w:t>
            </w:r>
          </w:p>
        </w:tc>
      </w:tr>
      <w:tr>
        <w:trPr>
          <w:trHeight w:val="32"/>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641,376</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567,159</w:t>
            </w:r>
          </w:p>
        </w:tc>
      </w:tr>
      <w:tr>
        <w:trPr>
          <w:trHeight w:val="266"/>
        </w:trPr>
        <w:tc>
          <w:tcPr>
            <w:tcW w:w="6600" w:type="dxa"/>
            <w:vAlign w:val="bottom"/>
          </w:tcPr>
          <w:p>
            <w:pPr>
              <w:spacing w:after="0"/>
              <w:rPr>
                <w:sz w:val="20"/>
                <w:szCs w:val="20"/>
                <w:color w:val="auto"/>
              </w:rPr>
            </w:pPr>
            <w:r>
              <w:rPr>
                <w:rFonts w:ascii="Arial" w:cs="Arial" w:eastAsia="Arial" w:hAnsi="Arial"/>
                <w:sz w:val="16"/>
                <w:szCs w:val="16"/>
                <w:color w:val="auto"/>
              </w:rPr>
              <w:t>Total distributable earnings</w:t>
            </w:r>
          </w:p>
        </w:tc>
        <w:tc>
          <w:tcPr>
            <w:tcW w:w="24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100,485</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88,473</w:t>
            </w:r>
          </w:p>
        </w:tc>
      </w:tr>
      <w:tr>
        <w:trPr>
          <w:trHeight w:val="59"/>
        </w:trPr>
        <w:tc>
          <w:tcPr>
            <w:tcW w:w="6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304"/>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net assets</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741,899</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655,666</w:t>
            </w:r>
          </w:p>
        </w:tc>
      </w:tr>
      <w:tr>
        <w:trPr>
          <w:trHeight w:val="282"/>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liabilities and net assets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1,426,539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1,164,112</w:t>
            </w:r>
          </w:p>
        </w:tc>
      </w:tr>
      <w:tr>
        <w:trPr>
          <w:trHeight w:val="77"/>
        </w:trPr>
        <w:tc>
          <w:tcPr>
            <w:tcW w:w="6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82"/>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asset value per common share</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19.55</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19.33</w:t>
            </w:r>
          </w:p>
        </w:tc>
      </w:tr>
      <w:tr>
        <w:trPr>
          <w:trHeight w:val="77"/>
        </w:trPr>
        <w:tc>
          <w:tcPr>
            <w:tcW w:w="6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-6755765</wp:posOffset>
            </wp:positionV>
            <wp:extent cx="162115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2115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-5827395</wp:posOffset>
            </wp:positionV>
            <wp:extent cx="168084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8084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-4822825</wp:posOffset>
            </wp:positionV>
            <wp:extent cx="162115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115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-4617085</wp:posOffset>
            </wp:positionV>
            <wp:extent cx="1680845" cy="28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80845" cy="2857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-2230755</wp:posOffset>
            </wp:positionV>
            <wp:extent cx="168084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8084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-2025015</wp:posOffset>
            </wp:positionV>
            <wp:extent cx="162115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115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-668020</wp:posOffset>
            </wp:positionV>
            <wp:extent cx="162115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2115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-462280</wp:posOffset>
            </wp:positionV>
            <wp:extent cx="168084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80845" cy="635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-255905</wp:posOffset>
            </wp:positionV>
            <wp:extent cx="1621155" cy="28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1155" cy="2857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-27940</wp:posOffset>
            </wp:positionV>
            <wp:extent cx="1680845" cy="28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8084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440" w:right="1246" w:bottom="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7"/>
          <w:szCs w:val="17"/>
          <w:i w:val="1"/>
          <w:iCs w:val="1"/>
          <w:color w:val="auto"/>
        </w:rPr>
        <w:t>See Notes to Consolidated Financial Statements.</w:t>
      </w:r>
    </w:p>
    <w:p>
      <w:pPr>
        <w:sectPr>
          <w:pgSz w:w="11900" w:h="16838" w:orient="portrait"/>
          <w:cols w:equalWidth="0" w:num="1">
            <w:col w:w="9026"/>
          </w:cols>
          <w:pgMar w:left="1440" w:top="1440" w:right="1440" w:bottom="0" w:gutter="0" w:footer="0" w:header="0"/>
        </w:sectPr>
      </w:pPr>
    </w:p>
    <w:p>
      <w:pPr>
        <w:spacing w:after="0" w:line="10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026"/>
          </w:cols>
          <w:pgMar w:left="1440" w:top="1440" w:right="1440" w:bottom="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FIDUS INVESTMENT CORPORATION</w:t>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shares and per share data)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Income:</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income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Control investments</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Affiliate investments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Non-control/non-affiliate investments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interest income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Payment-in-kind interest income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Control investments</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Affiliate investments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Non-control/non-affiliate investments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payment-in-kind interest income</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 income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Control investments</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Affiliate investments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Non-control/non-affiliate investments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dividend income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Fee income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Control investments</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Affiliate investments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Non-control/non-affiliate investments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fee income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on idle funds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Total investment income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Years Ended December 31,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240" w:type="dxa"/>
            <w:vAlign w:val="bottom"/>
          </w:tcPr>
          <w:p>
            <w:pPr>
              <w:spacing w:after="0"/>
              <w:rPr>
                <w:sz w:val="22"/>
                <w:szCs w:val="22"/>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620" w:type="dxa"/>
            <w:vAlign w:val="bottom"/>
          </w:tcPr>
          <w:p>
            <w:pPr>
              <w:spacing w:after="0"/>
              <w:rPr>
                <w:sz w:val="22"/>
                <w:szCs w:val="22"/>
                <w:color w:val="auto"/>
              </w:rPr>
            </w:pPr>
          </w:p>
        </w:tc>
        <w:tc>
          <w:tcPr>
            <w:tcW w:w="1260" w:type="dxa"/>
            <w:vAlign w:val="bottom"/>
          </w:tcPr>
          <w:p>
            <w:pPr>
              <w:jc w:val="right"/>
              <w:ind w:right="700"/>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22"/>
                <w:szCs w:val="22"/>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2023</w:t>
            </w:r>
          </w:p>
        </w:tc>
      </w:tr>
      <w:tr>
        <w:trPr>
          <w:trHeight w:val="773"/>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4,619</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3,533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4,026</w:t>
            </w:r>
          </w:p>
        </w:tc>
      </w:tr>
      <w:tr>
        <w:trPr>
          <w:trHeight w:val="31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121,752</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119,620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105,921</w:t>
            </w:r>
          </w:p>
        </w:tc>
      </w:tr>
      <w:tr>
        <w:trPr>
          <w:trHeight w:val="32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126,371</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123,153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109,947</w:t>
            </w:r>
          </w:p>
        </w:tc>
      </w:tr>
      <w:tr>
        <w:trPr>
          <w:trHeight w:val="525"/>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10,866</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7,831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6,634</w:t>
            </w:r>
          </w:p>
        </w:tc>
      </w:tr>
      <w:tr>
        <w:trPr>
          <w:trHeight w:val="32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10,866</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7,840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6,634</w:t>
            </w:r>
          </w:p>
        </w:tc>
      </w:tr>
      <w:tr>
        <w:trPr>
          <w:trHeight w:val="525"/>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1,555</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1,830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31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412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32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3,051</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2,242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525"/>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909</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1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11,247</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9,389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9,385</w:t>
            </w:r>
          </w:p>
        </w:tc>
      </w:tr>
      <w:tr>
        <w:trPr>
          <w:trHeight w:val="32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12,156</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9,572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9,450</w:t>
            </w:r>
          </w:p>
        </w:tc>
      </w:tr>
      <w:tr>
        <w:trPr>
          <w:trHeight w:val="31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3,347</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324"/>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155,872</w:t>
            </w:r>
          </w:p>
        </w:tc>
        <w:tc>
          <w:tcPr>
            <w:tcW w:w="6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color w:val="auto"/>
              </w:rPr>
              <w:t>146,154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-4087495</wp:posOffset>
            </wp:positionV>
            <wp:extent cx="5967730" cy="161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7730" cy="1612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-3764280</wp:posOffset>
            </wp:positionV>
            <wp:extent cx="5967730" cy="1993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-4423410</wp:posOffset>
            </wp:positionV>
            <wp:extent cx="5967730" cy="4622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7730" cy="462280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-4423410</wp:posOffset>
            </wp:positionV>
            <wp:extent cx="5967730" cy="4622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7730" cy="462280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4280" w:space="720"/>
            <w:col w:w="4400"/>
          </w:cols>
          <w:pgMar w:left="1260" w:top="1440" w:right="1246" w:bottom="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4480" w:type="dxa"/>
            <w:vAlign w:val="bottom"/>
          </w:tcPr>
          <w:p>
            <w:pPr>
              <w:ind w:left="60"/>
              <w:spacing w:after="0"/>
              <w:rPr>
                <w:sz w:val="20"/>
                <w:szCs w:val="20"/>
                <w:color w:val="auto"/>
              </w:rPr>
            </w:pPr>
            <w:r>
              <w:rPr>
                <w:rFonts w:ascii="Arial" w:cs="Arial" w:eastAsia="Arial" w:hAnsi="Arial"/>
                <w:sz w:val="16"/>
                <w:szCs w:val="16"/>
                <w:color w:val="auto"/>
              </w:rPr>
              <w:t>Interest and financing expenses</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31,614</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24,398</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22,749</w:t>
            </w:r>
          </w:p>
        </w:tc>
      </w:tr>
      <w:tr>
        <w:trPr>
          <w:trHeight w:val="49"/>
        </w:trPr>
        <w:tc>
          <w:tcPr>
            <w:tcW w:w="4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4"/>
        </w:trPr>
        <w:tc>
          <w:tcPr>
            <w:tcW w:w="4480" w:type="dxa"/>
            <w:vAlign w:val="bottom"/>
            <w:tcBorders>
              <w:bottom w:val="single" w:sz="8" w:color="DBEEF4"/>
            </w:tcBorders>
            <w:shd w:val="clear" w:color="auto" w:fill="DBEEF4"/>
          </w:tcPr>
          <w:p>
            <w:pPr>
              <w:ind w:left="60"/>
              <w:spacing w:after="0"/>
              <w:rPr>
                <w:sz w:val="20"/>
                <w:szCs w:val="20"/>
                <w:color w:val="auto"/>
              </w:rPr>
            </w:pPr>
            <w:r>
              <w:rPr>
                <w:rFonts w:ascii="Arial" w:cs="Arial" w:eastAsia="Arial" w:hAnsi="Arial"/>
                <w:sz w:val="16"/>
                <w:szCs w:val="16"/>
                <w:color w:val="auto"/>
              </w:rPr>
              <w:t>Base management fee</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20,932</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18,855</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16,288</w:t>
            </w:r>
          </w:p>
        </w:tc>
      </w:tr>
      <w:tr>
        <w:trPr>
          <w:trHeight w:val="266"/>
        </w:trPr>
        <w:tc>
          <w:tcPr>
            <w:tcW w:w="4480" w:type="dxa"/>
            <w:vAlign w:val="bottom"/>
          </w:tcPr>
          <w:p>
            <w:pPr>
              <w:ind w:left="60"/>
              <w:spacing w:after="0"/>
              <w:rPr>
                <w:sz w:val="20"/>
                <w:szCs w:val="20"/>
                <w:color w:val="auto"/>
              </w:rPr>
            </w:pPr>
            <w:r>
              <w:rPr>
                <w:rFonts w:ascii="Arial" w:cs="Arial" w:eastAsia="Arial" w:hAnsi="Arial"/>
                <w:sz w:val="16"/>
                <w:szCs w:val="16"/>
                <w:color w:val="auto"/>
              </w:rPr>
              <w:t>Incentive fee - income</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18,540</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18,549</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16,529</w:t>
            </w:r>
          </w:p>
        </w:tc>
      </w:tr>
      <w:tr>
        <w:trPr>
          <w:trHeight w:val="49"/>
        </w:trPr>
        <w:tc>
          <w:tcPr>
            <w:tcW w:w="4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4"/>
        </w:trPr>
        <w:tc>
          <w:tcPr>
            <w:tcW w:w="4480" w:type="dxa"/>
            <w:vAlign w:val="bottom"/>
            <w:tcBorders>
              <w:bottom w:val="single" w:sz="8" w:color="DBEEF4"/>
            </w:tcBorders>
            <w:shd w:val="clear" w:color="auto" w:fill="DBEEF4"/>
          </w:tcPr>
          <w:p>
            <w:pPr>
              <w:ind w:left="60"/>
              <w:spacing w:after="0"/>
              <w:rPr>
                <w:sz w:val="20"/>
                <w:szCs w:val="20"/>
                <w:color w:val="auto"/>
              </w:rPr>
            </w:pPr>
            <w:r>
              <w:rPr>
                <w:rFonts w:ascii="Arial" w:cs="Arial" w:eastAsia="Arial" w:hAnsi="Arial"/>
                <w:sz w:val="16"/>
                <w:szCs w:val="16"/>
                <w:color w:val="auto"/>
              </w:rPr>
              <w:t>Incentive fee (reversal) - capital gains</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1,711</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731</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2,405</w:t>
            </w:r>
          </w:p>
        </w:tc>
      </w:tr>
      <w:tr>
        <w:trPr>
          <w:trHeight w:val="266"/>
        </w:trPr>
        <w:tc>
          <w:tcPr>
            <w:tcW w:w="4480" w:type="dxa"/>
            <w:vAlign w:val="bottom"/>
          </w:tcPr>
          <w:p>
            <w:pPr>
              <w:ind w:left="60"/>
              <w:spacing w:after="0"/>
              <w:rPr>
                <w:sz w:val="20"/>
                <w:szCs w:val="20"/>
                <w:color w:val="auto"/>
              </w:rPr>
            </w:pPr>
            <w:r>
              <w:rPr>
                <w:rFonts w:ascii="Arial" w:cs="Arial" w:eastAsia="Arial" w:hAnsi="Arial"/>
                <w:sz w:val="16"/>
                <w:szCs w:val="16"/>
                <w:color w:val="auto"/>
              </w:rPr>
              <w:t>Administrative service expenses</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2,672</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2,598</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2,353</w:t>
            </w:r>
          </w:p>
        </w:tc>
      </w:tr>
      <w:tr>
        <w:trPr>
          <w:trHeight w:val="49"/>
        </w:trPr>
        <w:tc>
          <w:tcPr>
            <w:tcW w:w="4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4"/>
        </w:trPr>
        <w:tc>
          <w:tcPr>
            <w:tcW w:w="4480" w:type="dxa"/>
            <w:vAlign w:val="bottom"/>
            <w:tcBorders>
              <w:bottom w:val="single" w:sz="8" w:color="DBEEF4"/>
            </w:tcBorders>
            <w:shd w:val="clear" w:color="auto" w:fill="DBEEF4"/>
          </w:tcPr>
          <w:p>
            <w:pPr>
              <w:ind w:left="60"/>
              <w:spacing w:after="0"/>
              <w:rPr>
                <w:sz w:val="20"/>
                <w:szCs w:val="20"/>
                <w:color w:val="auto"/>
              </w:rPr>
            </w:pPr>
            <w:r>
              <w:rPr>
                <w:rFonts w:ascii="Arial" w:cs="Arial" w:eastAsia="Arial" w:hAnsi="Arial"/>
                <w:sz w:val="16"/>
                <w:szCs w:val="16"/>
                <w:color w:val="auto"/>
              </w:rPr>
              <w:t>Professional fees</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3,367</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3,208</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2,906</w:t>
            </w:r>
          </w:p>
        </w:tc>
      </w:tr>
      <w:tr>
        <w:trPr>
          <w:trHeight w:val="266"/>
        </w:trPr>
        <w:tc>
          <w:tcPr>
            <w:tcW w:w="4480" w:type="dxa"/>
            <w:vAlign w:val="bottom"/>
          </w:tcPr>
          <w:p>
            <w:pPr>
              <w:ind w:left="60"/>
              <w:spacing w:after="0"/>
              <w:rPr>
                <w:sz w:val="20"/>
                <w:szCs w:val="20"/>
                <w:color w:val="auto"/>
              </w:rPr>
            </w:pPr>
            <w:r>
              <w:rPr>
                <w:rFonts w:ascii="Arial" w:cs="Arial" w:eastAsia="Arial" w:hAnsi="Arial"/>
                <w:sz w:val="16"/>
                <w:szCs w:val="16"/>
                <w:color w:val="auto"/>
              </w:rPr>
              <w:t>Other general and administrative expenses</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1,169</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1,003</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1,031</w:t>
            </w:r>
          </w:p>
        </w:tc>
      </w:tr>
      <w:tr>
        <w:trPr>
          <w:trHeight w:val="59"/>
        </w:trPr>
        <w:tc>
          <w:tcPr>
            <w:tcW w:w="44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304"/>
        </w:trPr>
        <w:tc>
          <w:tcPr>
            <w:tcW w:w="4480" w:type="dxa"/>
            <w:vAlign w:val="bottom"/>
            <w:tcBorders>
              <w:bottom w:val="single" w:sz="8" w:color="DBEEF4"/>
            </w:tcBorders>
            <w:shd w:val="clear" w:color="auto" w:fill="DBEEF4"/>
          </w:tcPr>
          <w:p>
            <w:pPr>
              <w:spacing w:after="0"/>
              <w:rPr>
                <w:sz w:val="20"/>
                <w:szCs w:val="20"/>
                <w:color w:val="auto"/>
              </w:rPr>
            </w:pPr>
            <w:r>
              <w:rPr>
                <w:rFonts w:ascii="Arial" w:cs="Arial" w:eastAsia="Arial" w:hAnsi="Arial"/>
                <w:sz w:val="16"/>
                <w:szCs w:val="16"/>
                <w:color w:val="auto"/>
              </w:rPr>
              <w:t>Total expenses before base management fee waiver</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80,005</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69,342</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64,261</w:t>
            </w:r>
          </w:p>
        </w:tc>
      </w:tr>
      <w:tr>
        <w:trPr>
          <w:trHeight w:val="282"/>
        </w:trPr>
        <w:tc>
          <w:tcPr>
            <w:tcW w:w="4480" w:type="dxa"/>
            <w:vAlign w:val="bottom"/>
          </w:tcPr>
          <w:p>
            <w:pPr>
              <w:ind w:left="60"/>
              <w:spacing w:after="0"/>
              <w:rPr>
                <w:sz w:val="20"/>
                <w:szCs w:val="20"/>
                <w:color w:val="auto"/>
              </w:rPr>
            </w:pPr>
            <w:r>
              <w:rPr>
                <w:rFonts w:ascii="Arial" w:cs="Arial" w:eastAsia="Arial" w:hAnsi="Arial"/>
                <w:sz w:val="16"/>
                <w:szCs w:val="16"/>
                <w:color w:val="auto"/>
              </w:rPr>
              <w:t>Base management fee waiver</w:t>
            </w:r>
          </w:p>
        </w:tc>
        <w:tc>
          <w:tcPr>
            <w:tcW w:w="2200" w:type="dxa"/>
            <w:vAlign w:val="bottom"/>
          </w:tcPr>
          <w:p>
            <w:pPr>
              <w:jc w:val="right"/>
              <w:ind w:right="420"/>
              <w:spacing w:after="0"/>
              <w:rPr>
                <w:sz w:val="20"/>
                <w:szCs w:val="20"/>
                <w:color w:val="auto"/>
              </w:rPr>
            </w:pPr>
            <w:r>
              <w:rPr>
                <w:rFonts w:ascii="Arial" w:cs="Arial" w:eastAsia="Arial" w:hAnsi="Arial"/>
                <w:sz w:val="16"/>
                <w:szCs w:val="16"/>
                <w:color w:val="auto"/>
              </w:rPr>
              <w:t>(230)</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(264)</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(287)</w:t>
            </w:r>
          </w:p>
        </w:tc>
      </w:tr>
      <w:tr>
        <w:trPr>
          <w:trHeight w:val="42"/>
        </w:trPr>
        <w:tc>
          <w:tcPr>
            <w:tcW w:w="44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4"/>
        </w:trPr>
        <w:tc>
          <w:tcPr>
            <w:tcW w:w="4480" w:type="dxa"/>
            <w:vAlign w:val="bottom"/>
            <w:tcBorders>
              <w:bottom w:val="single" w:sz="8" w:color="DBEEF4"/>
            </w:tcBorders>
            <w:shd w:val="clear" w:color="auto" w:fill="DBEEF4"/>
          </w:tcPr>
          <w:p>
            <w:pPr>
              <w:spacing w:after="0"/>
              <w:rPr>
                <w:sz w:val="20"/>
                <w:szCs w:val="20"/>
                <w:color w:val="auto"/>
              </w:rPr>
            </w:pPr>
            <w:r>
              <w:rPr>
                <w:rFonts w:ascii="Arial" w:cs="Arial" w:eastAsia="Arial" w:hAnsi="Arial"/>
                <w:sz w:val="16"/>
                <w:szCs w:val="16"/>
                <w:color w:val="auto"/>
              </w:rPr>
              <w:t>Total expenses, net of base management fee waiver</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79,775</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69,078</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63,974</w:t>
            </w:r>
          </w:p>
        </w:tc>
      </w:tr>
      <w:tr>
        <w:trPr>
          <w:trHeight w:val="266"/>
        </w:trPr>
        <w:tc>
          <w:tcPr>
            <w:tcW w:w="4480" w:type="dxa"/>
            <w:vAlign w:val="bottom"/>
          </w:tcPr>
          <w:p>
            <w:pPr>
              <w:spacing w:after="0"/>
              <w:rPr>
                <w:sz w:val="20"/>
                <w:szCs w:val="20"/>
                <w:color w:val="auto"/>
              </w:rPr>
            </w:pPr>
            <w:r>
              <w:rPr>
                <w:rFonts w:ascii="Arial" w:cs="Arial" w:eastAsia="Arial" w:hAnsi="Arial"/>
                <w:sz w:val="16"/>
                <w:szCs w:val="16"/>
                <w:color w:val="auto"/>
              </w:rPr>
              <w:t>Net investment income before income taxes</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76,097</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77,076</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66,136</w:t>
            </w:r>
          </w:p>
        </w:tc>
      </w:tr>
      <w:tr>
        <w:trPr>
          <w:trHeight w:val="49"/>
        </w:trPr>
        <w:tc>
          <w:tcPr>
            <w:tcW w:w="4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304"/>
        </w:trPr>
        <w:tc>
          <w:tcPr>
            <w:tcW w:w="4480" w:type="dxa"/>
            <w:vAlign w:val="bottom"/>
            <w:tcBorders>
              <w:bottom w:val="single" w:sz="8" w:color="DBEEF4"/>
            </w:tcBorders>
            <w:shd w:val="clear" w:color="auto" w:fill="DBEEF4"/>
          </w:tcPr>
          <w:p>
            <w:pPr>
              <w:ind w:left="60"/>
              <w:spacing w:after="0"/>
              <w:rPr>
                <w:sz w:val="20"/>
                <w:szCs w:val="20"/>
                <w:color w:val="auto"/>
              </w:rPr>
            </w:pPr>
            <w:r>
              <w:rPr>
                <w:rFonts w:ascii="Arial" w:cs="Arial" w:eastAsia="Arial" w:hAnsi="Arial"/>
                <w:sz w:val="16"/>
                <w:szCs w:val="16"/>
                <w:color w:val="auto"/>
              </w:rPr>
              <w:t>Income tax provision (benefit)</w:t>
            </w:r>
          </w:p>
        </w:tc>
        <w:tc>
          <w:tcPr>
            <w:tcW w:w="22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2,247</w:t>
            </w:r>
          </w:p>
        </w:tc>
        <w:tc>
          <w:tcPr>
            <w:tcW w:w="1500" w:type="dxa"/>
            <w:vAlign w:val="bottom"/>
            <w:tcBorders>
              <w:bottom w:val="single" w:sz="8" w:color="DBEEF4"/>
            </w:tcBorders>
            <w:shd w:val="clear" w:color="auto" w:fill="DBEEF4"/>
          </w:tcPr>
          <w:p>
            <w:pPr>
              <w:jc w:val="right"/>
              <w:ind w:right="480"/>
              <w:spacing w:after="0"/>
              <w:rPr>
                <w:sz w:val="20"/>
                <w:szCs w:val="20"/>
                <w:color w:val="auto"/>
              </w:rPr>
            </w:pPr>
            <w:r>
              <w:rPr>
                <w:rFonts w:ascii="Arial" w:cs="Arial" w:eastAsia="Arial" w:hAnsi="Arial"/>
                <w:sz w:val="16"/>
                <w:szCs w:val="16"/>
                <w:color w:val="auto"/>
              </w:rPr>
              <w:t>2,440</w:t>
            </w:r>
          </w:p>
        </w:tc>
        <w:tc>
          <w:tcPr>
            <w:tcW w:w="122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1,030</w:t>
            </w:r>
          </w:p>
        </w:tc>
      </w:tr>
      <w:tr>
        <w:trPr>
          <w:trHeight w:val="266"/>
        </w:trPr>
        <w:tc>
          <w:tcPr>
            <w:tcW w:w="4480" w:type="dxa"/>
            <w:vAlign w:val="bottom"/>
          </w:tcPr>
          <w:p>
            <w:pPr>
              <w:spacing w:after="0"/>
              <w:rPr>
                <w:sz w:val="20"/>
                <w:szCs w:val="20"/>
                <w:color w:val="auto"/>
              </w:rPr>
            </w:pPr>
            <w:r>
              <w:rPr>
                <w:rFonts w:ascii="Arial" w:cs="Arial" w:eastAsia="Arial" w:hAnsi="Arial"/>
                <w:sz w:val="16"/>
                <w:szCs w:val="16"/>
                <w:b w:val="1"/>
                <w:bCs w:val="1"/>
                <w:color w:val="auto"/>
              </w:rPr>
              <w:t>Net investment income</w:t>
            </w:r>
          </w:p>
        </w:tc>
        <w:tc>
          <w:tcPr>
            <w:tcW w:w="2200" w:type="dxa"/>
            <w:vAlign w:val="bottom"/>
          </w:tcPr>
          <w:p>
            <w:pPr>
              <w:jc w:val="right"/>
              <w:ind w:right="480"/>
              <w:spacing w:after="0"/>
              <w:rPr>
                <w:sz w:val="20"/>
                <w:szCs w:val="20"/>
                <w:color w:val="auto"/>
              </w:rPr>
            </w:pPr>
            <w:r>
              <w:rPr>
                <w:rFonts w:ascii="Arial" w:cs="Arial" w:eastAsia="Arial" w:hAnsi="Arial"/>
                <w:sz w:val="16"/>
                <w:szCs w:val="16"/>
                <w:color w:val="auto"/>
              </w:rPr>
              <w:t>73,850</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74,636</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65,106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-1198245</wp:posOffset>
            </wp:positionV>
            <wp:extent cx="261810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1810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-991870</wp:posOffset>
            </wp:positionV>
            <wp:extent cx="267779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7779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-786130</wp:posOffset>
            </wp:positionV>
            <wp:extent cx="261810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1810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-580390</wp:posOffset>
            </wp:positionV>
            <wp:extent cx="267779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7779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-174625</wp:posOffset>
            </wp:positionV>
            <wp:extent cx="267779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7779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31115</wp:posOffset>
            </wp:positionV>
            <wp:extent cx="261810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181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61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7730" cy="161290"/>
                    </a:xfrm>
                    <a:prstGeom prst="rect">
                      <a:avLst/>
                    </a:prstGeom>
                    <a:noFill/>
                  </pic:spPr>
                </pic:pic>
              </a:graphicData>
            </a:graphic>
          </wp:anchor>
        </w:drawing>
        <w:t>Net realized and unrealized gains (losses) on investments:</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realized gains (losses):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900" w:type="dxa"/>
            <w:vAlign w:val="bottom"/>
            <w:tcBorders>
              <w:bottom w:val="single" w:sz="8" w:color="DBEEF4"/>
            </w:tcBorders>
            <w:shd w:val="clear" w:color="auto" w:fill="DBEEF4"/>
          </w:tcPr>
          <w:p>
            <w:pPr>
              <w:ind w:left="140"/>
              <w:spacing w:after="0"/>
              <w:rPr>
                <w:sz w:val="20"/>
                <w:szCs w:val="20"/>
                <w:color w:val="auto"/>
              </w:rPr>
            </w:pPr>
            <w:r>
              <w:rPr>
                <w:rFonts w:ascii="Arial" w:cs="Arial" w:eastAsia="Arial" w:hAnsi="Arial"/>
                <w:sz w:val="16"/>
                <w:szCs w:val="16"/>
                <w:color w:val="auto"/>
              </w:rPr>
              <w:t>Control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80"/>
              <w:spacing w:after="0"/>
              <w:rPr>
                <w:sz w:val="20"/>
                <w:szCs w:val="20"/>
                <w:color w:val="auto"/>
              </w:rPr>
            </w:pPr>
            <w:r>
              <w:rPr>
                <w:rFonts w:ascii="Arial" w:cs="Arial" w:eastAsia="Arial" w:hAnsi="Arial"/>
                <w:sz w:val="16"/>
                <w:szCs w:val="16"/>
                <w:color w:val="auto"/>
              </w:rPr>
              <w:t>(5,223)</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(11,458)</w:t>
            </w:r>
          </w:p>
        </w:tc>
        <w:tc>
          <w:tcPr>
            <w:tcW w:w="0" w:type="dxa"/>
            <w:vAlign w:val="bottom"/>
          </w:tcPr>
          <w:p>
            <w:pPr>
              <w:spacing w:after="0"/>
              <w:rPr>
                <w:sz w:val="1"/>
                <w:szCs w:val="1"/>
                <w:color w:val="auto"/>
              </w:rPr>
            </w:pPr>
          </w:p>
        </w:tc>
      </w:tr>
      <w:tr>
        <w:trPr>
          <w:trHeight w:val="266"/>
        </w:trPr>
        <w:tc>
          <w:tcPr>
            <w:tcW w:w="4900" w:type="dxa"/>
            <w:vAlign w:val="bottom"/>
          </w:tcPr>
          <w:p>
            <w:pPr>
              <w:ind w:left="140"/>
              <w:spacing w:after="0"/>
              <w:rPr>
                <w:sz w:val="20"/>
                <w:szCs w:val="20"/>
                <w:color w:val="auto"/>
              </w:rPr>
            </w:pPr>
            <w:r>
              <w:rPr>
                <w:rFonts w:ascii="Arial" w:cs="Arial" w:eastAsia="Arial" w:hAnsi="Arial"/>
                <w:sz w:val="16"/>
                <w:szCs w:val="16"/>
                <w:color w:val="auto"/>
              </w:rPr>
              <w:t>Affiliate investments</w:t>
            </w:r>
          </w:p>
        </w:tc>
        <w:tc>
          <w:tcPr>
            <w:tcW w:w="34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11,042</w:t>
            </w:r>
          </w:p>
        </w:tc>
        <w:tc>
          <w:tcPr>
            <w:tcW w:w="40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3"/>
                <w:szCs w:val="23"/>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49"/>
        </w:trPr>
        <w:tc>
          <w:tcPr>
            <w:tcW w:w="4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DBEEF4"/>
            </w:tcBorders>
            <w:shd w:val="clear" w:color="auto" w:fill="DBEEF4"/>
          </w:tcPr>
          <w:p>
            <w:pPr>
              <w:ind w:left="140"/>
              <w:spacing w:after="0"/>
              <w:rPr>
                <w:sz w:val="20"/>
                <w:szCs w:val="20"/>
                <w:color w:val="auto"/>
              </w:rPr>
            </w:pPr>
            <w:r>
              <w:rPr>
                <w:rFonts w:ascii="Arial" w:cs="Arial" w:eastAsia="Arial" w:hAnsi="Arial"/>
                <w:sz w:val="16"/>
                <w:szCs w:val="16"/>
                <w:color w:val="auto"/>
              </w:rPr>
              <w:t>Non-control/non-affiliate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80"/>
              <w:spacing w:after="0"/>
              <w:rPr>
                <w:sz w:val="20"/>
                <w:szCs w:val="20"/>
                <w:color w:val="auto"/>
              </w:rPr>
            </w:pPr>
            <w:r>
              <w:rPr>
                <w:rFonts w:ascii="Arial" w:cs="Arial" w:eastAsia="Arial" w:hAnsi="Arial"/>
                <w:sz w:val="16"/>
                <w:szCs w:val="16"/>
                <w:color w:val="auto"/>
              </w:rPr>
              <w:t>(2,445)</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11,451</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34,983</w:t>
            </w:r>
          </w:p>
        </w:tc>
        <w:tc>
          <w:tcPr>
            <w:tcW w:w="0" w:type="dxa"/>
            <w:vAlign w:val="bottom"/>
          </w:tcPr>
          <w:p>
            <w:pPr>
              <w:spacing w:after="0"/>
              <w:rPr>
                <w:sz w:val="1"/>
                <w:szCs w:val="1"/>
                <w:color w:val="auto"/>
              </w:rPr>
            </w:pPr>
          </w:p>
        </w:tc>
      </w:tr>
      <w:tr>
        <w:trPr>
          <w:trHeight w:val="266"/>
        </w:trPr>
        <w:tc>
          <w:tcPr>
            <w:tcW w:w="4900" w:type="dxa"/>
            <w:vAlign w:val="bottom"/>
          </w:tcPr>
          <w:p>
            <w:pPr>
              <w:ind w:left="60"/>
              <w:spacing w:after="0"/>
              <w:rPr>
                <w:sz w:val="20"/>
                <w:szCs w:val="20"/>
                <w:color w:val="auto"/>
              </w:rPr>
            </w:pPr>
            <w:r>
              <w:rPr>
                <w:rFonts w:ascii="Arial" w:cs="Arial" w:eastAsia="Arial" w:hAnsi="Arial"/>
                <w:sz w:val="16"/>
                <w:szCs w:val="16"/>
                <w:color w:val="auto"/>
              </w:rPr>
              <w:t>Total net realized gain (loss) on investments</w:t>
            </w:r>
          </w:p>
        </w:tc>
        <w:tc>
          <w:tcPr>
            <w:tcW w:w="34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3,374</w:t>
            </w:r>
          </w:p>
        </w:tc>
        <w:tc>
          <w:tcPr>
            <w:tcW w:w="40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11,585</w:t>
            </w:r>
          </w:p>
        </w:tc>
        <w:tc>
          <w:tcPr>
            <w:tcW w:w="400" w:type="dxa"/>
            <w:vAlign w:val="bottom"/>
          </w:tcPr>
          <w:p>
            <w:pPr>
              <w:spacing w:after="0"/>
              <w:rPr>
                <w:sz w:val="23"/>
                <w:szCs w:val="23"/>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24,071</w:t>
            </w:r>
          </w:p>
        </w:tc>
        <w:tc>
          <w:tcPr>
            <w:tcW w:w="0" w:type="dxa"/>
            <w:vAlign w:val="bottom"/>
          </w:tcPr>
          <w:p>
            <w:pPr>
              <w:spacing w:after="0"/>
              <w:rPr>
                <w:sz w:val="1"/>
                <w:szCs w:val="1"/>
                <w:color w:val="auto"/>
              </w:rPr>
            </w:pPr>
          </w:p>
        </w:tc>
      </w:tr>
      <w:tr>
        <w:trPr>
          <w:trHeight w:val="49"/>
        </w:trPr>
        <w:tc>
          <w:tcPr>
            <w:tcW w:w="4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900" w:type="dxa"/>
            <w:vAlign w:val="bottom"/>
            <w:tcBorders>
              <w:bottom w:val="single" w:sz="8" w:color="DBEEF4"/>
            </w:tcBorders>
            <w:shd w:val="clear" w:color="auto" w:fill="DBEEF4"/>
          </w:tcPr>
          <w:p>
            <w:pPr>
              <w:ind w:left="60"/>
              <w:spacing w:after="0"/>
              <w:rPr>
                <w:sz w:val="20"/>
                <w:szCs w:val="20"/>
                <w:color w:val="auto"/>
              </w:rPr>
            </w:pPr>
            <w:r>
              <w:rPr>
                <w:rFonts w:ascii="Arial" w:cs="Arial" w:eastAsia="Arial" w:hAnsi="Arial"/>
                <w:sz w:val="16"/>
                <w:szCs w:val="16"/>
                <w:color w:val="auto"/>
              </w:rPr>
              <w:t>Income tax (provision) benefit from realized gains on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80"/>
              <w:spacing w:after="0"/>
              <w:rPr>
                <w:sz w:val="20"/>
                <w:szCs w:val="20"/>
                <w:color w:val="auto"/>
              </w:rPr>
            </w:pPr>
            <w:r>
              <w:rPr>
                <w:rFonts w:ascii="Arial" w:cs="Arial" w:eastAsia="Arial" w:hAnsi="Arial"/>
                <w:sz w:val="16"/>
                <w:szCs w:val="16"/>
                <w:color w:val="auto"/>
              </w:rPr>
              <w:t>(4,033)</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80"/>
              <w:spacing w:after="0"/>
              <w:rPr>
                <w:sz w:val="20"/>
                <w:szCs w:val="20"/>
                <w:color w:val="auto"/>
              </w:rPr>
            </w:pPr>
            <w:r>
              <w:rPr>
                <w:rFonts w:ascii="Arial" w:cs="Arial" w:eastAsia="Arial" w:hAnsi="Arial"/>
                <w:sz w:val="16"/>
                <w:szCs w:val="16"/>
                <w:color w:val="auto"/>
              </w:rPr>
              <w:t>(1,480)</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22"/>
        </w:trPr>
        <w:tc>
          <w:tcPr>
            <w:tcW w:w="4900" w:type="dxa"/>
            <w:vAlign w:val="bottom"/>
          </w:tcPr>
          <w:p>
            <w:pPr>
              <w:ind w:left="60"/>
              <w:spacing w:after="0"/>
              <w:rPr>
                <w:sz w:val="20"/>
                <w:szCs w:val="20"/>
                <w:color w:val="auto"/>
              </w:rPr>
            </w:pPr>
            <w:r>
              <w:rPr>
                <w:rFonts w:ascii="Arial" w:cs="Arial" w:eastAsia="Arial" w:hAnsi="Arial"/>
                <w:sz w:val="16"/>
                <w:szCs w:val="16"/>
                <w:color w:val="auto"/>
              </w:rPr>
              <w:t>Net change in unrealized appreciation (depreciation):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900" w:type="dxa"/>
            <w:vAlign w:val="bottom"/>
            <w:tcBorders>
              <w:bottom w:val="single" w:sz="8" w:color="DBEEF4"/>
            </w:tcBorders>
            <w:shd w:val="clear" w:color="auto" w:fill="DBEEF4"/>
          </w:tcPr>
          <w:p>
            <w:pPr>
              <w:ind w:left="140"/>
              <w:spacing w:after="0"/>
              <w:rPr>
                <w:sz w:val="20"/>
                <w:szCs w:val="20"/>
                <w:color w:val="auto"/>
              </w:rPr>
            </w:pPr>
            <w:r>
              <w:rPr>
                <w:rFonts w:ascii="Arial" w:cs="Arial" w:eastAsia="Arial" w:hAnsi="Arial"/>
                <w:sz w:val="16"/>
                <w:szCs w:val="16"/>
                <w:color w:val="auto"/>
              </w:rPr>
              <w:t>Control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5,222</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11,083</w:t>
            </w:r>
          </w:p>
        </w:tc>
        <w:tc>
          <w:tcPr>
            <w:tcW w:w="0" w:type="dxa"/>
            <w:vAlign w:val="bottom"/>
          </w:tcPr>
          <w:p>
            <w:pPr>
              <w:spacing w:after="0"/>
              <w:rPr>
                <w:sz w:val="1"/>
                <w:szCs w:val="1"/>
                <w:color w:val="auto"/>
              </w:rPr>
            </w:pPr>
          </w:p>
        </w:tc>
      </w:tr>
      <w:tr>
        <w:trPr>
          <w:trHeight w:val="282"/>
        </w:trPr>
        <w:tc>
          <w:tcPr>
            <w:tcW w:w="4900" w:type="dxa"/>
            <w:vAlign w:val="bottom"/>
          </w:tcPr>
          <w:p>
            <w:pPr>
              <w:ind w:left="140"/>
              <w:spacing w:after="0"/>
              <w:rPr>
                <w:sz w:val="20"/>
                <w:szCs w:val="20"/>
                <w:color w:val="auto"/>
              </w:rPr>
            </w:pPr>
            <w:r>
              <w:rPr>
                <w:rFonts w:ascii="Arial" w:cs="Arial" w:eastAsia="Arial" w:hAnsi="Arial"/>
                <w:sz w:val="16"/>
                <w:szCs w:val="16"/>
                <w:color w:val="auto"/>
              </w:rPr>
              <w:t>Affiliate investments</w:t>
            </w:r>
          </w:p>
        </w:tc>
        <w:tc>
          <w:tcPr>
            <w:tcW w:w="34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(1,538)</w:t>
            </w:r>
          </w:p>
        </w:tc>
        <w:tc>
          <w:tcPr>
            <w:tcW w:w="400" w:type="dxa"/>
            <w:vAlign w:val="bottom"/>
          </w:tcPr>
          <w:p>
            <w:pPr>
              <w:spacing w:after="0"/>
              <w:rPr>
                <w:sz w:val="24"/>
                <w:szCs w:val="24"/>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7,954</w:t>
            </w:r>
          </w:p>
        </w:tc>
        <w:tc>
          <w:tcPr>
            <w:tcW w:w="400" w:type="dxa"/>
            <w:vAlign w:val="bottom"/>
          </w:tcPr>
          <w:p>
            <w:pPr>
              <w:spacing w:after="0"/>
              <w:rPr>
                <w:sz w:val="24"/>
                <w:szCs w:val="24"/>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(8,395)</w:t>
            </w: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900" w:type="dxa"/>
            <w:vAlign w:val="bottom"/>
            <w:tcBorders>
              <w:bottom w:val="single" w:sz="8" w:color="DBEEF4"/>
            </w:tcBorders>
            <w:shd w:val="clear" w:color="auto" w:fill="DBEEF4"/>
          </w:tcPr>
          <w:p>
            <w:pPr>
              <w:ind w:left="140"/>
              <w:spacing w:after="0"/>
              <w:rPr>
                <w:sz w:val="20"/>
                <w:szCs w:val="20"/>
                <w:color w:val="auto"/>
              </w:rPr>
            </w:pPr>
            <w:r>
              <w:rPr>
                <w:rFonts w:ascii="Arial" w:cs="Arial" w:eastAsia="Arial" w:hAnsi="Arial"/>
                <w:sz w:val="16"/>
                <w:szCs w:val="16"/>
                <w:color w:val="auto"/>
              </w:rPr>
              <w:t>Non-control/non-affiliate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6,426</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80"/>
              <w:spacing w:after="0"/>
              <w:rPr>
                <w:sz w:val="20"/>
                <w:szCs w:val="20"/>
                <w:color w:val="auto"/>
              </w:rPr>
            </w:pPr>
            <w:r>
              <w:rPr>
                <w:rFonts w:ascii="Arial" w:cs="Arial" w:eastAsia="Arial" w:hAnsi="Arial"/>
                <w:sz w:val="16"/>
                <w:szCs w:val="16"/>
                <w:color w:val="auto"/>
              </w:rPr>
              <w:t>(13,882)</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(13,047)</w:t>
            </w:r>
          </w:p>
        </w:tc>
        <w:tc>
          <w:tcPr>
            <w:tcW w:w="0" w:type="dxa"/>
            <w:vAlign w:val="bottom"/>
          </w:tcPr>
          <w:p>
            <w:pPr>
              <w:spacing w:after="0"/>
              <w:rPr>
                <w:sz w:val="1"/>
                <w:szCs w:val="1"/>
                <w:color w:val="auto"/>
              </w:rPr>
            </w:pPr>
          </w:p>
        </w:tc>
      </w:tr>
      <w:tr>
        <w:trPr>
          <w:trHeight w:val="282"/>
        </w:trPr>
        <w:tc>
          <w:tcPr>
            <w:tcW w:w="4900" w:type="dxa"/>
            <w:vAlign w:val="bottom"/>
          </w:tcPr>
          <w:p>
            <w:pPr>
              <w:ind w:left="60"/>
              <w:spacing w:after="0"/>
              <w:rPr>
                <w:sz w:val="20"/>
                <w:szCs w:val="20"/>
                <w:color w:val="auto"/>
              </w:rPr>
            </w:pPr>
            <w:r>
              <w:rPr>
                <w:rFonts w:ascii="Arial" w:cs="Arial" w:eastAsia="Arial" w:hAnsi="Arial"/>
                <w:sz w:val="16"/>
                <w:szCs w:val="16"/>
                <w:color w:val="auto"/>
                <w:w w:val="92"/>
              </w:rPr>
              <w:t>Total net change in unrealized appreciation (depreciation) on investments</w:t>
            </w:r>
          </w:p>
        </w:tc>
        <w:tc>
          <w:tcPr>
            <w:tcW w:w="340" w:type="dxa"/>
            <w:vAlign w:val="bottom"/>
          </w:tcPr>
          <w:p>
            <w:pPr>
              <w:spacing w:after="0"/>
              <w:rPr>
                <w:sz w:val="24"/>
                <w:szCs w:val="24"/>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10,110</w:t>
            </w:r>
          </w:p>
        </w:tc>
        <w:tc>
          <w:tcPr>
            <w:tcW w:w="40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(5,928)</w:t>
            </w:r>
          </w:p>
        </w:tc>
        <w:tc>
          <w:tcPr>
            <w:tcW w:w="400" w:type="dxa"/>
            <w:vAlign w:val="bottom"/>
          </w:tcPr>
          <w:p>
            <w:pPr>
              <w:spacing w:after="0"/>
              <w:rPr>
                <w:sz w:val="24"/>
                <w:szCs w:val="24"/>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(10,359)</w:t>
            </w:r>
          </w:p>
        </w:tc>
        <w:tc>
          <w:tcPr>
            <w:tcW w:w="0" w:type="dxa"/>
            <w:vAlign w:val="bottom"/>
          </w:tcPr>
          <w:p>
            <w:pPr>
              <w:spacing w:after="0"/>
              <w:rPr>
                <w:sz w:val="1"/>
                <w:szCs w:val="1"/>
                <w:color w:val="auto"/>
              </w:rPr>
            </w:pPr>
          </w:p>
        </w:tc>
      </w:tr>
      <w:tr>
        <w:trPr>
          <w:trHeight w:val="42"/>
        </w:trPr>
        <w:tc>
          <w:tcPr>
            <w:tcW w:w="4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4900" w:type="dxa"/>
            <w:vAlign w:val="bottom"/>
            <w:tcBorders>
              <w:bottom w:val="single" w:sz="8" w:color="DBEEF4"/>
            </w:tcBorders>
            <w:shd w:val="clear" w:color="auto" w:fill="DBEEF4"/>
          </w:tcPr>
          <w:p>
            <w:pPr>
              <w:spacing w:after="0"/>
              <w:rPr>
                <w:sz w:val="20"/>
                <w:szCs w:val="20"/>
                <w:color w:val="auto"/>
              </w:rPr>
            </w:pPr>
            <w:r>
              <w:rPr>
                <w:rFonts w:ascii="Arial" w:cs="Arial" w:eastAsia="Arial" w:hAnsi="Arial"/>
                <w:sz w:val="16"/>
                <w:szCs w:val="16"/>
                <w:b w:val="1"/>
                <w:bCs w:val="1"/>
                <w:color w:val="auto"/>
              </w:rPr>
              <w:t>Net gain (loss) on investments</w:t>
            </w:r>
          </w:p>
        </w:tc>
        <w:tc>
          <w:tcPr>
            <w:tcW w:w="34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9,451</w:t>
            </w:r>
          </w:p>
        </w:tc>
        <w:tc>
          <w:tcPr>
            <w:tcW w:w="400" w:type="dxa"/>
            <w:vAlign w:val="bottom"/>
            <w:tcBorders>
              <w:bottom w:val="single" w:sz="8" w:color="DBEEF4"/>
            </w:tcBorders>
            <w:shd w:val="clear" w:color="auto" w:fill="DBEEF4"/>
          </w:tcPr>
          <w:p>
            <w:pPr>
              <w:spacing w:after="0"/>
              <w:rPr>
                <w:sz w:val="24"/>
                <w:szCs w:val="24"/>
                <w:color w:val="auto"/>
              </w:rPr>
            </w:pPr>
          </w:p>
        </w:tc>
        <w:tc>
          <w:tcPr>
            <w:tcW w:w="1100" w:type="dxa"/>
            <w:vAlign w:val="bottom"/>
            <w:tcBorders>
              <w:bottom w:val="single" w:sz="8" w:color="DBEEF4"/>
            </w:tcBorders>
            <w:shd w:val="clear" w:color="auto" w:fill="DBEEF4"/>
          </w:tcPr>
          <w:p>
            <w:pPr>
              <w:jc w:val="right"/>
              <w:ind w:right="140"/>
              <w:spacing w:after="0"/>
              <w:rPr>
                <w:sz w:val="20"/>
                <w:szCs w:val="20"/>
                <w:color w:val="auto"/>
              </w:rPr>
            </w:pPr>
            <w:r>
              <w:rPr>
                <w:rFonts w:ascii="Arial" w:cs="Arial" w:eastAsia="Arial" w:hAnsi="Arial"/>
                <w:sz w:val="16"/>
                <w:szCs w:val="16"/>
                <w:color w:val="auto"/>
              </w:rPr>
              <w:t>4,177</w:t>
            </w:r>
          </w:p>
        </w:tc>
        <w:tc>
          <w:tcPr>
            <w:tcW w:w="400" w:type="dxa"/>
            <w:vAlign w:val="bottom"/>
            <w:tcBorders>
              <w:bottom w:val="single" w:sz="8" w:color="DBEEF4"/>
            </w:tcBorders>
            <w:shd w:val="clear" w:color="auto" w:fill="DBEEF4"/>
          </w:tcPr>
          <w:p>
            <w:pPr>
              <w:spacing w:after="0"/>
              <w:rPr>
                <w:sz w:val="24"/>
                <w:szCs w:val="24"/>
                <w:color w:val="auto"/>
              </w:rPr>
            </w:pPr>
          </w:p>
        </w:tc>
        <w:tc>
          <w:tcPr>
            <w:tcW w:w="1160" w:type="dxa"/>
            <w:vAlign w:val="bottom"/>
            <w:tcBorders>
              <w:bottom w:val="single" w:sz="8" w:color="DBEEF4"/>
            </w:tcBorders>
            <w:shd w:val="clear" w:color="auto" w:fill="DBEEF4"/>
          </w:tcPr>
          <w:p>
            <w:pPr>
              <w:jc w:val="right"/>
              <w:ind w:right="200"/>
              <w:spacing w:after="0"/>
              <w:rPr>
                <w:sz w:val="20"/>
                <w:szCs w:val="20"/>
                <w:color w:val="auto"/>
              </w:rPr>
            </w:pPr>
            <w:r>
              <w:rPr>
                <w:rFonts w:ascii="Arial" w:cs="Arial" w:eastAsia="Arial" w:hAnsi="Arial"/>
                <w:sz w:val="16"/>
                <w:szCs w:val="16"/>
                <w:color w:val="auto"/>
              </w:rPr>
              <w:t>12,050</w:t>
            </w:r>
          </w:p>
        </w:tc>
        <w:tc>
          <w:tcPr>
            <w:tcW w:w="0" w:type="dxa"/>
            <w:vAlign w:val="bottom"/>
          </w:tcPr>
          <w:p>
            <w:pPr>
              <w:spacing w:after="0"/>
              <w:rPr>
                <w:sz w:val="1"/>
                <w:szCs w:val="1"/>
                <w:color w:val="auto"/>
              </w:rPr>
            </w:pPr>
          </w:p>
        </w:tc>
      </w:tr>
      <w:tr>
        <w:trPr>
          <w:trHeight w:val="282"/>
        </w:trPr>
        <w:tc>
          <w:tcPr>
            <w:tcW w:w="4900" w:type="dxa"/>
            <w:vAlign w:val="bottom"/>
          </w:tcPr>
          <w:p>
            <w:pPr>
              <w:spacing w:after="0"/>
              <w:rPr>
                <w:sz w:val="20"/>
                <w:szCs w:val="20"/>
                <w:color w:val="auto"/>
              </w:rPr>
            </w:pPr>
            <w:r>
              <w:rPr>
                <w:rFonts w:ascii="Arial" w:cs="Arial" w:eastAsia="Arial" w:hAnsi="Arial"/>
                <w:sz w:val="16"/>
                <w:szCs w:val="16"/>
                <w:b w:val="1"/>
                <w:bCs w:val="1"/>
                <w:color w:val="auto"/>
              </w:rPr>
              <w:t>Realized losses on extinguishment of debt</w:t>
            </w:r>
          </w:p>
        </w:tc>
        <w:tc>
          <w:tcPr>
            <w:tcW w:w="34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(899)</w:t>
            </w:r>
          </w:p>
        </w:tc>
        <w:tc>
          <w:tcPr>
            <w:tcW w:w="40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(521)</w:t>
            </w:r>
          </w:p>
        </w:tc>
        <w:tc>
          <w:tcPr>
            <w:tcW w:w="400" w:type="dxa"/>
            <w:vAlign w:val="bottom"/>
          </w:tcPr>
          <w:p>
            <w:pPr>
              <w:spacing w:after="0"/>
              <w:rPr>
                <w:sz w:val="24"/>
                <w:szCs w:val="24"/>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2"/>
        </w:trPr>
        <w:tc>
          <w:tcPr>
            <w:tcW w:w="4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900" w:type="dxa"/>
            <w:vAlign w:val="bottom"/>
            <w:shd w:val="clear" w:color="auto" w:fill="DBEEF4"/>
          </w:tcPr>
          <w:p>
            <w:pPr>
              <w:spacing w:after="0"/>
              <w:rPr>
                <w:sz w:val="20"/>
                <w:szCs w:val="20"/>
                <w:color w:val="auto"/>
              </w:rPr>
            </w:pPr>
            <w:r>
              <w:rPr>
                <w:rFonts w:ascii="Arial" w:cs="Arial" w:eastAsia="Arial" w:hAnsi="Arial"/>
                <w:sz w:val="16"/>
                <w:szCs w:val="16"/>
                <w:b w:val="1"/>
                <w:bCs w:val="1"/>
                <w:color w:val="auto"/>
              </w:rPr>
              <w:t>Net increase (decrease) in net assets resulting from operations</w:t>
            </w:r>
          </w:p>
        </w:tc>
        <w:tc>
          <w:tcPr>
            <w:tcW w:w="34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82,402</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78,292</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EEF4"/>
          </w:tcPr>
          <w:p>
            <w:pPr>
              <w:jc w:val="right"/>
              <w:ind w:right="200"/>
              <w:spacing w:after="0"/>
              <w:rPr>
                <w:sz w:val="20"/>
                <w:szCs w:val="20"/>
                <w:color w:val="auto"/>
              </w:rPr>
            </w:pPr>
            <w:r>
              <w:rPr>
                <w:rFonts w:ascii="Arial" w:cs="Arial" w:eastAsia="Arial" w:hAnsi="Arial"/>
                <w:sz w:val="16"/>
                <w:szCs w:val="16"/>
                <w:color w:val="auto"/>
              </w:rPr>
              <w:t>77,133</w:t>
            </w:r>
          </w:p>
        </w:tc>
        <w:tc>
          <w:tcPr>
            <w:tcW w:w="0" w:type="dxa"/>
            <w:vAlign w:val="bottom"/>
          </w:tcPr>
          <w:p>
            <w:pPr>
              <w:spacing w:after="0"/>
              <w:rPr>
                <w:sz w:val="1"/>
                <w:szCs w:val="1"/>
                <w:color w:val="auto"/>
              </w:rPr>
            </w:pPr>
          </w:p>
        </w:tc>
      </w:tr>
      <w:tr>
        <w:trPr>
          <w:trHeight w:val="77"/>
        </w:trPr>
        <w:tc>
          <w:tcPr>
            <w:tcW w:w="4900" w:type="dxa"/>
            <w:vAlign w:val="bottom"/>
            <w:shd w:val="clear" w:color="auto" w:fill="DBEEF4"/>
          </w:tcPr>
          <w:p>
            <w:pPr>
              <w:spacing w:after="0"/>
              <w:rPr>
                <w:sz w:val="6"/>
                <w:szCs w:val="6"/>
                <w:color w:val="auto"/>
              </w:rPr>
            </w:pPr>
          </w:p>
        </w:tc>
        <w:tc>
          <w:tcPr>
            <w:tcW w:w="34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60" w:type="dxa"/>
            <w:vAlign w:val="bottom"/>
            <w:shd w:val="clear" w:color="auto" w:fill="DBEEF4"/>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6"/>
                <w:szCs w:val="16"/>
                <w:b w:val="1"/>
                <w:bCs w:val="1"/>
                <w:color w:val="auto"/>
              </w:rPr>
              <w:t>Per common share data:</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900" w:type="dxa"/>
            <w:vAlign w:val="bottom"/>
            <w:shd w:val="clear" w:color="auto" w:fill="DBEEF4"/>
          </w:tcPr>
          <w:p>
            <w:pPr>
              <w:spacing w:after="0"/>
              <w:rPr>
                <w:sz w:val="20"/>
                <w:szCs w:val="20"/>
                <w:color w:val="auto"/>
              </w:rPr>
            </w:pPr>
            <w:r>
              <w:rPr>
                <w:rFonts w:ascii="Arial" w:cs="Arial" w:eastAsia="Arial" w:hAnsi="Arial"/>
                <w:sz w:val="16"/>
                <w:szCs w:val="16"/>
                <w:color w:val="auto"/>
              </w:rPr>
              <w:t>Net investment income per share-basic and diluted</w:t>
            </w:r>
          </w:p>
        </w:tc>
        <w:tc>
          <w:tcPr>
            <w:tcW w:w="34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2.08</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2.29</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EEF4"/>
          </w:tcPr>
          <w:p>
            <w:pPr>
              <w:jc w:val="right"/>
              <w:ind w:right="20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77"/>
        </w:trPr>
        <w:tc>
          <w:tcPr>
            <w:tcW w:w="4900" w:type="dxa"/>
            <w:vAlign w:val="bottom"/>
            <w:shd w:val="clear" w:color="auto" w:fill="DBEEF4"/>
          </w:tcPr>
          <w:p>
            <w:pPr>
              <w:spacing w:after="0"/>
              <w:rPr>
                <w:sz w:val="6"/>
                <w:szCs w:val="6"/>
                <w:color w:val="auto"/>
              </w:rPr>
            </w:pPr>
          </w:p>
        </w:tc>
        <w:tc>
          <w:tcPr>
            <w:tcW w:w="34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60" w:type="dxa"/>
            <w:vAlign w:val="bottom"/>
            <w:shd w:val="clear" w:color="auto" w:fill="DBEEF4"/>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6"/>
                <w:szCs w:val="16"/>
                <w:color w:val="auto"/>
                <w:w w:val="92"/>
              </w:rPr>
              <w:t>Net increase in net assets resulting from operations per share — basic and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900" w:type="dxa"/>
            <w:vAlign w:val="bottom"/>
            <w:vMerge w:val="restart"/>
          </w:tcPr>
          <w:p>
            <w:pPr>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line="178" w:lineRule="exact"/>
              <w:rPr>
                <w:sz w:val="20"/>
                <w:szCs w:val="20"/>
                <w:color w:val="auto"/>
              </w:rPr>
            </w:pPr>
            <w:r>
              <w:rPr>
                <w:rFonts w:ascii="Arial" w:cs="Arial" w:eastAsia="Arial" w:hAnsi="Arial"/>
                <w:sz w:val="16"/>
                <w:szCs w:val="16"/>
                <w:color w:val="auto"/>
              </w:rPr>
              <w:t>2.32</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line="178" w:lineRule="exact"/>
              <w:rPr>
                <w:sz w:val="20"/>
                <w:szCs w:val="20"/>
                <w:color w:val="auto"/>
              </w:rPr>
            </w:pPr>
            <w:r>
              <w:rPr>
                <w:rFonts w:ascii="Arial" w:cs="Arial" w:eastAsia="Arial" w:hAnsi="Arial"/>
                <w:sz w:val="16"/>
                <w:szCs w:val="16"/>
                <w:color w:val="auto"/>
              </w:rPr>
              <w:t>2.40</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line="178" w:lineRule="exact"/>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45"/>
        </w:trPr>
        <w:tc>
          <w:tcPr>
            <w:tcW w:w="49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900" w:type="dxa"/>
            <w:vAlign w:val="bottom"/>
            <w:shd w:val="clear" w:color="auto" w:fill="DBEEF4"/>
          </w:tcPr>
          <w:p>
            <w:pPr>
              <w:spacing w:after="0"/>
              <w:rPr>
                <w:sz w:val="20"/>
                <w:szCs w:val="20"/>
                <w:color w:val="auto"/>
              </w:rPr>
            </w:pPr>
            <w:r>
              <w:rPr>
                <w:rFonts w:ascii="Arial" w:cs="Arial" w:eastAsia="Arial" w:hAnsi="Arial"/>
                <w:sz w:val="16"/>
                <w:szCs w:val="16"/>
                <w:color w:val="auto"/>
              </w:rPr>
              <w:t>Dividends declared per share</w:t>
            </w:r>
          </w:p>
        </w:tc>
        <w:tc>
          <w:tcPr>
            <w:tcW w:w="34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2.15</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EEF4"/>
          </w:tcPr>
          <w:p>
            <w:pPr>
              <w:jc w:val="right"/>
              <w:ind w:right="140"/>
              <w:spacing w:after="0"/>
              <w:rPr>
                <w:sz w:val="20"/>
                <w:szCs w:val="20"/>
                <w:color w:val="auto"/>
              </w:rPr>
            </w:pPr>
            <w:r>
              <w:rPr>
                <w:rFonts w:ascii="Arial" w:cs="Arial" w:eastAsia="Arial" w:hAnsi="Arial"/>
                <w:sz w:val="16"/>
                <w:szCs w:val="16"/>
                <w:color w:val="auto"/>
              </w:rPr>
              <w:t>2.42</w:t>
            </w:r>
          </w:p>
        </w:tc>
        <w:tc>
          <w:tcPr>
            <w:tcW w:w="400" w:type="dxa"/>
            <w:vAlign w:val="bottom"/>
            <w:shd w:val="clear" w:color="auto" w:fill="DBEEF4"/>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EEF4"/>
          </w:tcPr>
          <w:p>
            <w:pPr>
              <w:jc w:val="right"/>
              <w:ind w:right="20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77"/>
        </w:trPr>
        <w:tc>
          <w:tcPr>
            <w:tcW w:w="4900" w:type="dxa"/>
            <w:vAlign w:val="bottom"/>
            <w:shd w:val="clear" w:color="auto" w:fill="DBEEF4"/>
          </w:tcPr>
          <w:p>
            <w:pPr>
              <w:spacing w:after="0"/>
              <w:rPr>
                <w:sz w:val="6"/>
                <w:szCs w:val="6"/>
                <w:color w:val="auto"/>
              </w:rPr>
            </w:pPr>
          </w:p>
        </w:tc>
        <w:tc>
          <w:tcPr>
            <w:tcW w:w="34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00" w:type="dxa"/>
            <w:vAlign w:val="bottom"/>
            <w:shd w:val="clear" w:color="auto" w:fill="DBEEF4"/>
          </w:tcPr>
          <w:p>
            <w:pPr>
              <w:spacing w:after="0"/>
              <w:rPr>
                <w:sz w:val="6"/>
                <w:szCs w:val="6"/>
                <w:color w:val="auto"/>
              </w:rPr>
            </w:pPr>
          </w:p>
        </w:tc>
        <w:tc>
          <w:tcPr>
            <w:tcW w:w="400" w:type="dxa"/>
            <w:vAlign w:val="bottom"/>
            <w:shd w:val="clear" w:color="auto" w:fill="DBEEF4"/>
          </w:tcPr>
          <w:p>
            <w:pPr>
              <w:spacing w:after="0"/>
              <w:rPr>
                <w:sz w:val="6"/>
                <w:szCs w:val="6"/>
                <w:color w:val="auto"/>
              </w:rPr>
            </w:pPr>
          </w:p>
        </w:tc>
        <w:tc>
          <w:tcPr>
            <w:tcW w:w="1160" w:type="dxa"/>
            <w:vAlign w:val="bottom"/>
            <w:shd w:val="clear" w:color="auto" w:fill="DBEEF4"/>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900" w:type="dxa"/>
            <w:vAlign w:val="bottom"/>
          </w:tcPr>
          <w:p>
            <w:pPr>
              <w:spacing w:after="0"/>
              <w:rPr>
                <w:sz w:val="20"/>
                <w:szCs w:val="20"/>
                <w:color w:val="auto"/>
              </w:rPr>
            </w:pPr>
            <w:r>
              <w:rPr>
                <w:rFonts w:ascii="Arial" w:cs="Arial" w:eastAsia="Arial" w:hAnsi="Arial"/>
                <w:sz w:val="16"/>
                <w:szCs w:val="16"/>
                <w:color w:val="auto"/>
                <w:w w:val="99"/>
              </w:rPr>
              <w:t>Weighted average number of shares outstanding — basic and diluted</w:t>
            </w:r>
          </w:p>
        </w:tc>
        <w:tc>
          <w:tcPr>
            <w:tcW w:w="34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35,489,578</w:t>
            </w:r>
          </w:p>
        </w:tc>
        <w:tc>
          <w:tcPr>
            <w:tcW w:w="40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32,585,238</w:t>
            </w:r>
          </w:p>
        </w:tc>
        <w:tc>
          <w:tcPr>
            <w:tcW w:w="400" w:type="dxa"/>
            <w:vAlign w:val="bottom"/>
          </w:tcPr>
          <w:p>
            <w:pPr>
              <w:spacing w:after="0"/>
              <w:rPr>
                <w:sz w:val="23"/>
                <w:szCs w:val="23"/>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26,365,269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-3117850</wp:posOffset>
            </wp:positionV>
            <wp:extent cx="267779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7779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-1951990</wp:posOffset>
            </wp:positionV>
            <wp:extent cx="267779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7779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-1746250</wp:posOffset>
            </wp:positionV>
            <wp:extent cx="261810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1810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-1340485</wp:posOffset>
            </wp:positionV>
            <wp:extent cx="261810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1810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-1134110</wp:posOffset>
            </wp:positionV>
            <wp:extent cx="2677795" cy="28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77795" cy="2857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-744855</wp:posOffset>
            </wp:positionV>
            <wp:extent cx="2677795" cy="28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77795" cy="2857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-430530</wp:posOffset>
            </wp:positionV>
            <wp:extent cx="2618105" cy="285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18105" cy="2857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-202565</wp:posOffset>
            </wp:positionV>
            <wp:extent cx="2677795" cy="28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77795" cy="2857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25400</wp:posOffset>
            </wp:positionV>
            <wp:extent cx="2618105" cy="285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18105" cy="2857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400"/>
          </w:cols>
          <w:pgMar w:left="1260" w:top="1172" w:right="1246" w:bottom="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FIDUS INVESTMENT CORPORATION</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Changes in Net Assets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(in thousands, except shares)</w:t>
      </w:r>
    </w:p>
    <w:p>
      <w:pPr>
        <w:sectPr>
          <w:pgSz w:w="11900" w:h="16838" w:orient="portrait"/>
          <w:cols w:equalWidth="0" w:num="1">
            <w:col w:w="9220"/>
          </w:cols>
          <w:pgMar w:left="1260" w:top="1440"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r>
      <w:tr>
        <w:trPr>
          <w:trHeight w:val="254"/>
        </w:trPr>
        <w:tc>
          <w:tcPr>
            <w:tcW w:w="3440" w:type="dxa"/>
            <w:vAlign w:val="bottom"/>
          </w:tcPr>
          <w:p>
            <w:pPr>
              <w:spacing w:after="0"/>
              <w:rPr>
                <w:sz w:val="22"/>
                <w:szCs w:val="22"/>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Number of</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Par</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5"/>
              </w:rPr>
              <w:t>paid-in</w:t>
            </w:r>
          </w:p>
        </w:tc>
      </w:tr>
      <w:tr>
        <w:trPr>
          <w:trHeight w:val="254"/>
        </w:trPr>
        <w:tc>
          <w:tcPr>
            <w:tcW w:w="3440" w:type="dxa"/>
            <w:vAlign w:val="bottom"/>
          </w:tcPr>
          <w:p>
            <w:pPr>
              <w:spacing w:after="0"/>
              <w:rPr>
                <w:sz w:val="22"/>
                <w:szCs w:val="22"/>
                <w:color w:val="auto"/>
              </w:rPr>
            </w:pPr>
          </w:p>
        </w:tc>
        <w:tc>
          <w:tcPr>
            <w:tcW w:w="1020" w:type="dxa"/>
            <w:vAlign w:val="bottom"/>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r>
      <w:tr>
        <w:trPr>
          <w:trHeight w:val="324"/>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2022</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24,727,788</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25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395,916</w:t>
            </w:r>
          </w:p>
        </w:tc>
      </w:tr>
      <w:tr>
        <w:trPr>
          <w:trHeight w:val="298"/>
        </w:trPr>
        <w:tc>
          <w:tcPr>
            <w:tcW w:w="3440" w:type="dxa"/>
            <w:vAlign w:val="bottom"/>
          </w:tcPr>
          <w:p>
            <w:pPr>
              <w:ind w:left="20"/>
              <w:spacing w:after="0"/>
              <w:rPr>
                <w:sz w:val="20"/>
                <w:szCs w:val="20"/>
                <w:color w:val="auto"/>
              </w:rPr>
            </w:pPr>
            <w:r>
              <w:rPr>
                <w:rFonts w:ascii="Arial" w:cs="Arial" w:eastAsia="Arial" w:hAnsi="Arial"/>
                <w:sz w:val="16"/>
                <w:szCs w:val="16"/>
                <w:color w:val="auto"/>
                <w:w w:val="97"/>
              </w:rPr>
              <w:t>Public offering of common stock, net of expenses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5,680,355</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110,319</w:t>
            </w:r>
          </w:p>
        </w:tc>
      </w:tr>
      <w:tr>
        <w:trPr>
          <w:trHeight w:val="331"/>
        </w:trPr>
        <w:tc>
          <w:tcPr>
            <w:tcW w:w="3440" w:type="dxa"/>
            <w:vAlign w:val="bottom"/>
          </w:tcPr>
          <w:p>
            <w:pPr>
              <w:ind w:left="20"/>
              <w:spacing w:after="0"/>
              <w:rPr>
                <w:sz w:val="20"/>
                <w:szCs w:val="20"/>
                <w:color w:val="auto"/>
              </w:rPr>
            </w:pPr>
            <w:r>
              <w:rPr>
                <w:rFonts w:ascii="Arial" w:cs="Arial" w:eastAsia="Arial" w:hAnsi="Arial"/>
                <w:sz w:val="16"/>
                <w:szCs w:val="16"/>
                <w:color w:val="auto"/>
                <w:w w:val="99"/>
              </w:rPr>
              <w:t>Shares issued under dividend reinvestment plan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30,836</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w w:val="92"/>
              </w:rPr>
              <w:t>Net realized gain (loss) on investments, net of taxes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Net unrealized appreciation (depreciation) on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Realized losses on extinguishment of debt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Tax reclassification of stockholders’ equity in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accordance with generally accepted accounting</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principles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(2,751)</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2023</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30,438,979</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31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504,087</w:t>
            </w:r>
          </w:p>
        </w:tc>
      </w:tr>
      <w:tr>
        <w:trPr>
          <w:trHeight w:val="298"/>
        </w:trPr>
        <w:tc>
          <w:tcPr>
            <w:tcW w:w="3440" w:type="dxa"/>
            <w:vAlign w:val="bottom"/>
          </w:tcPr>
          <w:p>
            <w:pPr>
              <w:ind w:left="20"/>
              <w:spacing w:after="0"/>
              <w:rPr>
                <w:sz w:val="20"/>
                <w:szCs w:val="20"/>
                <w:color w:val="auto"/>
              </w:rPr>
            </w:pPr>
            <w:r>
              <w:rPr>
                <w:rFonts w:ascii="Arial" w:cs="Arial" w:eastAsia="Arial" w:hAnsi="Arial"/>
                <w:sz w:val="16"/>
                <w:szCs w:val="16"/>
                <w:color w:val="auto"/>
                <w:w w:val="97"/>
              </w:rPr>
              <w:t>Public offering of common stock, net of expenses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3,393,501</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66,266</w:t>
            </w:r>
          </w:p>
        </w:tc>
      </w:tr>
      <w:tr>
        <w:trPr>
          <w:trHeight w:val="331"/>
        </w:trPr>
        <w:tc>
          <w:tcPr>
            <w:tcW w:w="3440" w:type="dxa"/>
            <w:vAlign w:val="bottom"/>
          </w:tcPr>
          <w:p>
            <w:pPr>
              <w:ind w:left="20"/>
              <w:spacing w:after="0"/>
              <w:rPr>
                <w:sz w:val="20"/>
                <w:szCs w:val="20"/>
                <w:color w:val="auto"/>
              </w:rPr>
            </w:pPr>
            <w:r>
              <w:rPr>
                <w:rFonts w:ascii="Arial" w:cs="Arial" w:eastAsia="Arial" w:hAnsi="Arial"/>
                <w:sz w:val="16"/>
                <w:szCs w:val="16"/>
                <w:color w:val="auto"/>
                <w:w w:val="99"/>
              </w:rPr>
              <w:t>Shares issued under dividend reinvestment plan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82,172</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w w:val="92"/>
              </w:rPr>
              <w:t>Net realized gain (loss) on investments, net of taxes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Net unrealized appreciation (depreciation) on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Realized losses on extinguishment of debt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Tax reclassification of stockholders’ equity in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accordance with generally accepted accounting</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principles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(4,789)</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2024</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33,914,652</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34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567,159</w:t>
            </w:r>
          </w:p>
        </w:tc>
      </w:tr>
      <w:tr>
        <w:trPr>
          <w:trHeight w:val="298"/>
        </w:trPr>
        <w:tc>
          <w:tcPr>
            <w:tcW w:w="3440" w:type="dxa"/>
            <w:vAlign w:val="bottom"/>
          </w:tcPr>
          <w:p>
            <w:pPr>
              <w:ind w:left="20"/>
              <w:spacing w:after="0"/>
              <w:rPr>
                <w:sz w:val="20"/>
                <w:szCs w:val="20"/>
                <w:color w:val="auto"/>
              </w:rPr>
            </w:pPr>
            <w:r>
              <w:rPr>
                <w:rFonts w:ascii="Arial" w:cs="Arial" w:eastAsia="Arial" w:hAnsi="Arial"/>
                <w:sz w:val="16"/>
                <w:szCs w:val="16"/>
                <w:color w:val="auto"/>
                <w:w w:val="97"/>
              </w:rPr>
              <w:t>Public offering of common stock, net of expenses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3,936,098</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79,296</w:t>
            </w:r>
          </w:p>
        </w:tc>
      </w:tr>
      <w:tr>
        <w:trPr>
          <w:trHeight w:val="331"/>
        </w:trPr>
        <w:tc>
          <w:tcPr>
            <w:tcW w:w="3440" w:type="dxa"/>
            <w:vAlign w:val="bottom"/>
          </w:tcPr>
          <w:p>
            <w:pPr>
              <w:ind w:left="20"/>
              <w:spacing w:after="0"/>
              <w:rPr>
                <w:sz w:val="20"/>
                <w:szCs w:val="20"/>
                <w:color w:val="auto"/>
              </w:rPr>
            </w:pPr>
            <w:r>
              <w:rPr>
                <w:rFonts w:ascii="Arial" w:cs="Arial" w:eastAsia="Arial" w:hAnsi="Arial"/>
                <w:sz w:val="16"/>
                <w:szCs w:val="16"/>
                <w:color w:val="auto"/>
                <w:w w:val="99"/>
              </w:rPr>
              <w:t>Shares issued under dividend reinvestment plan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103,614</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2,012</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color w:val="auto"/>
                <w:w w:val="92"/>
              </w:rPr>
              <w:t>Net realized gain (loss) on investments, net of taxes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Net unrealized appreciation (depreciation) on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440" w:type="dxa"/>
            <w:vAlign w:val="bottom"/>
          </w:tcPr>
          <w:p>
            <w:pPr>
              <w:ind w:left="20"/>
              <w:spacing w:after="0"/>
              <w:rPr>
                <w:sz w:val="20"/>
                <w:szCs w:val="20"/>
                <w:color w:val="auto"/>
              </w:rPr>
            </w:pPr>
            <w:r>
              <w:rPr>
                <w:rFonts w:ascii="Arial" w:cs="Arial" w:eastAsia="Arial" w:hAnsi="Arial"/>
                <w:sz w:val="16"/>
                <w:szCs w:val="16"/>
                <w:color w:val="auto"/>
              </w:rPr>
              <w:t>Realized losses on extinguishment of debt</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344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440" w:type="dxa"/>
            <w:vAlign w:val="bottom"/>
          </w:tcPr>
          <w:p>
            <w:pPr>
              <w:ind w:left="20"/>
              <w:spacing w:after="0"/>
              <w:rPr>
                <w:sz w:val="20"/>
                <w:szCs w:val="20"/>
                <w:color w:val="auto"/>
              </w:rPr>
            </w:pPr>
            <w:r>
              <w:rPr>
                <w:rFonts w:ascii="Arial" w:cs="Arial" w:eastAsia="Arial" w:hAnsi="Arial"/>
                <w:sz w:val="16"/>
                <w:szCs w:val="16"/>
                <w:color w:val="auto"/>
              </w:rPr>
              <w:t>Tax reclassification of stockholders’ equity in</w:t>
            </w: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accordance with generally accepted accounting</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440" w:type="dxa"/>
            <w:vAlign w:val="bottom"/>
          </w:tcPr>
          <w:p>
            <w:pPr>
              <w:ind w:left="20"/>
              <w:spacing w:after="0"/>
              <w:rPr>
                <w:sz w:val="20"/>
                <w:szCs w:val="20"/>
                <w:color w:val="auto"/>
              </w:rPr>
            </w:pPr>
            <w:r>
              <w:rPr>
                <w:rFonts w:ascii="Arial" w:cs="Arial" w:eastAsia="Arial" w:hAnsi="Arial"/>
                <w:sz w:val="16"/>
                <w:szCs w:val="16"/>
                <w:color w:val="auto"/>
              </w:rPr>
              <w:t>principles</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(7,091)</w:t>
            </w:r>
          </w:p>
        </w:tc>
      </w:tr>
      <w:tr>
        <w:trPr>
          <w:trHeight w:val="314"/>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2025</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37,954,364</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38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641,376</w:t>
            </w:r>
          </w:p>
        </w:tc>
      </w:tr>
      <w:tr>
        <w:trPr>
          <w:trHeight w:val="299"/>
        </w:trPr>
        <w:tc>
          <w:tcPr>
            <w:tcW w:w="3440" w:type="dxa"/>
            <w:vAlign w:val="bottom"/>
          </w:tcPr>
          <w:p>
            <w:pPr>
              <w:spacing w:after="0"/>
              <w:rPr>
                <w:sz w:val="20"/>
                <w:szCs w:val="20"/>
                <w:color w:val="auto"/>
              </w:rPr>
            </w:pPr>
            <w:r>
              <w:rPr>
                <w:rFonts w:ascii="Arial" w:cs="Arial" w:eastAsia="Arial" w:hAnsi="Arial"/>
                <w:sz w:val="16"/>
                <w:szCs w:val="16"/>
                <w:color w:val="auto"/>
              </w:rPr>
              <w:t>*amount is greater than zero but less than one</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-6702425</wp:posOffset>
            </wp:positionV>
            <wp:extent cx="5967730" cy="1993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-6303010</wp:posOffset>
            </wp:positionV>
            <wp:extent cx="5967730" cy="1993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-5904230</wp:posOffset>
            </wp:positionV>
            <wp:extent cx="5967730" cy="313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7730" cy="3136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-5390515</wp:posOffset>
            </wp:positionV>
            <wp:extent cx="5967730" cy="1993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-7237730</wp:posOffset>
            </wp:positionV>
            <wp:extent cx="5967730" cy="70973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7730" cy="70973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-7237730</wp:posOffset>
            </wp:positionV>
            <wp:extent cx="5967730" cy="7097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7730" cy="7097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auto"/>
        </w:rPr>
        <w:t>Total</w:t>
      </w:r>
    </w:p>
    <w:p>
      <w:pPr>
        <w:spacing w:after="0" w:line="70"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auto"/>
        </w:rPr>
        <w:t>distributable</w:t>
      </w:r>
    </w:p>
    <w:p>
      <w:pPr>
        <w:spacing w:after="0" w:line="70"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auto"/>
        </w:rPr>
        <w:t>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3055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63055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04"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84,402</w:t>
      </w:r>
    </w:p>
    <w:p>
      <w:pPr>
        <w:spacing w:after="0" w:line="1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65,106</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22,409</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(10,359)</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(78,930)</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3055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63055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20"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85,356</w:t>
      </w:r>
    </w:p>
    <w:p>
      <w:pPr>
        <w:spacing w:after="0" w:line="1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74,636</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10,105</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(5,928)</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(521)</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(79,964)</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4,789</w:t>
      </w:r>
    </w:p>
    <w:p>
      <w:pPr>
        <w:spacing w:after="0" w:line="140"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88,473</w:t>
      </w:r>
    </w:p>
    <w:p>
      <w:pPr>
        <w:spacing w:after="0" w:line="1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30"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73,850</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(659)</w:t>
      </w:r>
    </w:p>
    <w:p>
      <w:pPr>
        <w:spacing w:after="0" w:line="30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10,110</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(899)</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(77,481)</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7,091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3055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63055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100,485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8"/>
        <w:spacing w:after="0"/>
        <w:rPr>
          <w:sz w:val="20"/>
          <w:szCs w:val="20"/>
          <w:color w:val="auto"/>
        </w:rPr>
      </w:pPr>
      <w:r>
        <w:rPr>
          <w:rFonts w:ascii="Arial" w:cs="Arial" w:eastAsia="Arial" w:hAnsi="Arial"/>
          <w:sz w:val="16"/>
          <w:szCs w:val="16"/>
          <w:b w:val="1"/>
          <w:bCs w:val="1"/>
          <w:color w:val="auto"/>
        </w:rPr>
        <w:t>Total net</w:t>
      </w:r>
    </w:p>
    <w:p>
      <w:pPr>
        <w:spacing w:after="0" w:line="70" w:lineRule="exact"/>
        <w:rPr>
          <w:sz w:val="20"/>
          <w:szCs w:val="20"/>
          <w:color w:val="auto"/>
        </w:rPr>
      </w:pPr>
    </w:p>
    <w:p>
      <w:pPr>
        <w:jc w:val="center"/>
        <w:ind w:right="-28"/>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04" w:lineRule="exact"/>
        <w:rPr>
          <w:sz w:val="20"/>
          <w:szCs w:val="20"/>
          <w:color w:val="auto"/>
        </w:rPr>
      </w:pPr>
    </w:p>
    <w:p>
      <w:pPr>
        <w:ind w:left="369" w:hanging="369"/>
        <w:spacing w:after="0"/>
        <w:tabs>
          <w:tab w:leader="none" w:pos="369" w:val="left"/>
        </w:tabs>
        <w:numPr>
          <w:ilvl w:val="0"/>
          <w:numId w:val="75"/>
        </w:numPr>
        <w:rPr>
          <w:rFonts w:ascii="Arial" w:cs="Arial" w:eastAsia="Arial" w:hAnsi="Arial"/>
          <w:sz w:val="16"/>
          <w:szCs w:val="16"/>
          <w:color w:val="auto"/>
        </w:rPr>
      </w:pPr>
      <w:r>
        <w:rPr>
          <w:rFonts w:ascii="Arial" w:cs="Arial" w:eastAsia="Arial" w:hAnsi="Arial"/>
          <w:sz w:val="16"/>
          <w:szCs w:val="16"/>
          <w:color w:val="auto"/>
        </w:rPr>
        <w:t>480,343</w:t>
      </w:r>
    </w:p>
    <w:p>
      <w:pPr>
        <w:spacing w:after="0" w:line="130" w:lineRule="exact"/>
        <w:rPr>
          <w:rFonts w:ascii="Arial" w:cs="Arial" w:eastAsia="Arial" w:hAnsi="Arial"/>
          <w:sz w:val="16"/>
          <w:szCs w:val="16"/>
          <w:color w:val="auto"/>
        </w:rPr>
      </w:pPr>
    </w:p>
    <w:p>
      <w:pPr>
        <w:ind w:left="369"/>
        <w:spacing w:after="0"/>
        <w:rPr>
          <w:rFonts w:ascii="Arial" w:cs="Arial" w:eastAsia="Arial" w:hAnsi="Arial"/>
          <w:sz w:val="16"/>
          <w:szCs w:val="16"/>
          <w:color w:val="auto"/>
        </w:rPr>
      </w:pPr>
      <w:r>
        <w:rPr>
          <w:rFonts w:ascii="Arial" w:cs="Arial" w:eastAsia="Arial" w:hAnsi="Arial"/>
          <w:sz w:val="16"/>
          <w:szCs w:val="16"/>
          <w:color w:val="auto"/>
        </w:rPr>
        <w:t>110,325</w:t>
      </w:r>
    </w:p>
    <w:p>
      <w:pPr>
        <w:spacing w:after="0" w:line="130" w:lineRule="exact"/>
        <w:rPr>
          <w:rFonts w:ascii="Arial" w:cs="Arial" w:eastAsia="Arial" w:hAnsi="Arial"/>
          <w:sz w:val="16"/>
          <w:szCs w:val="16"/>
          <w:color w:val="auto"/>
        </w:rPr>
      </w:pPr>
    </w:p>
    <w:p>
      <w:pPr>
        <w:ind w:left="649"/>
        <w:spacing w:after="0"/>
        <w:rPr>
          <w:rFonts w:ascii="Arial" w:cs="Arial" w:eastAsia="Arial" w:hAnsi="Arial"/>
          <w:sz w:val="16"/>
          <w:szCs w:val="16"/>
          <w:color w:val="auto"/>
        </w:rPr>
      </w:pPr>
      <w:r>
        <w:rPr>
          <w:rFonts w:ascii="Arial" w:cs="Arial" w:eastAsia="Arial" w:hAnsi="Arial"/>
          <w:sz w:val="16"/>
          <w:szCs w:val="16"/>
          <w:color w:val="auto"/>
        </w:rPr>
        <w:t>603</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65,106</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22,409</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(10,359)</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(78,930)</w:t>
      </w:r>
    </w:p>
    <w:p>
      <w:pPr>
        <w:spacing w:after="0" w:line="200" w:lineRule="exact"/>
        <w:rPr>
          <w:sz w:val="20"/>
          <w:szCs w:val="20"/>
          <w:color w:val="auto"/>
        </w:rPr>
      </w:pPr>
    </w:p>
    <w:p>
      <w:pPr>
        <w:spacing w:after="0" w:line="349" w:lineRule="exact"/>
        <w:rPr>
          <w:sz w:val="20"/>
          <w:szCs w:val="20"/>
          <w:color w:val="auto"/>
        </w:rPr>
      </w:pPr>
    </w:p>
    <w:p>
      <w:pPr>
        <w:ind w:left="72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04" w:lineRule="exact"/>
        <w:rPr>
          <w:sz w:val="20"/>
          <w:szCs w:val="20"/>
          <w:color w:val="auto"/>
        </w:rPr>
      </w:pPr>
    </w:p>
    <w:p>
      <w:pPr>
        <w:ind w:left="369" w:hanging="369"/>
        <w:spacing w:after="0"/>
        <w:tabs>
          <w:tab w:leader="none" w:pos="369" w:val="left"/>
        </w:tabs>
        <w:numPr>
          <w:ilvl w:val="0"/>
          <w:numId w:val="76"/>
        </w:numPr>
        <w:rPr>
          <w:rFonts w:ascii="Arial" w:cs="Arial" w:eastAsia="Arial" w:hAnsi="Arial"/>
          <w:sz w:val="16"/>
          <w:szCs w:val="16"/>
          <w:color w:val="auto"/>
        </w:rPr>
      </w:pPr>
      <w:r>
        <w:rPr>
          <w:rFonts w:ascii="Arial" w:cs="Arial" w:eastAsia="Arial" w:hAnsi="Arial"/>
          <w:sz w:val="16"/>
          <w:szCs w:val="16"/>
          <w:color w:val="auto"/>
        </w:rPr>
        <w:t>589,474</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66,269</w:t>
      </w:r>
    </w:p>
    <w:p>
      <w:pPr>
        <w:spacing w:after="0" w:line="130" w:lineRule="exact"/>
        <w:rPr>
          <w:rFonts w:ascii="Arial" w:cs="Arial" w:eastAsia="Arial" w:hAnsi="Arial"/>
          <w:sz w:val="16"/>
          <w:szCs w:val="16"/>
          <w:color w:val="auto"/>
        </w:rPr>
      </w:pPr>
    </w:p>
    <w:p>
      <w:pPr>
        <w:ind w:left="529"/>
        <w:spacing w:after="0"/>
        <w:rPr>
          <w:rFonts w:ascii="Arial" w:cs="Arial" w:eastAsia="Arial" w:hAnsi="Arial"/>
          <w:sz w:val="16"/>
          <w:szCs w:val="16"/>
          <w:color w:val="auto"/>
        </w:rPr>
      </w:pPr>
      <w:r>
        <w:rPr>
          <w:rFonts w:ascii="Arial" w:cs="Arial" w:eastAsia="Arial" w:hAnsi="Arial"/>
          <w:sz w:val="16"/>
          <w:szCs w:val="16"/>
          <w:color w:val="auto"/>
        </w:rPr>
        <w:t>1,595</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74,636</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10,105</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(5,928)</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(521)</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(79,964)</w:t>
      </w:r>
    </w:p>
    <w:p>
      <w:pPr>
        <w:spacing w:after="0" w:line="200" w:lineRule="exact"/>
        <w:rPr>
          <w:sz w:val="20"/>
          <w:szCs w:val="20"/>
          <w:color w:val="auto"/>
        </w:rPr>
      </w:pPr>
    </w:p>
    <w:p>
      <w:pPr>
        <w:spacing w:after="0" w:line="349" w:lineRule="exact"/>
        <w:rPr>
          <w:sz w:val="20"/>
          <w:szCs w:val="20"/>
          <w:color w:val="auto"/>
        </w:rPr>
      </w:pPr>
    </w:p>
    <w:p>
      <w:pPr>
        <w:ind w:left="729"/>
        <w:spacing w:after="0"/>
        <w:rPr>
          <w:sz w:val="20"/>
          <w:szCs w:val="20"/>
          <w:color w:val="auto"/>
        </w:rPr>
      </w:pPr>
      <w:r>
        <w:rPr>
          <w:rFonts w:ascii="Arial" w:cs="Arial" w:eastAsia="Arial" w:hAnsi="Arial"/>
          <w:sz w:val="16"/>
          <w:szCs w:val="16"/>
          <w:color w:val="auto"/>
        </w:rPr>
        <w:t>—</w:t>
      </w:r>
    </w:p>
    <w:p>
      <w:pPr>
        <w:spacing w:after="0" w:line="124" w:lineRule="exact"/>
        <w:rPr>
          <w:sz w:val="20"/>
          <w:szCs w:val="20"/>
          <w:color w:val="auto"/>
        </w:rPr>
      </w:pPr>
    </w:p>
    <w:p>
      <w:pPr>
        <w:ind w:left="369" w:hanging="369"/>
        <w:spacing w:after="0"/>
        <w:tabs>
          <w:tab w:leader="none" w:pos="369" w:val="left"/>
        </w:tabs>
        <w:numPr>
          <w:ilvl w:val="0"/>
          <w:numId w:val="77"/>
        </w:numPr>
        <w:rPr>
          <w:rFonts w:ascii="Arial" w:cs="Arial" w:eastAsia="Arial" w:hAnsi="Arial"/>
          <w:sz w:val="16"/>
          <w:szCs w:val="16"/>
          <w:color w:val="auto"/>
        </w:rPr>
      </w:pPr>
      <w:r>
        <w:rPr>
          <w:rFonts w:ascii="Arial" w:cs="Arial" w:eastAsia="Arial" w:hAnsi="Arial"/>
          <w:sz w:val="16"/>
          <w:szCs w:val="16"/>
          <w:color w:val="auto"/>
        </w:rPr>
        <w:t>655,666</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79,300</w:t>
      </w:r>
    </w:p>
    <w:p>
      <w:pPr>
        <w:spacing w:after="0" w:line="130" w:lineRule="exact"/>
        <w:rPr>
          <w:rFonts w:ascii="Arial" w:cs="Arial" w:eastAsia="Arial" w:hAnsi="Arial"/>
          <w:sz w:val="16"/>
          <w:szCs w:val="16"/>
          <w:color w:val="auto"/>
        </w:rPr>
      </w:pPr>
    </w:p>
    <w:p>
      <w:pPr>
        <w:ind w:left="529"/>
        <w:spacing w:after="0"/>
        <w:rPr>
          <w:rFonts w:ascii="Arial" w:cs="Arial" w:eastAsia="Arial" w:hAnsi="Arial"/>
          <w:sz w:val="16"/>
          <w:szCs w:val="16"/>
          <w:color w:val="auto"/>
        </w:rPr>
      </w:pPr>
      <w:r>
        <w:rPr>
          <w:rFonts w:ascii="Arial" w:cs="Arial" w:eastAsia="Arial" w:hAnsi="Arial"/>
          <w:sz w:val="16"/>
          <w:szCs w:val="16"/>
          <w:color w:val="auto"/>
        </w:rPr>
        <w:t>2,012</w:t>
      </w:r>
    </w:p>
    <w:p>
      <w:pPr>
        <w:spacing w:after="0" w:line="130" w:lineRule="exact"/>
        <w:rPr>
          <w:rFonts w:ascii="Arial" w:cs="Arial" w:eastAsia="Arial" w:hAnsi="Arial"/>
          <w:sz w:val="16"/>
          <w:szCs w:val="16"/>
          <w:color w:val="auto"/>
        </w:rPr>
      </w:pPr>
    </w:p>
    <w:p>
      <w:pPr>
        <w:ind w:left="449"/>
        <w:spacing w:after="0"/>
        <w:rPr>
          <w:rFonts w:ascii="Arial" w:cs="Arial" w:eastAsia="Arial" w:hAnsi="Arial"/>
          <w:sz w:val="16"/>
          <w:szCs w:val="16"/>
          <w:color w:val="auto"/>
        </w:rPr>
      </w:pPr>
      <w:r>
        <w:rPr>
          <w:rFonts w:ascii="Arial" w:cs="Arial" w:eastAsia="Arial" w:hAnsi="Arial"/>
          <w:sz w:val="16"/>
          <w:szCs w:val="16"/>
          <w:color w:val="auto"/>
        </w:rPr>
        <w:t>73,850</w:t>
      </w:r>
    </w:p>
    <w:p>
      <w:pPr>
        <w:spacing w:after="0" w:line="137"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5"/>
          <w:szCs w:val="15"/>
          <w:color w:val="auto"/>
        </w:rPr>
        <w:t>(659)</w:t>
      </w:r>
    </w:p>
    <w:p>
      <w:pPr>
        <w:spacing w:after="0" w:line="31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10,110</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(899)</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(77,481)</w:t>
      </w:r>
    </w:p>
    <w:p>
      <w:pPr>
        <w:spacing w:after="0" w:line="200" w:lineRule="exact"/>
        <w:rPr>
          <w:sz w:val="20"/>
          <w:szCs w:val="20"/>
          <w:color w:val="auto"/>
        </w:rPr>
      </w:pPr>
    </w:p>
    <w:p>
      <w:pPr>
        <w:spacing w:after="0" w:line="349" w:lineRule="exact"/>
        <w:rPr>
          <w:sz w:val="20"/>
          <w:szCs w:val="20"/>
          <w:color w:val="auto"/>
        </w:rPr>
      </w:pPr>
    </w:p>
    <w:p>
      <w:pPr>
        <w:ind w:left="72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56769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04" w:lineRule="exact"/>
        <w:rPr>
          <w:sz w:val="20"/>
          <w:szCs w:val="20"/>
          <w:color w:val="auto"/>
        </w:rPr>
      </w:pPr>
    </w:p>
    <w:p>
      <w:pPr>
        <w:ind w:left="369" w:hanging="369"/>
        <w:spacing w:after="0"/>
        <w:tabs>
          <w:tab w:leader="none" w:pos="3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741,899</w:t>
      </w:r>
    </w:p>
    <w:p>
      <w:pPr>
        <w:spacing w:after="0" w:line="515" w:lineRule="exact"/>
        <w:rPr>
          <w:sz w:val="20"/>
          <w:szCs w:val="20"/>
          <w:color w:val="auto"/>
        </w:rPr>
      </w:pPr>
    </w:p>
    <w:p>
      <w:pPr>
        <w:sectPr>
          <w:pgSz w:w="11900" w:h="16838" w:orient="portrait"/>
          <w:cols w:equalWidth="0" w:num="3">
            <w:col w:w="6760" w:space="220"/>
            <w:col w:w="1060" w:space="231"/>
            <w:col w:w="949"/>
          </w:cols>
          <w:pgMar w:left="1260" w:top="1440" w:right="142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220"/>
          </w:cols>
          <w:pgMar w:left="1260" w:top="1440" w:right="1426" w:bottom="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
        <w:spacing w:after="0"/>
        <w:rPr>
          <w:sz w:val="20"/>
          <w:szCs w:val="20"/>
          <w:color w:val="auto"/>
        </w:rPr>
      </w:pPr>
      <w:r>
        <w:rPr>
          <w:rFonts w:ascii="Arial" w:cs="Arial" w:eastAsia="Arial" w:hAnsi="Arial"/>
          <w:sz w:val="17"/>
          <w:szCs w:val="17"/>
          <w:i w:val="1"/>
          <w:iCs w:val="1"/>
          <w:color w:val="auto"/>
        </w:rPr>
        <w:t>See Notes to Consolidated Financial Statements.</w:t>
      </w:r>
    </w:p>
    <w:p>
      <w:pPr>
        <w:sectPr>
          <w:pgSz w:w="11900" w:h="16838" w:orient="portrait"/>
          <w:cols w:equalWidth="0" w:num="1">
            <w:col w:w="9026"/>
          </w:cols>
          <w:pgMar w:left="1440" w:top="1440" w:right="1440" w:bottom="0" w:gutter="0" w:footer="0" w:header="0"/>
        </w:sectPr>
      </w:pPr>
    </w:p>
    <w:p>
      <w:pPr>
        <w:spacing w:after="0" w:line="10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026"/>
          </w:cols>
          <w:pgMar w:left="1440" w:top="1440" w:right="1440" w:bottom="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6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22"/>
                <w:szCs w:val="22"/>
                <w:color w:val="auto"/>
              </w:rPr>
            </w:pPr>
          </w:p>
        </w:tc>
        <w:tc>
          <w:tcPr>
            <w:tcW w:w="8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1040" w:type="dxa"/>
            <w:vAlign w:val="bottom"/>
          </w:tcPr>
          <w:p>
            <w:pPr>
              <w:jc w:val="right"/>
              <w:ind w:right="360"/>
              <w:spacing w:after="0"/>
              <w:rPr>
                <w:sz w:val="20"/>
                <w:szCs w:val="20"/>
                <w:color w:val="auto"/>
              </w:rPr>
            </w:pPr>
            <w:r>
              <w:rPr>
                <w:rFonts w:ascii="Arial" w:cs="Arial" w:eastAsia="Arial" w:hAnsi="Arial"/>
                <w:sz w:val="16"/>
                <w:szCs w:val="16"/>
                <w:b w:val="1"/>
                <w:bCs w:val="1"/>
                <w:color w:val="auto"/>
              </w:rPr>
              <w:t>2023</w:t>
            </w:r>
          </w:p>
        </w:tc>
      </w:tr>
      <w:tr>
        <w:trPr>
          <w:trHeight w:val="42"/>
        </w:trPr>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82"/>
        </w:trPr>
        <w:tc>
          <w:tcPr>
            <w:tcW w:w="6140" w:type="dxa"/>
            <w:vAlign w:val="bottom"/>
          </w:tcPr>
          <w:p>
            <w:pPr>
              <w:ind w:left="100"/>
              <w:spacing w:after="0"/>
              <w:rPr>
                <w:sz w:val="20"/>
                <w:szCs w:val="20"/>
                <w:color w:val="auto"/>
              </w:rPr>
            </w:pPr>
            <w:r>
              <w:rPr>
                <w:rFonts w:ascii="Arial" w:cs="Arial" w:eastAsia="Arial" w:hAnsi="Arial"/>
                <w:sz w:val="16"/>
                <w:szCs w:val="16"/>
                <w:color w:val="auto"/>
              </w:rPr>
              <w:t>Net increase (decrease) in net assets resulting from operations</w:t>
            </w: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82,402</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78,292</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   77,133</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w w:val="91"/>
              </w:rPr>
              <w:t>Adjustments to reconcile net increase (decrease) in net assets resulting from operations to net</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52"/>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provided by (used for) operating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82"/>
        </w:trPr>
        <w:tc>
          <w:tcPr>
            <w:tcW w:w="6140" w:type="dxa"/>
            <w:vAlign w:val="bottom"/>
          </w:tcPr>
          <w:p>
            <w:pPr>
              <w:ind w:left="22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(10,110)</w:t>
            </w: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5,928</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10,359</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realized (gain) loss on investments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(3,374)</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(11,585)</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(24,071)</w:t>
            </w:r>
          </w:p>
        </w:tc>
      </w:tr>
      <w:tr>
        <w:trPr>
          <w:trHeight w:val="282"/>
        </w:trPr>
        <w:tc>
          <w:tcPr>
            <w:tcW w:w="6140" w:type="dxa"/>
            <w:vAlign w:val="bottom"/>
          </w:tcPr>
          <w:p>
            <w:pPr>
              <w:ind w:left="220"/>
              <w:spacing w:after="0"/>
              <w:rPr>
                <w:sz w:val="20"/>
                <w:szCs w:val="20"/>
                <w:color w:val="auto"/>
              </w:rPr>
            </w:pPr>
            <w:r>
              <w:rPr>
                <w:rFonts w:ascii="Arial" w:cs="Arial" w:eastAsia="Arial" w:hAnsi="Arial"/>
                <w:sz w:val="16"/>
                <w:szCs w:val="16"/>
                <w:color w:val="auto"/>
              </w:rPr>
              <w:t>Interest and dividend income paid-in-kind</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(10,866)</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(7,840)</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(6,634)</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Accretion of original issue discount</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(1,187)</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(461)</w:t>
            </w:r>
          </w:p>
        </w:tc>
      </w:tr>
      <w:tr>
        <w:trPr>
          <w:trHeight w:val="282"/>
        </w:trPr>
        <w:tc>
          <w:tcPr>
            <w:tcW w:w="6140" w:type="dxa"/>
            <w:vAlign w:val="bottom"/>
          </w:tcPr>
          <w:p>
            <w:pPr>
              <w:ind w:left="220"/>
              <w:spacing w:after="0"/>
              <w:rPr>
                <w:sz w:val="20"/>
                <w:szCs w:val="20"/>
                <w:color w:val="auto"/>
              </w:rPr>
            </w:pPr>
            <w:r>
              <w:rPr>
                <w:rFonts w:ascii="Arial" w:cs="Arial" w:eastAsia="Arial" w:hAnsi="Arial"/>
                <w:sz w:val="16"/>
                <w:szCs w:val="16"/>
                <w:color w:val="auto"/>
              </w:rPr>
              <w:t>Accretion of loan origination fees</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(2,814)</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(2,504)</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Purchase of investments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(498,162)</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(394,532)</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(336,741)</w:t>
            </w:r>
          </w:p>
        </w:tc>
      </w:tr>
      <w:tr>
        <w:trPr>
          <w:trHeight w:val="266"/>
        </w:trPr>
        <w:tc>
          <w:tcPr>
            <w:tcW w:w="6140" w:type="dxa"/>
            <w:vAlign w:val="bottom"/>
          </w:tcPr>
          <w:p>
            <w:pPr>
              <w:ind w:left="220"/>
              <w:spacing w:after="0"/>
              <w:rPr>
                <w:sz w:val="20"/>
                <w:szCs w:val="20"/>
                <w:color w:val="auto"/>
              </w:rPr>
            </w:pPr>
            <w:r>
              <w:rPr>
                <w:rFonts w:ascii="Arial" w:cs="Arial" w:eastAsia="Arial" w:hAnsi="Arial"/>
                <w:sz w:val="16"/>
                <w:szCs w:val="16"/>
                <w:color w:val="auto"/>
              </w:rPr>
              <w:t>Proceeds from sales and repayments of investments</w:t>
            </w:r>
          </w:p>
        </w:tc>
        <w:tc>
          <w:tcPr>
            <w:tcW w:w="3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288,002</w:t>
            </w: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276,861</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258,875</w:t>
            </w:r>
          </w:p>
        </w:tc>
      </w:tr>
      <w:tr>
        <w:trPr>
          <w:trHeight w:val="49"/>
        </w:trPr>
        <w:tc>
          <w:tcPr>
            <w:tcW w:w="6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loan origination fees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3,146</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2,569</w:t>
            </w:r>
          </w:p>
        </w:tc>
        <w:tc>
          <w:tcPr>
            <w:tcW w:w="10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3,600</w:t>
            </w:r>
          </w:p>
        </w:tc>
      </w:tr>
      <w:tr>
        <w:trPr>
          <w:trHeight w:val="266"/>
        </w:trPr>
        <w:tc>
          <w:tcPr>
            <w:tcW w:w="6140" w:type="dxa"/>
            <w:vAlign w:val="bottom"/>
          </w:tcPr>
          <w:p>
            <w:pPr>
              <w:ind w:left="220"/>
              <w:spacing w:after="0"/>
              <w:rPr>
                <w:sz w:val="20"/>
                <w:szCs w:val="20"/>
                <w:color w:val="auto"/>
              </w:rPr>
            </w:pPr>
            <w:r>
              <w:rPr>
                <w:rFonts w:ascii="Arial" w:cs="Arial" w:eastAsia="Arial" w:hAnsi="Arial"/>
                <w:sz w:val="16"/>
                <w:szCs w:val="16"/>
                <w:color w:val="auto"/>
              </w:rPr>
              <w:t>Realized losses on extinguishment of debt</w:t>
            </w:r>
          </w:p>
        </w:tc>
        <w:tc>
          <w:tcPr>
            <w:tcW w:w="3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899</w:t>
            </w: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521</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23</w:t>
            </w:r>
          </w:p>
        </w:tc>
      </w:tr>
      <w:tr>
        <w:trPr>
          <w:trHeight w:val="49"/>
        </w:trPr>
        <w:tc>
          <w:tcPr>
            <w:tcW w:w="6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2,770</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2,110</w:t>
            </w:r>
          </w:p>
        </w:tc>
        <w:tc>
          <w:tcPr>
            <w:tcW w:w="10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2,146</w:t>
            </w:r>
          </w:p>
        </w:tc>
      </w:tr>
      <w:tr>
        <w:trPr>
          <w:trHeight w:val="266"/>
        </w:trPr>
        <w:tc>
          <w:tcPr>
            <w:tcW w:w="6140" w:type="dxa"/>
            <w:vAlign w:val="bottom"/>
          </w:tcPr>
          <w:p>
            <w:pPr>
              <w:ind w:left="220"/>
              <w:spacing w:after="0"/>
              <w:rPr>
                <w:sz w:val="20"/>
                <w:szCs w:val="20"/>
                <w:color w:val="auto"/>
              </w:rPr>
            </w:pPr>
            <w:r>
              <w:rPr>
                <w:rFonts w:ascii="Arial" w:cs="Arial" w:eastAsia="Arial" w:hAnsi="Arial"/>
                <w:sz w:val="16"/>
                <w:szCs w:val="16"/>
                <w:color w:val="auto"/>
              </w:rPr>
              <w:t>Amortization of deferred equity financing costs</w:t>
            </w:r>
          </w:p>
        </w:tc>
        <w:tc>
          <w:tcPr>
            <w:tcW w:w="3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60</w:t>
            </w:r>
          </w:p>
        </w:tc>
      </w:tr>
      <w:tr>
        <w:trPr>
          <w:trHeight w:val="49"/>
        </w:trPr>
        <w:tc>
          <w:tcPr>
            <w:tcW w:w="6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82"/>
        </w:trPr>
        <w:tc>
          <w:tcPr>
            <w:tcW w:w="6140" w:type="dxa"/>
            <w:vAlign w:val="bottom"/>
          </w:tcPr>
          <w:p>
            <w:pPr>
              <w:ind w:left="340"/>
              <w:spacing w:after="0"/>
              <w:rPr>
                <w:sz w:val="20"/>
                <w:szCs w:val="20"/>
                <w:color w:val="auto"/>
              </w:rPr>
            </w:pPr>
            <w:r>
              <w:rPr>
                <w:rFonts w:ascii="Arial" w:cs="Arial" w:eastAsia="Arial" w:hAnsi="Arial"/>
                <w:sz w:val="16"/>
                <w:szCs w:val="16"/>
                <w:color w:val="auto"/>
              </w:rPr>
              <w:t>Interest receivable</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(6,295)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(3,154)</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(139)</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847</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(501)</w:t>
            </w:r>
          </w:p>
        </w:tc>
      </w:tr>
      <w:tr>
        <w:trPr>
          <w:trHeight w:val="282"/>
        </w:trPr>
        <w:tc>
          <w:tcPr>
            <w:tcW w:w="6140" w:type="dxa"/>
            <w:vAlign w:val="bottom"/>
          </w:tcPr>
          <w:p>
            <w:pPr>
              <w:ind w:left="340"/>
              <w:spacing w:after="0"/>
              <w:rPr>
                <w:sz w:val="20"/>
                <w:szCs w:val="20"/>
                <w:color w:val="auto"/>
              </w:rPr>
            </w:pPr>
            <w:r>
              <w:rPr>
                <w:rFonts w:ascii="Arial" w:cs="Arial" w:eastAsia="Arial" w:hAnsi="Arial"/>
                <w:sz w:val="16"/>
                <w:szCs w:val="16"/>
                <w:color w:val="auto"/>
              </w:rPr>
              <w:t>Accrued interest and fees payable</w:t>
            </w:r>
          </w:p>
        </w:tc>
        <w:tc>
          <w:tcPr>
            <w:tcW w:w="3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1,665</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1,177</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w w:val="95"/>
              </w:rPr>
              <w:t>Base management fee payable, net of base management fee waiver – due to affiliate</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791</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654</w:t>
            </w:r>
          </w:p>
        </w:tc>
        <w:tc>
          <w:tcPr>
            <w:tcW w:w="10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382</w:t>
            </w:r>
          </w:p>
        </w:tc>
      </w:tr>
      <w:tr>
        <w:trPr>
          <w:trHeight w:val="282"/>
        </w:trPr>
        <w:tc>
          <w:tcPr>
            <w:tcW w:w="6140" w:type="dxa"/>
            <w:vAlign w:val="bottom"/>
          </w:tcPr>
          <w:p>
            <w:pPr>
              <w:ind w:left="340"/>
              <w:spacing w:after="0"/>
              <w:rPr>
                <w:sz w:val="20"/>
                <w:szCs w:val="20"/>
                <w:color w:val="auto"/>
              </w:rPr>
            </w:pPr>
            <w:r>
              <w:rPr>
                <w:rFonts w:ascii="Arial" w:cs="Arial" w:eastAsia="Arial" w:hAnsi="Arial"/>
                <w:sz w:val="16"/>
                <w:szCs w:val="16"/>
                <w:color w:val="auto"/>
              </w:rPr>
              <w:t>Income incentive fee payable – due to affiliate</w:t>
            </w:r>
          </w:p>
        </w:tc>
        <w:tc>
          <w:tcPr>
            <w:tcW w:w="3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244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1,535</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Capital gains incentive fee (reversal) – due to (from) affiliate</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1,711</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(5,150)</w:t>
            </w:r>
          </w:p>
        </w:tc>
      </w:tr>
      <w:tr>
        <w:trPr>
          <w:trHeight w:val="266"/>
        </w:trPr>
        <w:tc>
          <w:tcPr>
            <w:tcW w:w="6140" w:type="dxa"/>
            <w:vAlign w:val="bottom"/>
          </w:tcPr>
          <w:p>
            <w:pPr>
              <w:ind w:left="340"/>
              <w:spacing w:after="0"/>
              <w:rPr>
                <w:sz w:val="20"/>
                <w:szCs w:val="20"/>
                <w:color w:val="auto"/>
              </w:rPr>
            </w:pPr>
            <w:r>
              <w:rPr>
                <w:rFonts w:ascii="Arial" w:cs="Arial" w:eastAsia="Arial" w:hAnsi="Arial"/>
                <w:sz w:val="16"/>
                <w:szCs w:val="16"/>
                <w:color w:val="auto"/>
              </w:rPr>
              <w:t>Administration fee payable and other – due to (from) affiliate</w:t>
            </w:r>
          </w:p>
        </w:tc>
        <w:tc>
          <w:tcPr>
            <w:tcW w:w="3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213</w:t>
            </w:r>
          </w:p>
        </w:tc>
      </w:tr>
      <w:tr>
        <w:trPr>
          <w:trHeight w:val="49"/>
        </w:trPr>
        <w:tc>
          <w:tcPr>
            <w:tcW w:w="6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6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Taxes payable</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1,718</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623</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(8,710)</w:t>
            </w:r>
          </w:p>
        </w:tc>
      </w:tr>
      <w:tr>
        <w:trPr>
          <w:trHeight w:val="282"/>
        </w:trPr>
        <w:tc>
          <w:tcPr>
            <w:tcW w:w="6140" w:type="dxa"/>
            <w:vAlign w:val="bottom"/>
          </w:tcPr>
          <w:p>
            <w:pPr>
              <w:ind w:left="340"/>
              <w:spacing w:after="0"/>
              <w:rPr>
                <w:sz w:val="20"/>
                <w:szCs w:val="20"/>
                <w:color w:val="auto"/>
              </w:rPr>
            </w:pPr>
            <w:r>
              <w:rPr>
                <w:rFonts w:ascii="Arial" w:cs="Arial" w:eastAsia="Arial" w:hAnsi="Arial"/>
                <w:sz w:val="16"/>
                <w:szCs w:val="16"/>
                <w:color w:val="auto"/>
              </w:rPr>
              <w:t>Accounts payable and other liabilities</w:t>
            </w:r>
          </w:p>
        </w:tc>
        <w:tc>
          <w:tcPr>
            <w:tcW w:w="3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810</w:t>
            </w: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278</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(49)</w:t>
            </w:r>
          </w:p>
        </w:tc>
      </w:tr>
      <w:tr>
        <w:trPr>
          <w:trHeight w:val="42"/>
        </w:trPr>
        <w:tc>
          <w:tcPr>
            <w:tcW w:w="6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61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(147,005)</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(55,306)</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(29,457)</w:t>
            </w:r>
          </w:p>
        </w:tc>
      </w:tr>
      <w:tr>
        <w:trPr>
          <w:trHeight w:val="222"/>
        </w:trPr>
        <w:tc>
          <w:tcPr>
            <w:tcW w:w="61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common stock offerings, net of expenses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79,300</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66,269</w:t>
            </w:r>
          </w:p>
        </w:tc>
        <w:tc>
          <w:tcPr>
            <w:tcW w:w="10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110,325</w:t>
            </w:r>
          </w:p>
        </w:tc>
      </w:tr>
      <w:tr>
        <w:trPr>
          <w:trHeight w:val="282"/>
        </w:trPr>
        <w:tc>
          <w:tcPr>
            <w:tcW w:w="6140" w:type="dxa"/>
            <w:vAlign w:val="bottom"/>
          </w:tcPr>
          <w:p>
            <w:pPr>
              <w:ind w:left="220"/>
              <w:spacing w:after="0"/>
              <w:rPr>
                <w:sz w:val="20"/>
                <w:szCs w:val="20"/>
                <w:color w:val="auto"/>
              </w:rPr>
            </w:pPr>
            <w:r>
              <w:rPr>
                <w:rFonts w:ascii="Arial" w:cs="Arial" w:eastAsia="Arial" w:hAnsi="Arial"/>
                <w:sz w:val="16"/>
                <w:szCs w:val="16"/>
                <w:color w:val="auto"/>
              </w:rPr>
              <w:t>Proceeds received from SBA debentures</w:t>
            </w:r>
          </w:p>
        </w:tc>
        <w:tc>
          <w:tcPr>
            <w:tcW w:w="3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91,000</w:t>
            </w: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62,000</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Repayments of SBA debentures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(28,500)</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(5,000)</w:t>
            </w:r>
          </w:p>
        </w:tc>
      </w:tr>
      <w:tr>
        <w:trPr>
          <w:trHeight w:val="282"/>
        </w:trPr>
        <w:tc>
          <w:tcPr>
            <w:tcW w:w="6140" w:type="dxa"/>
            <w:vAlign w:val="bottom"/>
          </w:tcPr>
          <w:p>
            <w:pPr>
              <w:ind w:left="220"/>
              <w:spacing w:after="0"/>
              <w:rPr>
                <w:sz w:val="20"/>
                <w:szCs w:val="20"/>
                <w:color w:val="auto"/>
              </w:rPr>
            </w:pPr>
            <w:r>
              <w:rPr>
                <w:rFonts w:ascii="Arial" w:cs="Arial" w:eastAsia="Arial" w:hAnsi="Arial"/>
                <w:sz w:val="16"/>
                <w:szCs w:val="16"/>
                <w:color w:val="auto"/>
              </w:rPr>
              <w:t>Proceeds received from issuance of Notes</w:t>
            </w:r>
          </w:p>
        </w:tc>
        <w:tc>
          <w:tcPr>
            <w:tcW w:w="3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200,000</w:t>
            </w: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32"/>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4"/>
        </w:trPr>
        <w:tc>
          <w:tcPr>
            <w:tcW w:w="6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Principal payments on Notes</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2"/>
        </w:trPr>
        <w:tc>
          <w:tcPr>
            <w:tcW w:w="6140" w:type="dxa"/>
            <w:vAlign w:val="bottom"/>
          </w:tcPr>
          <w:p>
            <w:pPr>
              <w:ind w:left="220"/>
              <w:spacing w:after="0"/>
              <w:rPr>
                <w:sz w:val="20"/>
                <w:szCs w:val="20"/>
                <w:color w:val="auto"/>
              </w:rPr>
            </w:pPr>
            <w:r>
              <w:rPr>
                <w:rFonts w:ascii="Arial" w:cs="Arial" w:eastAsia="Arial" w:hAnsi="Arial"/>
                <w:sz w:val="16"/>
                <w:szCs w:val="16"/>
                <w:color w:val="auto"/>
              </w:rPr>
              <w:t>Proceeds received from (repayments of) Credit Facilities, net</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-6516370</wp:posOffset>
            </wp:positionV>
            <wp:extent cx="180403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4035" cy="635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-6348730</wp:posOffset>
            </wp:positionV>
            <wp:extent cx="180403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04035" cy="635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-1512570</wp:posOffset>
            </wp:positionV>
            <wp:extent cx="180403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04035" cy="635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-1306830</wp:posOffset>
            </wp:positionV>
            <wp:extent cx="186372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6372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440" w:right="1246" w:bottom="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6"/>
          <w:szCs w:val="16"/>
          <w:color w:val="auto"/>
        </w:rPr>
        <w:t>38,850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45,000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Proceeds received from (repayments of) Secured Borrowings, net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(1,674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(2,206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Payment of deferred financing costs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(9,055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(2,360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(1,760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Dividends paid to stockholders, including expenses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(75,469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(78,369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(78,327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cash provided by (used for) financing activities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169,452</w:t>
      </w:r>
    </w:p>
    <w:p>
      <w:pPr>
        <w:sectPr>
          <w:pgSz w:w="11900" w:h="16838" w:orient="portrait"/>
          <w:cols w:equalWidth="0" w:num="1">
            <w:col w:w="9400"/>
          </w:cols>
          <w:pgMar w:left="1260" w:top="1321"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8</w:t>
      </w:r>
    </w:p>
    <w:p>
      <w:pPr>
        <w:sectPr>
          <w:pgSz w:w="11900" w:h="16838" w:orient="portrait"/>
          <w:cols w:equalWidth="0" w:num="1">
            <w:col w:w="9400"/>
          </w:cols>
          <w:pgMar w:left="1260" w:top="1321" w:right="1246" w:bottom="0" w:gutter="0" w:footer="0" w:header="0"/>
          <w:type w:val="continuous"/>
        </w:sectPr>
      </w:pPr>
    </w:p>
    <w:bookmarkStart w:id="174" w:name="page175"/>
    <w:bookmarkEnd w:id="174"/>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(6,666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86,238</w:t>
      </w:r>
    </w:p>
    <w:p>
      <w:pPr>
        <w:spacing w:after="0" w:line="200" w:lineRule="exact"/>
        <w:rPr>
          <w:sz w:val="20"/>
          <w:szCs w:val="20"/>
          <w:color w:val="auto"/>
        </w:rPr>
      </w:pPr>
    </w:p>
    <w:p>
      <w:pPr>
        <w:spacing w:after="0" w:line="35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22,447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(61,972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56,781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Beginning of period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57,159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62,350</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End of period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79,606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57,159</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8</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119,131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cash flow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payments for interest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27,179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22,428</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19,426</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payments for taxes, net of tax refunds received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4,562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3,297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11,402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Non-cash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Value of shares issued pursuant to the dividend reinvestment plan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39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8</w:t>
      </w:r>
    </w:p>
    <w:p>
      <w:pPr>
        <w:sectPr>
          <w:pgSz w:w="11900" w:h="16838" w:orient="portrait"/>
          <w:cols w:equalWidth="0" w:num="1">
            <w:col w:w="9400"/>
          </w:cols>
          <w:pgMar w:left="1260" w:top="1397" w:right="1246" w:bottom="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16"/>
          <w:szCs w:val="16"/>
          <w:color w:val="auto"/>
        </w:rPr>
        <w:t>2,012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1,595</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cash and cash equivalents and restricted cash reported within the Consolidated Statements of</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that sum to the total of the same such amounts in the Consolidated Statements of Cash Flows: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Years Ended December 31,</w:t>
            </w:r>
          </w:p>
        </w:tc>
      </w:tr>
      <w:tr>
        <w:trPr>
          <w:trHeight w:val="294"/>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4"/>
                <w:szCs w:val="24"/>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324"/>
        </w:trPr>
        <w:tc>
          <w:tcPr>
            <w:tcW w:w="60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69,995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57,159</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9"/>
              </w:rPr>
              <w:t>$ 119,131</w:t>
            </w:r>
          </w:p>
        </w:tc>
      </w:tr>
      <w:tr>
        <w:trPr>
          <w:trHeight w:val="36"/>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304"/>
        </w:trPr>
        <w:tc>
          <w:tcPr>
            <w:tcW w:w="60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9,611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6060" w:type="dxa"/>
            <w:vAlign w:val="bottom"/>
          </w:tcPr>
          <w:p>
            <w:pPr>
              <w:ind w:left="220"/>
              <w:spacing w:after="0"/>
              <w:rPr>
                <w:sz w:val="20"/>
                <w:szCs w:val="20"/>
                <w:color w:val="auto"/>
              </w:rPr>
            </w:pPr>
            <w:r>
              <w:rPr>
                <w:rFonts w:ascii="Arial" w:cs="Arial" w:eastAsia="Arial" w:hAnsi="Arial"/>
                <w:sz w:val="18"/>
                <w:szCs w:val="18"/>
                <w:color w:val="auto"/>
                <w:w w:val="92"/>
              </w:rPr>
              <w:t>Total cash, cash equivalents and restricted cash presented in the Consolidated</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6060" w:type="dxa"/>
            <w:vAlign w:val="bottom"/>
          </w:tcPr>
          <w:p>
            <w:pPr>
              <w:ind w:left="220"/>
              <w:spacing w:after="0"/>
              <w:rPr>
                <w:sz w:val="20"/>
                <w:szCs w:val="20"/>
                <w:color w:val="auto"/>
              </w:rPr>
            </w:pPr>
            <w:r>
              <w:rPr>
                <w:rFonts w:ascii="Arial" w:cs="Arial" w:eastAsia="Arial" w:hAnsi="Arial"/>
                <w:sz w:val="18"/>
                <w:szCs w:val="18"/>
                <w:color w:val="auto"/>
              </w:rPr>
              <w:t>Statements of Cash Flows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79,606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57,159</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9"/>
              </w:rPr>
              <w:t>$ 119,131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-927100</wp:posOffset>
            </wp:positionV>
            <wp:extent cx="181483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14830" cy="6350"/>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-740410</wp:posOffset>
            </wp:positionV>
            <wp:extent cx="181483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14830" cy="6350"/>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-334645</wp:posOffset>
            </wp:positionV>
            <wp:extent cx="187452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74520" cy="6350"/>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-5080</wp:posOffset>
            </wp:positionV>
            <wp:extent cx="181483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148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Notes to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8</w:t>
      </w:r>
    </w:p>
    <w:p>
      <w:pPr>
        <w:sectPr>
          <w:pgSz w:w="11900" w:h="16838" w:orient="portrait"/>
          <w:cols w:equalWidth="0" w:num="1">
            <w:col w:w="9400"/>
          </w:cols>
          <w:pgMar w:left="1260" w:top="1201" w:right="1246" w:bottom="0"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Schedule of Investments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2025</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 (a)(b)</w:t>
            </w:r>
          </w:p>
        </w:tc>
        <w:tc>
          <w:tcPr>
            <w:tcW w:w="1660" w:type="dxa"/>
            <w:vAlign w:val="bottom"/>
          </w:tcPr>
          <w:p>
            <w:pPr>
              <w:spacing w:after="0"/>
              <w:rPr>
                <w:sz w:val="10"/>
                <w:szCs w:val="10"/>
                <w:color w:val="auto"/>
              </w:rPr>
            </w:pPr>
          </w:p>
        </w:tc>
        <w:tc>
          <w:tcPr>
            <w:tcW w:w="1600" w:type="dxa"/>
            <w:vAlign w:val="bottom"/>
          </w:tcPr>
          <w:p>
            <w:pPr>
              <w:ind w:left="720"/>
              <w:spacing w:after="0"/>
              <w:rPr>
                <w:sz w:val="20"/>
                <w:szCs w:val="20"/>
                <w:color w:val="auto"/>
              </w:rPr>
            </w:pPr>
            <w:r>
              <w:rPr>
                <w:rFonts w:ascii="Arial" w:cs="Arial" w:eastAsia="Arial" w:hAnsi="Arial"/>
                <w:sz w:val="10"/>
                <w:szCs w:val="10"/>
                <w:b w:val="1"/>
                <w:bCs w:val="1"/>
                <w:color w:val="auto"/>
              </w:rPr>
              <w:t>Variable Index</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Rate (e)</w:t>
            </w:r>
          </w:p>
        </w:tc>
        <w:tc>
          <w:tcPr>
            <w:tcW w:w="740" w:type="dxa"/>
            <w:vAlign w:val="bottom"/>
          </w:tcPr>
          <w:p>
            <w:pPr>
              <w:ind w:left="180"/>
              <w:spacing w:after="0"/>
              <w:rPr>
                <w:sz w:val="20"/>
                <w:szCs w:val="20"/>
                <w:color w:val="auto"/>
              </w:rPr>
            </w:pPr>
            <w:r>
              <w:rPr>
                <w:rFonts w:ascii="Arial" w:cs="Arial" w:eastAsia="Arial" w:hAnsi="Arial"/>
                <w:sz w:val="10"/>
                <w:szCs w:val="10"/>
                <w:b w:val="1"/>
                <w:bCs w:val="1"/>
                <w:color w:val="auto"/>
              </w:rPr>
              <w:t>Investment</w:t>
            </w:r>
          </w:p>
        </w:tc>
        <w:tc>
          <w:tcPr>
            <w:tcW w:w="560" w:type="dxa"/>
            <w:vAlign w:val="bottom"/>
          </w:tcPr>
          <w:p>
            <w:pPr>
              <w:spacing w:after="0"/>
              <w:rPr>
                <w:sz w:val="10"/>
                <w:szCs w:val="10"/>
                <w:color w:val="auto"/>
              </w:rPr>
            </w:pPr>
          </w:p>
        </w:tc>
        <w:tc>
          <w:tcPr>
            <w:tcW w:w="680" w:type="dxa"/>
            <w:vAlign w:val="bottom"/>
          </w:tcPr>
          <w:p>
            <w:pPr>
              <w:jc w:val="center"/>
              <w:ind w:right="10"/>
              <w:spacing w:after="0"/>
              <w:rPr>
                <w:sz w:val="20"/>
                <w:szCs w:val="20"/>
                <w:color w:val="auto"/>
              </w:rPr>
            </w:pPr>
            <w:r>
              <w:rPr>
                <w:rFonts w:ascii="Arial" w:cs="Arial" w:eastAsia="Arial" w:hAnsi="Arial"/>
                <w:sz w:val="10"/>
                <w:szCs w:val="10"/>
                <w:b w:val="1"/>
                <w:bCs w:val="1"/>
                <w:color w:val="auto"/>
                <w:w w:val="89"/>
              </w:rPr>
              <w:t>Principal</w:t>
            </w:r>
          </w:p>
        </w:tc>
        <w:tc>
          <w:tcPr>
            <w:tcW w:w="500" w:type="dxa"/>
            <w:vAlign w:val="bottom"/>
          </w:tcPr>
          <w:p>
            <w:pPr>
              <w:spacing w:after="0"/>
              <w:rPr>
                <w:sz w:val="10"/>
                <w:szCs w:val="10"/>
                <w:color w:val="auto"/>
              </w:rPr>
            </w:pPr>
          </w:p>
        </w:tc>
        <w:tc>
          <w:tcPr>
            <w:tcW w:w="640" w:type="dxa"/>
            <w:vAlign w:val="bottom"/>
          </w:tcPr>
          <w:p>
            <w:pPr>
              <w:jc w:val="center"/>
              <w:ind w:left="50"/>
              <w:spacing w:after="0"/>
              <w:rPr>
                <w:sz w:val="20"/>
                <w:szCs w:val="20"/>
                <w:color w:val="auto"/>
              </w:rPr>
            </w:pPr>
            <w:r>
              <w:rPr>
                <w:rFonts w:ascii="Arial" w:cs="Arial" w:eastAsia="Arial" w:hAnsi="Arial"/>
                <w:sz w:val="10"/>
                <w:szCs w:val="10"/>
                <w:b w:val="1"/>
                <w:bCs w:val="1"/>
                <w:color w:val="auto"/>
                <w:w w:val="97"/>
              </w:rPr>
              <w:t>Fair</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Percent of</w:t>
            </w:r>
          </w:p>
        </w:tc>
      </w:tr>
      <w:tr>
        <w:trPr>
          <w:trHeight w:val="164"/>
        </w:trPr>
        <w:tc>
          <w:tcPr>
            <w:tcW w:w="1640" w:type="dxa"/>
            <w:vAlign w:val="bottom"/>
            <w:gridSpan w:val="2"/>
          </w:tcPr>
          <w:p>
            <w:pPr>
              <w:spacing w:after="0"/>
              <w:rPr>
                <w:sz w:val="20"/>
                <w:szCs w:val="20"/>
                <w:color w:val="auto"/>
              </w:rPr>
            </w:pPr>
            <w:r>
              <w:rPr>
                <w:rFonts w:ascii="Arial" w:cs="Arial" w:eastAsia="Arial" w:hAnsi="Arial"/>
                <w:sz w:val="10"/>
                <w:szCs w:val="10"/>
                <w:b w:val="1"/>
                <w:bCs w:val="1"/>
                <w:color w:val="auto"/>
              </w:rPr>
              <w:t>Investment Type (c)</w:t>
            </w:r>
          </w:p>
        </w:tc>
        <w:tc>
          <w:tcPr>
            <w:tcW w:w="1660" w:type="dxa"/>
            <w:vAlign w:val="bottom"/>
          </w:tcPr>
          <w:p>
            <w:pPr>
              <w:ind w:left="580"/>
              <w:spacing w:after="0"/>
              <w:rPr>
                <w:sz w:val="20"/>
                <w:szCs w:val="20"/>
                <w:color w:val="auto"/>
              </w:rPr>
            </w:pPr>
            <w:r>
              <w:rPr>
                <w:rFonts w:ascii="Arial" w:cs="Arial" w:eastAsia="Arial" w:hAnsi="Arial"/>
                <w:sz w:val="10"/>
                <w:szCs w:val="10"/>
                <w:b w:val="1"/>
                <w:bCs w:val="1"/>
                <w:color w:val="auto"/>
              </w:rPr>
              <w:t>Industry</w:t>
            </w:r>
          </w:p>
        </w:tc>
        <w:tc>
          <w:tcPr>
            <w:tcW w:w="1600" w:type="dxa"/>
            <w:vAlign w:val="bottom"/>
          </w:tcPr>
          <w:p>
            <w:pPr>
              <w:ind w:left="720"/>
              <w:spacing w:after="0"/>
              <w:rPr>
                <w:sz w:val="20"/>
                <w:szCs w:val="20"/>
                <w:color w:val="auto"/>
              </w:rPr>
            </w:pPr>
            <w:r>
              <w:rPr>
                <w:rFonts w:ascii="Arial" w:cs="Arial" w:eastAsia="Arial" w:hAnsi="Arial"/>
                <w:sz w:val="10"/>
                <w:szCs w:val="10"/>
                <w:b w:val="1"/>
                <w:bCs w:val="1"/>
                <w:color w:val="auto"/>
              </w:rPr>
              <w:t>Spread / Floor (d)</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Cash/PIK</w:t>
            </w:r>
          </w:p>
        </w:tc>
        <w:tc>
          <w:tcPr>
            <w:tcW w:w="740" w:type="dxa"/>
            <w:vAlign w:val="bottom"/>
          </w:tcPr>
          <w:p>
            <w:pPr>
              <w:ind w:left="180"/>
              <w:spacing w:after="0"/>
              <w:rPr>
                <w:sz w:val="20"/>
                <w:szCs w:val="20"/>
                <w:color w:val="auto"/>
              </w:rPr>
            </w:pPr>
            <w:r>
              <w:rPr>
                <w:rFonts w:ascii="Arial" w:cs="Arial" w:eastAsia="Arial" w:hAnsi="Arial"/>
                <w:sz w:val="10"/>
                <w:szCs w:val="10"/>
                <w:b w:val="1"/>
                <w:bCs w:val="1"/>
                <w:color w:val="auto"/>
              </w:rPr>
              <w:t>Date (f)</w:t>
            </w:r>
          </w:p>
        </w:tc>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Maturity</w:t>
            </w:r>
          </w:p>
        </w:tc>
        <w:tc>
          <w:tcPr>
            <w:tcW w:w="680" w:type="dxa"/>
            <w:vAlign w:val="bottom"/>
          </w:tcPr>
          <w:p>
            <w:pPr>
              <w:jc w:val="center"/>
              <w:ind w:right="10"/>
              <w:spacing w:after="0"/>
              <w:rPr>
                <w:sz w:val="20"/>
                <w:szCs w:val="20"/>
                <w:color w:val="auto"/>
              </w:rPr>
            </w:pPr>
            <w:r>
              <w:rPr>
                <w:rFonts w:ascii="Arial" w:cs="Arial" w:eastAsia="Arial" w:hAnsi="Arial"/>
                <w:sz w:val="10"/>
                <w:szCs w:val="10"/>
                <w:b w:val="1"/>
                <w:bCs w:val="1"/>
                <w:color w:val="auto"/>
                <w:w w:val="89"/>
              </w:rPr>
              <w:t>Amount</w:t>
            </w:r>
          </w:p>
        </w:tc>
        <w:tc>
          <w:tcPr>
            <w:tcW w:w="500" w:type="dxa"/>
            <w:vAlign w:val="bottom"/>
          </w:tcPr>
          <w:p>
            <w:pPr>
              <w:ind w:left="160"/>
              <w:spacing w:after="0"/>
              <w:rPr>
                <w:sz w:val="20"/>
                <w:szCs w:val="20"/>
                <w:color w:val="auto"/>
              </w:rPr>
            </w:pPr>
            <w:r>
              <w:rPr>
                <w:rFonts w:ascii="Arial" w:cs="Arial" w:eastAsia="Arial" w:hAnsi="Arial"/>
                <w:sz w:val="10"/>
                <w:szCs w:val="10"/>
                <w:b w:val="1"/>
                <w:bCs w:val="1"/>
                <w:color w:val="auto"/>
              </w:rPr>
              <w:t>Cost</w:t>
            </w:r>
          </w:p>
        </w:tc>
        <w:tc>
          <w:tcPr>
            <w:tcW w:w="640" w:type="dxa"/>
            <w:vAlign w:val="bottom"/>
          </w:tcPr>
          <w:p>
            <w:pPr>
              <w:jc w:val="center"/>
              <w:ind w:left="50"/>
              <w:spacing w:after="0"/>
              <w:rPr>
                <w:sz w:val="20"/>
                <w:szCs w:val="20"/>
                <w:color w:val="auto"/>
              </w:rPr>
            </w:pPr>
            <w:r>
              <w:rPr>
                <w:rFonts w:ascii="Arial" w:cs="Arial" w:eastAsia="Arial" w:hAnsi="Arial"/>
                <w:sz w:val="10"/>
                <w:szCs w:val="10"/>
                <w:b w:val="1"/>
                <w:bCs w:val="1"/>
                <w:color w:val="auto"/>
                <w:w w:val="89"/>
              </w:rPr>
              <w:t>Value (g)</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Net Assets</w:t>
            </w:r>
          </w:p>
        </w:tc>
      </w:tr>
      <w:tr>
        <w:trPr>
          <w:trHeight w:val="197"/>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44"/>
        </w:trPr>
        <w:tc>
          <w:tcPr>
            <w:tcW w:w="1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89"/>
              </w:rPr>
              <w:t>Control Investments (t)</w:t>
            </w:r>
          </w:p>
        </w:tc>
        <w:tc>
          <w:tcPr>
            <w:tcW w:w="6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055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0550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Pr>
          <w:p>
            <w:pPr>
              <w:spacing w:after="0"/>
              <w:rPr>
                <w:sz w:val="20"/>
                <w:szCs w:val="20"/>
                <w:color w:val="auto"/>
              </w:rPr>
            </w:pPr>
            <w:r>
              <w:rPr>
                <w:rFonts w:ascii="Arial" w:cs="Arial" w:eastAsia="Arial" w:hAnsi="Arial"/>
                <w:sz w:val="10"/>
                <w:szCs w:val="10"/>
                <w:i w:val="1"/>
                <w:iCs w:val="1"/>
                <w:color w:val="auto"/>
              </w:rPr>
              <w:t>US GreenFiber, LLC (n)</w:t>
            </w:r>
          </w:p>
        </w:tc>
        <w:tc>
          <w:tcPr>
            <w:tcW w:w="5020" w:type="dxa"/>
            <w:vAlign w:val="bottom"/>
          </w:tcPr>
          <w:p>
            <w:pPr>
              <w:ind w:left="340"/>
              <w:spacing w:after="0"/>
              <w:rPr>
                <w:sz w:val="20"/>
                <w:szCs w:val="20"/>
                <w:color w:val="auto"/>
              </w:rPr>
            </w:pPr>
            <w:r>
              <w:rPr>
                <w:rFonts w:ascii="Arial" w:cs="Arial" w:eastAsia="Arial" w:hAnsi="Arial"/>
                <w:sz w:val="10"/>
                <w:szCs w:val="10"/>
                <w:color w:val="auto"/>
              </w:rPr>
              <w:t>Building Products Manufacturing</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1880" w:type="dxa"/>
            <w:vAlign w:val="bottom"/>
          </w:tcPr>
          <w:p>
            <w:pPr>
              <w:ind w:left="20"/>
              <w:spacing w:after="0"/>
              <w:rPr>
                <w:sz w:val="20"/>
                <w:szCs w:val="20"/>
                <w:color w:val="auto"/>
              </w:rPr>
            </w:pPr>
            <w:r>
              <w:rPr>
                <w:rFonts w:ascii="Arial" w:cs="Arial" w:eastAsia="Arial" w:hAnsi="Arial"/>
                <w:sz w:val="10"/>
                <w:szCs w:val="10"/>
                <w:color w:val="auto"/>
              </w:rPr>
              <w:t>Common Equity (2,522 units) (h)</w:t>
            </w:r>
          </w:p>
        </w:tc>
        <w:tc>
          <w:tcPr>
            <w:tcW w:w="5020" w:type="dxa"/>
            <w:vAlign w:val="bottom"/>
          </w:tcPr>
          <w:p>
            <w:pPr>
              <w:ind w:left="3900"/>
              <w:spacing w:after="0"/>
              <w:rPr>
                <w:sz w:val="20"/>
                <w:szCs w:val="20"/>
                <w:color w:val="auto"/>
              </w:rPr>
            </w:pPr>
            <w:r>
              <w:rPr>
                <w:rFonts w:ascii="Arial" w:cs="Arial" w:eastAsia="Arial" w:hAnsi="Arial"/>
                <w:sz w:val="10"/>
                <w:szCs w:val="10"/>
                <w:color w:val="auto"/>
              </w:rPr>
              <w:t>7/3/2014</w:t>
            </w:r>
          </w:p>
        </w:tc>
        <w:tc>
          <w:tcPr>
            <w:tcW w:w="840" w:type="dxa"/>
            <w:vAlign w:val="bottom"/>
            <w:vMerge w:val="restart"/>
          </w:tcPr>
          <w:p>
            <w:pPr>
              <w:jc w:val="right"/>
              <w:ind w:right="3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586</w:t>
            </w:r>
          </w:p>
        </w:tc>
        <w:tc>
          <w:tcPr>
            <w:tcW w:w="280" w:type="dxa"/>
            <w:vAlign w:val="bottom"/>
            <w:vMerge w:val="restart"/>
          </w:tcPr>
          <w:p>
            <w:pPr>
              <w:jc w:val="right"/>
              <w:ind w:right="90"/>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50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1880" w:type="dxa"/>
            <w:vAlign w:val="bottom"/>
          </w:tcPr>
          <w:p>
            <w:pPr>
              <w:ind w:left="20"/>
              <w:spacing w:after="0"/>
              <w:rPr>
                <w:sz w:val="20"/>
                <w:szCs w:val="20"/>
                <w:color w:val="auto"/>
              </w:rPr>
            </w:pPr>
            <w:r>
              <w:rPr>
                <w:rFonts w:ascii="Arial" w:cs="Arial" w:eastAsia="Arial" w:hAnsi="Arial"/>
                <w:sz w:val="10"/>
                <w:szCs w:val="10"/>
                <w:color w:val="auto"/>
              </w:rPr>
              <w:t>Common Equity (425,508 units)</w:t>
            </w:r>
          </w:p>
        </w:tc>
        <w:tc>
          <w:tcPr>
            <w:tcW w:w="5020" w:type="dxa"/>
            <w:vAlign w:val="bottom"/>
          </w:tcPr>
          <w:p>
            <w:pPr>
              <w:ind w:left="3900"/>
              <w:spacing w:after="0"/>
              <w:rPr>
                <w:sz w:val="20"/>
                <w:szCs w:val="20"/>
                <w:color w:val="auto"/>
              </w:rPr>
            </w:pPr>
            <w:r>
              <w:rPr>
                <w:rFonts w:ascii="Arial" w:cs="Arial" w:eastAsia="Arial" w:hAnsi="Arial"/>
                <w:sz w:val="10"/>
                <w:szCs w:val="10"/>
                <w:color w:val="auto"/>
              </w:rPr>
              <w:t>8/30/2019</w:t>
            </w:r>
          </w:p>
        </w:tc>
        <w:tc>
          <w:tcPr>
            <w:tcW w:w="840" w:type="dxa"/>
            <w:vAlign w:val="bottom"/>
          </w:tcPr>
          <w:p>
            <w:pPr>
              <w:spacing w:after="0"/>
              <w:rPr>
                <w:sz w:val="23"/>
                <w:szCs w:val="23"/>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5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880" w:type="dxa"/>
            <w:vAlign w:val="bottom"/>
          </w:tcPr>
          <w:p>
            <w:pPr>
              <w:ind w:left="20"/>
              <w:spacing w:after="0"/>
              <w:rPr>
                <w:sz w:val="20"/>
                <w:szCs w:val="20"/>
                <w:color w:val="auto"/>
              </w:rPr>
            </w:pPr>
            <w:r>
              <w:rPr>
                <w:rFonts w:ascii="Arial" w:cs="Arial" w:eastAsia="Arial" w:hAnsi="Arial"/>
                <w:sz w:val="10"/>
                <w:szCs w:val="10"/>
                <w:color w:val="auto"/>
              </w:rPr>
              <w:t>Common Equity (1,022,813 units) (h)</w:t>
            </w:r>
          </w:p>
        </w:tc>
        <w:tc>
          <w:tcPr>
            <w:tcW w:w="5020" w:type="dxa"/>
            <w:vAlign w:val="bottom"/>
          </w:tcPr>
          <w:p>
            <w:pPr>
              <w:ind w:left="3900"/>
              <w:spacing w:after="0"/>
              <w:rPr>
                <w:sz w:val="20"/>
                <w:szCs w:val="20"/>
                <w:color w:val="auto"/>
              </w:rPr>
            </w:pPr>
            <w:r>
              <w:rPr>
                <w:rFonts w:ascii="Arial" w:cs="Arial" w:eastAsia="Arial" w:hAnsi="Arial"/>
                <w:sz w:val="10"/>
                <w:szCs w:val="10"/>
                <w:color w:val="auto"/>
              </w:rPr>
              <w:t>7/1/2020</w:t>
            </w:r>
          </w:p>
        </w:tc>
        <w:tc>
          <w:tcPr>
            <w:tcW w:w="84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1,023</w:t>
            </w:r>
          </w:p>
        </w:tc>
        <w:tc>
          <w:tcPr>
            <w:tcW w:w="2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31"/>
        </w:trPr>
        <w:tc>
          <w:tcPr>
            <w:tcW w:w="1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-584835</wp:posOffset>
            </wp:positionV>
            <wp:extent cx="5967730" cy="1993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-185420</wp:posOffset>
            </wp:positionV>
            <wp:extent cx="5967730"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48" w:lineRule="exact"/>
        <w:rPr>
          <w:sz w:val="20"/>
          <w:szCs w:val="20"/>
          <w:color w:val="auto"/>
        </w:rPr>
      </w:pPr>
    </w:p>
    <w:tbl>
      <w:tblPr>
        <w:tblLayout w:type="fixed"/>
        <w:tblInd w:w="7820" w:type="dxa"/>
        <w:tblCellMar>
          <w:top w:w="0" w:type="dxa"/>
          <w:left w:w="0" w:type="dxa"/>
          <w:bottom w:w="0" w:type="dxa"/>
          <w:right w:w="0" w:type="dxa"/>
        </w:tblCellMar>
      </w:tblPr>
      <w:tr>
        <w:trPr>
          <w:trHeight w:val="115"/>
        </w:trPr>
        <w:tc>
          <w:tcPr>
            <w:tcW w:w="480" w:type="dxa"/>
            <w:vAlign w:val="bottom"/>
          </w:tcPr>
          <w:p>
            <w:pPr>
              <w:jc w:val="right"/>
              <w:ind w:right="210"/>
              <w:spacing w:after="0"/>
              <w:rPr>
                <w:sz w:val="20"/>
                <w:szCs w:val="20"/>
                <w:color w:val="auto"/>
              </w:rPr>
            </w:pPr>
            <w:r>
              <w:rPr>
                <w:rFonts w:ascii="Arial" w:cs="Arial" w:eastAsia="Arial" w:hAnsi="Arial"/>
                <w:sz w:val="10"/>
                <w:szCs w:val="10"/>
                <w:color w:val="auto"/>
                <w:w w:val="79"/>
              </w:rPr>
              <w:t>1,610</w:t>
            </w:r>
          </w:p>
        </w:tc>
        <w:tc>
          <w:tcPr>
            <w:tcW w:w="360" w:type="dxa"/>
            <w:vAlign w:val="bottom"/>
            <w:vMerge w:val="restart"/>
          </w:tcPr>
          <w:p>
            <w:pPr>
              <w:ind w:left="26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967730" cy="1104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7730" cy="11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195" w:lineRule="exact"/>
        <w:rPr>
          <w:sz w:val="20"/>
          <w:szCs w:val="20"/>
          <w:color w:val="auto"/>
        </w:rPr>
      </w:pPr>
    </w:p>
    <w:p>
      <w:pPr>
        <w:sectPr>
          <w:pgSz w:w="11900" w:h="16838" w:orient="portrait"/>
          <w:cols w:equalWidth="0" w:num="2">
            <w:col w:w="8660" w:space="560"/>
            <w:col w:w="180"/>
          </w:cols>
          <w:pgMar w:left="1260" w:top="1440" w:right="1246" w:bottom="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Control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Affiliate Investments (l)</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Applegate Greenfiber Intermediate Inc. (fka US</w:t>
      </w:r>
    </w:p>
    <w:p>
      <w:pPr>
        <w:spacing w:after="0" w:line="3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GreenFiber, LLC)</w:t>
      </w:r>
      <w:r>
        <w:rPr>
          <w:sz w:val="20"/>
          <w:szCs w:val="20"/>
          <w:color w:val="auto"/>
        </w:rPr>
        <w:tab/>
      </w:r>
      <w:r>
        <w:rPr>
          <w:rFonts w:ascii="Arial" w:cs="Arial" w:eastAsia="Arial" w:hAnsi="Arial"/>
          <w:sz w:val="9"/>
          <w:szCs w:val="9"/>
          <w:color w:val="auto"/>
        </w:rPr>
        <w:t>Building Products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(5,690 units) (h)</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(7,113 units) (h)</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(2,012 units) (h)</w:t>
      </w:r>
    </w:p>
    <w:p>
      <w:pPr>
        <w:spacing w:after="0" w:line="20" w:lineRule="exact"/>
        <w:rPr>
          <w:sz w:val="20"/>
          <w:szCs w:val="20"/>
          <w:color w:val="auto"/>
        </w:rPr>
      </w:pPr>
      <w:r>
        <w:rPr>
          <w:sz w:val="20"/>
          <w:szCs w:val="20"/>
          <w:color w:val="auto"/>
        </w:rPr>
        <w:br w:type="column"/>
      </w:r>
    </w:p>
    <w:p>
      <w:pPr>
        <w:jc w:val="both"/>
        <w:ind w:left="2620"/>
        <w:spacing w:after="0"/>
        <w:tabs>
          <w:tab w:leader="none" w:pos="2800" w:val="left"/>
          <w:tab w:leader="none" w:pos="3220" w:val="left"/>
          <w:tab w:leader="none" w:pos="3540" w:val="left"/>
        </w:tabs>
        <w:rPr>
          <w:sz w:val="20"/>
          <w:szCs w:val="20"/>
          <w:color w:val="auto"/>
        </w:rPr>
      </w:pPr>
      <w:r>
        <w:rPr>
          <w:rFonts w:ascii="Arial" w:cs="Arial" w:eastAsia="Arial" w:hAnsi="Arial"/>
          <w:sz w:val="20"/>
          <w:szCs w:val="20"/>
          <w:color w:val="auto"/>
          <w:vertAlign w:val="subscript"/>
        </w:rPr>
        <w:t>$</w:t>
      </w:r>
      <w:r>
        <w:rPr>
          <w:sz w:val="20"/>
          <w:szCs w:val="20"/>
          <w:color w:val="auto"/>
        </w:rPr>
        <w:tab/>
      </w:r>
      <w:r>
        <w:rPr>
          <w:rFonts w:ascii="Arial" w:cs="Arial" w:eastAsia="Arial" w:hAnsi="Arial"/>
          <w:sz w:val="10"/>
          <w:szCs w:val="10"/>
          <w:color w:val="auto"/>
        </w:rPr>
        <w:t>1,610</w:t>
      </w:r>
      <w:r>
        <w:rPr>
          <w:sz w:val="20"/>
          <w:szCs w:val="20"/>
          <w:color w:val="auto"/>
        </w:rPr>
        <w:tab/>
      </w:r>
      <w:r>
        <w:rPr>
          <w:rFonts w:ascii="Arial" w:cs="Arial" w:eastAsia="Arial" w:hAnsi="Arial"/>
          <w:sz w:val="20"/>
          <w:szCs w:val="20"/>
          <w:color w:val="auto"/>
          <w:vertAlign w:val="subscript"/>
        </w:rPr>
        <w:t>$</w:t>
      </w:r>
      <w:r>
        <w:rPr>
          <w:sz w:val="20"/>
          <w:szCs w:val="20"/>
          <w:color w:val="auto"/>
        </w:rPr>
        <w:tab/>
      </w:r>
      <w:r>
        <w:rPr>
          <w:rFonts w:ascii="Arial" w:cs="Arial" w:eastAsia="Arial" w:hAnsi="Arial"/>
          <w:sz w:val="14"/>
          <w:szCs w:val="1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21590</wp:posOffset>
            </wp:positionV>
            <wp:extent cx="5967730" cy="436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773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jc w:val="right"/>
              <w:ind w:right="30"/>
              <w:spacing w:after="0"/>
              <w:rPr>
                <w:sz w:val="20"/>
                <w:szCs w:val="20"/>
                <w:color w:val="auto"/>
              </w:rPr>
            </w:pPr>
            <w:r>
              <w:rPr>
                <w:rFonts w:ascii="Arial" w:cs="Arial" w:eastAsia="Arial" w:hAnsi="Arial"/>
                <w:sz w:val="10"/>
                <w:szCs w:val="10"/>
                <w:color w:val="auto"/>
                <w:w w:val="89"/>
              </w:rPr>
              <w:t>11.00%/0.00%</w:t>
            </w: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jc w:val="right"/>
              <w:ind w:right="30"/>
              <w:spacing w:after="0"/>
              <w:rPr>
                <w:sz w:val="20"/>
                <w:szCs w:val="20"/>
                <w:color w:val="auto"/>
              </w:rPr>
            </w:pPr>
            <w:r>
              <w:rPr>
                <w:rFonts w:ascii="Arial" w:cs="Arial" w:eastAsia="Arial" w:hAnsi="Arial"/>
                <w:sz w:val="10"/>
                <w:szCs w:val="10"/>
                <w:color w:val="auto"/>
              </w:rPr>
              <w:t>12/31/2027</w:t>
            </w:r>
          </w:p>
        </w:tc>
        <w:tc>
          <w:tcPr>
            <w:tcW w:w="1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9,602</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9,602</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9,602</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5,690</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7,183</w:t>
            </w: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7,113</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9,702</w:t>
            </w: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22,405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26,487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-758190</wp:posOffset>
            </wp:positionV>
            <wp:extent cx="5967730" cy="1993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40005</wp:posOffset>
            </wp:positionV>
            <wp:extent cx="5967730" cy="104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-358775</wp:posOffset>
            </wp:positionV>
            <wp:extent cx="5967730" cy="1993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4 </w:t>
      </w:r>
      <w:r>
        <w:rPr>
          <w:rFonts w:ascii="Arial" w:cs="Arial" w:eastAsia="Arial" w:hAnsi="Arial"/>
          <w:sz w:val="15"/>
          <w:szCs w:val="15"/>
          <w:color w:val="auto"/>
          <w:vertAlign w:val="subscript"/>
        </w:rPr>
        <w:t>%</w:t>
      </w:r>
    </w:p>
    <w:p>
      <w:pPr>
        <w:spacing w:after="0" w:line="119" w:lineRule="exact"/>
        <w:rPr>
          <w:sz w:val="20"/>
          <w:szCs w:val="20"/>
          <w:color w:val="auto"/>
        </w:rPr>
      </w:pPr>
    </w:p>
    <w:p>
      <w:pPr>
        <w:sectPr>
          <w:pgSz w:w="11900" w:h="16838" w:orient="portrait"/>
          <w:cols w:equalWidth="0" w:num="3">
            <w:col w:w="4280" w:space="720"/>
            <w:col w:w="3660" w:space="560"/>
            <w:col w:w="180"/>
          </w:cols>
          <w:pgMar w:left="1260" w:top="1440" w:right="1246" w:bottom="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140" w:type="dxa"/>
            <w:vAlign w:val="bottom"/>
          </w:tcPr>
          <w:p>
            <w:pPr>
              <w:spacing w:after="0"/>
              <w:rPr>
                <w:sz w:val="20"/>
                <w:szCs w:val="20"/>
                <w:color w:val="auto"/>
              </w:rPr>
            </w:pPr>
            <w:r>
              <w:rPr>
                <w:rFonts w:ascii="Arial" w:cs="Arial" w:eastAsia="Arial" w:hAnsi="Arial"/>
                <w:sz w:val="10"/>
                <w:szCs w:val="10"/>
                <w:i w:val="1"/>
                <w:iCs w:val="1"/>
                <w:color w:val="auto"/>
              </w:rPr>
              <w:t>CP Communications, LLC</w:t>
            </w:r>
          </w:p>
        </w:tc>
        <w:tc>
          <w:tcPr>
            <w:tcW w:w="2820" w:type="dxa"/>
            <w:vAlign w:val="bottom"/>
          </w:tcPr>
          <w:p>
            <w:pPr>
              <w:ind w:left="80"/>
              <w:spacing w:after="0"/>
              <w:rPr>
                <w:sz w:val="20"/>
                <w:szCs w:val="20"/>
                <w:color w:val="auto"/>
              </w:rPr>
            </w:pPr>
            <w:r>
              <w:rPr>
                <w:rFonts w:ascii="Arial" w:cs="Arial" w:eastAsia="Arial" w:hAnsi="Arial"/>
                <w:sz w:val="10"/>
                <w:szCs w:val="10"/>
                <w:color w:val="auto"/>
              </w:rPr>
              <w:t>Business Services</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140" w:type="dxa"/>
            <w:vAlign w:val="bottom"/>
            <w:vMerge w:val="restart"/>
          </w:tcPr>
          <w:p>
            <w:pPr>
              <w:ind w:left="20"/>
              <w:spacing w:after="0"/>
              <w:rPr>
                <w:sz w:val="20"/>
                <w:szCs w:val="20"/>
                <w:color w:val="auto"/>
              </w:rPr>
            </w:pPr>
            <w:r>
              <w:rPr>
                <w:rFonts w:ascii="Arial" w:cs="Arial" w:eastAsia="Arial" w:hAnsi="Arial"/>
                <w:sz w:val="10"/>
                <w:szCs w:val="10"/>
                <w:color w:val="auto"/>
              </w:rPr>
              <w:t>First Lien Debt (am)</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+ 8.50%) / (4.00%)</w:t>
            </w:r>
          </w:p>
        </w:tc>
        <w:tc>
          <w:tcPr>
            <w:tcW w:w="720" w:type="dxa"/>
            <w:vAlign w:val="bottom"/>
          </w:tcPr>
          <w:p>
            <w:pPr>
              <w:ind w:left="40"/>
              <w:spacing w:after="0"/>
              <w:rPr>
                <w:sz w:val="20"/>
                <w:szCs w:val="20"/>
                <w:color w:val="auto"/>
              </w:rPr>
            </w:pPr>
            <w:r>
              <w:rPr>
                <w:rFonts w:ascii="Arial" w:cs="Arial" w:eastAsia="Arial" w:hAnsi="Arial"/>
                <w:sz w:val="10"/>
                <w:szCs w:val="10"/>
                <w:color w:val="auto"/>
              </w:rPr>
              <w:t>12.50%/0.00%</w:t>
            </w:r>
          </w:p>
        </w:tc>
        <w:tc>
          <w:tcPr>
            <w:tcW w:w="640" w:type="dxa"/>
            <w:vAlign w:val="bottom"/>
          </w:tcPr>
          <w:p>
            <w:pPr>
              <w:ind w:left="100"/>
              <w:spacing w:after="0"/>
              <w:rPr>
                <w:sz w:val="20"/>
                <w:szCs w:val="20"/>
                <w:color w:val="auto"/>
              </w:rPr>
            </w:pPr>
            <w:r>
              <w:rPr>
                <w:rFonts w:ascii="Arial" w:cs="Arial" w:eastAsia="Arial" w:hAnsi="Arial"/>
                <w:sz w:val="10"/>
                <w:szCs w:val="10"/>
                <w:color w:val="auto"/>
              </w:rPr>
              <w:t>12/4/2024</w:t>
            </w:r>
          </w:p>
        </w:tc>
        <w:tc>
          <w:tcPr>
            <w:tcW w:w="680" w:type="dxa"/>
            <w:vAlign w:val="bottom"/>
          </w:tcPr>
          <w:p>
            <w:pPr>
              <w:ind w:left="100"/>
              <w:spacing w:after="0"/>
              <w:rPr>
                <w:sz w:val="20"/>
                <w:szCs w:val="20"/>
                <w:color w:val="auto"/>
              </w:rPr>
            </w:pPr>
            <w:r>
              <w:rPr>
                <w:rFonts w:ascii="Arial" w:cs="Arial" w:eastAsia="Arial" w:hAnsi="Arial"/>
                <w:sz w:val="10"/>
                <w:szCs w:val="10"/>
                <w:color w:val="auto"/>
              </w:rPr>
              <w:t>12/4/2029</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5,861</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5,825</w:t>
            </w:r>
          </w:p>
        </w:tc>
        <w:tc>
          <w:tcPr>
            <w:tcW w:w="420" w:type="dxa"/>
            <w:vAlign w:val="bottom"/>
          </w:tcPr>
          <w:p>
            <w:pPr>
              <w:jc w:val="right"/>
              <w:spacing w:after="0"/>
              <w:rPr>
                <w:sz w:val="20"/>
                <w:szCs w:val="20"/>
                <w:color w:val="auto"/>
              </w:rPr>
            </w:pPr>
            <w:r>
              <w:rPr>
                <w:rFonts w:ascii="Arial" w:cs="Arial" w:eastAsia="Arial" w:hAnsi="Arial"/>
                <w:sz w:val="10"/>
                <w:szCs w:val="10"/>
                <w:color w:val="auto"/>
              </w:rPr>
              <w:t>5,861</w:t>
            </w:r>
          </w:p>
        </w:tc>
        <w:tc>
          <w:tcPr>
            <w:tcW w:w="0" w:type="dxa"/>
            <w:vAlign w:val="bottom"/>
          </w:tcPr>
          <w:p>
            <w:pPr>
              <w:spacing w:after="0"/>
              <w:rPr>
                <w:sz w:val="1"/>
                <w:szCs w:val="1"/>
                <w:color w:val="auto"/>
              </w:rPr>
            </w:pPr>
          </w:p>
        </w:tc>
      </w:tr>
      <w:tr>
        <w:trPr>
          <w:trHeight w:val="41"/>
        </w:trPr>
        <w:tc>
          <w:tcPr>
            <w:tcW w:w="214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0"/>
                <w:szCs w:val="10"/>
                <w:color w:val="auto"/>
              </w:rPr>
              <w:t>Preferred Equity (62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12/4/2024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500</w:t>
            </w:r>
          </w:p>
        </w:tc>
        <w:tc>
          <w:tcPr>
            <w:tcW w:w="420" w:type="dxa"/>
            <w:vAlign w:val="bottom"/>
          </w:tcPr>
          <w:p>
            <w:pPr>
              <w:jc w:val="right"/>
              <w:spacing w:after="0"/>
              <w:rPr>
                <w:sz w:val="20"/>
                <w:szCs w:val="20"/>
                <w:color w:val="auto"/>
              </w:rPr>
            </w:pPr>
            <w:r>
              <w:rPr>
                <w:rFonts w:ascii="Arial" w:cs="Arial" w:eastAsia="Arial" w:hAnsi="Arial"/>
                <w:sz w:val="10"/>
                <w:szCs w:val="10"/>
                <w:color w:val="auto"/>
              </w:rPr>
              <w:t>571</w:t>
            </w:r>
          </w:p>
        </w:tc>
        <w:tc>
          <w:tcPr>
            <w:tcW w:w="0" w:type="dxa"/>
            <w:vAlign w:val="bottom"/>
          </w:tcPr>
          <w:p>
            <w:pPr>
              <w:spacing w:after="0"/>
              <w:rPr>
                <w:sz w:val="1"/>
                <w:szCs w:val="1"/>
                <w:color w:val="auto"/>
              </w:rPr>
            </w:pPr>
          </w:p>
        </w:tc>
      </w:tr>
      <w:tr>
        <w:trPr>
          <w:trHeight w:val="314"/>
        </w:trPr>
        <w:tc>
          <w:tcPr>
            <w:tcW w:w="2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6,325</w:t>
            </w:r>
          </w:p>
        </w:tc>
        <w:tc>
          <w:tcPr>
            <w:tcW w:w="420" w:type="dxa"/>
            <w:vAlign w:val="bottom"/>
          </w:tcPr>
          <w:p>
            <w:pPr>
              <w:jc w:val="right"/>
              <w:spacing w:after="0"/>
              <w:rPr>
                <w:sz w:val="20"/>
                <w:szCs w:val="20"/>
                <w:color w:val="auto"/>
              </w:rPr>
            </w:pPr>
            <w:r>
              <w:rPr>
                <w:rFonts w:ascii="Arial" w:cs="Arial" w:eastAsia="Arial" w:hAnsi="Arial"/>
                <w:sz w:val="10"/>
                <w:szCs w:val="10"/>
                <w:color w:val="auto"/>
              </w:rPr>
              <w:t>6,432</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20"/>
                <w:szCs w:val="20"/>
                <w:color w:val="auto"/>
              </w:rPr>
            </w:pPr>
            <w:r>
              <w:rPr>
                <w:rFonts w:ascii="Arial" w:cs="Arial" w:eastAsia="Arial" w:hAnsi="Arial"/>
                <w:sz w:val="10"/>
                <w:szCs w:val="10"/>
                <w:i w:val="1"/>
                <w:iCs w:val="1"/>
                <w:color w:val="auto"/>
              </w:rPr>
              <w:t>Medsurant Holdings, LLC (n)</w:t>
            </w:r>
          </w:p>
        </w:tc>
        <w:tc>
          <w:tcPr>
            <w:tcW w:w="2820" w:type="dxa"/>
            <w:vAlign w:val="bottom"/>
          </w:tcPr>
          <w:p>
            <w:pPr>
              <w:ind w:left="8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Preferred Equity (84,997 units) (h)</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4/12/2011</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0"/>
                <w:szCs w:val="10"/>
                <w:color w:val="auto"/>
              </w:rPr>
              <w:t>Warrant (252,588 units) (h)(m)</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4/12/2011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238</w:t>
            </w:r>
          </w:p>
        </w:tc>
        <w:tc>
          <w:tcPr>
            <w:tcW w:w="0" w:type="dxa"/>
            <w:vAlign w:val="bottom"/>
          </w:tcPr>
          <w:p>
            <w:pPr>
              <w:spacing w:after="0"/>
              <w:rPr>
                <w:sz w:val="1"/>
                <w:szCs w:val="1"/>
                <w:color w:val="auto"/>
              </w:rPr>
            </w:pPr>
          </w:p>
        </w:tc>
      </w:tr>
      <w:tr>
        <w:trPr>
          <w:trHeight w:val="31"/>
        </w:trPr>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140" w:type="dxa"/>
            <w:vAlign w:val="bottom"/>
          </w:tcPr>
          <w:p>
            <w:pPr>
              <w:spacing w:after="0"/>
              <w:rPr>
                <w:sz w:val="20"/>
                <w:szCs w:val="20"/>
                <w:color w:val="auto"/>
              </w:rPr>
            </w:pPr>
            <w:r>
              <w:rPr>
                <w:rFonts w:ascii="Arial" w:cs="Arial" w:eastAsia="Arial" w:hAnsi="Arial"/>
                <w:sz w:val="10"/>
                <w:szCs w:val="10"/>
                <w:i w:val="1"/>
                <w:iCs w:val="1"/>
                <w:color w:val="auto"/>
              </w:rPr>
              <w:t>Pfanstiehl, Inc.</w:t>
            </w:r>
          </w:p>
        </w:tc>
        <w:tc>
          <w:tcPr>
            <w:tcW w:w="2820" w:type="dxa"/>
            <w:vAlign w:val="bottom"/>
          </w:tcPr>
          <w:p>
            <w:pPr>
              <w:ind w:left="80"/>
              <w:spacing w:after="0"/>
              <w:rPr>
                <w:sz w:val="20"/>
                <w:szCs w:val="20"/>
                <w:color w:val="auto"/>
              </w:rPr>
            </w:pPr>
            <w:r>
              <w:rPr>
                <w:rFonts w:ascii="Arial" w:cs="Arial" w:eastAsia="Arial" w:hAnsi="Arial"/>
                <w:sz w:val="10"/>
                <w:szCs w:val="10"/>
                <w:color w:val="auto"/>
              </w:rPr>
              <w:t>Healthcare Products</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(2,550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3/29/2013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255</w:t>
            </w:r>
          </w:p>
        </w:tc>
        <w:tc>
          <w:tcPr>
            <w:tcW w:w="420" w:type="dxa"/>
            <w:vAlign w:val="bottom"/>
          </w:tcPr>
          <w:p>
            <w:pPr>
              <w:jc w:val="right"/>
              <w:spacing w:after="0"/>
              <w:rPr>
                <w:sz w:val="20"/>
                <w:szCs w:val="20"/>
                <w:color w:val="auto"/>
              </w:rPr>
            </w:pPr>
            <w:r>
              <w:rPr>
                <w:rFonts w:ascii="Arial" w:cs="Arial" w:eastAsia="Arial" w:hAnsi="Arial"/>
                <w:sz w:val="10"/>
                <w:szCs w:val="10"/>
                <w:color w:val="auto"/>
              </w:rPr>
              <w:t>40,995</w:t>
            </w:r>
          </w:p>
        </w:tc>
        <w:tc>
          <w:tcPr>
            <w:tcW w:w="0" w:type="dxa"/>
            <w:vAlign w:val="bottom"/>
          </w:tcPr>
          <w:p>
            <w:pPr>
              <w:spacing w:after="0"/>
              <w:rPr>
                <w:sz w:val="1"/>
                <w:szCs w:val="1"/>
                <w:color w:val="auto"/>
              </w:rPr>
            </w:pPr>
          </w:p>
        </w:tc>
      </w:tr>
      <w:tr>
        <w:trPr>
          <w:trHeight w:val="370"/>
        </w:trPr>
        <w:tc>
          <w:tcPr>
            <w:tcW w:w="2140" w:type="dxa"/>
            <w:vAlign w:val="bottom"/>
          </w:tcPr>
          <w:p>
            <w:pPr>
              <w:spacing w:after="0"/>
              <w:rPr>
                <w:sz w:val="20"/>
                <w:szCs w:val="20"/>
                <w:color w:val="auto"/>
              </w:rPr>
            </w:pPr>
            <w:r>
              <w:rPr>
                <w:rFonts w:ascii="Arial" w:cs="Arial" w:eastAsia="Arial" w:hAnsi="Arial"/>
                <w:sz w:val="10"/>
                <w:szCs w:val="10"/>
                <w:i w:val="1"/>
                <w:iCs w:val="1"/>
                <w:color w:val="auto"/>
              </w:rPr>
              <w:t>PIPCO, LLC</w:t>
            </w:r>
          </w:p>
        </w:tc>
        <w:tc>
          <w:tcPr>
            <w:tcW w:w="2820" w:type="dxa"/>
            <w:vAlign w:val="bottom"/>
          </w:tcPr>
          <w:p>
            <w:pPr>
              <w:ind w:left="80"/>
              <w:spacing w:after="0"/>
              <w:rPr>
                <w:sz w:val="20"/>
                <w:szCs w:val="20"/>
                <w:color w:val="auto"/>
              </w:rPr>
            </w:pPr>
            <w:r>
              <w:rPr>
                <w:rFonts w:ascii="Arial" w:cs="Arial" w:eastAsia="Arial" w:hAnsi="Arial"/>
                <w:sz w:val="10"/>
                <w:szCs w:val="10"/>
                <w:color w:val="auto"/>
              </w:rPr>
              <w:t>Utilities: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4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+ 6.25%) / (2.00%)</w:t>
            </w:r>
          </w:p>
        </w:tc>
        <w:tc>
          <w:tcPr>
            <w:tcW w:w="720" w:type="dxa"/>
            <w:vAlign w:val="bottom"/>
          </w:tcPr>
          <w:p>
            <w:pPr>
              <w:ind w:left="40"/>
              <w:spacing w:after="0"/>
              <w:rPr>
                <w:sz w:val="20"/>
                <w:szCs w:val="20"/>
                <w:color w:val="auto"/>
              </w:rPr>
            </w:pPr>
            <w:r>
              <w:rPr>
                <w:rFonts w:ascii="Arial" w:cs="Arial" w:eastAsia="Arial" w:hAnsi="Arial"/>
                <w:sz w:val="10"/>
                <w:szCs w:val="10"/>
                <w:color w:val="auto"/>
              </w:rPr>
              <w:t>9.99%/0.00%</w:t>
            </w:r>
          </w:p>
        </w:tc>
        <w:tc>
          <w:tcPr>
            <w:tcW w:w="640" w:type="dxa"/>
            <w:vAlign w:val="bottom"/>
          </w:tcPr>
          <w:p>
            <w:pPr>
              <w:ind w:left="100"/>
              <w:spacing w:after="0"/>
              <w:rPr>
                <w:sz w:val="20"/>
                <w:szCs w:val="20"/>
                <w:color w:val="auto"/>
              </w:rPr>
            </w:pPr>
            <w:r>
              <w:rPr>
                <w:rFonts w:ascii="Arial" w:cs="Arial" w:eastAsia="Arial" w:hAnsi="Arial"/>
                <w:sz w:val="10"/>
                <w:szCs w:val="10"/>
                <w:color w:val="auto"/>
              </w:rPr>
              <w:t>12/11/2025</w:t>
            </w:r>
          </w:p>
        </w:tc>
        <w:tc>
          <w:tcPr>
            <w:tcW w:w="680" w:type="dxa"/>
            <w:vAlign w:val="bottom"/>
          </w:tcPr>
          <w:p>
            <w:pPr>
              <w:ind w:left="100"/>
              <w:spacing w:after="0"/>
              <w:rPr>
                <w:sz w:val="20"/>
                <w:szCs w:val="20"/>
                <w:color w:val="auto"/>
              </w:rPr>
            </w:pPr>
            <w:r>
              <w:rPr>
                <w:rFonts w:ascii="Arial" w:cs="Arial" w:eastAsia="Arial" w:hAnsi="Arial"/>
                <w:sz w:val="10"/>
                <w:szCs w:val="10"/>
                <w:color w:val="auto"/>
              </w:rPr>
              <w:t>12/11/2030</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9,000</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8,949</w:t>
            </w:r>
          </w:p>
        </w:tc>
        <w:tc>
          <w:tcPr>
            <w:tcW w:w="420" w:type="dxa"/>
            <w:vAlign w:val="bottom"/>
          </w:tcPr>
          <w:p>
            <w:pPr>
              <w:jc w:val="right"/>
              <w:spacing w:after="0"/>
              <w:rPr>
                <w:sz w:val="20"/>
                <w:szCs w:val="20"/>
                <w:color w:val="auto"/>
              </w:rPr>
            </w:pPr>
            <w:r>
              <w:rPr>
                <w:rFonts w:ascii="Arial" w:cs="Arial" w:eastAsia="Arial" w:hAnsi="Arial"/>
                <w:sz w:val="10"/>
                <w:szCs w:val="10"/>
                <w:color w:val="auto"/>
              </w:rPr>
              <w:t>8,949</w:t>
            </w:r>
          </w:p>
        </w:tc>
        <w:tc>
          <w:tcPr>
            <w:tcW w:w="0" w:type="dxa"/>
            <w:vAlign w:val="bottom"/>
          </w:tcPr>
          <w:p>
            <w:pPr>
              <w:spacing w:after="0"/>
              <w:rPr>
                <w:sz w:val="1"/>
                <w:szCs w:val="1"/>
                <w:color w:val="auto"/>
              </w:rPr>
            </w:pPr>
          </w:p>
        </w:tc>
      </w:tr>
      <w:tr>
        <w:trPr>
          <w:trHeight w:val="41"/>
        </w:trPr>
        <w:tc>
          <w:tcPr>
            <w:tcW w:w="214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140" w:type="dxa"/>
            <w:vAlign w:val="bottom"/>
          </w:tcPr>
          <w:p>
            <w:pPr>
              <w:ind w:left="20"/>
              <w:spacing w:after="0"/>
              <w:rPr>
                <w:sz w:val="20"/>
                <w:szCs w:val="20"/>
                <w:color w:val="auto"/>
              </w:rPr>
            </w:pPr>
            <w:r>
              <w:rPr>
                <w:rFonts w:ascii="Arial" w:cs="Arial" w:eastAsia="Arial" w:hAnsi="Arial"/>
                <w:sz w:val="10"/>
                <w:szCs w:val="10"/>
                <w:color w:val="auto"/>
                <w:w w:val="95"/>
              </w:rPr>
              <w:t>Revolving Loan ($3,000 unfunded commitment)(i)</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+ 6.25%) / (2.00%)</w:t>
            </w:r>
          </w:p>
        </w:tc>
        <w:tc>
          <w:tcPr>
            <w:tcW w:w="720" w:type="dxa"/>
            <w:vAlign w:val="bottom"/>
          </w:tcPr>
          <w:p>
            <w:pPr>
              <w:ind w:left="40"/>
              <w:spacing w:after="0"/>
              <w:rPr>
                <w:sz w:val="20"/>
                <w:szCs w:val="20"/>
                <w:color w:val="auto"/>
              </w:rPr>
            </w:pPr>
            <w:r>
              <w:rPr>
                <w:rFonts w:ascii="Arial" w:cs="Arial" w:eastAsia="Arial" w:hAnsi="Arial"/>
                <w:sz w:val="10"/>
                <w:szCs w:val="10"/>
                <w:color w:val="auto"/>
              </w:rPr>
              <w:t>9.99%/0.00%</w:t>
            </w:r>
          </w:p>
        </w:tc>
        <w:tc>
          <w:tcPr>
            <w:tcW w:w="640" w:type="dxa"/>
            <w:vAlign w:val="bottom"/>
          </w:tcPr>
          <w:p>
            <w:pPr>
              <w:ind w:left="100"/>
              <w:spacing w:after="0"/>
              <w:rPr>
                <w:sz w:val="20"/>
                <w:szCs w:val="20"/>
                <w:color w:val="auto"/>
              </w:rPr>
            </w:pPr>
            <w:r>
              <w:rPr>
                <w:rFonts w:ascii="Arial" w:cs="Arial" w:eastAsia="Arial" w:hAnsi="Arial"/>
                <w:sz w:val="10"/>
                <w:szCs w:val="10"/>
                <w:color w:val="auto"/>
              </w:rPr>
              <w:t>12/11/2025</w:t>
            </w:r>
          </w:p>
        </w:tc>
        <w:tc>
          <w:tcPr>
            <w:tcW w:w="680" w:type="dxa"/>
            <w:vAlign w:val="bottom"/>
          </w:tcPr>
          <w:p>
            <w:pPr>
              <w:ind w:left="100"/>
              <w:spacing w:after="0"/>
              <w:rPr>
                <w:sz w:val="20"/>
                <w:szCs w:val="20"/>
                <w:color w:val="auto"/>
              </w:rPr>
            </w:pPr>
            <w:r>
              <w:rPr>
                <w:rFonts w:ascii="Arial" w:cs="Arial" w:eastAsia="Arial" w:hAnsi="Arial"/>
                <w:sz w:val="10"/>
                <w:szCs w:val="10"/>
                <w:color w:val="auto"/>
              </w:rPr>
              <w:t>12/11/2030</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0"/>
              <w:spacing w:after="0"/>
              <w:rPr>
                <w:sz w:val="20"/>
                <w:szCs w:val="20"/>
                <w:color w:val="auto"/>
              </w:rPr>
            </w:pPr>
            <w:r>
              <w:rPr>
                <w:rFonts w:ascii="Arial" w:cs="Arial" w:eastAsia="Arial" w:hAnsi="Arial"/>
                <w:sz w:val="10"/>
                <w:szCs w:val="10"/>
                <w:color w:val="auto"/>
              </w:rPr>
              <w:t xml:space="preserve">(14 </w:t>
            </w:r>
            <w:r>
              <w:rPr>
                <w:rFonts w:ascii="Arial" w:cs="Arial" w:eastAsia="Arial" w:hAnsi="Arial"/>
                <w:sz w:val="19"/>
                <w:szCs w:val="19"/>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(750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12/11/2025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750</w:t>
            </w:r>
          </w:p>
        </w:tc>
        <w:tc>
          <w:tcPr>
            <w:tcW w:w="420" w:type="dxa"/>
            <w:vAlign w:val="bottom"/>
          </w:tcPr>
          <w:p>
            <w:pPr>
              <w:jc w:val="right"/>
              <w:spacing w:after="0"/>
              <w:rPr>
                <w:sz w:val="20"/>
                <w:szCs w:val="20"/>
                <w:color w:val="auto"/>
              </w:rPr>
            </w:pPr>
            <w:r>
              <w:rPr>
                <w:rFonts w:ascii="Arial" w:cs="Arial" w:eastAsia="Arial" w:hAnsi="Arial"/>
                <w:sz w:val="10"/>
                <w:szCs w:val="10"/>
                <w:color w:val="auto"/>
              </w:rPr>
              <w:t>750</w:t>
            </w:r>
          </w:p>
        </w:tc>
        <w:tc>
          <w:tcPr>
            <w:tcW w:w="0" w:type="dxa"/>
            <w:vAlign w:val="bottom"/>
          </w:tcPr>
          <w:p>
            <w:pPr>
              <w:spacing w:after="0"/>
              <w:rPr>
                <w:sz w:val="1"/>
                <w:szCs w:val="1"/>
                <w:color w:val="auto"/>
              </w:rPr>
            </w:pPr>
          </w:p>
        </w:tc>
      </w:tr>
      <w:tr>
        <w:trPr>
          <w:trHeight w:val="314"/>
        </w:trPr>
        <w:tc>
          <w:tcPr>
            <w:tcW w:w="2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9,685</w:t>
            </w:r>
          </w:p>
        </w:tc>
        <w:tc>
          <w:tcPr>
            <w:tcW w:w="420" w:type="dxa"/>
            <w:vAlign w:val="bottom"/>
          </w:tcPr>
          <w:p>
            <w:pPr>
              <w:jc w:val="right"/>
              <w:spacing w:after="0"/>
              <w:rPr>
                <w:sz w:val="20"/>
                <w:szCs w:val="20"/>
                <w:color w:val="auto"/>
              </w:rPr>
            </w:pPr>
            <w:r>
              <w:rPr>
                <w:rFonts w:ascii="Arial" w:cs="Arial" w:eastAsia="Arial" w:hAnsi="Arial"/>
                <w:sz w:val="10"/>
                <w:szCs w:val="10"/>
                <w:color w:val="auto"/>
              </w:rPr>
              <w:t>9,699</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20"/>
                <w:szCs w:val="20"/>
                <w:color w:val="auto"/>
              </w:rPr>
            </w:pPr>
            <w:r>
              <w:rPr>
                <w:rFonts w:ascii="Arial" w:cs="Arial" w:eastAsia="Arial" w:hAnsi="Arial"/>
                <w:sz w:val="10"/>
                <w:szCs w:val="10"/>
                <w:i w:val="1"/>
                <w:iCs w:val="1"/>
                <w:color w:val="auto"/>
                <w:w w:val="99"/>
              </w:rPr>
              <w:t>Spectra A&amp;D Acquisition, Inc. (fka FDS Avionics</w:t>
            </w:r>
          </w:p>
        </w:tc>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40" w:type="dxa"/>
            <w:vAlign w:val="bottom"/>
          </w:tcPr>
          <w:p>
            <w:pPr>
              <w:spacing w:after="0"/>
              <w:rPr>
                <w:sz w:val="20"/>
                <w:szCs w:val="20"/>
                <w:color w:val="auto"/>
              </w:rPr>
            </w:pPr>
            <w:r>
              <w:rPr>
                <w:rFonts w:ascii="Arial" w:cs="Arial" w:eastAsia="Arial" w:hAnsi="Arial"/>
                <w:sz w:val="10"/>
                <w:szCs w:val="10"/>
                <w:i w:val="1"/>
                <w:iCs w:val="1"/>
                <w:color w:val="auto"/>
              </w:rPr>
              <w:t>Corp.)</w:t>
            </w:r>
          </w:p>
        </w:tc>
        <w:tc>
          <w:tcPr>
            <w:tcW w:w="2820" w:type="dxa"/>
            <w:vAlign w:val="bottom"/>
          </w:tcPr>
          <w:p>
            <w:pPr>
              <w:ind w:left="80"/>
              <w:spacing w:after="0"/>
              <w:rPr>
                <w:sz w:val="20"/>
                <w:szCs w:val="20"/>
                <w:color w:val="auto"/>
              </w:rPr>
            </w:pPr>
            <w:r>
              <w:rPr>
                <w:rFonts w:ascii="Arial" w:cs="Arial" w:eastAsia="Arial" w:hAnsi="Arial"/>
                <w:sz w:val="10"/>
                <w:szCs w:val="10"/>
                <w:color w:val="auto"/>
              </w:rPr>
              <w:t>Aerospace &amp; Defense Manufacturing</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140" w:type="dxa"/>
            <w:vAlign w:val="bottom"/>
            <w:vMerge w:val="restart"/>
          </w:tcPr>
          <w:p>
            <w:pPr>
              <w:ind w:left="20"/>
              <w:spacing w:after="0"/>
              <w:rPr>
                <w:sz w:val="20"/>
                <w:szCs w:val="20"/>
                <w:color w:val="auto"/>
              </w:rPr>
            </w:pPr>
            <w:r>
              <w:rPr>
                <w:rFonts w:ascii="Arial" w:cs="Arial" w:eastAsia="Arial" w:hAnsi="Arial"/>
                <w:sz w:val="10"/>
                <w:szCs w:val="10"/>
                <w:color w:val="auto"/>
              </w:rPr>
              <w:t>First Lien Debt (ag)</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+ 6.00%) / (1.00%)</w:t>
            </w:r>
          </w:p>
        </w:tc>
        <w:tc>
          <w:tcPr>
            <w:tcW w:w="720" w:type="dxa"/>
            <w:vAlign w:val="bottom"/>
          </w:tcPr>
          <w:p>
            <w:pPr>
              <w:ind w:left="40"/>
              <w:spacing w:after="0"/>
              <w:rPr>
                <w:sz w:val="20"/>
                <w:szCs w:val="20"/>
                <w:color w:val="auto"/>
              </w:rPr>
            </w:pPr>
            <w:r>
              <w:rPr>
                <w:rFonts w:ascii="Arial" w:cs="Arial" w:eastAsia="Arial" w:hAnsi="Arial"/>
                <w:sz w:val="10"/>
                <w:szCs w:val="10"/>
                <w:color w:val="auto"/>
              </w:rPr>
              <w:t>9.93%/0.00%</w:t>
            </w:r>
          </w:p>
        </w:tc>
        <w:tc>
          <w:tcPr>
            <w:tcW w:w="640" w:type="dxa"/>
            <w:vAlign w:val="bottom"/>
          </w:tcPr>
          <w:p>
            <w:pPr>
              <w:ind w:left="100"/>
              <w:spacing w:after="0"/>
              <w:rPr>
                <w:sz w:val="20"/>
                <w:szCs w:val="20"/>
                <w:color w:val="auto"/>
              </w:rPr>
            </w:pPr>
            <w:r>
              <w:rPr>
                <w:rFonts w:ascii="Arial" w:cs="Arial" w:eastAsia="Arial" w:hAnsi="Arial"/>
                <w:sz w:val="10"/>
                <w:szCs w:val="10"/>
                <w:color w:val="auto"/>
              </w:rPr>
              <w:t>2/12/2021</w:t>
            </w:r>
          </w:p>
        </w:tc>
        <w:tc>
          <w:tcPr>
            <w:tcW w:w="680" w:type="dxa"/>
            <w:vAlign w:val="bottom"/>
          </w:tcPr>
          <w:p>
            <w:pPr>
              <w:ind w:left="100"/>
              <w:spacing w:after="0"/>
              <w:rPr>
                <w:sz w:val="20"/>
                <w:szCs w:val="20"/>
                <w:color w:val="auto"/>
              </w:rPr>
            </w:pPr>
            <w:r>
              <w:rPr>
                <w:rFonts w:ascii="Arial" w:cs="Arial" w:eastAsia="Arial" w:hAnsi="Arial"/>
                <w:sz w:val="10"/>
                <w:szCs w:val="10"/>
                <w:color w:val="auto"/>
              </w:rPr>
              <w:t>8/11/2027</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28,435</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28,372</w:t>
            </w:r>
          </w:p>
        </w:tc>
        <w:tc>
          <w:tcPr>
            <w:tcW w:w="420" w:type="dxa"/>
            <w:vAlign w:val="bottom"/>
          </w:tcPr>
          <w:p>
            <w:pPr>
              <w:jc w:val="right"/>
              <w:spacing w:after="0"/>
              <w:rPr>
                <w:sz w:val="20"/>
                <w:szCs w:val="20"/>
                <w:color w:val="auto"/>
              </w:rPr>
            </w:pPr>
            <w:r>
              <w:rPr>
                <w:rFonts w:ascii="Arial" w:cs="Arial" w:eastAsia="Arial" w:hAnsi="Arial"/>
                <w:sz w:val="10"/>
                <w:szCs w:val="10"/>
                <w:color w:val="auto"/>
              </w:rPr>
              <w:t>28,435</w:t>
            </w:r>
          </w:p>
        </w:tc>
        <w:tc>
          <w:tcPr>
            <w:tcW w:w="0" w:type="dxa"/>
            <w:vAlign w:val="bottom"/>
          </w:tcPr>
          <w:p>
            <w:pPr>
              <w:spacing w:after="0"/>
              <w:rPr>
                <w:sz w:val="1"/>
                <w:szCs w:val="1"/>
                <w:color w:val="auto"/>
              </w:rPr>
            </w:pPr>
          </w:p>
        </w:tc>
      </w:tr>
      <w:tr>
        <w:trPr>
          <w:trHeight w:val="41"/>
        </w:trPr>
        <w:tc>
          <w:tcPr>
            <w:tcW w:w="214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(12,035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8/25/2021</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1,204</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(38,493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12/16/2022</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2,609</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(6,783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7/10/2023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686</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(4,663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9/16/2022</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472</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0"/>
                <w:szCs w:val="10"/>
                <w:color w:val="auto"/>
              </w:rPr>
              <w:t>Common Equity (21,689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5/22/2024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2,195</w:t>
            </w:r>
          </w:p>
        </w:tc>
        <w:tc>
          <w:tcPr>
            <w:tcW w:w="420" w:type="dxa"/>
            <w:vAlign w:val="bottom"/>
          </w:tcPr>
          <w:p>
            <w:pPr>
              <w:jc w:val="right"/>
              <w:spacing w:after="0"/>
              <w:rPr>
                <w:sz w:val="20"/>
                <w:szCs w:val="20"/>
                <w:color w:val="auto"/>
              </w:rPr>
            </w:pPr>
            <w:r>
              <w:rPr>
                <w:rFonts w:ascii="Arial" w:cs="Arial" w:eastAsia="Arial" w:hAnsi="Arial"/>
                <w:sz w:val="10"/>
                <w:szCs w:val="10"/>
                <w:color w:val="auto"/>
              </w:rPr>
              <w:t>2,762</w:t>
            </w:r>
          </w:p>
        </w:tc>
        <w:tc>
          <w:tcPr>
            <w:tcW w:w="0" w:type="dxa"/>
            <w:vAlign w:val="bottom"/>
          </w:tcPr>
          <w:p>
            <w:pPr>
              <w:spacing w:after="0"/>
              <w:rPr>
                <w:sz w:val="1"/>
                <w:szCs w:val="1"/>
                <w:color w:val="auto"/>
              </w:rPr>
            </w:pPr>
          </w:p>
        </w:tc>
      </w:tr>
      <w:tr>
        <w:trPr>
          <w:trHeight w:val="314"/>
        </w:trPr>
        <w:tc>
          <w:tcPr>
            <w:tcW w:w="2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35,538</w:t>
            </w:r>
          </w:p>
        </w:tc>
        <w:tc>
          <w:tcPr>
            <w:tcW w:w="420" w:type="dxa"/>
            <w:vAlign w:val="bottom"/>
          </w:tcPr>
          <w:p>
            <w:pPr>
              <w:jc w:val="right"/>
              <w:spacing w:after="0"/>
              <w:rPr>
                <w:sz w:val="20"/>
                <w:szCs w:val="20"/>
                <w:color w:val="auto"/>
              </w:rPr>
            </w:pPr>
            <w:r>
              <w:rPr>
                <w:rFonts w:ascii="Arial" w:cs="Arial" w:eastAsia="Arial" w:hAnsi="Arial"/>
                <w:sz w:val="10"/>
                <w:szCs w:val="10"/>
                <w:color w:val="auto"/>
              </w:rPr>
              <w:t>31,197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-3590290</wp:posOffset>
            </wp:positionV>
            <wp:extent cx="5967730" cy="104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-2880995</wp:posOffset>
            </wp:positionV>
            <wp:extent cx="5967730" cy="1041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-2576830</wp:posOffset>
            </wp:positionV>
            <wp:extent cx="5967730" cy="104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-2367915</wp:posOffset>
            </wp:positionV>
            <wp:extent cx="5967730" cy="1993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-1563370</wp:posOffset>
            </wp:positionV>
            <wp:extent cx="5967730" cy="1993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-1163955</wp:posOffset>
            </wp:positionV>
            <wp:extent cx="5967730" cy="1993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-764540</wp:posOffset>
            </wp:positionV>
            <wp:extent cx="5967730" cy="1993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-3996055</wp:posOffset>
            </wp:positionV>
            <wp:extent cx="596773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-3286760</wp:posOffset>
            </wp:positionV>
            <wp:extent cx="5967730"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-1968500</wp:posOffset>
            </wp:positionV>
            <wp:extent cx="596773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-365125</wp:posOffset>
            </wp:positionV>
            <wp:extent cx="5967730"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0"/>
        <w:spacing w:after="0"/>
        <w:tabs>
          <w:tab w:leader="none" w:pos="80" w:val="left"/>
        </w:tabs>
        <w:numPr>
          <w:ilvl w:val="0"/>
          <w:numId w:val="7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5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4 </w:t>
      </w:r>
      <w:r>
        <w:rPr>
          <w:rFonts w:ascii="Arial" w:cs="Arial" w:eastAsia="Arial" w:hAnsi="Arial"/>
          <w:sz w:val="15"/>
          <w:szCs w:val="15"/>
          <w:color w:val="auto"/>
          <w:vertAlign w:val="subscript"/>
        </w:rPr>
        <w:t>%</w:t>
      </w:r>
    </w:p>
    <w:p>
      <w:pPr>
        <w:spacing w:after="0" w:line="228" w:lineRule="exact"/>
        <w:rPr>
          <w:sz w:val="20"/>
          <w:szCs w:val="20"/>
          <w:color w:val="auto"/>
        </w:rPr>
      </w:pPr>
    </w:p>
    <w:p>
      <w:pPr>
        <w:sectPr>
          <w:pgSz w:w="11900" w:h="16838" w:orient="portrait"/>
          <w:cols w:equalWidth="0" w:num="2">
            <w:col w:w="8660" w:space="560"/>
            <w:col w:w="180"/>
          </w:cols>
          <w:pgMar w:left="1260" w:top="1440" w:right="1246" w:bottom="0" w:gutter="0" w:footer="0" w:header="0"/>
          <w:type w:val="continuous"/>
        </w:sect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8</w:t>
      </w:r>
    </w:p>
    <w:p>
      <w:pPr>
        <w:sectPr>
          <w:pgSz w:w="11900" w:h="16838" w:orient="portrait"/>
          <w:cols w:equalWidth="0" w:num="1">
            <w:col w:w="9400"/>
          </w:cols>
          <w:pgMar w:left="1260" w:top="1440" w:right="1246" w:bottom="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20"/>
                <w:szCs w:val="20"/>
                <w:color w:val="auto"/>
              </w:rPr>
            </w:pPr>
            <w:r>
              <w:rPr>
                <w:rFonts w:ascii="Arial" w:cs="Arial" w:eastAsia="Arial" w:hAnsi="Arial"/>
                <w:sz w:val="10"/>
                <w:szCs w:val="10"/>
                <w:i w:val="1"/>
                <w:iCs w:val="1"/>
                <w:color w:val="auto"/>
                <w:w w:val="99"/>
              </w:rPr>
              <w:t>Steward Holding LLC (dba Steward Advanced</w:t>
            </w:r>
          </w:p>
        </w:tc>
        <w:tc>
          <w:tcPr>
            <w:tcW w:w="4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50"/>
        </w:trPr>
        <w:tc>
          <w:tcPr>
            <w:tcW w:w="2040" w:type="dxa"/>
            <w:vAlign w:val="bottom"/>
          </w:tcPr>
          <w:p>
            <w:pPr>
              <w:spacing w:after="0"/>
              <w:rPr>
                <w:sz w:val="20"/>
                <w:szCs w:val="20"/>
                <w:color w:val="auto"/>
              </w:rPr>
            </w:pPr>
            <w:r>
              <w:rPr>
                <w:rFonts w:ascii="Arial" w:cs="Arial" w:eastAsia="Arial" w:hAnsi="Arial"/>
                <w:sz w:val="10"/>
                <w:szCs w:val="10"/>
                <w:i w:val="1"/>
                <w:iCs w:val="1"/>
                <w:color w:val="auto"/>
              </w:rPr>
              <w:t>Materials)</w:t>
            </w:r>
          </w:p>
        </w:tc>
        <w:tc>
          <w:tcPr>
            <w:tcW w:w="4980" w:type="dxa"/>
            <w:vAlign w:val="bottom"/>
          </w:tcPr>
          <w:p>
            <w:pPr>
              <w:jc w:val="right"/>
              <w:ind w:right="3250"/>
              <w:spacing w:after="0"/>
              <w:rPr>
                <w:sz w:val="20"/>
                <w:szCs w:val="20"/>
                <w:color w:val="auto"/>
              </w:rPr>
            </w:pPr>
            <w:r>
              <w:rPr>
                <w:rFonts w:ascii="Arial" w:cs="Arial" w:eastAsia="Arial" w:hAnsi="Arial"/>
                <w:sz w:val="10"/>
                <w:szCs w:val="10"/>
                <w:color w:val="auto"/>
              </w:rPr>
              <w:t>Aerospace &amp; Defense Manufacturing</w:t>
            </w: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73"/>
        </w:trPr>
        <w:tc>
          <w:tcPr>
            <w:tcW w:w="2040" w:type="dxa"/>
            <w:vAlign w:val="bottom"/>
          </w:tcPr>
          <w:p>
            <w:pPr>
              <w:ind w:left="20"/>
              <w:spacing w:after="0"/>
              <w:rPr>
                <w:sz w:val="20"/>
                <w:szCs w:val="20"/>
                <w:color w:val="auto"/>
              </w:rPr>
            </w:pPr>
            <w:r>
              <w:rPr>
                <w:rFonts w:ascii="Arial" w:cs="Arial" w:eastAsia="Arial" w:hAnsi="Arial"/>
                <w:sz w:val="10"/>
                <w:szCs w:val="10"/>
                <w:color w:val="auto"/>
              </w:rPr>
              <w:t>Common Equity (1,000,000 units)</w:t>
            </w:r>
          </w:p>
        </w:tc>
        <w:tc>
          <w:tcPr>
            <w:tcW w:w="4980" w:type="dxa"/>
            <w:vAlign w:val="bottom"/>
          </w:tcPr>
          <w:p>
            <w:pPr>
              <w:jc w:val="right"/>
              <w:ind w:right="750"/>
              <w:spacing w:after="0"/>
              <w:rPr>
                <w:sz w:val="20"/>
                <w:szCs w:val="20"/>
                <w:color w:val="auto"/>
              </w:rPr>
            </w:pPr>
            <w:r>
              <w:rPr>
                <w:rFonts w:ascii="Arial" w:cs="Arial" w:eastAsia="Arial" w:hAnsi="Arial"/>
                <w:sz w:val="10"/>
                <w:szCs w:val="10"/>
                <w:color w:val="auto"/>
              </w:rPr>
              <w:t>11/12/2015</w:t>
            </w:r>
          </w:p>
        </w:tc>
        <w:tc>
          <w:tcPr>
            <w:tcW w:w="1220" w:type="dxa"/>
            <w:vAlign w:val="bottom"/>
          </w:tcPr>
          <w:p>
            <w:pPr>
              <w:jc w:val="right"/>
              <w:ind w:right="150"/>
              <w:spacing w:after="0"/>
              <w:rPr>
                <w:sz w:val="20"/>
                <w:szCs w:val="20"/>
                <w:color w:val="auto"/>
              </w:rPr>
            </w:pPr>
            <w:r>
              <w:rPr>
                <w:rFonts w:ascii="Arial" w:cs="Arial" w:eastAsia="Arial" w:hAnsi="Arial"/>
                <w:sz w:val="10"/>
                <w:szCs w:val="10"/>
                <w:color w:val="auto"/>
              </w:rPr>
              <w:t>1,000</w:t>
            </w:r>
          </w:p>
        </w:tc>
        <w:tc>
          <w:tcPr>
            <w:tcW w:w="420" w:type="dxa"/>
            <w:vAlign w:val="bottom"/>
          </w:tcPr>
          <w:p>
            <w:pPr>
              <w:jc w:val="right"/>
              <w:spacing w:after="0"/>
              <w:rPr>
                <w:sz w:val="20"/>
                <w:szCs w:val="20"/>
                <w:color w:val="auto"/>
              </w:rPr>
            </w:pPr>
            <w:r>
              <w:rPr>
                <w:rFonts w:ascii="Arial" w:cs="Arial" w:eastAsia="Arial" w:hAnsi="Arial"/>
                <w:sz w:val="10"/>
                <w:szCs w:val="10"/>
                <w:color w:val="auto"/>
              </w:rPr>
              <w:t>3,897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93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5967730" cy="1104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7730" cy="11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28" w:lineRule="exact"/>
        <w:rPr>
          <w:sz w:val="20"/>
          <w:szCs w:val="20"/>
          <w:color w:val="auto"/>
        </w:rPr>
      </w:pPr>
    </w:p>
    <w:p>
      <w:pPr>
        <w:sectPr>
          <w:pgSz w:w="11900" w:h="16838" w:orient="portrait"/>
          <w:cols w:equalWidth="0" w:num="2">
            <w:col w:w="8660" w:space="560"/>
            <w:col w:w="160"/>
          </w:cols>
          <w:pgMar w:left="1260" w:top="1161" w:right="1266" w:bottom="0" w:gutter="0" w:footer="0" w:header="0"/>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60" w:type="dxa"/>
            <w:vAlign w:val="bottom"/>
            <w:gridSpan w:val="2"/>
          </w:tcPr>
          <w:p>
            <w:pPr>
              <w:spacing w:after="0"/>
              <w:rPr>
                <w:sz w:val="20"/>
                <w:szCs w:val="20"/>
                <w:color w:val="auto"/>
              </w:rPr>
            </w:pPr>
            <w:r>
              <w:rPr>
                <w:rFonts w:ascii="Arial" w:cs="Arial" w:eastAsia="Arial" w:hAnsi="Arial"/>
                <w:sz w:val="10"/>
                <w:szCs w:val="10"/>
                <w:b w:val="1"/>
                <w:bCs w:val="1"/>
                <w:color w:val="auto"/>
              </w:rPr>
              <w:t>Total Affiliate Investments</w:t>
            </w:r>
          </w:p>
        </w:tc>
        <w:tc>
          <w:tcPr>
            <w:tcW w:w="1400" w:type="dxa"/>
            <w:vAlign w:val="bottom"/>
          </w:tcPr>
          <w:p>
            <w:pPr>
              <w:spacing w:after="0"/>
              <w:rPr>
                <w:sz w:val="10"/>
                <w:szCs w:val="10"/>
                <w:color w:val="auto"/>
              </w:rPr>
            </w:pPr>
          </w:p>
        </w:tc>
      </w:tr>
      <w:tr>
        <w:trPr>
          <w:trHeight w:val="320"/>
        </w:trPr>
        <w:tc>
          <w:tcPr>
            <w:tcW w:w="1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Non-control/Non-affiliate Investments</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54"/>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2KDirect, Inc. (dba iPromote)</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(at)</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(aa)</w:t>
            </w:r>
          </w:p>
        </w:tc>
        <w:tc>
          <w:tcPr>
            <w:tcW w:w="1400" w:type="dxa"/>
            <w:vAlign w:val="bottom"/>
          </w:tcPr>
          <w:p>
            <w:pPr>
              <w:spacing w:after="0"/>
              <w:rPr>
                <w:sz w:val="24"/>
                <w:szCs w:val="24"/>
                <w:color w:val="auto"/>
              </w:rPr>
            </w:pPr>
          </w:p>
        </w:tc>
      </w:tr>
      <w:tr>
        <w:trPr>
          <w:trHeight w:val="28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(1,000,000 units)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301 Edison Holdings Inc. (dba LGG Industrial)</w:t>
            </w:r>
          </w:p>
        </w:tc>
        <w:tc>
          <w:tcPr>
            <w:tcW w:w="1400" w:type="dxa"/>
            <w:vAlign w:val="bottom"/>
          </w:tcPr>
          <w:p>
            <w:pPr>
              <w:ind w:left="60"/>
              <w:spacing w:after="0"/>
              <w:rPr>
                <w:sz w:val="20"/>
                <w:szCs w:val="20"/>
                <w:color w:val="auto"/>
              </w:rPr>
            </w:pPr>
            <w:r>
              <w:rPr>
                <w:rFonts w:ascii="Arial" w:cs="Arial" w:eastAsia="Arial" w:hAnsi="Arial"/>
                <w:sz w:val="10"/>
                <w:szCs w:val="10"/>
                <w:color w:val="auto"/>
              </w:rPr>
              <w:t>Specialty Distribution</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28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(518,135 units)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Acendre Midco, Inc.</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Revolving Loan</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(500,000 shares)</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Warrant (275,000 shares) (m)</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(77,016 shares)</w:t>
            </w:r>
          </w:p>
        </w:tc>
        <w:tc>
          <w:tcPr>
            <w:tcW w:w="1400" w:type="dxa"/>
            <w:vAlign w:val="bottom"/>
          </w:tcPr>
          <w:p>
            <w:pPr>
              <w:spacing w:after="0"/>
              <w:rPr>
                <w:sz w:val="24"/>
                <w:szCs w:val="24"/>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(568,182 shares)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Ad Info Parent, Inc. (dba MediaRadar)</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w w:val="95"/>
              </w:rPr>
              <w:t>Revolving Loan ($1,195 unfunded commitment) (i)</w:t>
            </w:r>
          </w:p>
        </w:tc>
        <w:tc>
          <w:tcPr>
            <w:tcW w:w="1400" w:type="dxa"/>
            <w:vAlign w:val="bottom"/>
          </w:tcPr>
          <w:p>
            <w:pPr>
              <w:spacing w:after="0"/>
              <w:rPr>
                <w:sz w:val="23"/>
                <w:szCs w:val="23"/>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(1,250,000 units)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Air Burners, Inc.</w:t>
            </w:r>
          </w:p>
        </w:tc>
        <w:tc>
          <w:tcPr>
            <w:tcW w:w="1400" w:type="dxa"/>
            <w:vAlign w:val="bottom"/>
          </w:tcPr>
          <w:p>
            <w:pPr>
              <w:ind w:left="60"/>
              <w:spacing w:after="0"/>
              <w:rPr>
                <w:sz w:val="20"/>
                <w:szCs w:val="20"/>
                <w:color w:val="auto"/>
              </w:rPr>
            </w:pPr>
            <w:r>
              <w:rPr>
                <w:rFonts w:ascii="Arial" w:cs="Arial" w:eastAsia="Arial" w:hAnsi="Arial"/>
                <w:sz w:val="10"/>
                <w:szCs w:val="10"/>
                <w:color w:val="auto"/>
                <w:w w:val="93"/>
              </w:rPr>
              <w:t>Utility Equipment Manufacturing</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(j)(ah)</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(817 units) ($200 unfunded</w:t>
            </w:r>
          </w:p>
        </w:tc>
        <w:tc>
          <w:tcPr>
            <w:tcW w:w="1400" w:type="dxa"/>
            <w:vAlign w:val="bottom"/>
          </w:tcPr>
          <w:p>
            <w:pPr>
              <w:spacing w:after="0"/>
              <w:rPr>
                <w:sz w:val="23"/>
                <w:szCs w:val="23"/>
                <w:color w:val="auto"/>
              </w:rPr>
            </w:pPr>
          </w:p>
        </w:tc>
      </w:tr>
      <w:tr>
        <w:trPr>
          <w:trHeight w:val="300"/>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commitment)</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w w:val="96"/>
              </w:rPr>
              <w:t>Allredi, LLC (fka Marco Group International OpCo,</w:t>
            </w:r>
          </w:p>
        </w:tc>
        <w:tc>
          <w:tcPr>
            <w:tcW w:w="1400" w:type="dxa"/>
            <w:vAlign w:val="bottom"/>
          </w:tcPr>
          <w:p>
            <w:pPr>
              <w:spacing w:after="0"/>
              <w:rPr>
                <w:sz w:val="24"/>
                <w:szCs w:val="24"/>
                <w:color w:val="auto"/>
              </w:rPr>
            </w:pPr>
          </w:p>
        </w:tc>
      </w:tr>
      <w:tr>
        <w:trPr>
          <w:trHeight w:val="15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LLC)</w:t>
            </w:r>
          </w:p>
        </w:tc>
        <w:tc>
          <w:tcPr>
            <w:tcW w:w="1400" w:type="dxa"/>
            <w:vAlign w:val="bottom"/>
          </w:tcPr>
          <w:p>
            <w:pPr>
              <w:ind w:left="60"/>
              <w:spacing w:after="0"/>
              <w:rPr>
                <w:sz w:val="20"/>
                <w:szCs w:val="20"/>
                <w:color w:val="auto"/>
              </w:rPr>
            </w:pPr>
            <w:r>
              <w:rPr>
                <w:rFonts w:ascii="Arial" w:cs="Arial" w:eastAsia="Arial" w:hAnsi="Arial"/>
                <w:sz w:val="10"/>
                <w:szCs w:val="10"/>
                <w:color w:val="auto"/>
                <w:w w:val="98"/>
              </w:rPr>
              <w:t>Industrial Cleaning &amp; Coatings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Second Lien Debt</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(570,636 units) (h)</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(39,443 units) (h)</w:t>
            </w:r>
          </w:p>
        </w:tc>
        <w:tc>
          <w:tcPr>
            <w:tcW w:w="1400" w:type="dxa"/>
            <w:vAlign w:val="bottom"/>
          </w:tcPr>
          <w:p>
            <w:pPr>
              <w:spacing w:after="0"/>
              <w:rPr>
                <w:sz w:val="24"/>
                <w:szCs w:val="24"/>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(524,624units) (h)</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w w:val="92"/>
              </w:rPr>
              <w:t>American AllWaste LLC (dba WasteWater Transport</w:t>
            </w:r>
          </w:p>
        </w:tc>
        <w:tc>
          <w:tcPr>
            <w:tcW w:w="1400" w:type="dxa"/>
            <w:vAlign w:val="bottom"/>
          </w:tcPr>
          <w:p>
            <w:pPr>
              <w:spacing w:after="0"/>
              <w:rPr>
                <w:sz w:val="24"/>
                <w:szCs w:val="24"/>
                <w:color w:val="auto"/>
              </w:rPr>
            </w:pPr>
          </w:p>
        </w:tc>
      </w:tr>
      <w:tr>
        <w:trPr>
          <w:trHeight w:val="15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Services)</w:t>
            </w:r>
          </w:p>
        </w:tc>
        <w:tc>
          <w:tcPr>
            <w:tcW w:w="1400" w:type="dxa"/>
            <w:vAlign w:val="bottom"/>
          </w:tcPr>
          <w:p>
            <w:pPr>
              <w:ind w:left="60"/>
              <w:spacing w:after="0"/>
              <w:rPr>
                <w:sz w:val="20"/>
                <w:szCs w:val="20"/>
                <w:color w:val="auto"/>
              </w:rPr>
            </w:pPr>
            <w:r>
              <w:rPr>
                <w:rFonts w:ascii="Arial" w:cs="Arial" w:eastAsia="Arial" w:hAnsi="Arial"/>
                <w:sz w:val="10"/>
                <w:szCs w:val="10"/>
                <w:color w:val="auto"/>
              </w:rPr>
              <w:t>Environmental Industries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(p)</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(o)</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(bh)</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(500 units) (h)</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(207 units) (h)</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(141 units) (h)</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(74 units) (h)</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(52 units) (h)</w:t>
            </w: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75,208</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119,015</w:t>
            </w:r>
          </w:p>
        </w:tc>
        <w:tc>
          <w:tcPr>
            <w:tcW w:w="0" w:type="dxa"/>
            <w:vAlign w:val="bottom"/>
          </w:tcPr>
          <w:p>
            <w:pPr>
              <w:spacing w:after="0"/>
              <w:rPr>
                <w:sz w:val="1"/>
                <w:szCs w:val="1"/>
                <w:color w:val="auto"/>
              </w:rPr>
            </w:pPr>
          </w:p>
        </w:tc>
      </w:tr>
      <w:tr>
        <w:trPr>
          <w:trHeight w:val="811"/>
        </w:trPr>
        <w:tc>
          <w:tcPr>
            <w:tcW w:w="940" w:type="dxa"/>
            <w:vAlign w:val="bottom"/>
          </w:tcPr>
          <w:p>
            <w:pPr>
              <w:spacing w:after="0"/>
              <w:rPr>
                <w:sz w:val="20"/>
                <w:szCs w:val="20"/>
                <w:color w:val="auto"/>
              </w:rPr>
            </w:pPr>
            <w:r>
              <w:rPr>
                <w:rFonts w:ascii="Arial" w:cs="Arial" w:eastAsia="Arial" w:hAnsi="Arial"/>
                <w:sz w:val="10"/>
                <w:szCs w:val="10"/>
                <w:color w:val="auto"/>
                <w:w w:val="95"/>
              </w:rPr>
              <w:t>(S + 8.00%) / (0.50%)</w:t>
            </w:r>
          </w:p>
        </w:tc>
        <w:tc>
          <w:tcPr>
            <w:tcW w:w="720" w:type="dxa"/>
            <w:vAlign w:val="bottom"/>
          </w:tcPr>
          <w:p>
            <w:pPr>
              <w:ind w:left="40"/>
              <w:spacing w:after="0"/>
              <w:rPr>
                <w:sz w:val="20"/>
                <w:szCs w:val="20"/>
                <w:color w:val="auto"/>
              </w:rPr>
            </w:pPr>
            <w:r>
              <w:rPr>
                <w:rFonts w:ascii="Arial" w:cs="Arial" w:eastAsia="Arial" w:hAnsi="Arial"/>
                <w:sz w:val="10"/>
                <w:szCs w:val="10"/>
                <w:color w:val="auto"/>
              </w:rPr>
              <w:t>12.13%/0.00%</w:t>
            </w:r>
          </w:p>
        </w:tc>
        <w:tc>
          <w:tcPr>
            <w:tcW w:w="640" w:type="dxa"/>
            <w:vAlign w:val="bottom"/>
          </w:tcPr>
          <w:p>
            <w:pPr>
              <w:ind w:left="100"/>
              <w:spacing w:after="0"/>
              <w:rPr>
                <w:sz w:val="20"/>
                <w:szCs w:val="20"/>
                <w:color w:val="auto"/>
              </w:rPr>
            </w:pPr>
            <w:r>
              <w:rPr>
                <w:rFonts w:ascii="Arial" w:cs="Arial" w:eastAsia="Arial" w:hAnsi="Arial"/>
                <w:sz w:val="10"/>
                <w:szCs w:val="10"/>
                <w:color w:val="auto"/>
              </w:rPr>
              <w:t>6/25/2021</w:t>
            </w:r>
          </w:p>
        </w:tc>
        <w:tc>
          <w:tcPr>
            <w:tcW w:w="620" w:type="dxa"/>
            <w:vAlign w:val="bottom"/>
          </w:tcPr>
          <w:p>
            <w:pPr>
              <w:ind w:left="100"/>
              <w:spacing w:after="0"/>
              <w:rPr>
                <w:sz w:val="20"/>
                <w:szCs w:val="20"/>
                <w:color w:val="auto"/>
              </w:rPr>
            </w:pPr>
            <w:r>
              <w:rPr>
                <w:rFonts w:ascii="Arial" w:cs="Arial" w:eastAsia="Arial" w:hAnsi="Arial"/>
                <w:sz w:val="10"/>
                <w:szCs w:val="10"/>
                <w:color w:val="auto"/>
              </w:rPr>
              <w:t>9/30/2027</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6,598</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6,590</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6,598</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0"/>
                <w:szCs w:val="20"/>
                <w:color w:val="auto"/>
              </w:rPr>
            </w:pPr>
            <w:r>
              <w:rPr>
                <w:rFonts w:ascii="Arial" w:cs="Arial" w:eastAsia="Arial" w:hAnsi="Arial"/>
                <w:sz w:val="10"/>
                <w:szCs w:val="10"/>
                <w:color w:val="auto"/>
                <w:w w:val="95"/>
              </w:rPr>
              <w:t>(S + 8.00%) / (0.50%)</w:t>
            </w:r>
          </w:p>
        </w:tc>
        <w:tc>
          <w:tcPr>
            <w:tcW w:w="720" w:type="dxa"/>
            <w:vAlign w:val="bottom"/>
          </w:tcPr>
          <w:p>
            <w:pPr>
              <w:ind w:left="40"/>
              <w:spacing w:after="0"/>
              <w:rPr>
                <w:sz w:val="20"/>
                <w:szCs w:val="20"/>
                <w:color w:val="auto"/>
              </w:rPr>
            </w:pPr>
            <w:r>
              <w:rPr>
                <w:rFonts w:ascii="Arial" w:cs="Arial" w:eastAsia="Arial" w:hAnsi="Arial"/>
                <w:sz w:val="10"/>
                <w:szCs w:val="10"/>
                <w:color w:val="auto"/>
              </w:rPr>
              <w:t>8.38%/0.00%</w:t>
            </w:r>
          </w:p>
        </w:tc>
        <w:tc>
          <w:tcPr>
            <w:tcW w:w="640" w:type="dxa"/>
            <w:vAlign w:val="bottom"/>
          </w:tcPr>
          <w:p>
            <w:pPr>
              <w:ind w:left="100"/>
              <w:spacing w:after="0"/>
              <w:rPr>
                <w:sz w:val="20"/>
                <w:szCs w:val="20"/>
                <w:color w:val="auto"/>
              </w:rPr>
            </w:pPr>
            <w:r>
              <w:rPr>
                <w:rFonts w:ascii="Arial" w:cs="Arial" w:eastAsia="Arial" w:hAnsi="Arial"/>
                <w:sz w:val="10"/>
                <w:szCs w:val="10"/>
                <w:color w:val="auto"/>
              </w:rPr>
              <w:t>7/30/2021</w:t>
            </w:r>
          </w:p>
        </w:tc>
        <w:tc>
          <w:tcPr>
            <w:tcW w:w="620" w:type="dxa"/>
            <w:vAlign w:val="bottom"/>
          </w:tcPr>
          <w:p>
            <w:pPr>
              <w:ind w:left="100"/>
              <w:spacing w:after="0"/>
              <w:rPr>
                <w:sz w:val="20"/>
                <w:szCs w:val="20"/>
                <w:color w:val="auto"/>
              </w:rPr>
            </w:pPr>
            <w:r>
              <w:rPr>
                <w:rFonts w:ascii="Arial" w:cs="Arial" w:eastAsia="Arial" w:hAnsi="Arial"/>
                <w:sz w:val="10"/>
                <w:szCs w:val="10"/>
                <w:color w:val="auto"/>
              </w:rPr>
              <w:t>9/30/2027</w:t>
            </w:r>
          </w:p>
        </w:tc>
        <w:tc>
          <w:tcPr>
            <w:tcW w:w="16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1,846</w:t>
            </w: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1,846</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1,846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6/25/2021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9,436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8,444</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11.75%/1.50%</w:t>
            </w:r>
          </w:p>
        </w:tc>
        <w:tc>
          <w:tcPr>
            <w:tcW w:w="640" w:type="dxa"/>
            <w:vAlign w:val="bottom"/>
          </w:tcPr>
          <w:p>
            <w:pPr>
              <w:ind w:left="100"/>
              <w:spacing w:after="0"/>
              <w:rPr>
                <w:sz w:val="20"/>
                <w:szCs w:val="20"/>
                <w:color w:val="auto"/>
              </w:rPr>
            </w:pPr>
            <w:r>
              <w:rPr>
                <w:rFonts w:ascii="Arial" w:cs="Arial" w:eastAsia="Arial" w:hAnsi="Arial"/>
                <w:sz w:val="10"/>
                <w:szCs w:val="10"/>
                <w:color w:val="auto"/>
              </w:rPr>
              <w:t>11/14/2023</w:t>
            </w:r>
          </w:p>
        </w:tc>
        <w:tc>
          <w:tcPr>
            <w:tcW w:w="620" w:type="dxa"/>
            <w:vAlign w:val="bottom"/>
          </w:tcPr>
          <w:p>
            <w:pPr>
              <w:ind w:left="100"/>
              <w:spacing w:after="0"/>
              <w:rPr>
                <w:sz w:val="20"/>
                <w:szCs w:val="20"/>
                <w:color w:val="auto"/>
              </w:rPr>
            </w:pPr>
            <w:r>
              <w:rPr>
                <w:rFonts w:ascii="Arial" w:cs="Arial" w:eastAsia="Arial" w:hAnsi="Arial"/>
                <w:sz w:val="10"/>
                <w:szCs w:val="10"/>
                <w:color w:val="auto"/>
                <w:w w:val="99"/>
              </w:rPr>
              <w:t>11/13/2028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11,775</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11,681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11,775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11/14/2023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12,681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12,775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12.50%/1.25%</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5,744</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5,744</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5,744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12.50%/1.25%</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13,055</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13,050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13,055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12.50%/1.25%</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1,010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1,010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1,010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371</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253</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9/26/2022</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88</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6/10/2025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375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998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20,891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20,807</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+ 5.00%) / (1.00%)</w:t>
            </w:r>
          </w:p>
        </w:tc>
        <w:tc>
          <w:tcPr>
            <w:tcW w:w="720" w:type="dxa"/>
            <w:vAlign w:val="bottom"/>
          </w:tcPr>
          <w:p>
            <w:pPr>
              <w:ind w:left="40"/>
              <w:spacing w:after="0"/>
              <w:rPr>
                <w:sz w:val="20"/>
                <w:szCs w:val="20"/>
                <w:color w:val="auto"/>
              </w:rPr>
            </w:pPr>
            <w:r>
              <w:rPr>
                <w:rFonts w:ascii="Arial" w:cs="Arial" w:eastAsia="Arial" w:hAnsi="Arial"/>
                <w:sz w:val="10"/>
                <w:szCs w:val="10"/>
                <w:color w:val="auto"/>
              </w:rPr>
              <w:t>8.67%/0.00%</w:t>
            </w: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ind w:left="100"/>
              <w:spacing w:after="0"/>
              <w:rPr>
                <w:sz w:val="20"/>
                <w:szCs w:val="20"/>
                <w:color w:val="auto"/>
              </w:rPr>
            </w:pPr>
            <w:r>
              <w:rPr>
                <w:rFonts w:ascii="Arial" w:cs="Arial" w:eastAsia="Arial" w:hAnsi="Arial"/>
                <w:sz w:val="10"/>
                <w:szCs w:val="10"/>
                <w:color w:val="auto"/>
              </w:rPr>
              <w:t>9/16/2029</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15,917</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15,847</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15,917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+ 5.00%) / (1.00%)</w:t>
            </w:r>
          </w:p>
        </w:tc>
        <w:tc>
          <w:tcPr>
            <w:tcW w:w="720" w:type="dxa"/>
            <w:vAlign w:val="bottom"/>
          </w:tcPr>
          <w:p>
            <w:pPr>
              <w:ind w:left="40"/>
              <w:spacing w:after="0"/>
              <w:rPr>
                <w:sz w:val="20"/>
                <w:szCs w:val="20"/>
                <w:color w:val="auto"/>
              </w:rPr>
            </w:pPr>
            <w:r>
              <w:rPr>
                <w:rFonts w:ascii="Arial" w:cs="Arial" w:eastAsia="Arial" w:hAnsi="Arial"/>
                <w:sz w:val="10"/>
                <w:szCs w:val="10"/>
                <w:color w:val="auto"/>
              </w:rPr>
              <w:t>8.67%/0.00%</w:t>
            </w: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ind w:left="100"/>
              <w:spacing w:after="0"/>
              <w:rPr>
                <w:sz w:val="20"/>
                <w:szCs w:val="20"/>
                <w:color w:val="auto"/>
              </w:rPr>
            </w:pPr>
            <w:r>
              <w:rPr>
                <w:rFonts w:ascii="Arial" w:cs="Arial" w:eastAsia="Arial" w:hAnsi="Arial"/>
                <w:sz w:val="10"/>
                <w:szCs w:val="10"/>
                <w:color w:val="auto"/>
              </w:rPr>
              <w:t>9/16/2029</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247</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242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1,249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1,168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17,338</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17,332</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+ 5.00%) / (2.00%)</w:t>
            </w:r>
          </w:p>
        </w:tc>
        <w:tc>
          <w:tcPr>
            <w:tcW w:w="720" w:type="dxa"/>
            <w:vAlign w:val="bottom"/>
          </w:tcPr>
          <w:p>
            <w:pPr>
              <w:ind w:left="40"/>
              <w:spacing w:after="0"/>
              <w:rPr>
                <w:sz w:val="20"/>
                <w:szCs w:val="20"/>
                <w:color w:val="auto"/>
              </w:rPr>
            </w:pPr>
            <w:r>
              <w:rPr>
                <w:rFonts w:ascii="Arial" w:cs="Arial" w:eastAsia="Arial" w:hAnsi="Arial"/>
                <w:sz w:val="10"/>
                <w:szCs w:val="10"/>
                <w:color w:val="auto"/>
              </w:rPr>
              <w:t>8.74%/0.00%</w:t>
            </w:r>
          </w:p>
        </w:tc>
        <w:tc>
          <w:tcPr>
            <w:tcW w:w="640" w:type="dxa"/>
            <w:vAlign w:val="bottom"/>
          </w:tcPr>
          <w:p>
            <w:pPr>
              <w:ind w:left="100"/>
              <w:spacing w:after="0"/>
              <w:rPr>
                <w:sz w:val="20"/>
                <w:szCs w:val="20"/>
                <w:color w:val="auto"/>
              </w:rPr>
            </w:pPr>
            <w:r>
              <w:rPr>
                <w:rFonts w:ascii="Arial" w:cs="Arial" w:eastAsia="Arial" w:hAnsi="Arial"/>
                <w:sz w:val="10"/>
                <w:szCs w:val="10"/>
                <w:color w:val="auto"/>
              </w:rPr>
              <w:t>12/8/2025</w:t>
            </w:r>
          </w:p>
        </w:tc>
        <w:tc>
          <w:tcPr>
            <w:tcW w:w="620" w:type="dxa"/>
            <w:vAlign w:val="bottom"/>
          </w:tcPr>
          <w:p>
            <w:pPr>
              <w:ind w:left="100"/>
              <w:spacing w:after="0"/>
              <w:rPr>
                <w:sz w:val="20"/>
                <w:szCs w:val="20"/>
                <w:color w:val="auto"/>
              </w:rPr>
            </w:pPr>
            <w:r>
              <w:rPr>
                <w:rFonts w:ascii="Arial" w:cs="Arial" w:eastAsia="Arial" w:hAnsi="Arial"/>
                <w:sz w:val="10"/>
                <w:szCs w:val="10"/>
                <w:color w:val="auto"/>
                <w:w w:val="99"/>
              </w:rPr>
              <w:t>11/24/2030</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6,400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6,325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6,325</w:t>
            </w:r>
          </w:p>
        </w:tc>
        <w:tc>
          <w:tcPr>
            <w:tcW w:w="0" w:type="dxa"/>
            <w:vAlign w:val="bottom"/>
          </w:tcPr>
          <w:p>
            <w:pPr>
              <w:spacing w:after="0"/>
              <w:rPr>
                <w:sz w:val="1"/>
                <w:szCs w:val="1"/>
                <w:color w:val="auto"/>
              </w:rPr>
            </w:pPr>
          </w:p>
        </w:tc>
      </w:tr>
      <w:tr>
        <w:trPr>
          <w:trHeight w:val="6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11/24/2025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800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799</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7,125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7,124</w:t>
            </w:r>
          </w:p>
        </w:tc>
        <w:tc>
          <w:tcPr>
            <w:tcW w:w="0" w:type="dxa"/>
            <w:vAlign w:val="bottom"/>
          </w:tcPr>
          <w:p>
            <w:pPr>
              <w:spacing w:after="0"/>
              <w:rPr>
                <w:sz w:val="1"/>
                <w:szCs w:val="1"/>
                <w:color w:val="auto"/>
              </w:rPr>
            </w:pPr>
          </w:p>
        </w:tc>
      </w:tr>
      <w:tr>
        <w:trPr>
          <w:trHeight w:val="62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0.00%/15.00%</w:t>
            </w:r>
          </w:p>
        </w:tc>
        <w:tc>
          <w:tcPr>
            <w:tcW w:w="640" w:type="dxa"/>
            <w:vAlign w:val="bottom"/>
          </w:tcPr>
          <w:p>
            <w:pPr>
              <w:ind w:left="100"/>
              <w:spacing w:after="0"/>
              <w:rPr>
                <w:sz w:val="20"/>
                <w:szCs w:val="20"/>
                <w:color w:val="auto"/>
              </w:rPr>
            </w:pPr>
            <w:r>
              <w:rPr>
                <w:rFonts w:ascii="Arial" w:cs="Arial" w:eastAsia="Arial" w:hAnsi="Arial"/>
                <w:sz w:val="10"/>
                <w:szCs w:val="10"/>
                <w:color w:val="auto"/>
              </w:rPr>
              <w:t>3/2/2020</w:t>
            </w:r>
          </w:p>
        </w:tc>
        <w:tc>
          <w:tcPr>
            <w:tcW w:w="620" w:type="dxa"/>
            <w:vAlign w:val="bottom"/>
          </w:tcPr>
          <w:p>
            <w:pPr>
              <w:ind w:left="100"/>
              <w:spacing w:after="0"/>
              <w:rPr>
                <w:sz w:val="20"/>
                <w:szCs w:val="20"/>
                <w:color w:val="auto"/>
              </w:rPr>
            </w:pPr>
            <w:r>
              <w:rPr>
                <w:rFonts w:ascii="Arial" w:cs="Arial" w:eastAsia="Arial" w:hAnsi="Arial"/>
                <w:sz w:val="10"/>
                <w:szCs w:val="10"/>
                <w:color w:val="auto"/>
              </w:rPr>
              <w:t>9/30/2027</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18,622</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17,418</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15,826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7/21/2017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637</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11/24/2021</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22</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8/3/2023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45</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18,122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15,826</w:t>
            </w:r>
          </w:p>
        </w:tc>
        <w:tc>
          <w:tcPr>
            <w:tcW w:w="0" w:type="dxa"/>
            <w:vAlign w:val="bottom"/>
          </w:tcPr>
          <w:p>
            <w:pPr>
              <w:spacing w:after="0"/>
              <w:rPr>
                <w:sz w:val="1"/>
                <w:szCs w:val="1"/>
                <w:color w:val="auto"/>
              </w:rPr>
            </w:pPr>
          </w:p>
        </w:tc>
      </w:tr>
      <w:tr>
        <w:trPr>
          <w:trHeight w:val="629"/>
        </w:trPr>
        <w:tc>
          <w:tcPr>
            <w:tcW w:w="940" w:type="dxa"/>
            <w:vAlign w:val="bottom"/>
          </w:tcPr>
          <w:p>
            <w:pPr>
              <w:spacing w:after="0"/>
              <w:rPr>
                <w:sz w:val="20"/>
                <w:szCs w:val="20"/>
                <w:color w:val="auto"/>
              </w:rPr>
            </w:pPr>
            <w:r>
              <w:rPr>
                <w:rFonts w:ascii="Arial" w:cs="Arial" w:eastAsia="Arial" w:hAnsi="Arial"/>
                <w:sz w:val="10"/>
                <w:szCs w:val="10"/>
                <w:color w:val="auto"/>
                <w:w w:val="95"/>
              </w:rPr>
              <w:t>(S + 6.75%)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10.68%/0.00%</w:t>
            </w:r>
          </w:p>
        </w:tc>
        <w:tc>
          <w:tcPr>
            <w:tcW w:w="640" w:type="dxa"/>
            <w:vAlign w:val="bottom"/>
          </w:tcPr>
          <w:p>
            <w:pPr>
              <w:ind w:left="100"/>
              <w:spacing w:after="0"/>
              <w:rPr>
                <w:sz w:val="20"/>
                <w:szCs w:val="20"/>
                <w:color w:val="auto"/>
              </w:rPr>
            </w:pPr>
            <w:r>
              <w:rPr>
                <w:rFonts w:ascii="Arial" w:cs="Arial" w:eastAsia="Arial" w:hAnsi="Arial"/>
                <w:sz w:val="10"/>
                <w:szCs w:val="10"/>
                <w:color w:val="auto"/>
              </w:rPr>
              <w:t>6/28/2021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22,218</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22,192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21,617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+ 6.75%) / (1.00%)</w:t>
            </w:r>
          </w:p>
        </w:tc>
        <w:tc>
          <w:tcPr>
            <w:tcW w:w="720" w:type="dxa"/>
            <w:vAlign w:val="bottom"/>
          </w:tcPr>
          <w:p>
            <w:pPr>
              <w:ind w:left="40"/>
              <w:spacing w:after="0"/>
              <w:rPr>
                <w:sz w:val="20"/>
                <w:szCs w:val="20"/>
                <w:color w:val="auto"/>
              </w:rPr>
            </w:pPr>
            <w:r>
              <w:rPr>
                <w:rFonts w:ascii="Arial" w:cs="Arial" w:eastAsia="Arial" w:hAnsi="Arial"/>
                <w:sz w:val="10"/>
                <w:szCs w:val="10"/>
                <w:color w:val="auto"/>
              </w:rPr>
              <w:t>8.18%/0.00%</w:t>
            </w:r>
          </w:p>
        </w:tc>
        <w:tc>
          <w:tcPr>
            <w:tcW w:w="640" w:type="dxa"/>
            <w:vAlign w:val="bottom"/>
          </w:tcPr>
          <w:p>
            <w:pPr>
              <w:ind w:left="100"/>
              <w:spacing w:after="0"/>
              <w:rPr>
                <w:sz w:val="20"/>
                <w:szCs w:val="20"/>
                <w:color w:val="auto"/>
              </w:rPr>
            </w:pPr>
            <w:r>
              <w:rPr>
                <w:rFonts w:ascii="Arial" w:cs="Arial" w:eastAsia="Arial" w:hAnsi="Arial"/>
                <w:sz w:val="10"/>
                <w:szCs w:val="10"/>
                <w:color w:val="auto"/>
              </w:rPr>
              <w:t>6/28/2021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330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330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330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15.25%/0.00%</w:t>
            </w:r>
          </w:p>
        </w:tc>
        <w:tc>
          <w:tcPr>
            <w:tcW w:w="640" w:type="dxa"/>
            <w:vAlign w:val="bottom"/>
          </w:tcPr>
          <w:p>
            <w:pPr>
              <w:ind w:left="100"/>
              <w:spacing w:after="0"/>
              <w:rPr>
                <w:sz w:val="20"/>
                <w:szCs w:val="20"/>
                <w:color w:val="auto"/>
              </w:rPr>
            </w:pPr>
            <w:r>
              <w:rPr>
                <w:rFonts w:ascii="Arial" w:cs="Arial" w:eastAsia="Arial" w:hAnsi="Arial"/>
                <w:sz w:val="10"/>
                <w:szCs w:val="10"/>
                <w:color w:val="auto"/>
              </w:rPr>
              <w:t>3/28/2024</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5,864</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5,864</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11,997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5/31/2018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500</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8/6/2019</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250</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11/2/2020</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171</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12/29/2021</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97</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11/27/2024</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52</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-8354060</wp:posOffset>
            </wp:positionV>
            <wp:extent cx="5967730" cy="8168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7730" cy="816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16 </w:t>
      </w:r>
      <w:r>
        <w:rPr>
          <w:rFonts w:ascii="Arial" w:cs="Arial" w:eastAsia="Arial" w:hAnsi="Arial"/>
          <w:sz w:val="14"/>
          <w:szCs w:val="14"/>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hanging="70"/>
        <w:spacing w:after="0"/>
        <w:tabs>
          <w:tab w:leader="none" w:pos="120" w:val="left"/>
        </w:tabs>
        <w:numPr>
          <w:ilvl w:val="0"/>
          <w:numId w:val="8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40"/>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hanging="70"/>
        <w:spacing w:after="0"/>
        <w:tabs>
          <w:tab w:leader="none" w:pos="120" w:val="left"/>
        </w:tabs>
        <w:numPr>
          <w:ilvl w:val="0"/>
          <w:numId w:val="8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82" w:lineRule="exact"/>
        <w:rPr>
          <w:rFonts w:ascii="Arial" w:cs="Arial" w:eastAsia="Arial" w:hAnsi="Arial"/>
          <w:sz w:val="7"/>
          <w:szCs w:val="7"/>
          <w:color w:val="auto"/>
        </w:rPr>
      </w:pPr>
    </w:p>
    <w:p>
      <w:pPr>
        <w:ind w:left="40"/>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35" w:lineRule="exact"/>
        <w:rPr>
          <w:rFonts w:ascii="Arial" w:cs="Arial" w:eastAsia="Arial" w:hAnsi="Arial"/>
          <w:sz w:val="7"/>
          <w:szCs w:val="7"/>
          <w:color w:val="auto"/>
        </w:rPr>
      </w:pPr>
    </w:p>
    <w:p>
      <w:pPr>
        <w:ind w:left="40"/>
        <w:spacing w:after="0"/>
        <w:rPr>
          <w:rFonts w:ascii="Arial" w:cs="Arial" w:eastAsia="Arial" w:hAnsi="Arial"/>
          <w:sz w:val="7"/>
          <w:szCs w:val="7"/>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3099" w:lineRule="exact"/>
        <w:rPr>
          <w:sz w:val="20"/>
          <w:szCs w:val="20"/>
          <w:color w:val="auto"/>
        </w:rPr>
      </w:pPr>
    </w:p>
    <w:p>
      <w:pPr>
        <w:sectPr>
          <w:pgSz w:w="11900" w:h="16838" w:orient="portrait"/>
          <w:cols w:equalWidth="0" w:num="3">
            <w:col w:w="3560" w:space="460"/>
            <w:col w:w="4640" w:space="520"/>
            <w:col w:w="200"/>
          </w:cols>
          <w:pgMar w:left="1260" w:top="1161" w:right="1266" w:bottom="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8</w:t>
      </w:r>
    </w:p>
    <w:p>
      <w:pPr>
        <w:sectPr>
          <w:pgSz w:w="11900" w:h="16838" w:orient="portrait"/>
          <w:cols w:equalWidth="0" w:num="1">
            <w:col w:w="9380"/>
          </w:cols>
          <w:pgMar w:left="1260" w:top="1161" w:right="1266" w:bottom="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252"/>
        </w:trPr>
        <w:tc>
          <w:tcPr>
            <w:tcW w:w="3580" w:type="dxa"/>
            <w:vAlign w:val="bottom"/>
            <w:shd w:val="clear" w:color="auto" w:fill="CFF0FC"/>
          </w:tcPr>
          <w:p>
            <w:pPr>
              <w:ind w:left="20"/>
              <w:spacing w:after="0"/>
              <w:rPr>
                <w:sz w:val="20"/>
                <w:szCs w:val="20"/>
                <w:color w:val="auto"/>
              </w:rPr>
            </w:pPr>
            <w:r>
              <w:rPr>
                <w:rFonts w:ascii="Arial" w:cs="Arial" w:eastAsia="Arial" w:hAnsi="Arial"/>
                <w:sz w:val="10"/>
                <w:szCs w:val="10"/>
                <w:color w:val="auto"/>
              </w:rPr>
              <w:t>Preferred Equity (312 units) (h)</w:t>
            </w:r>
          </w:p>
        </w:tc>
        <w:tc>
          <w:tcPr>
            <w:tcW w:w="3420" w:type="dxa"/>
            <w:vAlign w:val="bottom"/>
            <w:shd w:val="clear" w:color="auto" w:fill="CFF0FC"/>
          </w:tcPr>
          <w:p>
            <w:pPr>
              <w:jc w:val="right"/>
              <w:ind w:right="730"/>
              <w:spacing w:after="0"/>
              <w:rPr>
                <w:sz w:val="20"/>
                <w:szCs w:val="20"/>
                <w:color w:val="auto"/>
              </w:rPr>
            </w:pPr>
            <w:r>
              <w:rPr>
                <w:rFonts w:ascii="Arial" w:cs="Arial" w:eastAsia="Arial" w:hAnsi="Arial"/>
                <w:sz w:val="10"/>
                <w:szCs w:val="10"/>
                <w:color w:val="auto"/>
              </w:rPr>
              <w:t>12/30/2024</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rPr>
              <w:t>312</w:t>
            </w:r>
          </w:p>
        </w:tc>
        <w:tc>
          <w:tcPr>
            <w:tcW w:w="740" w:type="dxa"/>
            <w:vAlign w:val="bottom"/>
            <w:vMerge w:val="restart"/>
            <w:shd w:val="clear" w:color="auto" w:fill="CFF0FC"/>
          </w:tcPr>
          <w:p>
            <w:pPr>
              <w:jc w:val="right"/>
              <w:ind w:right="230"/>
              <w:spacing w:after="0"/>
              <w:rPr>
                <w:sz w:val="20"/>
                <w:szCs w:val="20"/>
                <w:color w:val="auto"/>
              </w:rPr>
            </w:pPr>
            <w:r>
              <w:rPr>
                <w:rFonts w:ascii="Arial" w:cs="Arial" w:eastAsia="Arial" w:hAnsi="Arial"/>
                <w:sz w:val="10"/>
                <w:szCs w:val="10"/>
                <w:color w:val="auto"/>
              </w:rPr>
              <w:t>—</w:t>
            </w:r>
          </w:p>
        </w:tc>
        <w:tc>
          <w:tcPr>
            <w:tcW w:w="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3580" w:type="dxa"/>
            <w:vAlign w:val="bottom"/>
            <w:tcBorders>
              <w:bottom w:val="single" w:sz="8" w:color="CFF0FC"/>
            </w:tcBorders>
            <w:shd w:val="clear" w:color="auto" w:fill="CFF0FC"/>
          </w:tcPr>
          <w:p>
            <w:pPr>
              <w:spacing w:after="0"/>
              <w:rPr>
                <w:sz w:val="3"/>
                <w:szCs w:val="3"/>
                <w:color w:val="auto"/>
              </w:rPr>
            </w:pPr>
          </w:p>
        </w:tc>
        <w:tc>
          <w:tcPr>
            <w:tcW w:w="3420" w:type="dxa"/>
            <w:vAlign w:val="bottom"/>
            <w:tcBorders>
              <w:bottom w:val="single" w:sz="8" w:color="CFF0FC"/>
            </w:tcBorders>
            <w:shd w:val="clear" w:color="auto" w:fill="CFF0FC"/>
          </w:tcPr>
          <w:p>
            <w:pPr>
              <w:spacing w:after="0"/>
              <w:rPr>
                <w:sz w:val="3"/>
                <w:szCs w:val="3"/>
                <w:color w:val="auto"/>
              </w:rPr>
            </w:pPr>
          </w:p>
        </w:tc>
        <w:tc>
          <w:tcPr>
            <w:tcW w:w="1200" w:type="dxa"/>
            <w:vAlign w:val="bottom"/>
            <w:tcBorders>
              <w:bottom w:val="single" w:sz="8" w:color="CFF0FC"/>
            </w:tcBorders>
            <w:shd w:val="clear" w:color="auto" w:fill="CFF0FC"/>
          </w:tcPr>
          <w:p>
            <w:pPr>
              <w:spacing w:after="0"/>
              <w:rPr>
                <w:sz w:val="3"/>
                <w:szCs w:val="3"/>
                <w:color w:val="auto"/>
              </w:rPr>
            </w:pPr>
          </w:p>
        </w:tc>
        <w:tc>
          <w:tcPr>
            <w:tcW w:w="740" w:type="dxa"/>
            <w:vAlign w:val="bottom"/>
            <w:tcBorders>
              <w:bottom w:val="single" w:sz="8" w:color="CFF0FC"/>
            </w:tcBorders>
            <w:vMerge w:val="continue"/>
            <w:shd w:val="clear" w:color="auto" w:fill="CFF0FC"/>
          </w:tcPr>
          <w:p>
            <w:pPr>
              <w:spacing w:after="0"/>
              <w:rPr>
                <w:sz w:val="3"/>
                <w:szCs w:val="3"/>
                <w:color w:val="auto"/>
              </w:rPr>
            </w:pPr>
          </w:p>
        </w:tc>
        <w:tc>
          <w:tcPr>
            <w:tcW w:w="460" w:type="dxa"/>
            <w:vAlign w:val="bottom"/>
            <w:tcBorders>
              <w:bottom w:val="single" w:sz="8" w:color="CFF0FC"/>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3580" w:type="dxa"/>
            <w:vAlign w:val="bottom"/>
          </w:tcPr>
          <w:p>
            <w:pPr>
              <w:ind w:left="20"/>
              <w:spacing w:after="0"/>
              <w:rPr>
                <w:sz w:val="20"/>
                <w:szCs w:val="20"/>
                <w:color w:val="auto"/>
              </w:rPr>
            </w:pPr>
            <w:r>
              <w:rPr>
                <w:rFonts w:ascii="Arial" w:cs="Arial" w:eastAsia="Arial" w:hAnsi="Arial"/>
                <w:sz w:val="10"/>
                <w:szCs w:val="10"/>
                <w:color w:val="auto"/>
              </w:rPr>
              <w:t>Common Equity (1,405 units) (h)</w:t>
            </w:r>
          </w:p>
        </w:tc>
        <w:tc>
          <w:tcPr>
            <w:tcW w:w="3420" w:type="dxa"/>
            <w:vAlign w:val="bottom"/>
          </w:tcPr>
          <w:p>
            <w:pPr>
              <w:jc w:val="right"/>
              <w:ind w:right="730"/>
              <w:spacing w:after="0"/>
              <w:rPr>
                <w:sz w:val="20"/>
                <w:szCs w:val="20"/>
                <w:color w:val="auto"/>
              </w:rPr>
            </w:pPr>
            <w:r>
              <w:rPr>
                <w:rFonts w:ascii="Arial" w:cs="Arial" w:eastAsia="Arial" w:hAnsi="Arial"/>
                <w:sz w:val="10"/>
                <w:szCs w:val="10"/>
                <w:color w:val="auto"/>
              </w:rPr>
              <w:t>12/30/2024</w:t>
            </w:r>
          </w:p>
        </w:tc>
        <w:tc>
          <w:tcPr>
            <w:tcW w:w="1200" w:type="dxa"/>
            <w:vAlign w:val="bottom"/>
            <w:vMerge w:val="restart"/>
          </w:tcPr>
          <w:p>
            <w:pPr>
              <w:jc w:val="right"/>
              <w:ind w:right="110"/>
              <w:spacing w:after="0"/>
              <w:rPr>
                <w:sz w:val="20"/>
                <w:szCs w:val="20"/>
                <w:color w:val="auto"/>
              </w:rPr>
            </w:pPr>
            <w:r>
              <w:rPr>
                <w:rFonts w:ascii="Arial" w:cs="Arial" w:eastAsia="Arial" w:hAnsi="Arial"/>
                <w:sz w:val="10"/>
                <w:szCs w:val="10"/>
                <w:color w:val="auto"/>
              </w:rPr>
              <w:t>—</w:t>
            </w:r>
          </w:p>
        </w:tc>
        <w:tc>
          <w:tcPr>
            <w:tcW w:w="740" w:type="dxa"/>
            <w:vAlign w:val="bottom"/>
            <w:vMerge w:val="restart"/>
          </w:tcPr>
          <w:p>
            <w:pPr>
              <w:jc w:val="right"/>
              <w:ind w:right="23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3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3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3"/>
        </w:trPr>
        <w:tc>
          <w:tcPr>
            <w:tcW w:w="3580" w:type="dxa"/>
            <w:vAlign w:val="bottom"/>
            <w:shd w:val="clear" w:color="auto" w:fill="CFF0FC"/>
          </w:tcPr>
          <w:p>
            <w:pPr>
              <w:spacing w:after="0"/>
              <w:rPr>
                <w:sz w:val="24"/>
                <w:szCs w:val="24"/>
                <w:color w:val="auto"/>
              </w:rPr>
            </w:pPr>
          </w:p>
        </w:tc>
        <w:tc>
          <w:tcPr>
            <w:tcW w:w="342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rPr>
              <w:t>29,768</w:t>
            </w:r>
          </w:p>
        </w:tc>
        <w:tc>
          <w:tcPr>
            <w:tcW w:w="7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rPr>
              <w:t>33,944</w:t>
            </w: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 xml:space="preserve">5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1"/>
        </w:trPr>
        <w:tc>
          <w:tcPr>
            <w:tcW w:w="358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-205105</wp:posOffset>
            </wp:positionV>
            <wp:extent cx="27305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3050" cy="635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-205105</wp:posOffset>
            </wp:positionV>
            <wp:extent cx="27495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4955" cy="6350"/>
                    </a:xfrm>
                    <a:prstGeom prst="rect">
                      <a:avLst/>
                    </a:prstGeom>
                    <a:noFill/>
                  </pic:spPr>
                </pic:pic>
              </a:graphicData>
            </a:graphic>
          </wp:anchor>
        </w:drawing>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8</w:t>
      </w:r>
    </w:p>
    <w:p>
      <w:pPr>
        <w:sectPr>
          <w:pgSz w:w="11900" w:h="16838" w:orient="portrait"/>
          <w:cols w:equalWidth="0" w:num="1">
            <w:col w:w="9400"/>
          </w:cols>
          <w:pgMar w:left="1260" w:top="1133" w:right="1246" w:bottom="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AmeriWater, LLC</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(af)</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(1,000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AMOpportunities,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(801,414 shares)</w:t>
      </w:r>
    </w:p>
    <w:p>
      <w:pPr>
        <w:spacing w:after="0" w:line="200" w:lineRule="exact"/>
        <w:rPr>
          <w:sz w:val="20"/>
          <w:szCs w:val="20"/>
          <w:color w:val="auto"/>
        </w:rPr>
      </w:pPr>
    </w:p>
    <w:p>
      <w:pPr>
        <w:spacing w:after="0" w:line="211" w:lineRule="exact"/>
        <w:rPr>
          <w:sz w:val="20"/>
          <w:szCs w:val="20"/>
          <w:color w:val="auto"/>
        </w:rPr>
      </w:pPr>
    </w:p>
    <w:p>
      <w:pPr>
        <w:ind w:left="20" w:hanging="32"/>
        <w:spacing w:after="0" w:line="557" w:lineRule="auto"/>
        <w:rPr>
          <w:sz w:val="20"/>
          <w:szCs w:val="20"/>
          <w:color w:val="auto"/>
        </w:rPr>
      </w:pPr>
      <w:r>
        <w:rPr>
          <w:rFonts w:ascii="Arial" w:cs="Arial" w:eastAsia="Arial" w:hAnsi="Arial"/>
          <w:sz w:val="10"/>
          <w:szCs w:val="10"/>
          <w:i w:val="1"/>
          <w:iCs w:val="1"/>
          <w:color w:val="auto"/>
        </w:rPr>
        <w:t xml:space="preserve">AOM Intermediate Holdco, LLC (dba AllOver Media) </w:t>
      </w:r>
      <w:r>
        <w:rPr>
          <w:rFonts w:ascii="Arial" w:cs="Arial" w:eastAsia="Arial" w:hAnsi="Arial"/>
          <w:sz w:val="10"/>
          <w:szCs w:val="10"/>
          <w:color w:val="auto"/>
        </w:rPr>
        <w:t>Information Technology Services</w:t>
      </w:r>
      <w:r>
        <w:rPr>
          <w:rFonts w:ascii="Arial" w:cs="Arial" w:eastAsia="Arial" w:hAnsi="Arial"/>
          <w:sz w:val="10"/>
          <w:szCs w:val="10"/>
          <w:i w:val="1"/>
          <w:iCs w:val="1"/>
          <w:color w:val="auto"/>
        </w:rPr>
        <w:t xml:space="preserve"> </w:t>
      </w:r>
      <w:r>
        <w:rPr>
          <w:rFonts w:ascii="Arial" w:cs="Arial" w:eastAsia="Arial" w:hAnsi="Arial"/>
          <w:sz w:val="10"/>
          <w:szCs w:val="10"/>
          <w:color w:val="auto"/>
        </w:rPr>
        <w:t>Common Equity (1,232 units) (h)</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APM Intermediate Holdings, LLC (dba Artistic Paver</w:t>
      </w:r>
    </w:p>
    <w:p>
      <w:pPr>
        <w:spacing w:after="0" w:line="3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Manufacturing, Inc.)</w:t>
      </w:r>
      <w:r>
        <w:rPr>
          <w:sz w:val="20"/>
          <w:szCs w:val="20"/>
          <w:color w:val="auto"/>
        </w:rPr>
        <w:tab/>
      </w:r>
      <w:r>
        <w:rPr>
          <w:rFonts w:ascii="Arial" w:cs="Arial" w:eastAsia="Arial" w:hAnsi="Arial"/>
          <w:sz w:val="9"/>
          <w:szCs w:val="9"/>
          <w:color w:val="auto"/>
        </w:rPr>
        <w:t>Building Products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(ai)</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Auto CRM LLC (dba Dealer Holdings)</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(500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Axis Medical Technologies LLC (dba MoveMedical)</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($800 unfunded commitment) (x)</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(1,200,000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Bad Boy Mowers JV Acquisition, LLC</w:t>
      </w:r>
      <w:r>
        <w:rPr>
          <w:sz w:val="20"/>
          <w:szCs w:val="20"/>
          <w:color w:val="auto"/>
        </w:rPr>
        <w:tab/>
      </w:r>
      <w:r>
        <w:rPr>
          <w:rFonts w:ascii="Arial" w:cs="Arial" w:eastAsia="Arial" w:hAnsi="Arial"/>
          <w:sz w:val="9"/>
          <w:szCs w:val="9"/>
          <w:color w:val="auto"/>
        </w:rPr>
        <w:t>Consumer Products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(13,000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Barefoot Mosquito and Pest Control, LLC</w:t>
      </w:r>
      <w:r>
        <w:rPr>
          <w:sz w:val="20"/>
          <w:szCs w:val="20"/>
          <w:color w:val="auto"/>
        </w:rPr>
        <w:tab/>
      </w:r>
      <w:r>
        <w:rPr>
          <w:rFonts w:ascii="Arial" w:cs="Arial" w:eastAsia="Arial" w:hAnsi="Arial"/>
          <w:sz w:val="7"/>
          <w:szCs w:val="7"/>
          <w:color w:val="auto"/>
        </w:rPr>
        <w:t>Consumer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(k)(s)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(ba)</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(5,474 units) (h)</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(20,137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BCM One Group Holdings,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Bedford Precision Parts LLC</w:t>
      </w:r>
      <w:r>
        <w:rPr>
          <w:sz w:val="20"/>
          <w:szCs w:val="20"/>
          <w:color w:val="auto"/>
        </w:rPr>
        <w:tab/>
      </w:r>
      <w:r>
        <w:rPr>
          <w:rFonts w:ascii="Arial" w:cs="Arial" w:eastAsia="Arial" w:hAnsi="Arial"/>
          <w:sz w:val="9"/>
          <w:szCs w:val="9"/>
          <w:color w:val="auto"/>
        </w:rPr>
        <w:t>Specialty Distribution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(500,000 units) (h)</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Bobcat of Connecticut, LLC</w:t>
      </w:r>
      <w:r>
        <w:rPr>
          <w:sz w:val="20"/>
          <w:szCs w:val="20"/>
          <w:color w:val="auto"/>
        </w:rPr>
        <w:tab/>
      </w:r>
      <w:r>
        <w:rPr>
          <w:rFonts w:ascii="Arial" w:cs="Arial" w:eastAsia="Arial" w:hAnsi="Arial"/>
          <w:sz w:val="9"/>
          <w:szCs w:val="9"/>
          <w:color w:val="auto"/>
        </w:rPr>
        <w:t>Specialty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9.92%/0.00%</w:t>
            </w:r>
          </w:p>
        </w:tc>
        <w:tc>
          <w:tcPr>
            <w:tcW w:w="640" w:type="dxa"/>
            <w:vAlign w:val="bottom"/>
          </w:tcPr>
          <w:p>
            <w:pPr>
              <w:ind w:left="100"/>
              <w:spacing w:after="0"/>
              <w:rPr>
                <w:sz w:val="20"/>
                <w:szCs w:val="20"/>
                <w:color w:val="auto"/>
              </w:rPr>
            </w:pPr>
            <w:r>
              <w:rPr>
                <w:rFonts w:ascii="Arial" w:cs="Arial" w:eastAsia="Arial" w:hAnsi="Arial"/>
                <w:sz w:val="10"/>
                <w:szCs w:val="10"/>
                <w:color w:val="auto"/>
              </w:rPr>
              <w:t>7/8/2022</w:t>
            </w:r>
          </w:p>
        </w:tc>
        <w:tc>
          <w:tcPr>
            <w:tcW w:w="680" w:type="dxa"/>
            <w:vAlign w:val="bottom"/>
          </w:tcPr>
          <w:p>
            <w:pPr>
              <w:ind w:left="100"/>
              <w:spacing w:after="0"/>
              <w:rPr>
                <w:sz w:val="20"/>
                <w:szCs w:val="20"/>
                <w:color w:val="auto"/>
              </w:rPr>
            </w:pPr>
            <w:r>
              <w:rPr>
                <w:rFonts w:ascii="Arial" w:cs="Arial" w:eastAsia="Arial" w:hAnsi="Arial"/>
                <w:sz w:val="10"/>
                <w:szCs w:val="10"/>
                <w:color w:val="auto"/>
              </w:rPr>
              <w:t>7/8/2027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6,998</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6,983</w:t>
            </w:r>
          </w:p>
        </w:tc>
        <w:tc>
          <w:tcPr>
            <w:tcW w:w="420" w:type="dxa"/>
            <w:vAlign w:val="bottom"/>
          </w:tcPr>
          <w:p>
            <w:pPr>
              <w:jc w:val="right"/>
              <w:spacing w:after="0"/>
              <w:rPr>
                <w:sz w:val="20"/>
                <w:szCs w:val="20"/>
                <w:color w:val="auto"/>
              </w:rPr>
            </w:pPr>
            <w:r>
              <w:rPr>
                <w:rFonts w:ascii="Arial" w:cs="Arial" w:eastAsia="Arial" w:hAnsi="Arial"/>
                <w:sz w:val="10"/>
                <w:szCs w:val="10"/>
                <w:color w:val="auto"/>
              </w:rPr>
              <w:t>6,998</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7/8/2022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1,000</w:t>
            </w:r>
          </w:p>
        </w:tc>
        <w:tc>
          <w:tcPr>
            <w:tcW w:w="420" w:type="dxa"/>
            <w:vAlign w:val="bottom"/>
          </w:tcPr>
          <w:p>
            <w:pPr>
              <w:jc w:val="right"/>
              <w:spacing w:after="0"/>
              <w:rPr>
                <w:sz w:val="20"/>
                <w:szCs w:val="20"/>
                <w:color w:val="auto"/>
              </w:rPr>
            </w:pPr>
            <w:r>
              <w:rPr>
                <w:rFonts w:ascii="Arial" w:cs="Arial" w:eastAsia="Arial" w:hAnsi="Arial"/>
                <w:sz w:val="10"/>
                <w:szCs w:val="10"/>
                <w:color w:val="auto"/>
              </w:rPr>
              <w:t>2,223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7,983</w:t>
            </w:r>
          </w:p>
        </w:tc>
        <w:tc>
          <w:tcPr>
            <w:tcW w:w="420" w:type="dxa"/>
            <w:vAlign w:val="bottom"/>
          </w:tcPr>
          <w:p>
            <w:pPr>
              <w:jc w:val="right"/>
              <w:spacing w:after="0"/>
              <w:rPr>
                <w:sz w:val="20"/>
                <w:szCs w:val="20"/>
                <w:color w:val="auto"/>
              </w:rPr>
            </w:pPr>
            <w:r>
              <w:rPr>
                <w:rFonts w:ascii="Arial" w:cs="Arial" w:eastAsia="Arial" w:hAnsi="Arial"/>
                <w:sz w:val="10"/>
                <w:szCs w:val="10"/>
                <w:color w:val="auto"/>
              </w:rPr>
              <w:t>9,221</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12.50%/0.00%</w:t>
            </w:r>
          </w:p>
        </w:tc>
        <w:tc>
          <w:tcPr>
            <w:tcW w:w="640" w:type="dxa"/>
            <w:vAlign w:val="bottom"/>
          </w:tcPr>
          <w:p>
            <w:pPr>
              <w:ind w:left="100"/>
              <w:spacing w:after="0"/>
              <w:rPr>
                <w:sz w:val="20"/>
                <w:szCs w:val="20"/>
                <w:color w:val="auto"/>
              </w:rPr>
            </w:pPr>
            <w:r>
              <w:rPr>
                <w:rFonts w:ascii="Arial" w:cs="Arial" w:eastAsia="Arial" w:hAnsi="Arial"/>
                <w:sz w:val="10"/>
                <w:szCs w:val="10"/>
                <w:color w:val="auto"/>
              </w:rPr>
              <w:t>3/12/2025</w:t>
            </w:r>
          </w:p>
        </w:tc>
        <w:tc>
          <w:tcPr>
            <w:tcW w:w="680" w:type="dxa"/>
            <w:vAlign w:val="bottom"/>
          </w:tcPr>
          <w:p>
            <w:pPr>
              <w:ind w:left="100"/>
              <w:spacing w:after="0"/>
              <w:rPr>
                <w:sz w:val="20"/>
                <w:szCs w:val="20"/>
                <w:color w:val="auto"/>
              </w:rPr>
            </w:pPr>
            <w:r>
              <w:rPr>
                <w:rFonts w:ascii="Arial" w:cs="Arial" w:eastAsia="Arial" w:hAnsi="Arial"/>
                <w:sz w:val="10"/>
                <w:szCs w:val="10"/>
                <w:color w:val="auto"/>
              </w:rPr>
              <w:t>3/12/2029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10,000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9,957</w:t>
            </w:r>
          </w:p>
        </w:tc>
        <w:tc>
          <w:tcPr>
            <w:tcW w:w="420" w:type="dxa"/>
            <w:vAlign w:val="bottom"/>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3/17/2025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801</w:t>
            </w:r>
          </w:p>
        </w:tc>
        <w:tc>
          <w:tcPr>
            <w:tcW w:w="420" w:type="dxa"/>
            <w:vAlign w:val="bottom"/>
          </w:tcPr>
          <w:p>
            <w:pPr>
              <w:jc w:val="right"/>
              <w:spacing w:after="0"/>
              <w:rPr>
                <w:sz w:val="20"/>
                <w:szCs w:val="20"/>
                <w:color w:val="auto"/>
              </w:rPr>
            </w:pPr>
            <w:r>
              <w:rPr>
                <w:rFonts w:ascii="Arial" w:cs="Arial" w:eastAsia="Arial" w:hAnsi="Arial"/>
                <w:sz w:val="10"/>
                <w:szCs w:val="10"/>
                <w:color w:val="auto"/>
              </w:rPr>
              <w:t>852</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10,758</w:t>
            </w:r>
          </w:p>
        </w:tc>
        <w:tc>
          <w:tcPr>
            <w:tcW w:w="420" w:type="dxa"/>
            <w:vAlign w:val="bottom"/>
          </w:tcPr>
          <w:p>
            <w:pPr>
              <w:jc w:val="right"/>
              <w:spacing w:after="0"/>
              <w:rPr>
                <w:sz w:val="20"/>
                <w:szCs w:val="20"/>
                <w:color w:val="auto"/>
              </w:rPr>
            </w:pPr>
            <w:r>
              <w:rPr>
                <w:rFonts w:ascii="Arial" w:cs="Arial" w:eastAsia="Arial" w:hAnsi="Arial"/>
                <w:sz w:val="10"/>
                <w:szCs w:val="10"/>
                <w:color w:val="auto"/>
              </w:rPr>
              <w:t>10,852</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2/1/2022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1,372</w:t>
            </w:r>
          </w:p>
        </w:tc>
        <w:tc>
          <w:tcPr>
            <w:tcW w:w="420" w:type="dxa"/>
            <w:vAlign w:val="bottom"/>
          </w:tcPr>
          <w:p>
            <w:pPr>
              <w:jc w:val="right"/>
              <w:spacing w:after="0"/>
              <w:rPr>
                <w:sz w:val="20"/>
                <w:szCs w:val="20"/>
                <w:color w:val="auto"/>
              </w:rPr>
            </w:pPr>
            <w:r>
              <w:rPr>
                <w:rFonts w:ascii="Arial" w:cs="Arial" w:eastAsia="Arial" w:hAnsi="Arial"/>
                <w:sz w:val="10"/>
                <w:szCs w:val="10"/>
                <w:color w:val="auto"/>
              </w:rPr>
              <w:t>1,364</w:t>
            </w:r>
          </w:p>
        </w:tc>
        <w:tc>
          <w:tcPr>
            <w:tcW w:w="0" w:type="dxa"/>
            <w:vAlign w:val="bottom"/>
          </w:tcPr>
          <w:p>
            <w:pPr>
              <w:spacing w:after="0"/>
              <w:rPr>
                <w:sz w:val="1"/>
                <w:szCs w:val="1"/>
                <w:color w:val="auto"/>
              </w:rPr>
            </w:pPr>
          </w:p>
        </w:tc>
      </w:tr>
      <w:tr>
        <w:trPr>
          <w:trHeight w:val="793"/>
        </w:trPr>
        <w:tc>
          <w:tcPr>
            <w:tcW w:w="940" w:type="dxa"/>
            <w:vAlign w:val="bottom"/>
          </w:tcPr>
          <w:p>
            <w:pPr>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10.99%/0.00%</w:t>
            </w:r>
          </w:p>
        </w:tc>
        <w:tc>
          <w:tcPr>
            <w:tcW w:w="640" w:type="dxa"/>
            <w:vAlign w:val="bottom"/>
          </w:tcPr>
          <w:p>
            <w:pPr>
              <w:ind w:left="100"/>
              <w:spacing w:after="0"/>
              <w:rPr>
                <w:sz w:val="20"/>
                <w:szCs w:val="20"/>
                <w:color w:val="auto"/>
              </w:rPr>
            </w:pPr>
            <w:r>
              <w:rPr>
                <w:rFonts w:ascii="Arial" w:cs="Arial" w:eastAsia="Arial" w:hAnsi="Arial"/>
                <w:sz w:val="10"/>
                <w:szCs w:val="10"/>
                <w:color w:val="auto"/>
              </w:rPr>
              <w:t>11/8/2022</w:t>
            </w:r>
          </w:p>
        </w:tc>
        <w:tc>
          <w:tcPr>
            <w:tcW w:w="680" w:type="dxa"/>
            <w:vAlign w:val="bottom"/>
          </w:tcPr>
          <w:p>
            <w:pPr>
              <w:ind w:left="100"/>
              <w:spacing w:after="0"/>
              <w:rPr>
                <w:sz w:val="20"/>
                <w:szCs w:val="20"/>
                <w:color w:val="auto"/>
              </w:rPr>
            </w:pPr>
            <w:r>
              <w:rPr>
                <w:rFonts w:ascii="Arial" w:cs="Arial" w:eastAsia="Arial" w:hAnsi="Arial"/>
                <w:sz w:val="10"/>
                <w:szCs w:val="10"/>
                <w:color w:val="auto"/>
              </w:rPr>
              <w:t>11/8/2027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18,200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18,159</w:t>
            </w:r>
          </w:p>
        </w:tc>
        <w:tc>
          <w:tcPr>
            <w:tcW w:w="420" w:type="dxa"/>
            <w:vAlign w:val="bottom"/>
          </w:tcPr>
          <w:p>
            <w:pPr>
              <w:jc w:val="right"/>
              <w:spacing w:after="0"/>
              <w:rPr>
                <w:sz w:val="20"/>
                <w:szCs w:val="20"/>
                <w:color w:val="auto"/>
              </w:rPr>
            </w:pPr>
            <w:r>
              <w:rPr>
                <w:rFonts w:ascii="Arial" w:cs="Arial" w:eastAsia="Arial" w:hAnsi="Arial"/>
                <w:sz w:val="10"/>
                <w:szCs w:val="10"/>
                <w:color w:val="auto"/>
              </w:rPr>
              <w:t>18,200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10.00%/5.00%</w:t>
            </w:r>
          </w:p>
        </w:tc>
        <w:tc>
          <w:tcPr>
            <w:tcW w:w="640" w:type="dxa"/>
            <w:vAlign w:val="bottom"/>
          </w:tcPr>
          <w:p>
            <w:pPr>
              <w:ind w:left="100"/>
              <w:spacing w:after="0"/>
              <w:rPr>
                <w:sz w:val="20"/>
                <w:szCs w:val="20"/>
                <w:color w:val="auto"/>
              </w:rPr>
            </w:pPr>
            <w:r>
              <w:rPr>
                <w:rFonts w:ascii="Arial" w:cs="Arial" w:eastAsia="Arial" w:hAnsi="Arial"/>
                <w:sz w:val="10"/>
                <w:szCs w:val="10"/>
                <w:color w:val="auto"/>
              </w:rPr>
              <w:t>12/19/2025</w:t>
            </w:r>
          </w:p>
        </w:tc>
        <w:tc>
          <w:tcPr>
            <w:tcW w:w="680" w:type="dxa"/>
            <w:vAlign w:val="bottom"/>
          </w:tcPr>
          <w:p>
            <w:pPr>
              <w:ind w:left="100"/>
              <w:spacing w:after="0"/>
              <w:rPr>
                <w:sz w:val="20"/>
                <w:szCs w:val="20"/>
                <w:color w:val="auto"/>
              </w:rPr>
            </w:pPr>
            <w:r>
              <w:rPr>
                <w:rFonts w:ascii="Arial" w:cs="Arial" w:eastAsia="Arial" w:hAnsi="Arial"/>
                <w:sz w:val="10"/>
                <w:szCs w:val="10"/>
                <w:color w:val="auto"/>
              </w:rPr>
              <w:t>2/8/2028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2,505</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2,492</w:t>
            </w:r>
          </w:p>
        </w:tc>
        <w:tc>
          <w:tcPr>
            <w:tcW w:w="420" w:type="dxa"/>
            <w:vAlign w:val="bottom"/>
          </w:tcPr>
          <w:p>
            <w:pPr>
              <w:jc w:val="right"/>
              <w:spacing w:after="0"/>
              <w:rPr>
                <w:sz w:val="20"/>
                <w:szCs w:val="20"/>
                <w:color w:val="auto"/>
              </w:rPr>
            </w:pPr>
            <w:r>
              <w:rPr>
                <w:rFonts w:ascii="Arial" w:cs="Arial" w:eastAsia="Arial" w:hAnsi="Arial"/>
                <w:sz w:val="10"/>
                <w:szCs w:val="10"/>
                <w:color w:val="auto"/>
              </w:rPr>
              <w:t>2,492</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11/8/2022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1,200</w:t>
            </w:r>
          </w:p>
        </w:tc>
        <w:tc>
          <w:tcPr>
            <w:tcW w:w="420" w:type="dxa"/>
            <w:vAlign w:val="bottom"/>
          </w:tcPr>
          <w:p>
            <w:pPr>
              <w:jc w:val="right"/>
              <w:spacing w:after="0"/>
              <w:rPr>
                <w:sz w:val="20"/>
                <w:szCs w:val="20"/>
                <w:color w:val="auto"/>
              </w:rPr>
            </w:pPr>
            <w:r>
              <w:rPr>
                <w:rFonts w:ascii="Arial" w:cs="Arial" w:eastAsia="Arial" w:hAnsi="Arial"/>
                <w:sz w:val="10"/>
                <w:szCs w:val="10"/>
                <w:color w:val="auto"/>
              </w:rPr>
              <w:t>1,374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21,851</w:t>
            </w:r>
          </w:p>
        </w:tc>
        <w:tc>
          <w:tcPr>
            <w:tcW w:w="420" w:type="dxa"/>
            <w:vAlign w:val="bottom"/>
          </w:tcPr>
          <w:p>
            <w:pPr>
              <w:jc w:val="right"/>
              <w:spacing w:after="0"/>
              <w:rPr>
                <w:sz w:val="20"/>
                <w:szCs w:val="20"/>
                <w:color w:val="auto"/>
              </w:rPr>
            </w:pPr>
            <w:r>
              <w:rPr>
                <w:rFonts w:ascii="Arial" w:cs="Arial" w:eastAsia="Arial" w:hAnsi="Arial"/>
                <w:sz w:val="10"/>
                <w:szCs w:val="10"/>
                <w:color w:val="auto"/>
              </w:rPr>
              <w:t>22,066</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0.00%/14.50%</w:t>
            </w:r>
          </w:p>
        </w:tc>
        <w:tc>
          <w:tcPr>
            <w:tcW w:w="640" w:type="dxa"/>
            <w:vAlign w:val="bottom"/>
          </w:tcPr>
          <w:p>
            <w:pPr>
              <w:ind w:left="100"/>
              <w:spacing w:after="0"/>
              <w:rPr>
                <w:sz w:val="20"/>
                <w:szCs w:val="20"/>
                <w:color w:val="auto"/>
              </w:rPr>
            </w:pPr>
            <w:r>
              <w:rPr>
                <w:rFonts w:ascii="Arial" w:cs="Arial" w:eastAsia="Arial" w:hAnsi="Arial"/>
                <w:sz w:val="10"/>
                <w:szCs w:val="10"/>
                <w:color w:val="auto"/>
              </w:rPr>
              <w:t>10/1/2021</w:t>
            </w:r>
          </w:p>
        </w:tc>
        <w:tc>
          <w:tcPr>
            <w:tcW w:w="680" w:type="dxa"/>
            <w:vAlign w:val="bottom"/>
          </w:tcPr>
          <w:p>
            <w:pPr>
              <w:ind w:left="100"/>
              <w:spacing w:after="0"/>
              <w:rPr>
                <w:sz w:val="20"/>
                <w:szCs w:val="20"/>
                <w:color w:val="auto"/>
              </w:rPr>
            </w:pPr>
            <w:r>
              <w:rPr>
                <w:rFonts w:ascii="Arial" w:cs="Arial" w:eastAsia="Arial" w:hAnsi="Arial"/>
                <w:sz w:val="10"/>
                <w:szCs w:val="10"/>
                <w:color w:val="auto"/>
              </w:rPr>
              <w:t>12/31/2028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907</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906</w:t>
            </w:r>
          </w:p>
        </w:tc>
        <w:tc>
          <w:tcPr>
            <w:tcW w:w="420" w:type="dxa"/>
            <w:vAlign w:val="bottom"/>
          </w:tcPr>
          <w:p>
            <w:pPr>
              <w:jc w:val="right"/>
              <w:spacing w:after="0"/>
              <w:rPr>
                <w:sz w:val="20"/>
                <w:szCs w:val="20"/>
                <w:color w:val="auto"/>
              </w:rPr>
            </w:pPr>
            <w:r>
              <w:rPr>
                <w:rFonts w:ascii="Arial" w:cs="Arial" w:eastAsia="Arial" w:hAnsi="Arial"/>
                <w:sz w:val="10"/>
                <w:szCs w:val="10"/>
                <w:color w:val="auto"/>
              </w:rPr>
              <w:t>907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0.00%/14.50%</w:t>
            </w:r>
          </w:p>
        </w:tc>
        <w:tc>
          <w:tcPr>
            <w:tcW w:w="640" w:type="dxa"/>
            <w:vAlign w:val="bottom"/>
          </w:tcPr>
          <w:p>
            <w:pPr>
              <w:ind w:left="100"/>
              <w:spacing w:after="0"/>
              <w:rPr>
                <w:sz w:val="20"/>
                <w:szCs w:val="20"/>
                <w:color w:val="auto"/>
              </w:rPr>
            </w:pPr>
            <w:r>
              <w:rPr>
                <w:rFonts w:ascii="Arial" w:cs="Arial" w:eastAsia="Arial" w:hAnsi="Arial"/>
                <w:sz w:val="10"/>
                <w:szCs w:val="10"/>
                <w:color w:val="auto"/>
              </w:rPr>
              <w:t>12/30/2024</w:t>
            </w:r>
          </w:p>
        </w:tc>
        <w:tc>
          <w:tcPr>
            <w:tcW w:w="680" w:type="dxa"/>
            <w:vAlign w:val="bottom"/>
          </w:tcPr>
          <w:p>
            <w:pPr>
              <w:ind w:left="100"/>
              <w:spacing w:after="0"/>
              <w:rPr>
                <w:sz w:val="20"/>
                <w:szCs w:val="20"/>
                <w:color w:val="auto"/>
              </w:rPr>
            </w:pPr>
            <w:r>
              <w:rPr>
                <w:rFonts w:ascii="Arial" w:cs="Arial" w:eastAsia="Arial" w:hAnsi="Arial"/>
                <w:sz w:val="10"/>
                <w:szCs w:val="10"/>
                <w:color w:val="auto"/>
              </w:rPr>
              <w:t>12/31/2028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1,993</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1,993</w:t>
            </w:r>
          </w:p>
        </w:tc>
        <w:tc>
          <w:tcPr>
            <w:tcW w:w="420" w:type="dxa"/>
            <w:vAlign w:val="bottom"/>
          </w:tcPr>
          <w:p>
            <w:pPr>
              <w:jc w:val="right"/>
              <w:spacing w:after="0"/>
              <w:rPr>
                <w:sz w:val="20"/>
                <w:szCs w:val="20"/>
                <w:color w:val="auto"/>
              </w:rPr>
            </w:pPr>
            <w:r>
              <w:rPr>
                <w:rFonts w:ascii="Arial" w:cs="Arial" w:eastAsia="Arial" w:hAnsi="Arial"/>
                <w:sz w:val="10"/>
                <w:szCs w:val="10"/>
                <w:color w:val="auto"/>
              </w:rPr>
              <w:t>1,993</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10/1/2021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500</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3,399</w:t>
            </w:r>
          </w:p>
        </w:tc>
        <w:tc>
          <w:tcPr>
            <w:tcW w:w="420" w:type="dxa"/>
            <w:vAlign w:val="bottom"/>
          </w:tcPr>
          <w:p>
            <w:pPr>
              <w:jc w:val="right"/>
              <w:spacing w:after="0"/>
              <w:rPr>
                <w:sz w:val="20"/>
                <w:szCs w:val="20"/>
                <w:color w:val="auto"/>
              </w:rPr>
            </w:pPr>
            <w:r>
              <w:rPr>
                <w:rFonts w:ascii="Arial" w:cs="Arial" w:eastAsia="Arial" w:hAnsi="Arial"/>
                <w:sz w:val="10"/>
                <w:szCs w:val="10"/>
                <w:color w:val="auto"/>
              </w:rPr>
              <w:t>2,900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10.49%/0.00%</w:t>
            </w:r>
          </w:p>
        </w:tc>
        <w:tc>
          <w:tcPr>
            <w:tcW w:w="640" w:type="dxa"/>
            <w:vAlign w:val="bottom"/>
          </w:tcPr>
          <w:p>
            <w:pPr>
              <w:ind w:left="100"/>
              <w:spacing w:after="0"/>
              <w:rPr>
                <w:sz w:val="20"/>
                <w:szCs w:val="20"/>
                <w:color w:val="auto"/>
              </w:rPr>
            </w:pPr>
            <w:r>
              <w:rPr>
                <w:rFonts w:ascii="Arial" w:cs="Arial" w:eastAsia="Arial" w:hAnsi="Arial"/>
                <w:sz w:val="10"/>
                <w:szCs w:val="10"/>
                <w:color w:val="auto"/>
              </w:rPr>
              <w:t>10/24/2024</w:t>
            </w:r>
          </w:p>
        </w:tc>
        <w:tc>
          <w:tcPr>
            <w:tcW w:w="680" w:type="dxa"/>
            <w:vAlign w:val="bottom"/>
          </w:tcPr>
          <w:p>
            <w:pPr>
              <w:ind w:left="100"/>
              <w:spacing w:after="0"/>
              <w:rPr>
                <w:sz w:val="20"/>
                <w:szCs w:val="20"/>
                <w:color w:val="auto"/>
              </w:rPr>
            </w:pPr>
            <w:r>
              <w:rPr>
                <w:rFonts w:ascii="Arial" w:cs="Arial" w:eastAsia="Arial" w:hAnsi="Arial"/>
                <w:sz w:val="10"/>
                <w:szCs w:val="10"/>
                <w:color w:val="auto"/>
              </w:rPr>
              <w:t>10/24/2029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13,600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13,548</w:t>
            </w:r>
          </w:p>
        </w:tc>
        <w:tc>
          <w:tcPr>
            <w:tcW w:w="420" w:type="dxa"/>
            <w:vAlign w:val="bottom"/>
          </w:tcPr>
          <w:p>
            <w:pPr>
              <w:jc w:val="right"/>
              <w:spacing w:after="0"/>
              <w:rPr>
                <w:sz w:val="20"/>
                <w:szCs w:val="20"/>
                <w:color w:val="auto"/>
              </w:rPr>
            </w:pPr>
            <w:r>
              <w:rPr>
                <w:rFonts w:ascii="Arial" w:cs="Arial" w:eastAsia="Arial" w:hAnsi="Arial"/>
                <w:sz w:val="10"/>
                <w:szCs w:val="10"/>
                <w:color w:val="auto"/>
              </w:rPr>
              <w:t>13,600</w:t>
            </w:r>
          </w:p>
        </w:tc>
        <w:tc>
          <w:tcPr>
            <w:tcW w:w="0" w:type="dxa"/>
            <w:vAlign w:val="bottom"/>
          </w:tcPr>
          <w:p>
            <w:pPr>
              <w:spacing w:after="0"/>
              <w:rPr>
                <w:sz w:val="1"/>
                <w:szCs w:val="1"/>
                <w:color w:val="auto"/>
              </w:rPr>
            </w:pPr>
          </w:p>
        </w:tc>
      </w:tr>
      <w:tr>
        <w:trPr>
          <w:trHeight w:val="356"/>
        </w:trPr>
        <w:tc>
          <w:tcPr>
            <w:tcW w:w="940" w:type="dxa"/>
            <w:vAlign w:val="bottom"/>
          </w:tcPr>
          <w:p>
            <w:pPr>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10.49%/0.00%</w:t>
            </w:r>
          </w:p>
        </w:tc>
        <w:tc>
          <w:tcPr>
            <w:tcW w:w="640" w:type="dxa"/>
            <w:vAlign w:val="bottom"/>
          </w:tcPr>
          <w:p>
            <w:pPr>
              <w:ind w:left="100"/>
              <w:spacing w:after="0"/>
              <w:rPr>
                <w:sz w:val="20"/>
                <w:szCs w:val="20"/>
                <w:color w:val="auto"/>
              </w:rPr>
            </w:pPr>
            <w:r>
              <w:rPr>
                <w:rFonts w:ascii="Arial" w:cs="Arial" w:eastAsia="Arial" w:hAnsi="Arial"/>
                <w:sz w:val="10"/>
                <w:szCs w:val="10"/>
                <w:color w:val="auto"/>
              </w:rPr>
              <w:t>10/24/2024</w:t>
            </w:r>
          </w:p>
        </w:tc>
        <w:tc>
          <w:tcPr>
            <w:tcW w:w="680" w:type="dxa"/>
            <w:vAlign w:val="bottom"/>
          </w:tcPr>
          <w:p>
            <w:pPr>
              <w:ind w:left="100"/>
              <w:spacing w:after="0"/>
              <w:rPr>
                <w:sz w:val="20"/>
                <w:szCs w:val="20"/>
                <w:color w:val="auto"/>
              </w:rPr>
            </w:pPr>
            <w:r>
              <w:rPr>
                <w:rFonts w:ascii="Arial" w:cs="Arial" w:eastAsia="Arial" w:hAnsi="Arial"/>
                <w:sz w:val="10"/>
                <w:szCs w:val="10"/>
                <w:color w:val="auto"/>
              </w:rPr>
              <w:t>10/24/2029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0"/>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9"/>
                <w:szCs w:val="19"/>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10/25/2024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1,148</w:t>
            </w:r>
          </w:p>
        </w:tc>
        <w:tc>
          <w:tcPr>
            <w:tcW w:w="420" w:type="dxa"/>
            <w:vAlign w:val="bottom"/>
          </w:tcPr>
          <w:p>
            <w:pPr>
              <w:jc w:val="right"/>
              <w:spacing w:after="0"/>
              <w:rPr>
                <w:sz w:val="20"/>
                <w:szCs w:val="20"/>
                <w:color w:val="auto"/>
              </w:rPr>
            </w:pPr>
            <w:r>
              <w:rPr>
                <w:rFonts w:ascii="Arial" w:cs="Arial" w:eastAsia="Arial" w:hAnsi="Arial"/>
                <w:sz w:val="10"/>
                <w:szCs w:val="10"/>
                <w:color w:val="auto"/>
              </w:rPr>
              <w:t>1,258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14,693</w:t>
            </w:r>
          </w:p>
        </w:tc>
        <w:tc>
          <w:tcPr>
            <w:tcW w:w="420" w:type="dxa"/>
            <w:vAlign w:val="bottom"/>
          </w:tcPr>
          <w:p>
            <w:pPr>
              <w:jc w:val="right"/>
              <w:spacing w:after="0"/>
              <w:rPr>
                <w:sz w:val="20"/>
                <w:szCs w:val="20"/>
                <w:color w:val="auto"/>
              </w:rPr>
            </w:pPr>
            <w:r>
              <w:rPr>
                <w:rFonts w:ascii="Arial" w:cs="Arial" w:eastAsia="Arial" w:hAnsi="Arial"/>
                <w:sz w:val="10"/>
                <w:szCs w:val="10"/>
                <w:color w:val="auto"/>
              </w:rPr>
              <w:t>14,858</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+ 5.25%) / (0.75%)</w:t>
            </w:r>
          </w:p>
        </w:tc>
        <w:tc>
          <w:tcPr>
            <w:tcW w:w="720" w:type="dxa"/>
            <w:vAlign w:val="bottom"/>
          </w:tcPr>
          <w:p>
            <w:pPr>
              <w:ind w:left="40"/>
              <w:spacing w:after="0"/>
              <w:rPr>
                <w:sz w:val="20"/>
                <w:szCs w:val="20"/>
                <w:color w:val="auto"/>
              </w:rPr>
            </w:pPr>
            <w:r>
              <w:rPr>
                <w:rFonts w:ascii="Arial" w:cs="Arial" w:eastAsia="Arial" w:hAnsi="Arial"/>
                <w:sz w:val="10"/>
                <w:szCs w:val="10"/>
                <w:color w:val="auto"/>
              </w:rPr>
              <w:t>8.94%/0.00%</w:t>
            </w:r>
          </w:p>
        </w:tc>
        <w:tc>
          <w:tcPr>
            <w:tcW w:w="640" w:type="dxa"/>
            <w:vAlign w:val="bottom"/>
          </w:tcPr>
          <w:p>
            <w:pPr>
              <w:ind w:left="100"/>
              <w:spacing w:after="0"/>
              <w:rPr>
                <w:sz w:val="20"/>
                <w:szCs w:val="20"/>
                <w:color w:val="auto"/>
              </w:rPr>
            </w:pPr>
            <w:r>
              <w:rPr>
                <w:rFonts w:ascii="Arial" w:cs="Arial" w:eastAsia="Arial" w:hAnsi="Arial"/>
                <w:sz w:val="10"/>
                <w:szCs w:val="10"/>
                <w:color w:val="auto"/>
              </w:rPr>
              <w:t>12/12/2025</w:t>
            </w:r>
          </w:p>
        </w:tc>
        <w:tc>
          <w:tcPr>
            <w:tcW w:w="680" w:type="dxa"/>
            <w:vAlign w:val="bottom"/>
          </w:tcPr>
          <w:p>
            <w:pPr>
              <w:ind w:left="100"/>
              <w:spacing w:after="0"/>
              <w:rPr>
                <w:sz w:val="20"/>
                <w:szCs w:val="20"/>
                <w:color w:val="auto"/>
              </w:rPr>
            </w:pPr>
            <w:r>
              <w:rPr>
                <w:rFonts w:ascii="Arial" w:cs="Arial" w:eastAsia="Arial" w:hAnsi="Arial"/>
                <w:sz w:val="10"/>
                <w:szCs w:val="10"/>
                <w:color w:val="auto"/>
              </w:rPr>
              <w:t>11/9/2029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9,979</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9,930</w:t>
            </w:r>
          </w:p>
        </w:tc>
        <w:tc>
          <w:tcPr>
            <w:tcW w:w="420" w:type="dxa"/>
            <w:vAlign w:val="bottom"/>
          </w:tcPr>
          <w:p>
            <w:pPr>
              <w:jc w:val="right"/>
              <w:spacing w:after="0"/>
              <w:rPr>
                <w:sz w:val="20"/>
                <w:szCs w:val="20"/>
                <w:color w:val="auto"/>
              </w:rPr>
            </w:pPr>
            <w:r>
              <w:rPr>
                <w:rFonts w:ascii="Arial" w:cs="Arial" w:eastAsia="Arial" w:hAnsi="Arial"/>
                <w:sz w:val="10"/>
                <w:szCs w:val="10"/>
                <w:color w:val="auto"/>
              </w:rPr>
              <w:t>9,930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11/9/2023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1,300</w:t>
            </w:r>
          </w:p>
        </w:tc>
        <w:tc>
          <w:tcPr>
            <w:tcW w:w="420" w:type="dxa"/>
            <w:vAlign w:val="bottom"/>
          </w:tcPr>
          <w:p>
            <w:pPr>
              <w:jc w:val="right"/>
              <w:spacing w:after="0"/>
              <w:rPr>
                <w:sz w:val="20"/>
                <w:szCs w:val="20"/>
                <w:color w:val="auto"/>
              </w:rPr>
            </w:pPr>
            <w:r>
              <w:rPr>
                <w:rFonts w:ascii="Arial" w:cs="Arial" w:eastAsia="Arial" w:hAnsi="Arial"/>
                <w:sz w:val="10"/>
                <w:szCs w:val="10"/>
                <w:color w:val="auto"/>
              </w:rPr>
              <w:t>1,605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11,230</w:t>
            </w:r>
          </w:p>
        </w:tc>
        <w:tc>
          <w:tcPr>
            <w:tcW w:w="420" w:type="dxa"/>
            <w:vAlign w:val="bottom"/>
          </w:tcPr>
          <w:p>
            <w:pPr>
              <w:jc w:val="right"/>
              <w:spacing w:after="0"/>
              <w:rPr>
                <w:sz w:val="20"/>
                <w:szCs w:val="20"/>
                <w:color w:val="auto"/>
              </w:rPr>
            </w:pPr>
            <w:r>
              <w:rPr>
                <w:rFonts w:ascii="Arial" w:cs="Arial" w:eastAsia="Arial" w:hAnsi="Arial"/>
                <w:sz w:val="10"/>
                <w:szCs w:val="10"/>
                <w:color w:val="auto"/>
              </w:rPr>
              <w:t>11,535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+ 6.00%) / (2.00%)</w:t>
            </w:r>
          </w:p>
        </w:tc>
        <w:tc>
          <w:tcPr>
            <w:tcW w:w="720" w:type="dxa"/>
            <w:vAlign w:val="bottom"/>
          </w:tcPr>
          <w:p>
            <w:pPr>
              <w:ind w:left="40"/>
              <w:spacing w:after="0"/>
              <w:rPr>
                <w:sz w:val="20"/>
                <w:szCs w:val="20"/>
                <w:color w:val="auto"/>
              </w:rPr>
            </w:pPr>
            <w:r>
              <w:rPr>
                <w:rFonts w:ascii="Arial" w:cs="Arial" w:eastAsia="Arial" w:hAnsi="Arial"/>
                <w:sz w:val="10"/>
                <w:szCs w:val="10"/>
                <w:color w:val="auto"/>
              </w:rPr>
              <w:t>9.99%/0.00%</w:t>
            </w:r>
          </w:p>
        </w:tc>
        <w:tc>
          <w:tcPr>
            <w:tcW w:w="640" w:type="dxa"/>
            <w:vAlign w:val="bottom"/>
          </w:tcPr>
          <w:p>
            <w:pPr>
              <w:ind w:left="100"/>
              <w:spacing w:after="0"/>
              <w:rPr>
                <w:sz w:val="20"/>
                <w:szCs w:val="20"/>
                <w:color w:val="auto"/>
              </w:rPr>
            </w:pPr>
            <w:r>
              <w:rPr>
                <w:rFonts w:ascii="Arial" w:cs="Arial" w:eastAsia="Arial" w:hAnsi="Arial"/>
                <w:sz w:val="10"/>
                <w:szCs w:val="10"/>
                <w:color w:val="auto"/>
              </w:rPr>
              <w:t>11/27/2024</w:t>
            </w:r>
          </w:p>
        </w:tc>
        <w:tc>
          <w:tcPr>
            <w:tcW w:w="680" w:type="dxa"/>
            <w:vAlign w:val="bottom"/>
          </w:tcPr>
          <w:p>
            <w:pPr>
              <w:ind w:left="100"/>
              <w:spacing w:after="0"/>
              <w:rPr>
                <w:sz w:val="20"/>
                <w:szCs w:val="20"/>
                <w:color w:val="auto"/>
              </w:rPr>
            </w:pPr>
            <w:r>
              <w:rPr>
                <w:rFonts w:ascii="Arial" w:cs="Arial" w:eastAsia="Arial" w:hAnsi="Arial"/>
                <w:sz w:val="10"/>
                <w:szCs w:val="10"/>
                <w:color w:val="auto"/>
              </w:rPr>
              <w:t>12/22/2029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31,795</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31,777</w:t>
            </w:r>
          </w:p>
        </w:tc>
        <w:tc>
          <w:tcPr>
            <w:tcW w:w="420" w:type="dxa"/>
            <w:vAlign w:val="bottom"/>
          </w:tcPr>
          <w:p>
            <w:pPr>
              <w:jc w:val="right"/>
              <w:spacing w:after="0"/>
              <w:rPr>
                <w:sz w:val="20"/>
                <w:szCs w:val="20"/>
                <w:color w:val="auto"/>
              </w:rPr>
            </w:pPr>
            <w:r>
              <w:rPr>
                <w:rFonts w:ascii="Arial" w:cs="Arial" w:eastAsia="Arial" w:hAnsi="Arial"/>
                <w:sz w:val="10"/>
                <w:szCs w:val="10"/>
                <w:color w:val="auto"/>
              </w:rPr>
              <w:t>29,528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+ 6.00%) / (2.00%)</w:t>
            </w:r>
          </w:p>
        </w:tc>
        <w:tc>
          <w:tcPr>
            <w:tcW w:w="720" w:type="dxa"/>
            <w:vAlign w:val="bottom"/>
          </w:tcPr>
          <w:p>
            <w:pPr>
              <w:ind w:left="40"/>
              <w:spacing w:after="0"/>
              <w:rPr>
                <w:sz w:val="20"/>
                <w:szCs w:val="20"/>
                <w:color w:val="auto"/>
              </w:rPr>
            </w:pPr>
            <w:r>
              <w:rPr>
                <w:rFonts w:ascii="Arial" w:cs="Arial" w:eastAsia="Arial" w:hAnsi="Arial"/>
                <w:sz w:val="10"/>
                <w:szCs w:val="10"/>
                <w:color w:val="auto"/>
              </w:rPr>
              <w:t>7.24%/0.00%</w:t>
            </w:r>
          </w:p>
        </w:tc>
        <w:tc>
          <w:tcPr>
            <w:tcW w:w="640" w:type="dxa"/>
            <w:vAlign w:val="bottom"/>
          </w:tcPr>
          <w:p>
            <w:pPr>
              <w:ind w:left="100"/>
              <w:spacing w:after="0"/>
              <w:rPr>
                <w:sz w:val="20"/>
                <w:szCs w:val="20"/>
                <w:color w:val="auto"/>
              </w:rPr>
            </w:pPr>
            <w:r>
              <w:rPr>
                <w:rFonts w:ascii="Arial" w:cs="Arial" w:eastAsia="Arial" w:hAnsi="Arial"/>
                <w:sz w:val="10"/>
                <w:szCs w:val="10"/>
                <w:color w:val="auto"/>
              </w:rPr>
              <w:t>7/14/2025</w:t>
            </w:r>
          </w:p>
        </w:tc>
        <w:tc>
          <w:tcPr>
            <w:tcW w:w="680" w:type="dxa"/>
            <w:vAlign w:val="bottom"/>
          </w:tcPr>
          <w:p>
            <w:pPr>
              <w:ind w:left="100"/>
              <w:spacing w:after="0"/>
              <w:rPr>
                <w:sz w:val="20"/>
                <w:szCs w:val="20"/>
                <w:color w:val="auto"/>
              </w:rPr>
            </w:pPr>
            <w:r>
              <w:rPr>
                <w:rFonts w:ascii="Arial" w:cs="Arial" w:eastAsia="Arial" w:hAnsi="Arial"/>
                <w:sz w:val="10"/>
                <w:szCs w:val="10"/>
                <w:color w:val="auto"/>
              </w:rPr>
              <w:t>12/22/2029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w:t>
            </w:r>
          </w:p>
        </w:tc>
        <w:tc>
          <w:tcPr>
            <w:tcW w:w="42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12/22/2023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12/22/2023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2,013</w:t>
            </w:r>
          </w:p>
        </w:tc>
        <w:tc>
          <w:tcPr>
            <w:tcW w:w="420" w:type="dxa"/>
            <w:vAlign w:val="bottom"/>
          </w:tcPr>
          <w:p>
            <w:pPr>
              <w:jc w:val="right"/>
              <w:spacing w:after="0"/>
              <w:rPr>
                <w:sz w:val="20"/>
                <w:szCs w:val="20"/>
                <w:color w:val="auto"/>
              </w:rPr>
            </w:pPr>
            <w:r>
              <w:rPr>
                <w:rFonts w:ascii="Arial" w:cs="Arial" w:eastAsia="Arial" w:hAnsi="Arial"/>
                <w:sz w:val="10"/>
                <w:szCs w:val="10"/>
                <w:color w:val="auto"/>
              </w:rPr>
              <w:t>1,380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33,807</w:t>
            </w:r>
          </w:p>
        </w:tc>
        <w:tc>
          <w:tcPr>
            <w:tcW w:w="420" w:type="dxa"/>
            <w:vAlign w:val="bottom"/>
          </w:tcPr>
          <w:p>
            <w:pPr>
              <w:jc w:val="right"/>
              <w:spacing w:after="0"/>
              <w:rPr>
                <w:sz w:val="20"/>
                <w:szCs w:val="20"/>
                <w:color w:val="auto"/>
              </w:rPr>
            </w:pPr>
            <w:r>
              <w:rPr>
                <w:rFonts w:ascii="Arial" w:cs="Arial" w:eastAsia="Arial" w:hAnsi="Arial"/>
                <w:sz w:val="10"/>
                <w:szCs w:val="10"/>
                <w:color w:val="auto"/>
              </w:rPr>
              <w:t>30,913</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11.75%/0.00%</w:t>
            </w:r>
          </w:p>
        </w:tc>
        <w:tc>
          <w:tcPr>
            <w:tcW w:w="640" w:type="dxa"/>
            <w:vAlign w:val="bottom"/>
          </w:tcPr>
          <w:p>
            <w:pPr>
              <w:ind w:left="100"/>
              <w:spacing w:after="0"/>
              <w:rPr>
                <w:sz w:val="20"/>
                <w:szCs w:val="20"/>
                <w:color w:val="auto"/>
              </w:rPr>
            </w:pPr>
            <w:r>
              <w:rPr>
                <w:rFonts w:ascii="Arial" w:cs="Arial" w:eastAsia="Arial" w:hAnsi="Arial"/>
                <w:sz w:val="10"/>
                <w:szCs w:val="10"/>
                <w:color w:val="auto"/>
              </w:rPr>
              <w:t>11/17/2021</w:t>
            </w:r>
          </w:p>
        </w:tc>
        <w:tc>
          <w:tcPr>
            <w:tcW w:w="680" w:type="dxa"/>
            <w:vAlign w:val="bottom"/>
          </w:tcPr>
          <w:p>
            <w:pPr>
              <w:ind w:left="100"/>
              <w:spacing w:after="0"/>
              <w:rPr>
                <w:sz w:val="20"/>
                <w:szCs w:val="20"/>
                <w:color w:val="auto"/>
              </w:rPr>
            </w:pPr>
            <w:r>
              <w:rPr>
                <w:rFonts w:ascii="Arial" w:cs="Arial" w:eastAsia="Arial" w:hAnsi="Arial"/>
                <w:sz w:val="10"/>
                <w:szCs w:val="10"/>
                <w:color w:val="auto"/>
              </w:rPr>
              <w:t>11/17/2028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17,667</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17,588</w:t>
            </w:r>
          </w:p>
        </w:tc>
        <w:tc>
          <w:tcPr>
            <w:tcW w:w="420" w:type="dxa"/>
            <w:vAlign w:val="bottom"/>
          </w:tcPr>
          <w:p>
            <w:pPr>
              <w:jc w:val="right"/>
              <w:spacing w:after="0"/>
              <w:rPr>
                <w:sz w:val="20"/>
                <w:szCs w:val="20"/>
                <w:color w:val="auto"/>
              </w:rPr>
            </w:pPr>
            <w:r>
              <w:rPr>
                <w:rFonts w:ascii="Arial" w:cs="Arial" w:eastAsia="Arial" w:hAnsi="Arial"/>
                <w:sz w:val="10"/>
                <w:szCs w:val="10"/>
                <w:color w:val="auto"/>
              </w:rPr>
              <w:t>17,667</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3/12/2019</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478</w:t>
            </w:r>
          </w:p>
        </w:tc>
        <w:tc>
          <w:tcPr>
            <w:tcW w:w="420" w:type="dxa"/>
            <w:vAlign w:val="bottom"/>
          </w:tcPr>
          <w:p>
            <w:pPr>
              <w:jc w:val="right"/>
              <w:spacing w:after="0"/>
              <w:rPr>
                <w:sz w:val="20"/>
                <w:szCs w:val="20"/>
                <w:color w:val="auto"/>
              </w:rPr>
            </w:pPr>
            <w:r>
              <w:rPr>
                <w:rFonts w:ascii="Arial" w:cs="Arial" w:eastAsia="Arial" w:hAnsi="Arial"/>
                <w:sz w:val="10"/>
                <w:szCs w:val="10"/>
                <w:color w:val="auto"/>
              </w:rPr>
              <w:t>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-7037070</wp:posOffset>
            </wp:positionV>
            <wp:extent cx="5967730" cy="1993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-6638290</wp:posOffset>
            </wp:positionV>
            <wp:extent cx="5967730" cy="6783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7730" cy="6783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0"/>
        <w:spacing w:after="0"/>
        <w:tabs>
          <w:tab w:leader="none" w:pos="80" w:val="left"/>
        </w:tabs>
        <w:numPr>
          <w:ilvl w:val="0"/>
          <w:numId w:val="8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hanging="70"/>
        <w:spacing w:after="0"/>
        <w:tabs>
          <w:tab w:leader="none" w:pos="80" w:val="left"/>
        </w:tabs>
        <w:numPr>
          <w:ilvl w:val="0"/>
          <w:numId w:val="8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82"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0"/>
        <w:spacing w:after="0"/>
        <w:tabs>
          <w:tab w:leader="none" w:pos="80" w:val="left"/>
        </w:tabs>
        <w:numPr>
          <w:ilvl w:val="0"/>
          <w:numId w:val="84"/>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80" w:hanging="70"/>
        <w:spacing w:after="0"/>
        <w:tabs>
          <w:tab w:leader="none" w:pos="80" w:val="left"/>
        </w:tabs>
        <w:numPr>
          <w:ilvl w:val="0"/>
          <w:numId w:val="84"/>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hanging="70"/>
        <w:spacing w:after="0"/>
        <w:tabs>
          <w:tab w:leader="none" w:pos="80" w:val="left"/>
        </w:tabs>
        <w:numPr>
          <w:ilvl w:val="0"/>
          <w:numId w:val="85"/>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599" w:lineRule="exact"/>
        <w:rPr>
          <w:sz w:val="20"/>
          <w:szCs w:val="20"/>
          <w:color w:val="auto"/>
        </w:rPr>
      </w:pPr>
    </w:p>
    <w:p>
      <w:pPr>
        <w:sectPr>
          <w:pgSz w:w="11900" w:h="16838" w:orient="portrait"/>
          <w:cols w:equalWidth="0" w:num="3">
            <w:col w:w="3580" w:space="460"/>
            <w:col w:w="4620" w:space="560"/>
            <w:col w:w="16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8</w:t>
      </w:r>
    </w:p>
    <w:p>
      <w:pPr>
        <w:sectPr>
          <w:pgSz w:w="11900" w:h="16838" w:orient="portrait"/>
          <w:cols w:equalWidth="0" w:num="1">
            <w:col w:w="9380"/>
          </w:cols>
          <w:pgMar w:left="1260" w:top="1440" w:right="1266" w:bottom="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(bk)</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9.74%/0.00%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10/1/2025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10/1/2030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15,886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15,886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(1,000,000 LP Units) ($250 unfunded commitment)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10/1/2025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16,886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16,886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Brightmore Brands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Retail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400"/>
          </w:cols>
          <w:pgMar w:left="1260" w:top="1440" w:right="1246" w:bottom="0" w:gutter="0" w:footer="0" w:header="0"/>
          <w:type w:val="continuous"/>
        </w:sectPr>
      </w:pPr>
    </w:p>
    <w:bookmarkStart w:id="182" w:name="page183"/>
    <w:bookmarkEnd w:id="182"/>
    <w:p>
      <w:pPr>
        <w:spacing w:after="0" w:line="30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(j)(al)</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+ 5.38%) / (1.50%)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9.38%/0.00%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9/13/2022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9/9/2029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23,744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9/13/2022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1,736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(371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9/9/2024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25,457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26,450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Cardback Intermediate, LLC (dba Chargeback Gurus)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9400"/>
          </w:cols>
          <w:pgMar w:left="1260" w:top="1440" w:right="1246" w:bottom="0" w:gutter="0" w:footer="0" w:header="0"/>
          <w:type w:val="continuous"/>
        </w:sectPr>
      </w:pPr>
    </w:p>
    <w:bookmarkStart w:id="183" w:name="page184"/>
    <w:bookmarkEnd w:id="183"/>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(j)(bl)</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+ 5.50%) / (0.75%)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12/16/2025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12/16/2030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14,663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14,569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14,569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(495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8/10/2021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332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(495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8/10/2021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14,659</w:t>
      </w:r>
    </w:p>
    <w:p>
      <w:pPr>
        <w:sectPr>
          <w:pgSz w:w="11900" w:h="16838" w:orient="portrait"/>
          <w:cols w:equalWidth="0" w:num="1">
            <w:col w:w="9400"/>
          </w:cols>
          <w:pgMar w:left="1260" w:top="1147"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400"/>
          </w:cols>
          <w:pgMar w:left="1260" w:top="1147" w:right="1246" w:bottom="0" w:gutter="0" w:footer="0" w:header="0"/>
          <w:type w:val="continuous"/>
        </w:sectPr>
      </w:pPr>
    </w:p>
    <w:bookmarkStart w:id="184" w:name="page185"/>
    <w:bookmarkEnd w:id="184"/>
    <w:p>
      <w:pPr>
        <w:spacing w:after="0" w:line="2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15,091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Choice Technology Solutions, LLC (dba Choice Merchant Solutions, LLC) (n)</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(500,000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CIH Intermediate,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(563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9400"/>
          </w:cols>
          <w:pgMar w:left="1260" w:top="1440" w:right="1246" w:bottom="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10"/>
          <w:szCs w:val="10"/>
          <w:color w:val="auto"/>
        </w:rPr>
        <w:t>3,464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(563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670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3,976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Cleanova Topco Limited</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Component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(746,893shares)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6/12/2025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841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841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(373,447shares)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6/12/2025</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9400"/>
          </w:cols>
          <w:pgMar w:left="1260" w:top="1256" w:right="1246" w:bottom="0" w:gutter="0" w:footer="0" w:header="0"/>
          <w:type w:val="continuous"/>
        </w:sectPr>
      </w:pPr>
    </w:p>
    <w:bookmarkStart w:id="186" w:name="page187"/>
    <w:bookmarkEnd w:id="186"/>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436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436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(113,166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6/12/2025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454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1,731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1,731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CRS Solutions Holdings, LLC (dba CRS Texas)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(574,929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6/28/2022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272</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9400"/>
          </w:cols>
          <w:pgMar w:left="1260" w:top="1440" w:right="1246" w:bottom="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CTM Group, Inc. (dba Venuplus,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+ 6.75%)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10.57%/0.75%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11/30/2026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7,986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7,946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7,922</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11.50%/2.75%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11/30/2027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2,380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2,370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(400,000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9400"/>
          </w:cols>
          <w:pgMar w:left="1260" w:top="1440" w:right="1246" w:bottom="0" w:gutter="0" w:footer="0" w:header="0"/>
          <w:type w:val="continuous"/>
        </w:sectPr>
      </w:pPr>
    </w:p>
    <w:bookmarkStart w:id="188" w:name="page189"/>
    <w:bookmarkEnd w:id="188"/>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10,716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10,133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Customer Expressions Corp (dba Case IQ) (aq)</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(bc)(ao)</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+ 5.00%)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8.82%/0.50%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1/6/2025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4/15/2029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15,188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15,101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15,188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(502,894 units) (ao)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1/6/2025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771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w:t>
      </w:r>
    </w:p>
    <w:p>
      <w:pPr>
        <w:sectPr>
          <w:pgSz w:w="11900" w:h="16838" w:orient="portrait"/>
          <w:cols w:equalWidth="0" w:num="1">
            <w:col w:w="9400"/>
          </w:cols>
          <w:pgMar w:left="1260" w:top="129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9400"/>
          </w:cols>
          <w:pgMar w:left="1260" w:top="1297" w:right="1246" w:bottom="0" w:gutter="0" w:footer="0" w:header="0"/>
          <w:type w:val="continuous"/>
        </w:sectPr>
      </w:pPr>
    </w:p>
    <w:bookmarkStart w:id="189" w:name="page190"/>
    <w:bookmarkEnd w:id="189"/>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15,872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16,015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Dataguise,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(909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12/31/2020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1,703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Dealerbuilt Acquisition,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(ac)</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(4.00%)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9.75%/1.00%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9400"/>
          </w:cols>
          <w:pgMar w:left="1260" w:top="1440" w:right="1246" w:bottom="0" w:gutter="0" w:footer="0" w:header="0"/>
          <w:type w:val="continuous"/>
        </w:sectPr>
      </w:pPr>
    </w:p>
    <w:bookmarkStart w:id="190" w:name="page191"/>
    <w:bookmarkEnd w:id="190"/>
    <w:p>
      <w:pPr>
        <w:spacing w:after="0"/>
        <w:rPr>
          <w:sz w:val="20"/>
          <w:szCs w:val="20"/>
          <w:color w:val="auto"/>
        </w:rPr>
      </w:pPr>
      <w:r>
        <w:rPr>
          <w:rFonts w:ascii="Arial" w:cs="Arial" w:eastAsia="Arial" w:hAnsi="Arial"/>
          <w:sz w:val="10"/>
          <w:szCs w:val="10"/>
          <w:color w:val="auto"/>
        </w:rPr>
        <w:t>7/21/2026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13,766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13,748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13,766</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7.50%/7.50%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1/21/2027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12,486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(1,000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27,234</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9400"/>
          </w:cols>
          <w:pgMar w:left="1260" w:top="1256" w:right="1246" w:bottom="0" w:gutter="0" w:footer="0" w:header="0"/>
          <w:type w:val="continuous"/>
        </w:sectPr>
      </w:pPr>
    </w:p>
    <w:bookmarkStart w:id="191" w:name="page192"/>
    <w:bookmarkEnd w:id="191"/>
    <w:p>
      <w:pPr>
        <w:spacing w:after="0" w:line="2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27,310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Detechtion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(2.25%)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9.74%/2.50%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27,712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27,628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27,712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($1,000 unfunded commitment) (w)</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+ 8.25%) / (2.25%)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7/12/2024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0.00%/14.00%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2,848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2,842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9400"/>
          </w:cols>
          <w:pgMar w:left="1260" w:top="1440" w:right="1246" w:bottom="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10"/>
          <w:szCs w:val="10"/>
          <w:color w:val="auto"/>
        </w:rPr>
        <w:t>2,848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(601,532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602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31,069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31,061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Diversified Search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(j)(r)</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+ 7.50%)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11.17%/0.00%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6/10/2019</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12/23/2026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24,155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24,143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23,623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(573 units) (h)</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9400"/>
          </w:cols>
          <w:pgMar w:left="1260" w:top="1256" w:right="1246"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10"/>
          <w:szCs w:val="10"/>
          <w:color w:val="auto"/>
        </w:rPr>
        <w:t>2/7/2019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24,694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23,711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Donovan Food Brokerage,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(ae)</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+ 6.00%)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9.67%/0.00%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2/23/2024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2/23/2029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24,209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24,113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24,209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(679,301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2/23/2024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728</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9400"/>
          </w:cols>
          <w:pgMar w:left="1260" w:top="1256" w:right="1246" w:bottom="0" w:gutter="0" w:footer="0" w:header="0"/>
          <w:type w:val="continuous"/>
        </w:sectPr>
      </w:pPr>
    </w:p>
    <w:bookmarkStart w:id="194" w:name="page195"/>
    <w:bookmarkEnd w:id="194"/>
    <w:p>
      <w:pPr>
        <w:jc w:val="right"/>
        <w:spacing w:after="0"/>
        <w:rPr>
          <w:sz w:val="20"/>
          <w:szCs w:val="20"/>
          <w:color w:val="auto"/>
        </w:rPr>
      </w:pPr>
      <w:r>
        <w:rPr>
          <w:rFonts w:ascii="Arial" w:cs="Arial" w:eastAsia="Arial" w:hAnsi="Arial"/>
          <w:sz w:val="10"/>
          <w:szCs w:val="10"/>
          <w:color w:val="auto"/>
        </w:rPr>
        <w:t>1,691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24,841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25,900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9400"/>
          </w:cols>
          <w:pgMar w:left="1260" w:top="1406" w:right="1246" w:bottom="0" w:gutter="0" w:footer="0" w:header="0"/>
          <w:type w:val="continuous"/>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1386840</wp:posOffset>
            </wp:positionV>
            <wp:extent cx="5967730" cy="1041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7730" cy="10414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60" w:type="dxa"/>
            <w:vAlign w:val="bottom"/>
          </w:tcPr>
          <w:p>
            <w:pPr>
              <w:spacing w:after="0"/>
              <w:rPr>
                <w:sz w:val="20"/>
                <w:szCs w:val="20"/>
                <w:color w:val="auto"/>
              </w:rPr>
            </w:pPr>
            <w:r>
              <w:rPr>
                <w:rFonts w:ascii="Arial" w:cs="Arial" w:eastAsia="Arial" w:hAnsi="Arial"/>
                <w:sz w:val="10"/>
                <w:szCs w:val="10"/>
                <w:i w:val="1"/>
                <w:iCs w:val="1"/>
                <w:color w:val="auto"/>
              </w:rPr>
              <w:t>E-PlanSoft Buyer, LLC (dba e-PlanSoft)</w:t>
            </w:r>
          </w:p>
        </w:tc>
        <w:tc>
          <w:tcPr>
            <w:tcW w:w="2820" w:type="dxa"/>
            <w:vAlign w:val="bottom"/>
          </w:tcPr>
          <w:p>
            <w:pPr>
              <w:ind w:left="6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82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11.00%/2.00%</w:t>
            </w:r>
          </w:p>
        </w:tc>
        <w:tc>
          <w:tcPr>
            <w:tcW w:w="640" w:type="dxa"/>
            <w:vAlign w:val="bottom"/>
          </w:tcPr>
          <w:p>
            <w:pPr>
              <w:ind w:left="100"/>
              <w:spacing w:after="0"/>
              <w:rPr>
                <w:sz w:val="20"/>
                <w:szCs w:val="20"/>
                <w:color w:val="auto"/>
              </w:rPr>
            </w:pPr>
            <w:r>
              <w:rPr>
                <w:rFonts w:ascii="Arial" w:cs="Arial" w:eastAsia="Arial" w:hAnsi="Arial"/>
                <w:sz w:val="10"/>
                <w:szCs w:val="10"/>
                <w:color w:val="auto"/>
              </w:rPr>
              <w:t>6/30/2025</w:t>
            </w:r>
          </w:p>
        </w:tc>
        <w:tc>
          <w:tcPr>
            <w:tcW w:w="680" w:type="dxa"/>
            <w:vAlign w:val="bottom"/>
          </w:tcPr>
          <w:p>
            <w:pPr>
              <w:ind w:left="100"/>
              <w:spacing w:after="0"/>
              <w:rPr>
                <w:sz w:val="20"/>
                <w:szCs w:val="20"/>
                <w:color w:val="auto"/>
              </w:rPr>
            </w:pPr>
            <w:r>
              <w:rPr>
                <w:rFonts w:ascii="Arial" w:cs="Arial" w:eastAsia="Arial" w:hAnsi="Arial"/>
                <w:sz w:val="10"/>
                <w:szCs w:val="10"/>
                <w:color w:val="auto"/>
              </w:rPr>
              <w:t>6/30/2030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8,082</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8,044</w:t>
            </w:r>
          </w:p>
        </w:tc>
        <w:tc>
          <w:tcPr>
            <w:tcW w:w="440" w:type="dxa"/>
            <w:vAlign w:val="bottom"/>
          </w:tcPr>
          <w:p>
            <w:pPr>
              <w:jc w:val="right"/>
              <w:spacing w:after="0"/>
              <w:rPr>
                <w:sz w:val="20"/>
                <w:szCs w:val="20"/>
                <w:color w:val="auto"/>
              </w:rPr>
            </w:pPr>
            <w:r>
              <w:rPr>
                <w:rFonts w:ascii="Arial" w:cs="Arial" w:eastAsia="Arial" w:hAnsi="Arial"/>
                <w:sz w:val="10"/>
                <w:szCs w:val="10"/>
                <w:color w:val="auto"/>
              </w:rPr>
              <w:t>8,082</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Preferred Equity (1,500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6/27/2025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1,500</w:t>
            </w:r>
          </w:p>
        </w:tc>
        <w:tc>
          <w:tcPr>
            <w:tcW w:w="440" w:type="dxa"/>
            <w:vAlign w:val="bottom"/>
          </w:tcPr>
          <w:p>
            <w:pPr>
              <w:jc w:val="right"/>
              <w:spacing w:after="0"/>
              <w:rPr>
                <w:sz w:val="20"/>
                <w:szCs w:val="20"/>
                <w:color w:val="auto"/>
              </w:rPr>
            </w:pPr>
            <w:r>
              <w:rPr>
                <w:rFonts w:ascii="Arial" w:cs="Arial" w:eastAsia="Arial" w:hAnsi="Arial"/>
                <w:sz w:val="10"/>
                <w:szCs w:val="10"/>
                <w:color w:val="auto"/>
              </w:rPr>
              <w:t>1,326</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9,544</w:t>
            </w:r>
          </w:p>
        </w:tc>
        <w:tc>
          <w:tcPr>
            <w:tcW w:w="440" w:type="dxa"/>
            <w:vAlign w:val="bottom"/>
          </w:tcPr>
          <w:p>
            <w:pPr>
              <w:jc w:val="right"/>
              <w:spacing w:after="0"/>
              <w:rPr>
                <w:sz w:val="20"/>
                <w:szCs w:val="20"/>
                <w:color w:val="auto"/>
              </w:rPr>
            </w:pPr>
            <w:r>
              <w:rPr>
                <w:rFonts w:ascii="Arial" w:cs="Arial" w:eastAsia="Arial" w:hAnsi="Arial"/>
                <w:sz w:val="10"/>
                <w:szCs w:val="10"/>
                <w:color w:val="auto"/>
              </w:rPr>
              <w:t>9,408</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w w:val="96"/>
              </w:rPr>
              <w:t>Enterprise Asset Management FM Purchaser, Inc.</w:t>
            </w:r>
          </w:p>
        </w:tc>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60" w:type="dxa"/>
            <w:vAlign w:val="bottom"/>
          </w:tcPr>
          <w:p>
            <w:pPr>
              <w:spacing w:after="0"/>
              <w:rPr>
                <w:sz w:val="20"/>
                <w:szCs w:val="20"/>
                <w:color w:val="auto"/>
              </w:rPr>
            </w:pPr>
            <w:r>
              <w:rPr>
                <w:rFonts w:ascii="Arial" w:cs="Arial" w:eastAsia="Arial" w:hAnsi="Arial"/>
                <w:sz w:val="10"/>
                <w:szCs w:val="10"/>
                <w:i w:val="1"/>
                <w:iCs w:val="1"/>
                <w:color w:val="auto"/>
              </w:rPr>
              <w:t>(dba MCIM)</w:t>
            </w:r>
          </w:p>
        </w:tc>
        <w:tc>
          <w:tcPr>
            <w:tcW w:w="2820" w:type="dxa"/>
            <w:vAlign w:val="bottom"/>
          </w:tcPr>
          <w:p>
            <w:pPr>
              <w:ind w:left="6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160" w:type="dxa"/>
            <w:vAlign w:val="bottom"/>
          </w:tcPr>
          <w:p>
            <w:pPr>
              <w:ind w:left="20"/>
              <w:spacing w:after="0"/>
              <w:rPr>
                <w:sz w:val="20"/>
                <w:szCs w:val="20"/>
                <w:color w:val="auto"/>
              </w:rPr>
            </w:pPr>
            <w:r>
              <w:rPr>
                <w:rFonts w:ascii="Arial" w:cs="Arial" w:eastAsia="Arial" w:hAnsi="Arial"/>
                <w:sz w:val="10"/>
                <w:szCs w:val="10"/>
                <w:color w:val="auto"/>
              </w:rPr>
              <w:t>First Lien Debt ($3,000 unfunded commitment)</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+ 5.75%) / (2.00%)</w:t>
            </w:r>
          </w:p>
        </w:tc>
        <w:tc>
          <w:tcPr>
            <w:tcW w:w="720" w:type="dxa"/>
            <w:vAlign w:val="bottom"/>
          </w:tcPr>
          <w:p>
            <w:pPr>
              <w:ind w:left="40"/>
              <w:spacing w:after="0"/>
              <w:rPr>
                <w:sz w:val="20"/>
                <w:szCs w:val="20"/>
                <w:color w:val="auto"/>
              </w:rPr>
            </w:pPr>
            <w:r>
              <w:rPr>
                <w:rFonts w:ascii="Arial" w:cs="Arial" w:eastAsia="Arial" w:hAnsi="Arial"/>
                <w:sz w:val="10"/>
                <w:szCs w:val="10"/>
                <w:color w:val="auto"/>
              </w:rPr>
              <w:t>9.74%/2.00%</w:t>
            </w:r>
          </w:p>
        </w:tc>
        <w:tc>
          <w:tcPr>
            <w:tcW w:w="640" w:type="dxa"/>
            <w:vAlign w:val="bottom"/>
          </w:tcPr>
          <w:p>
            <w:pPr>
              <w:ind w:left="100"/>
              <w:spacing w:after="0"/>
              <w:rPr>
                <w:sz w:val="20"/>
                <w:szCs w:val="20"/>
                <w:color w:val="auto"/>
              </w:rPr>
            </w:pPr>
            <w:r>
              <w:rPr>
                <w:rFonts w:ascii="Arial" w:cs="Arial" w:eastAsia="Arial" w:hAnsi="Arial"/>
                <w:sz w:val="10"/>
                <w:szCs w:val="10"/>
                <w:color w:val="auto"/>
              </w:rPr>
              <w:t>5/20/2024</w:t>
            </w:r>
          </w:p>
        </w:tc>
        <w:tc>
          <w:tcPr>
            <w:tcW w:w="680" w:type="dxa"/>
            <w:vAlign w:val="bottom"/>
          </w:tcPr>
          <w:p>
            <w:pPr>
              <w:ind w:left="100"/>
              <w:spacing w:after="0"/>
              <w:rPr>
                <w:sz w:val="20"/>
                <w:szCs w:val="20"/>
                <w:color w:val="auto"/>
              </w:rPr>
            </w:pPr>
            <w:r>
              <w:rPr>
                <w:rFonts w:ascii="Arial" w:cs="Arial" w:eastAsia="Arial" w:hAnsi="Arial"/>
                <w:sz w:val="10"/>
                <w:szCs w:val="10"/>
                <w:color w:val="auto"/>
              </w:rPr>
              <w:t>5/20/2029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18,572</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18,503</w:t>
            </w:r>
          </w:p>
        </w:tc>
        <w:tc>
          <w:tcPr>
            <w:tcW w:w="440" w:type="dxa"/>
            <w:vAlign w:val="bottom"/>
          </w:tcPr>
          <w:p>
            <w:pPr>
              <w:jc w:val="right"/>
              <w:spacing w:after="0"/>
              <w:rPr>
                <w:sz w:val="20"/>
                <w:szCs w:val="20"/>
                <w:color w:val="auto"/>
              </w:rPr>
            </w:pPr>
            <w:r>
              <w:rPr>
                <w:rFonts w:ascii="Arial" w:cs="Arial" w:eastAsia="Arial" w:hAnsi="Arial"/>
                <w:sz w:val="10"/>
                <w:szCs w:val="10"/>
                <w:color w:val="auto"/>
              </w:rPr>
              <w:t>18,572</w:t>
            </w:r>
          </w:p>
        </w:tc>
        <w:tc>
          <w:tcPr>
            <w:tcW w:w="0" w:type="dxa"/>
            <w:vAlign w:val="bottom"/>
          </w:tcPr>
          <w:p>
            <w:pPr>
              <w:spacing w:after="0"/>
              <w:rPr>
                <w:sz w:val="1"/>
                <w:szCs w:val="1"/>
                <w:color w:val="auto"/>
              </w:rPr>
            </w:pPr>
          </w:p>
        </w:tc>
      </w:tr>
      <w:tr>
        <w:trPr>
          <w:trHeight w:val="324"/>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(551,470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5/20/2024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750</w:t>
            </w:r>
          </w:p>
        </w:tc>
        <w:tc>
          <w:tcPr>
            <w:tcW w:w="440" w:type="dxa"/>
            <w:vAlign w:val="bottom"/>
          </w:tcPr>
          <w:p>
            <w:pPr>
              <w:jc w:val="right"/>
              <w:spacing w:after="0"/>
              <w:rPr>
                <w:sz w:val="20"/>
                <w:szCs w:val="20"/>
                <w:color w:val="auto"/>
              </w:rPr>
            </w:pPr>
            <w:r>
              <w:rPr>
                <w:rFonts w:ascii="Arial" w:cs="Arial" w:eastAsia="Arial" w:hAnsi="Arial"/>
                <w:sz w:val="10"/>
                <w:szCs w:val="10"/>
                <w:color w:val="auto"/>
              </w:rPr>
              <w:t>1,010</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19,253</w:t>
            </w:r>
          </w:p>
        </w:tc>
        <w:tc>
          <w:tcPr>
            <w:tcW w:w="440" w:type="dxa"/>
            <w:vAlign w:val="bottom"/>
          </w:tcPr>
          <w:p>
            <w:pPr>
              <w:jc w:val="right"/>
              <w:spacing w:after="0"/>
              <w:rPr>
                <w:sz w:val="20"/>
                <w:szCs w:val="20"/>
                <w:color w:val="auto"/>
              </w:rPr>
            </w:pPr>
            <w:r>
              <w:rPr>
                <w:rFonts w:ascii="Arial" w:cs="Arial" w:eastAsia="Arial" w:hAnsi="Arial"/>
                <w:sz w:val="10"/>
                <w:szCs w:val="10"/>
                <w:color w:val="auto"/>
              </w:rPr>
              <w:t>19,582</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Estex Manufacturing Company, LLC</w:t>
            </w:r>
          </w:p>
        </w:tc>
        <w:tc>
          <w:tcPr>
            <w:tcW w:w="2820" w:type="dxa"/>
            <w:vAlign w:val="bottom"/>
          </w:tcPr>
          <w:p>
            <w:pPr>
              <w:ind w:left="60"/>
              <w:spacing w:after="0"/>
              <w:rPr>
                <w:sz w:val="20"/>
                <w:szCs w:val="20"/>
                <w:color w:val="auto"/>
              </w:rPr>
            </w:pPr>
            <w:r>
              <w:rPr>
                <w:rFonts w:ascii="Arial" w:cs="Arial" w:eastAsia="Arial" w:hAnsi="Arial"/>
                <w:sz w:val="10"/>
                <w:szCs w:val="10"/>
                <w:color w:val="auto"/>
              </w:rPr>
              <w:t>Component Manufacturing</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(j)(az)</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+ 5.00%) / (2.00%)</w:t>
            </w:r>
          </w:p>
        </w:tc>
        <w:tc>
          <w:tcPr>
            <w:tcW w:w="720" w:type="dxa"/>
            <w:vAlign w:val="bottom"/>
          </w:tcPr>
          <w:p>
            <w:pPr>
              <w:ind w:left="40"/>
              <w:spacing w:after="0"/>
              <w:rPr>
                <w:sz w:val="20"/>
                <w:szCs w:val="20"/>
                <w:color w:val="auto"/>
              </w:rPr>
            </w:pPr>
            <w:r>
              <w:rPr>
                <w:rFonts w:ascii="Arial" w:cs="Arial" w:eastAsia="Arial" w:hAnsi="Arial"/>
                <w:sz w:val="10"/>
                <w:szCs w:val="10"/>
                <w:color w:val="auto"/>
              </w:rPr>
              <w:t>8.87%/0.00%</w:t>
            </w:r>
          </w:p>
        </w:tc>
        <w:tc>
          <w:tcPr>
            <w:tcW w:w="640" w:type="dxa"/>
            <w:vAlign w:val="bottom"/>
          </w:tcPr>
          <w:p>
            <w:pPr>
              <w:ind w:left="100"/>
              <w:spacing w:after="0"/>
              <w:rPr>
                <w:sz w:val="20"/>
                <w:szCs w:val="20"/>
                <w:color w:val="auto"/>
              </w:rPr>
            </w:pPr>
            <w:r>
              <w:rPr>
                <w:rFonts w:ascii="Arial" w:cs="Arial" w:eastAsia="Arial" w:hAnsi="Arial"/>
                <w:sz w:val="10"/>
                <w:szCs w:val="10"/>
                <w:color w:val="auto"/>
              </w:rPr>
              <w:t>10/1/2024</w:t>
            </w:r>
          </w:p>
        </w:tc>
        <w:tc>
          <w:tcPr>
            <w:tcW w:w="680" w:type="dxa"/>
            <w:vAlign w:val="bottom"/>
          </w:tcPr>
          <w:p>
            <w:pPr>
              <w:ind w:left="100"/>
              <w:spacing w:after="0"/>
              <w:rPr>
                <w:sz w:val="20"/>
                <w:szCs w:val="20"/>
                <w:color w:val="auto"/>
              </w:rPr>
            </w:pPr>
            <w:r>
              <w:rPr>
                <w:rFonts w:ascii="Arial" w:cs="Arial" w:eastAsia="Arial" w:hAnsi="Arial"/>
                <w:sz w:val="10"/>
                <w:szCs w:val="10"/>
                <w:color w:val="auto"/>
              </w:rPr>
              <w:t>10/1/2029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5,531</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5,486</w:t>
            </w:r>
          </w:p>
        </w:tc>
        <w:tc>
          <w:tcPr>
            <w:tcW w:w="440" w:type="dxa"/>
            <w:vAlign w:val="bottom"/>
          </w:tcPr>
          <w:p>
            <w:pPr>
              <w:jc w:val="right"/>
              <w:spacing w:after="0"/>
              <w:rPr>
                <w:sz w:val="20"/>
                <w:szCs w:val="20"/>
                <w:color w:val="auto"/>
              </w:rPr>
            </w:pPr>
            <w:r>
              <w:rPr>
                <w:rFonts w:ascii="Arial" w:cs="Arial" w:eastAsia="Arial" w:hAnsi="Arial"/>
                <w:sz w:val="10"/>
                <w:szCs w:val="10"/>
                <w:color w:val="auto"/>
              </w:rPr>
              <w:t>5,531</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(75,000 units)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750</w:t>
            </w:r>
          </w:p>
        </w:tc>
        <w:tc>
          <w:tcPr>
            <w:tcW w:w="440" w:type="dxa"/>
            <w:vAlign w:val="bottom"/>
          </w:tcPr>
          <w:p>
            <w:pPr>
              <w:jc w:val="right"/>
              <w:spacing w:after="0"/>
              <w:rPr>
                <w:sz w:val="20"/>
                <w:szCs w:val="20"/>
                <w:color w:val="auto"/>
              </w:rPr>
            </w:pPr>
            <w:r>
              <w:rPr>
                <w:rFonts w:ascii="Arial" w:cs="Arial" w:eastAsia="Arial" w:hAnsi="Arial"/>
                <w:sz w:val="10"/>
                <w:szCs w:val="10"/>
                <w:color w:val="auto"/>
              </w:rPr>
              <w:t>566</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6,236</w:t>
            </w:r>
          </w:p>
        </w:tc>
        <w:tc>
          <w:tcPr>
            <w:tcW w:w="440" w:type="dxa"/>
            <w:vAlign w:val="bottom"/>
          </w:tcPr>
          <w:p>
            <w:pPr>
              <w:jc w:val="right"/>
              <w:spacing w:after="0"/>
              <w:rPr>
                <w:sz w:val="20"/>
                <w:szCs w:val="20"/>
                <w:color w:val="auto"/>
              </w:rPr>
            </w:pPr>
            <w:r>
              <w:rPr>
                <w:rFonts w:ascii="Arial" w:cs="Arial" w:eastAsia="Arial" w:hAnsi="Arial"/>
                <w:sz w:val="10"/>
                <w:szCs w:val="10"/>
                <w:color w:val="auto"/>
              </w:rPr>
              <w:t>6,097</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Fishbowl Solutions, LLC</w:t>
            </w:r>
          </w:p>
        </w:tc>
        <w:tc>
          <w:tcPr>
            <w:tcW w:w="2820" w:type="dxa"/>
            <w:vAlign w:val="bottom"/>
          </w:tcPr>
          <w:p>
            <w:pPr>
              <w:ind w:left="6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+ 7.75%)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11.97%/0.00%</w:t>
            </w:r>
          </w:p>
        </w:tc>
        <w:tc>
          <w:tcPr>
            <w:tcW w:w="640" w:type="dxa"/>
            <w:vAlign w:val="bottom"/>
          </w:tcPr>
          <w:p>
            <w:pPr>
              <w:ind w:left="100"/>
              <w:spacing w:after="0"/>
              <w:rPr>
                <w:sz w:val="20"/>
                <w:szCs w:val="20"/>
                <w:color w:val="auto"/>
              </w:rPr>
            </w:pPr>
            <w:r>
              <w:rPr>
                <w:rFonts w:ascii="Arial" w:cs="Arial" w:eastAsia="Arial" w:hAnsi="Arial"/>
                <w:sz w:val="10"/>
                <w:szCs w:val="10"/>
                <w:color w:val="auto"/>
              </w:rPr>
              <w:t>3/25/2022</w:t>
            </w:r>
          </w:p>
        </w:tc>
        <w:tc>
          <w:tcPr>
            <w:tcW w:w="680" w:type="dxa"/>
            <w:vAlign w:val="bottom"/>
          </w:tcPr>
          <w:p>
            <w:pPr>
              <w:ind w:left="100"/>
              <w:spacing w:after="0"/>
              <w:rPr>
                <w:sz w:val="20"/>
                <w:szCs w:val="20"/>
                <w:color w:val="auto"/>
              </w:rPr>
            </w:pPr>
            <w:r>
              <w:rPr>
                <w:rFonts w:ascii="Arial" w:cs="Arial" w:eastAsia="Arial" w:hAnsi="Arial"/>
                <w:sz w:val="10"/>
                <w:szCs w:val="10"/>
                <w:color w:val="auto"/>
              </w:rPr>
              <w:t>3/25/2027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22,894</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22,836</w:t>
            </w:r>
          </w:p>
        </w:tc>
        <w:tc>
          <w:tcPr>
            <w:tcW w:w="440" w:type="dxa"/>
            <w:vAlign w:val="bottom"/>
          </w:tcPr>
          <w:p>
            <w:pPr>
              <w:jc w:val="right"/>
              <w:spacing w:after="0"/>
              <w:rPr>
                <w:sz w:val="20"/>
                <w:szCs w:val="20"/>
                <w:color w:val="auto"/>
              </w:rPr>
            </w:pPr>
            <w:r>
              <w:rPr>
                <w:rFonts w:ascii="Arial" w:cs="Arial" w:eastAsia="Arial" w:hAnsi="Arial"/>
                <w:sz w:val="10"/>
                <w:szCs w:val="10"/>
                <w:color w:val="auto"/>
              </w:rPr>
              <w:t>22,895</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+ 7.75%)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11.97%/0.00%</w:t>
            </w:r>
          </w:p>
        </w:tc>
        <w:tc>
          <w:tcPr>
            <w:tcW w:w="640" w:type="dxa"/>
            <w:vAlign w:val="bottom"/>
          </w:tcPr>
          <w:p>
            <w:pPr>
              <w:ind w:left="100"/>
              <w:spacing w:after="0"/>
              <w:rPr>
                <w:sz w:val="20"/>
                <w:szCs w:val="20"/>
                <w:color w:val="auto"/>
              </w:rPr>
            </w:pPr>
            <w:r>
              <w:rPr>
                <w:rFonts w:ascii="Arial" w:cs="Arial" w:eastAsia="Arial" w:hAnsi="Arial"/>
                <w:sz w:val="10"/>
                <w:szCs w:val="10"/>
                <w:color w:val="auto"/>
              </w:rPr>
              <w:t>12/27/2024</w:t>
            </w:r>
          </w:p>
        </w:tc>
        <w:tc>
          <w:tcPr>
            <w:tcW w:w="680" w:type="dxa"/>
            <w:vAlign w:val="bottom"/>
          </w:tcPr>
          <w:p>
            <w:pPr>
              <w:ind w:left="100"/>
              <w:spacing w:after="0"/>
              <w:rPr>
                <w:sz w:val="20"/>
                <w:szCs w:val="20"/>
                <w:color w:val="auto"/>
              </w:rPr>
            </w:pPr>
            <w:r>
              <w:rPr>
                <w:rFonts w:ascii="Arial" w:cs="Arial" w:eastAsia="Arial" w:hAnsi="Arial"/>
                <w:sz w:val="10"/>
                <w:szCs w:val="10"/>
                <w:color w:val="auto"/>
              </w:rPr>
              <w:t>3/25/2027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12,168</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12,159</w:t>
            </w:r>
          </w:p>
        </w:tc>
        <w:tc>
          <w:tcPr>
            <w:tcW w:w="440" w:type="dxa"/>
            <w:vAlign w:val="bottom"/>
          </w:tcPr>
          <w:p>
            <w:pPr>
              <w:jc w:val="right"/>
              <w:spacing w:after="0"/>
              <w:rPr>
                <w:sz w:val="20"/>
                <w:szCs w:val="20"/>
                <w:color w:val="auto"/>
              </w:rPr>
            </w:pPr>
            <w:r>
              <w:rPr>
                <w:rFonts w:ascii="Arial" w:cs="Arial" w:eastAsia="Arial" w:hAnsi="Arial"/>
                <w:sz w:val="10"/>
                <w:szCs w:val="10"/>
                <w:color w:val="auto"/>
              </w:rPr>
              <w:t>12,168</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60" w:type="dxa"/>
            <w:vAlign w:val="bottom"/>
          </w:tcPr>
          <w:p>
            <w:pPr>
              <w:ind w:left="20"/>
              <w:spacing w:after="0"/>
              <w:rPr>
                <w:sz w:val="20"/>
                <w:szCs w:val="20"/>
                <w:color w:val="auto"/>
              </w:rPr>
            </w:pPr>
            <w:r>
              <w:rPr>
                <w:rFonts w:ascii="Arial" w:cs="Arial" w:eastAsia="Arial" w:hAnsi="Arial"/>
                <w:sz w:val="10"/>
                <w:szCs w:val="10"/>
                <w:color w:val="auto"/>
                <w:w w:val="95"/>
              </w:rPr>
              <w:t>Revolving Loan ($3,000 unfunded commitment) (i)</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+ 7.75%)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11.97%/0.00%</w:t>
            </w:r>
          </w:p>
        </w:tc>
        <w:tc>
          <w:tcPr>
            <w:tcW w:w="640" w:type="dxa"/>
            <w:vAlign w:val="bottom"/>
          </w:tcPr>
          <w:p>
            <w:pPr>
              <w:ind w:left="100"/>
              <w:spacing w:after="0"/>
              <w:rPr>
                <w:sz w:val="20"/>
                <w:szCs w:val="20"/>
                <w:color w:val="auto"/>
              </w:rPr>
            </w:pPr>
            <w:r>
              <w:rPr>
                <w:rFonts w:ascii="Arial" w:cs="Arial" w:eastAsia="Arial" w:hAnsi="Arial"/>
                <w:sz w:val="10"/>
                <w:szCs w:val="10"/>
                <w:color w:val="auto"/>
              </w:rPr>
              <w:t>12/27/2024</w:t>
            </w:r>
          </w:p>
        </w:tc>
        <w:tc>
          <w:tcPr>
            <w:tcW w:w="680" w:type="dxa"/>
            <w:vAlign w:val="bottom"/>
          </w:tcPr>
          <w:p>
            <w:pPr>
              <w:ind w:left="100"/>
              <w:spacing w:after="0"/>
              <w:rPr>
                <w:sz w:val="20"/>
                <w:szCs w:val="20"/>
                <w:color w:val="auto"/>
              </w:rPr>
            </w:pPr>
            <w:r>
              <w:rPr>
                <w:rFonts w:ascii="Arial" w:cs="Arial" w:eastAsia="Arial" w:hAnsi="Arial"/>
                <w:sz w:val="10"/>
                <w:szCs w:val="10"/>
                <w:color w:val="auto"/>
              </w:rPr>
              <w:t>3/25/2027</w:t>
            </w:r>
          </w:p>
        </w:tc>
        <w:tc>
          <w:tcPr>
            <w:tcW w:w="58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34,995</w:t>
            </w:r>
          </w:p>
        </w:tc>
        <w:tc>
          <w:tcPr>
            <w:tcW w:w="440" w:type="dxa"/>
            <w:vAlign w:val="bottom"/>
          </w:tcPr>
          <w:p>
            <w:pPr>
              <w:jc w:val="right"/>
              <w:spacing w:after="0"/>
              <w:rPr>
                <w:sz w:val="20"/>
                <w:szCs w:val="20"/>
                <w:color w:val="auto"/>
              </w:rPr>
            </w:pPr>
            <w:r>
              <w:rPr>
                <w:rFonts w:ascii="Arial" w:cs="Arial" w:eastAsia="Arial" w:hAnsi="Arial"/>
                <w:sz w:val="10"/>
                <w:szCs w:val="10"/>
                <w:color w:val="auto"/>
              </w:rPr>
              <w:t>35,063</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Fraser Steel LLC</w:t>
            </w:r>
          </w:p>
        </w:tc>
        <w:tc>
          <w:tcPr>
            <w:tcW w:w="2820" w:type="dxa"/>
            <w:vAlign w:val="bottom"/>
          </w:tcPr>
          <w:p>
            <w:pPr>
              <w:ind w:left="60"/>
              <w:spacing w:after="0"/>
              <w:rPr>
                <w:sz w:val="20"/>
                <w:szCs w:val="20"/>
                <w:color w:val="auto"/>
              </w:rPr>
            </w:pPr>
            <w:r>
              <w:rPr>
                <w:rFonts w:ascii="Arial" w:cs="Arial" w:eastAsia="Arial" w:hAnsi="Arial"/>
                <w:sz w:val="10"/>
                <w:szCs w:val="10"/>
                <w:color w:val="auto"/>
              </w:rPr>
              <w:t>Component Manufacturing</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(bn)</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+ 6.00%) / (2.00%)</w:t>
            </w:r>
          </w:p>
        </w:tc>
        <w:tc>
          <w:tcPr>
            <w:tcW w:w="720" w:type="dxa"/>
            <w:vAlign w:val="bottom"/>
          </w:tcPr>
          <w:p>
            <w:pPr>
              <w:ind w:left="40"/>
              <w:spacing w:after="0"/>
              <w:rPr>
                <w:sz w:val="20"/>
                <w:szCs w:val="20"/>
                <w:color w:val="auto"/>
              </w:rPr>
            </w:pPr>
            <w:r>
              <w:rPr>
                <w:rFonts w:ascii="Arial" w:cs="Arial" w:eastAsia="Arial" w:hAnsi="Arial"/>
                <w:sz w:val="10"/>
                <w:szCs w:val="10"/>
                <w:color w:val="auto"/>
              </w:rPr>
              <w:t>9.99%/0.00%</w:t>
            </w:r>
          </w:p>
        </w:tc>
        <w:tc>
          <w:tcPr>
            <w:tcW w:w="640" w:type="dxa"/>
            <w:vAlign w:val="bottom"/>
          </w:tcPr>
          <w:p>
            <w:pPr>
              <w:ind w:left="100"/>
              <w:spacing w:after="0"/>
              <w:rPr>
                <w:sz w:val="20"/>
                <w:szCs w:val="20"/>
                <w:color w:val="auto"/>
              </w:rPr>
            </w:pPr>
            <w:r>
              <w:rPr>
                <w:rFonts w:ascii="Arial" w:cs="Arial" w:eastAsia="Arial" w:hAnsi="Arial"/>
                <w:sz w:val="10"/>
                <w:szCs w:val="10"/>
                <w:color w:val="auto"/>
              </w:rPr>
              <w:t>11/5/2025</w:t>
            </w:r>
          </w:p>
        </w:tc>
        <w:tc>
          <w:tcPr>
            <w:tcW w:w="680" w:type="dxa"/>
            <w:vAlign w:val="bottom"/>
          </w:tcPr>
          <w:p>
            <w:pPr>
              <w:ind w:left="100"/>
              <w:spacing w:after="0"/>
              <w:rPr>
                <w:sz w:val="20"/>
                <w:szCs w:val="20"/>
                <w:color w:val="auto"/>
              </w:rPr>
            </w:pPr>
            <w:r>
              <w:rPr>
                <w:rFonts w:ascii="Arial" w:cs="Arial" w:eastAsia="Arial" w:hAnsi="Arial"/>
                <w:sz w:val="10"/>
                <w:szCs w:val="10"/>
                <w:color w:val="auto"/>
              </w:rPr>
              <w:t>2/5/2030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13,800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13,737</w:t>
            </w:r>
          </w:p>
        </w:tc>
        <w:tc>
          <w:tcPr>
            <w:tcW w:w="440" w:type="dxa"/>
            <w:vAlign w:val="bottom"/>
          </w:tcPr>
          <w:p>
            <w:pPr>
              <w:jc w:val="right"/>
              <w:spacing w:after="0"/>
              <w:rPr>
                <w:sz w:val="20"/>
                <w:szCs w:val="20"/>
                <w:color w:val="auto"/>
              </w:rPr>
            </w:pPr>
            <w:r>
              <w:rPr>
                <w:rFonts w:ascii="Arial" w:cs="Arial" w:eastAsia="Arial" w:hAnsi="Arial"/>
                <w:sz w:val="10"/>
                <w:szCs w:val="10"/>
                <w:color w:val="auto"/>
              </w:rPr>
              <w:t>13,800</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(500,000 units) (h)</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2/5/2025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500</w:t>
            </w:r>
          </w:p>
        </w:tc>
        <w:tc>
          <w:tcPr>
            <w:tcW w:w="440" w:type="dxa"/>
            <w:vAlign w:val="bottom"/>
          </w:tcPr>
          <w:p>
            <w:pPr>
              <w:jc w:val="right"/>
              <w:spacing w:after="0"/>
              <w:rPr>
                <w:sz w:val="20"/>
                <w:szCs w:val="20"/>
                <w:color w:val="auto"/>
              </w:rPr>
            </w:pPr>
            <w:r>
              <w:rPr>
                <w:rFonts w:ascii="Arial" w:cs="Arial" w:eastAsia="Arial" w:hAnsi="Arial"/>
                <w:sz w:val="10"/>
                <w:szCs w:val="10"/>
                <w:color w:val="auto"/>
              </w:rPr>
              <w:t>549</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14,237</w:t>
            </w:r>
          </w:p>
        </w:tc>
        <w:tc>
          <w:tcPr>
            <w:tcW w:w="440" w:type="dxa"/>
            <w:vAlign w:val="bottom"/>
          </w:tcPr>
          <w:p>
            <w:pPr>
              <w:jc w:val="right"/>
              <w:spacing w:after="0"/>
              <w:rPr>
                <w:sz w:val="20"/>
                <w:szCs w:val="20"/>
                <w:color w:val="auto"/>
              </w:rPr>
            </w:pPr>
            <w:r>
              <w:rPr>
                <w:rFonts w:ascii="Arial" w:cs="Arial" w:eastAsia="Arial" w:hAnsi="Arial"/>
                <w:sz w:val="10"/>
                <w:szCs w:val="10"/>
                <w:color w:val="auto"/>
              </w:rPr>
              <w:t>14,349</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Fumex, LLC</w:t>
            </w:r>
          </w:p>
        </w:tc>
        <w:tc>
          <w:tcPr>
            <w:tcW w:w="2820" w:type="dxa"/>
            <w:vAlign w:val="bottom"/>
          </w:tcPr>
          <w:p>
            <w:pPr>
              <w:ind w:left="60"/>
              <w:spacing w:after="0"/>
              <w:rPr>
                <w:sz w:val="20"/>
                <w:szCs w:val="20"/>
                <w:color w:val="auto"/>
              </w:rPr>
            </w:pPr>
            <w:r>
              <w:rPr>
                <w:rFonts w:ascii="Arial" w:cs="Arial" w:eastAsia="Arial" w:hAnsi="Arial"/>
                <w:sz w:val="10"/>
                <w:szCs w:val="10"/>
                <w:color w:val="auto"/>
              </w:rPr>
              <w:t>Industrial Product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(j)(ar)</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+ 4.75%) / (1.00%)</w:t>
            </w:r>
          </w:p>
        </w:tc>
        <w:tc>
          <w:tcPr>
            <w:tcW w:w="720" w:type="dxa"/>
            <w:vAlign w:val="bottom"/>
          </w:tcPr>
          <w:p>
            <w:pPr>
              <w:ind w:left="40"/>
              <w:spacing w:after="0"/>
              <w:rPr>
                <w:sz w:val="20"/>
                <w:szCs w:val="20"/>
                <w:color w:val="auto"/>
              </w:rPr>
            </w:pPr>
            <w:r>
              <w:rPr>
                <w:rFonts w:ascii="Arial" w:cs="Arial" w:eastAsia="Arial" w:hAnsi="Arial"/>
                <w:sz w:val="10"/>
                <w:szCs w:val="10"/>
                <w:color w:val="auto"/>
              </w:rPr>
              <w:t>8.75%/0.00%</w:t>
            </w:r>
          </w:p>
        </w:tc>
        <w:tc>
          <w:tcPr>
            <w:tcW w:w="640" w:type="dxa"/>
            <w:vAlign w:val="bottom"/>
          </w:tcPr>
          <w:p>
            <w:pPr>
              <w:ind w:left="100"/>
              <w:spacing w:after="0"/>
              <w:rPr>
                <w:sz w:val="20"/>
                <w:szCs w:val="20"/>
                <w:color w:val="auto"/>
              </w:rPr>
            </w:pPr>
            <w:r>
              <w:rPr>
                <w:rFonts w:ascii="Arial" w:cs="Arial" w:eastAsia="Arial" w:hAnsi="Arial"/>
                <w:sz w:val="10"/>
                <w:szCs w:val="10"/>
                <w:color w:val="auto"/>
              </w:rPr>
              <w:t>11/27/2024</w:t>
            </w:r>
          </w:p>
        </w:tc>
        <w:tc>
          <w:tcPr>
            <w:tcW w:w="680" w:type="dxa"/>
            <w:vAlign w:val="bottom"/>
          </w:tcPr>
          <w:p>
            <w:pPr>
              <w:ind w:left="100"/>
              <w:spacing w:after="0"/>
              <w:rPr>
                <w:sz w:val="20"/>
                <w:szCs w:val="20"/>
                <w:color w:val="auto"/>
              </w:rPr>
            </w:pPr>
            <w:r>
              <w:rPr>
                <w:rFonts w:ascii="Arial" w:cs="Arial" w:eastAsia="Arial" w:hAnsi="Arial"/>
                <w:sz w:val="10"/>
                <w:szCs w:val="10"/>
                <w:color w:val="auto"/>
              </w:rPr>
              <w:t>11/27/2029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7,000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6,959</w:t>
            </w:r>
          </w:p>
        </w:tc>
        <w:tc>
          <w:tcPr>
            <w:tcW w:w="440" w:type="dxa"/>
            <w:vAlign w:val="bottom"/>
          </w:tcPr>
          <w:p>
            <w:pPr>
              <w:jc w:val="right"/>
              <w:spacing w:after="0"/>
              <w:rPr>
                <w:sz w:val="20"/>
                <w:szCs w:val="20"/>
                <w:color w:val="auto"/>
              </w:rPr>
            </w:pPr>
            <w:r>
              <w:rPr>
                <w:rFonts w:ascii="Arial" w:cs="Arial" w:eastAsia="Arial" w:hAnsi="Arial"/>
                <w:sz w:val="10"/>
                <w:szCs w:val="10"/>
                <w:color w:val="auto"/>
              </w:rPr>
              <w:t>7,000</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(3,500 units) (h)</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11/27/2024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350</w:t>
            </w:r>
          </w:p>
        </w:tc>
        <w:tc>
          <w:tcPr>
            <w:tcW w:w="440" w:type="dxa"/>
            <w:vAlign w:val="bottom"/>
          </w:tcPr>
          <w:p>
            <w:pPr>
              <w:jc w:val="right"/>
              <w:spacing w:after="0"/>
              <w:rPr>
                <w:sz w:val="20"/>
                <w:szCs w:val="20"/>
                <w:color w:val="auto"/>
              </w:rPr>
            </w:pPr>
            <w:r>
              <w:rPr>
                <w:rFonts w:ascii="Arial" w:cs="Arial" w:eastAsia="Arial" w:hAnsi="Arial"/>
                <w:sz w:val="10"/>
                <w:szCs w:val="10"/>
                <w:color w:val="auto"/>
              </w:rPr>
              <w:t>346</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7,309</w:t>
            </w:r>
          </w:p>
        </w:tc>
        <w:tc>
          <w:tcPr>
            <w:tcW w:w="440" w:type="dxa"/>
            <w:vAlign w:val="bottom"/>
          </w:tcPr>
          <w:p>
            <w:pPr>
              <w:jc w:val="right"/>
              <w:spacing w:after="0"/>
              <w:rPr>
                <w:sz w:val="20"/>
                <w:szCs w:val="20"/>
                <w:color w:val="auto"/>
              </w:rPr>
            </w:pPr>
            <w:r>
              <w:rPr>
                <w:rFonts w:ascii="Arial" w:cs="Arial" w:eastAsia="Arial" w:hAnsi="Arial"/>
                <w:sz w:val="10"/>
                <w:szCs w:val="10"/>
                <w:color w:val="auto"/>
              </w:rPr>
              <w:t>7,346</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Global Plasma Solutions, Inc.</w:t>
            </w:r>
          </w:p>
        </w:tc>
        <w:tc>
          <w:tcPr>
            <w:tcW w:w="2820" w:type="dxa"/>
            <w:vAlign w:val="bottom"/>
          </w:tcPr>
          <w:p>
            <w:pPr>
              <w:ind w:left="60"/>
              <w:spacing w:after="0"/>
              <w:rPr>
                <w:sz w:val="20"/>
                <w:szCs w:val="20"/>
                <w:color w:val="auto"/>
              </w:rPr>
            </w:pPr>
            <w:r>
              <w:rPr>
                <w:rFonts w:ascii="Arial" w:cs="Arial" w:eastAsia="Arial" w:hAnsi="Arial"/>
                <w:sz w:val="10"/>
                <w:szCs w:val="10"/>
                <w:color w:val="auto"/>
              </w:rPr>
              <w:t>Component Manufacturing</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tcPr>
          <w:p>
            <w:pPr>
              <w:ind w:left="20"/>
              <w:spacing w:after="0"/>
              <w:rPr>
                <w:sz w:val="20"/>
                <w:szCs w:val="20"/>
                <w:color w:val="auto"/>
              </w:rPr>
            </w:pPr>
            <w:r>
              <w:rPr>
                <w:rFonts w:ascii="Arial" w:cs="Arial" w:eastAsia="Arial" w:hAnsi="Arial"/>
                <w:sz w:val="10"/>
                <w:szCs w:val="10"/>
                <w:color w:val="auto"/>
              </w:rPr>
              <w:t>Preferred Equity (601 shares)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2/1/2024</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162</w:t>
            </w:r>
          </w:p>
        </w:tc>
        <w:tc>
          <w:tcPr>
            <w:tcW w:w="440" w:type="dxa"/>
            <w:vAlign w:val="bottom"/>
          </w:tcPr>
          <w:p>
            <w:pPr>
              <w:jc w:val="right"/>
              <w:spacing w:after="0"/>
              <w:rPr>
                <w:sz w:val="20"/>
                <w:szCs w:val="20"/>
                <w:color w:val="auto"/>
              </w:rPr>
            </w:pPr>
            <w:r>
              <w:rPr>
                <w:rFonts w:ascii="Arial" w:cs="Arial" w:eastAsia="Arial" w:hAnsi="Arial"/>
                <w:sz w:val="10"/>
                <w:szCs w:val="10"/>
                <w:color w:val="auto"/>
              </w:rPr>
              <w:t>282</w:t>
            </w:r>
          </w:p>
        </w:tc>
        <w:tc>
          <w:tcPr>
            <w:tcW w:w="0" w:type="dxa"/>
            <w:vAlign w:val="bottom"/>
          </w:tcPr>
          <w:p>
            <w:pPr>
              <w:spacing w:after="0"/>
              <w:rPr>
                <w:sz w:val="1"/>
                <w:szCs w:val="1"/>
                <w:color w:val="auto"/>
              </w:rPr>
            </w:pPr>
          </w:p>
        </w:tc>
      </w:tr>
      <w:tr>
        <w:trPr>
          <w:trHeight w:val="324"/>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(1,705 shares)</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9/21/2018</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188</w:t>
            </w:r>
          </w:p>
        </w:tc>
        <w:tc>
          <w:tcPr>
            <w:tcW w:w="440" w:type="dxa"/>
            <w:vAlign w:val="bottom"/>
          </w:tcPr>
          <w:p>
            <w:pPr>
              <w:jc w:val="right"/>
              <w:spacing w:after="0"/>
              <w:rPr>
                <w:sz w:val="20"/>
                <w:szCs w:val="20"/>
                <w:color w:val="auto"/>
              </w:rPr>
            </w:pPr>
            <w:r>
              <w:rPr>
                <w:rFonts w:ascii="Arial" w:cs="Arial" w:eastAsia="Arial" w:hAnsi="Arial"/>
                <w:sz w:val="10"/>
                <w:szCs w:val="10"/>
                <w:color w:val="auto"/>
              </w:rPr>
              <w:t>199</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350</w:t>
            </w:r>
          </w:p>
        </w:tc>
        <w:tc>
          <w:tcPr>
            <w:tcW w:w="440" w:type="dxa"/>
            <w:vAlign w:val="bottom"/>
          </w:tcPr>
          <w:p>
            <w:pPr>
              <w:jc w:val="right"/>
              <w:spacing w:after="0"/>
              <w:rPr>
                <w:sz w:val="20"/>
                <w:szCs w:val="20"/>
                <w:color w:val="auto"/>
              </w:rPr>
            </w:pPr>
            <w:r>
              <w:rPr>
                <w:rFonts w:ascii="Arial" w:cs="Arial" w:eastAsia="Arial" w:hAnsi="Arial"/>
                <w:sz w:val="10"/>
                <w:szCs w:val="10"/>
                <w:color w:val="auto"/>
              </w:rPr>
              <w:t>481</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w w:val="95"/>
              </w:rPr>
              <w:t>GMP HVAC, LLC (dba McGee Heating &amp; Air, LLC)</w:t>
            </w:r>
          </w:p>
        </w:tc>
        <w:tc>
          <w:tcPr>
            <w:tcW w:w="2820" w:type="dxa"/>
            <w:vAlign w:val="bottom"/>
          </w:tcPr>
          <w:p>
            <w:pPr>
              <w:ind w:left="60"/>
              <w:spacing w:after="0"/>
              <w:rPr>
                <w:sz w:val="20"/>
                <w:szCs w:val="20"/>
                <w:color w:val="auto"/>
              </w:rPr>
            </w:pPr>
            <w:r>
              <w:rPr>
                <w:rFonts w:ascii="Arial" w:cs="Arial" w:eastAsia="Arial" w:hAnsi="Arial"/>
                <w:sz w:val="10"/>
                <w:szCs w:val="10"/>
                <w:color w:val="auto"/>
              </w:rPr>
              <w:t>Utilities: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(j)(bb)</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10.37%/0.00%</w:t>
            </w:r>
          </w:p>
        </w:tc>
        <w:tc>
          <w:tcPr>
            <w:tcW w:w="640" w:type="dxa"/>
            <w:vAlign w:val="bottom"/>
          </w:tcPr>
          <w:p>
            <w:pPr>
              <w:ind w:left="100"/>
              <w:spacing w:after="0"/>
              <w:rPr>
                <w:sz w:val="20"/>
                <w:szCs w:val="20"/>
                <w:color w:val="auto"/>
              </w:rPr>
            </w:pPr>
            <w:r>
              <w:rPr>
                <w:rFonts w:ascii="Arial" w:cs="Arial" w:eastAsia="Arial" w:hAnsi="Arial"/>
                <w:sz w:val="10"/>
                <w:szCs w:val="10"/>
                <w:color w:val="auto"/>
              </w:rPr>
              <w:t>12/8/2023</w:t>
            </w:r>
          </w:p>
        </w:tc>
        <w:tc>
          <w:tcPr>
            <w:tcW w:w="680" w:type="dxa"/>
            <w:vAlign w:val="bottom"/>
          </w:tcPr>
          <w:p>
            <w:pPr>
              <w:ind w:left="100"/>
              <w:spacing w:after="0"/>
              <w:rPr>
                <w:sz w:val="20"/>
                <w:szCs w:val="20"/>
                <w:color w:val="auto"/>
              </w:rPr>
            </w:pPr>
            <w:r>
              <w:rPr>
                <w:rFonts w:ascii="Arial" w:cs="Arial" w:eastAsia="Arial" w:hAnsi="Arial"/>
                <w:sz w:val="10"/>
                <w:szCs w:val="10"/>
                <w:color w:val="auto"/>
              </w:rPr>
              <w:t>12/8/2028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29,460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29,246</w:t>
            </w:r>
          </w:p>
        </w:tc>
        <w:tc>
          <w:tcPr>
            <w:tcW w:w="440" w:type="dxa"/>
            <w:vAlign w:val="bottom"/>
          </w:tcPr>
          <w:p>
            <w:pPr>
              <w:jc w:val="right"/>
              <w:spacing w:after="0"/>
              <w:rPr>
                <w:sz w:val="20"/>
                <w:szCs w:val="20"/>
                <w:color w:val="auto"/>
              </w:rPr>
            </w:pPr>
            <w:r>
              <w:rPr>
                <w:rFonts w:ascii="Arial" w:cs="Arial" w:eastAsia="Arial" w:hAnsi="Arial"/>
                <w:sz w:val="10"/>
                <w:szCs w:val="10"/>
                <w:color w:val="auto"/>
              </w:rPr>
              <w:t>29,460</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Preferred Equity (1,366 units) (h)</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12/8/2023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1,406</w:t>
            </w:r>
          </w:p>
        </w:tc>
        <w:tc>
          <w:tcPr>
            <w:tcW w:w="440" w:type="dxa"/>
            <w:vAlign w:val="bottom"/>
          </w:tcPr>
          <w:p>
            <w:pPr>
              <w:jc w:val="right"/>
              <w:spacing w:after="0"/>
              <w:rPr>
                <w:sz w:val="20"/>
                <w:szCs w:val="20"/>
                <w:color w:val="auto"/>
              </w:rPr>
            </w:pPr>
            <w:r>
              <w:rPr>
                <w:rFonts w:ascii="Arial" w:cs="Arial" w:eastAsia="Arial" w:hAnsi="Arial"/>
                <w:sz w:val="10"/>
                <w:szCs w:val="10"/>
                <w:color w:val="auto"/>
              </w:rPr>
              <w:t>1,890</w:t>
            </w:r>
          </w:p>
        </w:tc>
        <w:tc>
          <w:tcPr>
            <w:tcW w:w="0" w:type="dxa"/>
            <w:vAlign w:val="bottom"/>
          </w:tcPr>
          <w:p>
            <w:pPr>
              <w:spacing w:after="0"/>
              <w:rPr>
                <w:sz w:val="1"/>
                <w:szCs w:val="1"/>
                <w:color w:val="auto"/>
              </w:rPr>
            </w:pPr>
          </w:p>
        </w:tc>
      </w:tr>
      <w:tr>
        <w:trPr>
          <w:trHeight w:val="314"/>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30,652</w:t>
            </w:r>
          </w:p>
        </w:tc>
        <w:tc>
          <w:tcPr>
            <w:tcW w:w="440" w:type="dxa"/>
            <w:vAlign w:val="bottom"/>
          </w:tcPr>
          <w:p>
            <w:pPr>
              <w:jc w:val="right"/>
              <w:spacing w:after="0"/>
              <w:rPr>
                <w:sz w:val="20"/>
                <w:szCs w:val="20"/>
                <w:color w:val="auto"/>
              </w:rPr>
            </w:pPr>
            <w:r>
              <w:rPr>
                <w:rFonts w:ascii="Arial" w:cs="Arial" w:eastAsia="Arial" w:hAnsi="Arial"/>
                <w:sz w:val="10"/>
                <w:szCs w:val="10"/>
                <w:color w:val="auto"/>
              </w:rPr>
              <w:t>31,350</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GPS Insight, Inc.</w:t>
            </w:r>
          </w:p>
        </w:tc>
        <w:tc>
          <w:tcPr>
            <w:tcW w:w="2820" w:type="dxa"/>
            <w:vAlign w:val="bottom"/>
          </w:tcPr>
          <w:p>
            <w:pPr>
              <w:ind w:left="6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(av)</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+ 5.58%) / (1.00%)</w:t>
            </w:r>
          </w:p>
        </w:tc>
        <w:tc>
          <w:tcPr>
            <w:tcW w:w="720" w:type="dxa"/>
            <w:vAlign w:val="bottom"/>
          </w:tcPr>
          <w:p>
            <w:pPr>
              <w:ind w:left="40"/>
              <w:spacing w:after="0"/>
              <w:rPr>
                <w:sz w:val="20"/>
                <w:szCs w:val="20"/>
                <w:color w:val="auto"/>
              </w:rPr>
            </w:pPr>
            <w:r>
              <w:rPr>
                <w:rFonts w:ascii="Arial" w:cs="Arial" w:eastAsia="Arial" w:hAnsi="Arial"/>
                <w:sz w:val="10"/>
                <w:szCs w:val="10"/>
                <w:color w:val="auto"/>
              </w:rPr>
              <w:t>9.57%/0.00%</w:t>
            </w:r>
          </w:p>
        </w:tc>
        <w:tc>
          <w:tcPr>
            <w:tcW w:w="640" w:type="dxa"/>
            <w:vAlign w:val="bottom"/>
          </w:tcPr>
          <w:p>
            <w:pPr>
              <w:ind w:left="100"/>
              <w:spacing w:after="0"/>
              <w:rPr>
                <w:sz w:val="20"/>
                <w:szCs w:val="20"/>
                <w:color w:val="auto"/>
              </w:rPr>
            </w:pPr>
            <w:r>
              <w:rPr>
                <w:rFonts w:ascii="Arial" w:cs="Arial" w:eastAsia="Arial" w:hAnsi="Arial"/>
                <w:sz w:val="10"/>
                <w:szCs w:val="10"/>
                <w:color w:val="auto"/>
              </w:rPr>
              <w:t>10/17/2025</w:t>
            </w:r>
          </w:p>
        </w:tc>
        <w:tc>
          <w:tcPr>
            <w:tcW w:w="680" w:type="dxa"/>
            <w:vAlign w:val="bottom"/>
          </w:tcPr>
          <w:p>
            <w:pPr>
              <w:ind w:left="100"/>
              <w:spacing w:after="0"/>
              <w:rPr>
                <w:sz w:val="20"/>
                <w:szCs w:val="20"/>
                <w:color w:val="auto"/>
              </w:rPr>
            </w:pPr>
            <w:r>
              <w:rPr>
                <w:rFonts w:ascii="Arial" w:cs="Arial" w:eastAsia="Arial" w:hAnsi="Arial"/>
                <w:sz w:val="10"/>
                <w:szCs w:val="10"/>
                <w:color w:val="auto"/>
              </w:rPr>
              <w:t>5/18/2028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23,201</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23,094</w:t>
            </w:r>
          </w:p>
        </w:tc>
        <w:tc>
          <w:tcPr>
            <w:tcW w:w="440" w:type="dxa"/>
            <w:vAlign w:val="bottom"/>
          </w:tcPr>
          <w:p>
            <w:pPr>
              <w:jc w:val="right"/>
              <w:spacing w:after="0"/>
              <w:rPr>
                <w:sz w:val="20"/>
                <w:szCs w:val="20"/>
                <w:color w:val="auto"/>
              </w:rPr>
            </w:pPr>
            <w:r>
              <w:rPr>
                <w:rFonts w:ascii="Arial" w:cs="Arial" w:eastAsia="Arial" w:hAnsi="Arial"/>
                <w:sz w:val="10"/>
                <w:szCs w:val="10"/>
                <w:color w:val="auto"/>
              </w:rPr>
              <w:t>23,094</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Arial" w:cs="Arial" w:eastAsia="Arial" w:hAnsi="Arial"/>
                <w:sz w:val="10"/>
                <w:szCs w:val="10"/>
                <w:i w:val="1"/>
                <w:iCs w:val="1"/>
                <w:color w:val="auto"/>
                <w:w w:val="94"/>
              </w:rPr>
              <w:t>Green Cubes Technology, LLC (dba Green Cubes)</w:t>
            </w:r>
          </w:p>
        </w:tc>
        <w:tc>
          <w:tcPr>
            <w:tcW w:w="2820" w:type="dxa"/>
            <w:vAlign w:val="bottom"/>
          </w:tcPr>
          <w:p>
            <w:pPr>
              <w:ind w:left="6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 (j)(ax)</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+ 7.50%) / (2.00%)</w:t>
            </w:r>
          </w:p>
        </w:tc>
        <w:tc>
          <w:tcPr>
            <w:tcW w:w="720" w:type="dxa"/>
            <w:vAlign w:val="bottom"/>
          </w:tcPr>
          <w:p>
            <w:pPr>
              <w:ind w:left="40"/>
              <w:spacing w:after="0"/>
              <w:rPr>
                <w:sz w:val="20"/>
                <w:szCs w:val="20"/>
                <w:color w:val="auto"/>
              </w:rPr>
            </w:pPr>
            <w:r>
              <w:rPr>
                <w:rFonts w:ascii="Arial" w:cs="Arial" w:eastAsia="Arial" w:hAnsi="Arial"/>
                <w:sz w:val="10"/>
                <w:szCs w:val="10"/>
                <w:color w:val="auto"/>
              </w:rPr>
              <w:t>11.46%/0.00%</w:t>
            </w:r>
          </w:p>
        </w:tc>
        <w:tc>
          <w:tcPr>
            <w:tcW w:w="640" w:type="dxa"/>
            <w:vAlign w:val="bottom"/>
          </w:tcPr>
          <w:p>
            <w:pPr>
              <w:ind w:left="100"/>
              <w:spacing w:after="0"/>
              <w:rPr>
                <w:sz w:val="20"/>
                <w:szCs w:val="20"/>
                <w:color w:val="auto"/>
              </w:rPr>
            </w:pPr>
            <w:r>
              <w:rPr>
                <w:rFonts w:ascii="Arial" w:cs="Arial" w:eastAsia="Arial" w:hAnsi="Arial"/>
                <w:sz w:val="10"/>
                <w:szCs w:val="10"/>
                <w:color w:val="auto"/>
              </w:rPr>
              <w:t>10/16/2024</w:t>
            </w:r>
          </w:p>
        </w:tc>
        <w:tc>
          <w:tcPr>
            <w:tcW w:w="680" w:type="dxa"/>
            <w:vAlign w:val="bottom"/>
          </w:tcPr>
          <w:p>
            <w:pPr>
              <w:ind w:left="100"/>
              <w:spacing w:after="0"/>
              <w:rPr>
                <w:sz w:val="20"/>
                <w:szCs w:val="20"/>
                <w:color w:val="auto"/>
              </w:rPr>
            </w:pPr>
            <w:r>
              <w:rPr>
                <w:rFonts w:ascii="Arial" w:cs="Arial" w:eastAsia="Arial" w:hAnsi="Arial"/>
                <w:sz w:val="10"/>
                <w:szCs w:val="10"/>
                <w:color w:val="auto"/>
              </w:rPr>
              <w:t>10/16/2029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22,500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22,289</w:t>
            </w:r>
          </w:p>
        </w:tc>
        <w:tc>
          <w:tcPr>
            <w:tcW w:w="440" w:type="dxa"/>
            <w:vAlign w:val="bottom"/>
          </w:tcPr>
          <w:p>
            <w:pPr>
              <w:jc w:val="right"/>
              <w:spacing w:after="0"/>
              <w:rPr>
                <w:sz w:val="20"/>
                <w:szCs w:val="20"/>
                <w:color w:val="auto"/>
              </w:rPr>
            </w:pPr>
            <w:r>
              <w:rPr>
                <w:rFonts w:ascii="Arial" w:cs="Arial" w:eastAsia="Arial" w:hAnsi="Arial"/>
                <w:sz w:val="10"/>
                <w:szCs w:val="10"/>
                <w:color w:val="auto"/>
              </w:rPr>
              <w:t>22,500</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Arial" w:cs="Arial" w:eastAsia="Arial" w:hAnsi="Arial"/>
                <w:sz w:val="10"/>
                <w:szCs w:val="10"/>
                <w:i w:val="1"/>
                <w:iCs w:val="1"/>
                <w:color w:val="auto"/>
              </w:rPr>
              <w:t>Haematologic Technologies, Inc.</w:t>
            </w:r>
          </w:p>
        </w:tc>
        <w:tc>
          <w:tcPr>
            <w:tcW w:w="2820" w:type="dxa"/>
            <w:vAlign w:val="bottom"/>
          </w:tcPr>
          <w:p>
            <w:pPr>
              <w:ind w:left="6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820" w:type="dxa"/>
            <w:vAlign w:val="bottom"/>
          </w:tcPr>
          <w:p>
            <w:pPr>
              <w:ind w:left="1880"/>
              <w:spacing w:after="0"/>
              <w:rPr>
                <w:sz w:val="20"/>
                <w:szCs w:val="20"/>
                <w:color w:val="auto"/>
              </w:rPr>
            </w:pPr>
            <w:r>
              <w:rPr>
                <w:rFonts w:ascii="Arial" w:cs="Arial" w:eastAsia="Arial" w:hAnsi="Arial"/>
                <w:sz w:val="10"/>
                <w:szCs w:val="10"/>
                <w:color w:val="auto"/>
                <w:w w:val="95"/>
              </w:rPr>
              <w:t>(S + 5.25%) / (3.00%)</w:t>
            </w:r>
          </w:p>
        </w:tc>
        <w:tc>
          <w:tcPr>
            <w:tcW w:w="720" w:type="dxa"/>
            <w:vAlign w:val="bottom"/>
          </w:tcPr>
          <w:p>
            <w:pPr>
              <w:ind w:left="40"/>
              <w:spacing w:after="0"/>
              <w:rPr>
                <w:sz w:val="20"/>
                <w:szCs w:val="20"/>
                <w:color w:val="auto"/>
              </w:rPr>
            </w:pPr>
            <w:r>
              <w:rPr>
                <w:rFonts w:ascii="Arial" w:cs="Arial" w:eastAsia="Arial" w:hAnsi="Arial"/>
                <w:sz w:val="10"/>
                <w:szCs w:val="10"/>
                <w:color w:val="auto"/>
              </w:rPr>
              <w:t>9.49%/3.00%</w:t>
            </w:r>
          </w:p>
        </w:tc>
        <w:tc>
          <w:tcPr>
            <w:tcW w:w="640" w:type="dxa"/>
            <w:vAlign w:val="bottom"/>
          </w:tcPr>
          <w:p>
            <w:pPr>
              <w:ind w:left="100"/>
              <w:spacing w:after="0"/>
              <w:rPr>
                <w:sz w:val="20"/>
                <w:szCs w:val="20"/>
                <w:color w:val="auto"/>
              </w:rPr>
            </w:pPr>
            <w:r>
              <w:rPr>
                <w:rFonts w:ascii="Arial" w:cs="Arial" w:eastAsia="Arial" w:hAnsi="Arial"/>
                <w:sz w:val="10"/>
                <w:szCs w:val="10"/>
                <w:color w:val="auto"/>
              </w:rPr>
              <w:t>10/11/2019</w:t>
            </w:r>
          </w:p>
        </w:tc>
        <w:tc>
          <w:tcPr>
            <w:tcW w:w="680" w:type="dxa"/>
            <w:vAlign w:val="bottom"/>
          </w:tcPr>
          <w:p>
            <w:pPr>
              <w:ind w:left="100"/>
              <w:spacing w:after="0"/>
              <w:rPr>
                <w:sz w:val="20"/>
                <w:szCs w:val="20"/>
                <w:color w:val="auto"/>
              </w:rPr>
            </w:pPr>
            <w:r>
              <w:rPr>
                <w:rFonts w:ascii="Arial" w:cs="Arial" w:eastAsia="Arial" w:hAnsi="Arial"/>
                <w:sz w:val="10"/>
                <w:szCs w:val="10"/>
                <w:color w:val="auto"/>
              </w:rPr>
              <w:t>6/30/2026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6,579</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6,579</w:t>
            </w:r>
          </w:p>
        </w:tc>
        <w:tc>
          <w:tcPr>
            <w:tcW w:w="440" w:type="dxa"/>
            <w:vAlign w:val="bottom"/>
          </w:tcPr>
          <w:p>
            <w:pPr>
              <w:jc w:val="right"/>
              <w:spacing w:after="0"/>
              <w:rPr>
                <w:sz w:val="20"/>
                <w:szCs w:val="20"/>
                <w:color w:val="auto"/>
              </w:rPr>
            </w:pPr>
            <w:r>
              <w:rPr>
                <w:rFonts w:ascii="Arial" w:cs="Arial" w:eastAsia="Arial" w:hAnsi="Arial"/>
                <w:sz w:val="10"/>
                <w:szCs w:val="10"/>
                <w:color w:val="auto"/>
              </w:rPr>
              <w:t>6,381</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(630 units) (h)</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10/11/2019</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630</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(169 units) (h)</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6/26/2023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169</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2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7,378</w:t>
            </w:r>
          </w:p>
        </w:tc>
        <w:tc>
          <w:tcPr>
            <w:tcW w:w="440" w:type="dxa"/>
            <w:vAlign w:val="bottom"/>
          </w:tcPr>
          <w:p>
            <w:pPr>
              <w:jc w:val="right"/>
              <w:spacing w:after="0"/>
              <w:rPr>
                <w:sz w:val="20"/>
                <w:szCs w:val="20"/>
                <w:color w:val="auto"/>
              </w:rPr>
            </w:pPr>
            <w:r>
              <w:rPr>
                <w:rFonts w:ascii="Arial" w:cs="Arial" w:eastAsia="Arial" w:hAnsi="Arial"/>
                <w:sz w:val="10"/>
                <w:szCs w:val="10"/>
                <w:color w:val="auto"/>
              </w:rPr>
              <w:t>6,381</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0"/>
                <w:szCs w:val="10"/>
                <w:i w:val="1"/>
                <w:iCs w:val="1"/>
                <w:color w:val="auto"/>
              </w:rPr>
              <w:t>Hallmark Health Care Solutions, Inc.</w:t>
            </w:r>
          </w:p>
        </w:tc>
        <w:tc>
          <w:tcPr>
            <w:tcW w:w="2820" w:type="dxa"/>
            <w:vAlign w:val="bottom"/>
          </w:tcPr>
          <w:p>
            <w:pPr>
              <w:ind w:left="6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60" w:type="dxa"/>
            <w:vAlign w:val="bottom"/>
          </w:tcPr>
          <w:p>
            <w:pPr>
              <w:ind w:left="20"/>
              <w:spacing w:after="0"/>
              <w:rPr>
                <w:sz w:val="20"/>
                <w:szCs w:val="20"/>
                <w:color w:val="auto"/>
              </w:rPr>
            </w:pPr>
            <w:r>
              <w:rPr>
                <w:rFonts w:ascii="Arial" w:cs="Arial" w:eastAsia="Arial" w:hAnsi="Arial"/>
                <w:sz w:val="10"/>
                <w:szCs w:val="10"/>
                <w:color w:val="auto"/>
              </w:rPr>
              <w:t>Common Equity (3,645,752 units)</w:t>
            </w:r>
          </w:p>
        </w:tc>
        <w:tc>
          <w:tcPr>
            <w:tcW w:w="2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9/18/2023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3,646</w:t>
            </w:r>
          </w:p>
        </w:tc>
        <w:tc>
          <w:tcPr>
            <w:tcW w:w="440" w:type="dxa"/>
            <w:vAlign w:val="bottom"/>
          </w:tcPr>
          <w:p>
            <w:pPr>
              <w:jc w:val="right"/>
              <w:spacing w:after="0"/>
              <w:rPr>
                <w:sz w:val="20"/>
                <w:szCs w:val="20"/>
                <w:color w:val="auto"/>
              </w:rPr>
            </w:pPr>
            <w:r>
              <w:rPr>
                <w:rFonts w:ascii="Arial" w:cs="Arial" w:eastAsia="Arial" w:hAnsi="Arial"/>
                <w:sz w:val="10"/>
                <w:szCs w:val="10"/>
                <w:color w:val="auto"/>
              </w:rPr>
              <w:t>1,638</w:t>
            </w:r>
          </w:p>
        </w:tc>
        <w:tc>
          <w:tcPr>
            <w:tcW w:w="0" w:type="dxa"/>
            <w:vAlign w:val="bottom"/>
          </w:tcPr>
          <w:p>
            <w:pPr>
              <w:spacing w:after="0"/>
              <w:rPr>
                <w:sz w:val="1"/>
                <w:szCs w:val="1"/>
                <w:color w:val="auto"/>
              </w:rPr>
            </w:pPr>
          </w:p>
        </w:tc>
      </w:tr>
      <w:tr>
        <w:trPr>
          <w:trHeight w:val="370"/>
        </w:trPr>
        <w:tc>
          <w:tcPr>
            <w:tcW w:w="2160" w:type="dxa"/>
            <w:vAlign w:val="bottom"/>
          </w:tcPr>
          <w:p>
            <w:pPr>
              <w:spacing w:after="0"/>
              <w:rPr>
                <w:sz w:val="20"/>
                <w:szCs w:val="20"/>
                <w:color w:val="auto"/>
              </w:rPr>
            </w:pPr>
            <w:r>
              <w:rPr>
                <w:rFonts w:ascii="Arial" w:cs="Arial" w:eastAsia="Arial" w:hAnsi="Arial"/>
                <w:sz w:val="10"/>
                <w:szCs w:val="10"/>
                <w:i w:val="1"/>
                <w:iCs w:val="1"/>
                <w:color w:val="auto"/>
              </w:rPr>
              <w:t>Hub Acquisition Sub, LLC (dba Hub Pen)</w:t>
            </w:r>
          </w:p>
        </w:tc>
        <w:tc>
          <w:tcPr>
            <w:tcW w:w="2820" w:type="dxa"/>
            <w:vAlign w:val="bottom"/>
          </w:tcPr>
          <w:p>
            <w:pPr>
              <w:ind w:left="60"/>
              <w:spacing w:after="0"/>
              <w:rPr>
                <w:sz w:val="20"/>
                <w:szCs w:val="20"/>
                <w:color w:val="auto"/>
              </w:rPr>
            </w:pPr>
            <w:r>
              <w:rPr>
                <w:rFonts w:ascii="Arial" w:cs="Arial" w:eastAsia="Arial" w:hAnsi="Arial"/>
                <w:sz w:val="10"/>
                <w:szCs w:val="10"/>
                <w:color w:val="auto"/>
              </w:rPr>
              <w:t>Promotional products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60" w:type="dxa"/>
            <w:vAlign w:val="bottom"/>
            <w:vMerge w:val="restart"/>
          </w:tcPr>
          <w:p>
            <w:pPr>
              <w:ind w:left="20"/>
              <w:spacing w:after="0"/>
              <w:rPr>
                <w:sz w:val="20"/>
                <w:szCs w:val="20"/>
                <w:color w:val="auto"/>
              </w:rPr>
            </w:pPr>
            <w:r>
              <w:rPr>
                <w:rFonts w:ascii="Arial" w:cs="Arial" w:eastAsia="Arial" w:hAnsi="Arial"/>
                <w:sz w:val="10"/>
                <w:szCs w:val="10"/>
                <w:color w:val="auto"/>
              </w:rPr>
              <w:t>Second Lien Debt</w:t>
            </w:r>
          </w:p>
        </w:tc>
        <w:tc>
          <w:tcPr>
            <w:tcW w:w="282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11.50%/1.25%</w:t>
            </w:r>
          </w:p>
        </w:tc>
        <w:tc>
          <w:tcPr>
            <w:tcW w:w="640" w:type="dxa"/>
            <w:vAlign w:val="bottom"/>
          </w:tcPr>
          <w:p>
            <w:pPr>
              <w:ind w:left="100"/>
              <w:spacing w:after="0"/>
              <w:rPr>
                <w:sz w:val="20"/>
                <w:szCs w:val="20"/>
                <w:color w:val="auto"/>
              </w:rPr>
            </w:pPr>
            <w:r>
              <w:rPr>
                <w:rFonts w:ascii="Arial" w:cs="Arial" w:eastAsia="Arial" w:hAnsi="Arial"/>
                <w:sz w:val="10"/>
                <w:szCs w:val="10"/>
                <w:color w:val="auto"/>
              </w:rPr>
              <w:t>4/25/2023</w:t>
            </w:r>
          </w:p>
        </w:tc>
        <w:tc>
          <w:tcPr>
            <w:tcW w:w="680" w:type="dxa"/>
            <w:vAlign w:val="bottom"/>
          </w:tcPr>
          <w:p>
            <w:pPr>
              <w:ind w:left="100"/>
              <w:spacing w:after="0"/>
              <w:rPr>
                <w:sz w:val="20"/>
                <w:szCs w:val="20"/>
                <w:color w:val="auto"/>
              </w:rPr>
            </w:pPr>
            <w:r>
              <w:rPr>
                <w:rFonts w:ascii="Arial" w:cs="Arial" w:eastAsia="Arial" w:hAnsi="Arial"/>
                <w:sz w:val="10"/>
                <w:szCs w:val="10"/>
                <w:color w:val="auto"/>
              </w:rPr>
              <w:t>6/30/2028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25,121</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24,947</w:t>
            </w:r>
          </w:p>
        </w:tc>
        <w:tc>
          <w:tcPr>
            <w:tcW w:w="440" w:type="dxa"/>
            <w:vAlign w:val="bottom"/>
          </w:tcPr>
          <w:p>
            <w:pPr>
              <w:jc w:val="right"/>
              <w:spacing w:after="0"/>
              <w:rPr>
                <w:sz w:val="20"/>
                <w:szCs w:val="20"/>
                <w:color w:val="auto"/>
              </w:rPr>
            </w:pPr>
            <w:r>
              <w:rPr>
                <w:rFonts w:ascii="Arial" w:cs="Arial" w:eastAsia="Arial" w:hAnsi="Arial"/>
                <w:sz w:val="10"/>
                <w:szCs w:val="10"/>
                <w:color w:val="auto"/>
              </w:rPr>
              <w:t>25,121</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-7680960</wp:posOffset>
            </wp:positionV>
            <wp:extent cx="5967730" cy="1993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-6875780</wp:posOffset>
            </wp:positionV>
            <wp:extent cx="5967730" cy="1041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-6166485</wp:posOffset>
            </wp:positionV>
            <wp:extent cx="5967730" cy="1041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-5862320</wp:posOffset>
            </wp:positionV>
            <wp:extent cx="5967730" cy="1993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-8086725</wp:posOffset>
            </wp:positionV>
            <wp:extent cx="5967730" cy="81006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7730" cy="81006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-8086725</wp:posOffset>
            </wp:positionV>
            <wp:extent cx="5967730" cy="81006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7730" cy="8100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hanging="70"/>
        <w:spacing w:after="0"/>
        <w:tabs>
          <w:tab w:leader="none" w:pos="80" w:val="left"/>
        </w:tabs>
        <w:numPr>
          <w:ilvl w:val="0"/>
          <w:numId w:val="86"/>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hanging="70"/>
        <w:spacing w:after="0"/>
        <w:tabs>
          <w:tab w:leader="none" w:pos="80" w:val="left"/>
        </w:tabs>
        <w:numPr>
          <w:ilvl w:val="0"/>
          <w:numId w:val="87"/>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45"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45"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0"/>
        <w:spacing w:after="0"/>
        <w:tabs>
          <w:tab w:leader="none" w:pos="80" w:val="left"/>
        </w:tabs>
        <w:numPr>
          <w:ilvl w:val="0"/>
          <w:numId w:val="8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hanging="70"/>
        <w:spacing w:after="0"/>
        <w:tabs>
          <w:tab w:leader="none" w:pos="80" w:val="left"/>
        </w:tabs>
        <w:numPr>
          <w:ilvl w:val="0"/>
          <w:numId w:val="8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913" w:lineRule="exact"/>
        <w:rPr>
          <w:sz w:val="20"/>
          <w:szCs w:val="20"/>
          <w:color w:val="auto"/>
        </w:rPr>
      </w:pPr>
    </w:p>
    <w:p>
      <w:pPr>
        <w:sectPr>
          <w:pgSz w:w="11900" w:h="16838" w:orient="portrait"/>
          <w:cols w:equalWidth="0" w:num="2">
            <w:col w:w="8660" w:space="560"/>
            <w:col w:w="160"/>
          </w:cols>
          <w:pgMar w:left="1260" w:top="1440" w:right="1266"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9380"/>
          </w:cols>
          <w:pgMar w:left="1260" w:top="1440" w:right="1266" w:bottom="0" w:gutter="0" w:footer="0" w:header="0"/>
          <w:type w:val="continuous"/>
        </w:sectPr>
      </w:pPr>
    </w:p>
    <w:bookmarkStart w:id="196" w:name="page197"/>
    <w:bookmarkEnd w:id="196"/>
    <w:p>
      <w:pPr>
        <w:ind w:left="20"/>
        <w:spacing w:after="0"/>
        <w:rPr>
          <w:sz w:val="20"/>
          <w:szCs w:val="20"/>
          <w:color w:val="auto"/>
        </w:rPr>
      </w:pPr>
      <w:r>
        <w:rPr>
          <w:rFonts w:ascii="Arial" w:cs="Arial" w:eastAsia="Arial" w:hAnsi="Arial"/>
          <w:sz w:val="10"/>
          <w:szCs w:val="10"/>
          <w:color w:val="auto"/>
        </w:rPr>
        <w:t>Common Equity (5,837 units)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(637 units)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(868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IBH Holdings, LLC (fka Inflexxion, Inc.)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(150,000 units)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InductiveHealth Informatics, LLC</w:t>
      </w:r>
      <w:r>
        <w:rPr>
          <w:sz w:val="20"/>
          <w:szCs w:val="20"/>
          <w:color w:val="auto"/>
        </w:rPr>
        <w:tab/>
      </w:r>
      <w:r>
        <w:rPr>
          <w:rFonts w:ascii="Arial" w:cs="Arial" w:eastAsia="Arial" w:hAnsi="Arial"/>
          <w:sz w:val="7"/>
          <w:szCs w:val="7"/>
          <w:color w:val="auto"/>
        </w:rPr>
        <w:t>Healthcare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(367 units)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(1,361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Info Tech Operating, LLC (dba infotech)</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(bd)</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Informatics Holdings, Inc. (dba Wasp Barcode</w:t>
      </w:r>
    </w:p>
    <w:p>
      <w:pPr>
        <w:spacing w:after="0" w:line="41" w:lineRule="exact"/>
        <w:rPr>
          <w:sz w:val="20"/>
          <w:szCs w:val="20"/>
          <w:color w:val="auto"/>
        </w:rPr>
      </w:pPr>
    </w:p>
    <w:p>
      <w:pPr>
        <w:spacing w:after="0"/>
        <w:tabs>
          <w:tab w:leader="none" w:pos="2200" w:val="left"/>
        </w:tabs>
        <w:rPr>
          <w:sz w:val="20"/>
          <w:szCs w:val="20"/>
          <w:color w:val="auto"/>
        </w:rPr>
      </w:pPr>
      <w:r>
        <w:rPr>
          <w:rFonts w:ascii="Arial" w:cs="Arial" w:eastAsia="Arial" w:hAnsi="Arial"/>
          <w:sz w:val="9"/>
          <w:szCs w:val="9"/>
          <w:i w:val="1"/>
          <w:iCs w:val="1"/>
          <w:color w:val="auto"/>
        </w:rPr>
        <w:t>Technologies)</w:t>
      </w:r>
      <w:r>
        <w:rPr>
          <w:sz w:val="20"/>
          <w:szCs w:val="20"/>
          <w:color w:val="auto"/>
        </w:rPr>
        <w:tab/>
      </w:r>
      <w:r>
        <w:rPr>
          <w:rFonts w:ascii="Arial" w:cs="Arial" w:eastAsia="Arial" w:hAnsi="Arial"/>
          <w:sz w:val="9"/>
          <w:szCs w:val="9"/>
          <w:color w:val="auto"/>
        </w:rPr>
        <w:t>Information Technology Services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(j)(v)</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(1,000,000 units)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ISI PSG Holdings, LLC (dba Incentive Solutions, Inc.) </w:t>
      </w:r>
      <w:r>
        <w:rPr>
          <w:rFonts w:ascii="Arial" w:cs="Arial" w:eastAsia="Arial" w:hAnsi="Arial"/>
          <w:sz w:val="10"/>
          <w:szCs w:val="10"/>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(256,964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Janus Health Technologies, Inc.</w:t>
      </w:r>
      <w:r>
        <w:rPr>
          <w:sz w:val="20"/>
          <w:szCs w:val="20"/>
          <w:color w:val="auto"/>
        </w:rPr>
        <w:tab/>
      </w:r>
      <w:r>
        <w:rPr>
          <w:rFonts w:ascii="Arial" w:cs="Arial" w:eastAsia="Arial" w:hAnsi="Arial"/>
          <w:sz w:val="9"/>
          <w:szCs w:val="9"/>
          <w:color w:val="auto"/>
        </w:rPr>
        <w:t>Information Technology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(68,361 units)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Jumo Health, Inc.</w:t>
      </w:r>
      <w:r>
        <w:rPr>
          <w:sz w:val="20"/>
          <w:szCs w:val="20"/>
          <w:color w:val="auto"/>
        </w:rPr>
        <w:tab/>
      </w:r>
      <w:r>
        <w:rPr>
          <w:rFonts w:ascii="Arial" w:cs="Arial" w:eastAsia="Arial" w:hAnsi="Arial"/>
          <w:sz w:val="7"/>
          <w:szCs w:val="7"/>
          <w:color w:val="auto"/>
        </w:rPr>
        <w:t>Healthcare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(j)(aw)</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(1,359 shares)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(1,359 shares)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KG Lawn Care, Inc. (dba King Green)</w:t>
      </w:r>
      <w:r>
        <w:rPr>
          <w:sz w:val="20"/>
          <w:szCs w:val="20"/>
          <w:color w:val="auto"/>
        </w:rPr>
        <w:tab/>
      </w:r>
      <w:r>
        <w:rPr>
          <w:rFonts w:ascii="Arial" w:cs="Arial" w:eastAsia="Arial" w:hAnsi="Arial"/>
          <w:sz w:val="7"/>
          <w:szCs w:val="7"/>
          <w:color w:val="auto"/>
        </w:rPr>
        <w:t>Consumer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($2,500 unfunded commitment)(i)</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(62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The Kyjen Company, LLC (dba Outward Hound)</w:t>
      </w:r>
      <w:r>
        <w:rPr>
          <w:sz w:val="20"/>
          <w:szCs w:val="20"/>
          <w:color w:val="auto"/>
        </w:rPr>
        <w:tab/>
      </w:r>
      <w:r>
        <w:rPr>
          <w:rFonts w:ascii="Arial" w:cs="Arial" w:eastAsia="Arial" w:hAnsi="Arial"/>
          <w:sz w:val="9"/>
          <w:szCs w:val="9"/>
          <w:color w:val="auto"/>
        </w:rPr>
        <w:t>Consumer Products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(855 shares)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Laboratory Testing, LLC</w:t>
      </w:r>
      <w:r>
        <w:rPr>
          <w:sz w:val="20"/>
          <w:szCs w:val="20"/>
          <w:color w:val="auto"/>
        </w:rPr>
        <w:tab/>
      </w:r>
      <w:r>
        <w:rPr>
          <w:rFonts w:ascii="Arial" w:cs="Arial" w:eastAsia="Arial" w:hAnsi="Arial"/>
          <w:sz w:val="7"/>
          <w:szCs w:val="7"/>
          <w:color w:val="auto"/>
        </w:rPr>
        <w:t>Business Services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3/23/2016</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1,224</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8/7/2023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102</w:t>
            </w:r>
          </w:p>
        </w:tc>
        <w:tc>
          <w:tcPr>
            <w:tcW w:w="440" w:type="dxa"/>
            <w:vAlign w:val="bottom"/>
          </w:tcPr>
          <w:p>
            <w:pPr>
              <w:jc w:val="right"/>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10/16/2020</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154</w:t>
            </w:r>
          </w:p>
        </w:tc>
        <w:tc>
          <w:tcPr>
            <w:tcW w:w="440" w:type="dxa"/>
            <w:vAlign w:val="bottom"/>
          </w:tcPr>
          <w:p>
            <w:pPr>
              <w:jc w:val="right"/>
              <w:spacing w:after="0"/>
              <w:rPr>
                <w:sz w:val="20"/>
                <w:szCs w:val="20"/>
                <w:color w:val="auto"/>
              </w:rPr>
            </w:pPr>
            <w:r>
              <w:rPr>
                <w:rFonts w:ascii="Arial" w:cs="Arial" w:eastAsia="Arial" w:hAnsi="Arial"/>
                <w:sz w:val="10"/>
                <w:szCs w:val="10"/>
                <w:color w:val="auto"/>
              </w:rPr>
              <w:t>363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25,203</w:t>
            </w:r>
          </w:p>
        </w:tc>
        <w:tc>
          <w:tcPr>
            <w:tcW w:w="440" w:type="dxa"/>
            <w:vAlign w:val="bottom"/>
          </w:tcPr>
          <w:p>
            <w:pPr>
              <w:jc w:val="right"/>
              <w:spacing w:after="0"/>
              <w:rPr>
                <w:sz w:val="20"/>
                <w:szCs w:val="20"/>
                <w:color w:val="auto"/>
              </w:rPr>
            </w:pPr>
            <w:r>
              <w:rPr>
                <w:rFonts w:ascii="Arial" w:cs="Arial" w:eastAsia="Arial" w:hAnsi="Arial"/>
                <w:sz w:val="10"/>
                <w:szCs w:val="10"/>
                <w:color w:val="auto"/>
              </w:rPr>
              <w:t>26,842</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6/20/2018</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0"/>
                <w:szCs w:val="20"/>
                <w:color w:val="auto"/>
              </w:rPr>
            </w:pPr>
            <w:r>
              <w:rPr>
                <w:rFonts w:ascii="Arial" w:cs="Arial" w:eastAsia="Arial" w:hAnsi="Arial"/>
                <w:sz w:val="10"/>
                <w:szCs w:val="10"/>
                <w:color w:val="auto"/>
                <w:w w:val="95"/>
              </w:rPr>
              <w:t>(S + 7.75%) / (2.00%)</w:t>
            </w:r>
          </w:p>
        </w:tc>
        <w:tc>
          <w:tcPr>
            <w:tcW w:w="720" w:type="dxa"/>
            <w:vAlign w:val="bottom"/>
          </w:tcPr>
          <w:p>
            <w:pPr>
              <w:ind w:left="40"/>
              <w:spacing w:after="0"/>
              <w:rPr>
                <w:sz w:val="20"/>
                <w:szCs w:val="20"/>
                <w:color w:val="auto"/>
              </w:rPr>
            </w:pPr>
            <w:r>
              <w:rPr>
                <w:rFonts w:ascii="Arial" w:cs="Arial" w:eastAsia="Arial" w:hAnsi="Arial"/>
                <w:sz w:val="10"/>
                <w:szCs w:val="10"/>
                <w:color w:val="auto"/>
              </w:rPr>
              <w:t>11.71%/0.50%</w:t>
            </w:r>
          </w:p>
        </w:tc>
        <w:tc>
          <w:tcPr>
            <w:tcW w:w="64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ind w:left="100"/>
              <w:spacing w:after="0"/>
              <w:rPr>
                <w:sz w:val="20"/>
                <w:szCs w:val="20"/>
                <w:color w:val="auto"/>
              </w:rPr>
            </w:pPr>
            <w:r>
              <w:rPr>
                <w:rFonts w:ascii="Arial" w:cs="Arial" w:eastAsia="Arial" w:hAnsi="Arial"/>
                <w:sz w:val="10"/>
                <w:szCs w:val="10"/>
                <w:color w:val="auto"/>
              </w:rPr>
              <w:t>9/20/2028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35,065</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34,775</w:t>
            </w:r>
          </w:p>
        </w:tc>
        <w:tc>
          <w:tcPr>
            <w:tcW w:w="440" w:type="dxa"/>
            <w:vAlign w:val="bottom"/>
          </w:tcPr>
          <w:p>
            <w:pPr>
              <w:jc w:val="right"/>
              <w:spacing w:after="0"/>
              <w:rPr>
                <w:sz w:val="20"/>
                <w:szCs w:val="20"/>
                <w:color w:val="auto"/>
              </w:rPr>
            </w:pPr>
            <w:r>
              <w:rPr>
                <w:rFonts w:ascii="Arial" w:cs="Arial" w:eastAsia="Arial" w:hAnsi="Arial"/>
                <w:sz w:val="10"/>
                <w:szCs w:val="10"/>
                <w:color w:val="auto"/>
              </w:rPr>
              <w:t>35,065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+ 7.75%) / (2.00%)</w:t>
            </w:r>
          </w:p>
        </w:tc>
        <w:tc>
          <w:tcPr>
            <w:tcW w:w="720" w:type="dxa"/>
            <w:vAlign w:val="bottom"/>
          </w:tcPr>
          <w:p>
            <w:pPr>
              <w:ind w:left="40"/>
              <w:spacing w:after="0"/>
              <w:rPr>
                <w:sz w:val="20"/>
                <w:szCs w:val="20"/>
                <w:color w:val="auto"/>
              </w:rPr>
            </w:pPr>
            <w:r>
              <w:rPr>
                <w:rFonts w:ascii="Arial" w:cs="Arial" w:eastAsia="Arial" w:hAnsi="Arial"/>
                <w:sz w:val="10"/>
                <w:szCs w:val="10"/>
                <w:color w:val="auto"/>
              </w:rPr>
              <w:t>11.71%/0.50%</w:t>
            </w:r>
          </w:p>
        </w:tc>
        <w:tc>
          <w:tcPr>
            <w:tcW w:w="640" w:type="dxa"/>
            <w:vAlign w:val="bottom"/>
          </w:tcPr>
          <w:p>
            <w:pPr>
              <w:ind w:left="100"/>
              <w:spacing w:after="0"/>
              <w:rPr>
                <w:sz w:val="20"/>
                <w:szCs w:val="20"/>
                <w:color w:val="auto"/>
              </w:rPr>
            </w:pPr>
            <w:r>
              <w:rPr>
                <w:rFonts w:ascii="Arial" w:cs="Arial" w:eastAsia="Arial" w:hAnsi="Arial"/>
                <w:sz w:val="10"/>
                <w:szCs w:val="10"/>
                <w:color w:val="auto"/>
              </w:rPr>
              <w:t>12/16/2025</w:t>
            </w:r>
          </w:p>
        </w:tc>
        <w:tc>
          <w:tcPr>
            <w:tcW w:w="680" w:type="dxa"/>
            <w:vAlign w:val="bottom"/>
          </w:tcPr>
          <w:p>
            <w:pPr>
              <w:ind w:left="100"/>
              <w:spacing w:after="0"/>
              <w:rPr>
                <w:sz w:val="20"/>
                <w:szCs w:val="20"/>
                <w:color w:val="auto"/>
              </w:rPr>
            </w:pPr>
            <w:r>
              <w:rPr>
                <w:rFonts w:ascii="Arial" w:cs="Arial" w:eastAsia="Arial" w:hAnsi="Arial"/>
                <w:sz w:val="10"/>
                <w:szCs w:val="10"/>
                <w:color w:val="auto"/>
              </w:rPr>
              <w:t>9/20/2028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2,993</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2,964</w:t>
            </w:r>
          </w:p>
        </w:tc>
        <w:tc>
          <w:tcPr>
            <w:tcW w:w="440" w:type="dxa"/>
            <w:vAlign w:val="bottom"/>
          </w:tcPr>
          <w:p>
            <w:pPr>
              <w:jc w:val="right"/>
              <w:spacing w:after="0"/>
              <w:rPr>
                <w:sz w:val="20"/>
                <w:szCs w:val="20"/>
                <w:color w:val="auto"/>
              </w:rPr>
            </w:pPr>
            <w:r>
              <w:rPr>
                <w:rFonts w:ascii="Arial" w:cs="Arial" w:eastAsia="Arial" w:hAnsi="Arial"/>
                <w:sz w:val="10"/>
                <w:szCs w:val="10"/>
                <w:color w:val="auto"/>
              </w:rPr>
              <w:t>2,994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292</w:t>
            </w:r>
          </w:p>
        </w:tc>
        <w:tc>
          <w:tcPr>
            <w:tcW w:w="440" w:type="dxa"/>
            <w:vAlign w:val="bottom"/>
          </w:tcPr>
          <w:p>
            <w:pPr>
              <w:jc w:val="right"/>
              <w:spacing w:after="0"/>
              <w:rPr>
                <w:sz w:val="20"/>
                <w:szCs w:val="20"/>
                <w:color w:val="auto"/>
              </w:rPr>
            </w:pPr>
            <w:r>
              <w:rPr>
                <w:rFonts w:ascii="Arial" w:cs="Arial" w:eastAsia="Arial" w:hAnsi="Arial"/>
                <w:sz w:val="10"/>
                <w:szCs w:val="10"/>
                <w:color w:val="auto"/>
              </w:rPr>
              <w:t>330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38,031</w:t>
            </w:r>
          </w:p>
        </w:tc>
        <w:tc>
          <w:tcPr>
            <w:tcW w:w="440" w:type="dxa"/>
            <w:vAlign w:val="bottom"/>
          </w:tcPr>
          <w:p>
            <w:pPr>
              <w:jc w:val="right"/>
              <w:spacing w:after="0"/>
              <w:rPr>
                <w:sz w:val="20"/>
                <w:szCs w:val="20"/>
                <w:color w:val="auto"/>
              </w:rPr>
            </w:pPr>
            <w:r>
              <w:rPr>
                <w:rFonts w:ascii="Arial" w:cs="Arial" w:eastAsia="Arial" w:hAnsi="Arial"/>
                <w:sz w:val="10"/>
                <w:szCs w:val="10"/>
                <w:color w:val="auto"/>
              </w:rPr>
              <w:t>38,389</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+ 4.88%) / (2.00%)</w:t>
            </w:r>
          </w:p>
        </w:tc>
        <w:tc>
          <w:tcPr>
            <w:tcW w:w="720" w:type="dxa"/>
            <w:vAlign w:val="bottom"/>
          </w:tcPr>
          <w:p>
            <w:pPr>
              <w:ind w:left="40"/>
              <w:spacing w:after="0"/>
              <w:rPr>
                <w:sz w:val="20"/>
                <w:szCs w:val="20"/>
                <w:color w:val="auto"/>
              </w:rPr>
            </w:pPr>
            <w:r>
              <w:rPr>
                <w:rFonts w:ascii="Arial" w:cs="Arial" w:eastAsia="Arial" w:hAnsi="Arial"/>
                <w:sz w:val="10"/>
                <w:szCs w:val="10"/>
                <w:color w:val="auto"/>
              </w:rPr>
              <w:t>8.55%/0.00%</w:t>
            </w:r>
          </w:p>
        </w:tc>
        <w:tc>
          <w:tcPr>
            <w:tcW w:w="640" w:type="dxa"/>
            <w:vAlign w:val="bottom"/>
          </w:tcPr>
          <w:p>
            <w:pPr>
              <w:ind w:left="100"/>
              <w:spacing w:after="0"/>
              <w:rPr>
                <w:sz w:val="20"/>
                <w:szCs w:val="20"/>
                <w:color w:val="auto"/>
              </w:rPr>
            </w:pPr>
            <w:r>
              <w:rPr>
                <w:rFonts w:ascii="Arial" w:cs="Arial" w:eastAsia="Arial" w:hAnsi="Arial"/>
                <w:sz w:val="10"/>
                <w:szCs w:val="10"/>
                <w:color w:val="auto"/>
              </w:rPr>
              <w:t>3/31/2025</w:t>
            </w:r>
          </w:p>
        </w:tc>
        <w:tc>
          <w:tcPr>
            <w:tcW w:w="680" w:type="dxa"/>
            <w:vAlign w:val="bottom"/>
          </w:tcPr>
          <w:p>
            <w:pPr>
              <w:ind w:left="100"/>
              <w:spacing w:after="0"/>
              <w:rPr>
                <w:sz w:val="20"/>
                <w:szCs w:val="20"/>
                <w:color w:val="auto"/>
              </w:rPr>
            </w:pPr>
            <w:r>
              <w:rPr>
                <w:rFonts w:ascii="Arial" w:cs="Arial" w:eastAsia="Arial" w:hAnsi="Arial"/>
                <w:sz w:val="10"/>
                <w:szCs w:val="10"/>
                <w:color w:val="auto"/>
              </w:rPr>
              <w:t>3/31/2030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18,000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17,882</w:t>
            </w:r>
          </w:p>
        </w:tc>
        <w:tc>
          <w:tcPr>
            <w:tcW w:w="440" w:type="dxa"/>
            <w:vAlign w:val="bottom"/>
          </w:tcPr>
          <w:p>
            <w:pPr>
              <w:jc w:val="right"/>
              <w:spacing w:after="0"/>
              <w:rPr>
                <w:sz w:val="20"/>
                <w:szCs w:val="20"/>
                <w:color w:val="auto"/>
              </w:rPr>
            </w:pPr>
            <w:r>
              <w:rPr>
                <w:rFonts w:ascii="Arial" w:cs="Arial" w:eastAsia="Arial" w:hAnsi="Arial"/>
                <w:sz w:val="10"/>
                <w:szCs w:val="10"/>
                <w:color w:val="auto"/>
              </w:rPr>
              <w:t>18,000</w:t>
            </w:r>
          </w:p>
        </w:tc>
        <w:tc>
          <w:tcPr>
            <w:tcW w:w="0" w:type="dxa"/>
            <w:vAlign w:val="bottom"/>
          </w:tcPr>
          <w:p>
            <w:pPr>
              <w:spacing w:after="0"/>
              <w:rPr>
                <w:sz w:val="1"/>
                <w:szCs w:val="1"/>
                <w:color w:val="auto"/>
              </w:rPr>
            </w:pPr>
          </w:p>
        </w:tc>
      </w:tr>
      <w:tr>
        <w:trPr>
          <w:trHeight w:val="793"/>
        </w:trPr>
        <w:tc>
          <w:tcPr>
            <w:tcW w:w="940" w:type="dxa"/>
            <w:vAlign w:val="bottom"/>
          </w:tcPr>
          <w:p>
            <w:pPr>
              <w:spacing w:after="0"/>
              <w:rPr>
                <w:sz w:val="20"/>
                <w:szCs w:val="20"/>
                <w:color w:val="auto"/>
              </w:rPr>
            </w:pPr>
            <w:r>
              <w:rPr>
                <w:rFonts w:ascii="Arial" w:cs="Arial" w:eastAsia="Arial" w:hAnsi="Arial"/>
                <w:sz w:val="10"/>
                <w:szCs w:val="10"/>
                <w:color w:val="auto"/>
                <w:w w:val="95"/>
              </w:rPr>
              <w:t>(S + 6.50%) / (2.50%)</w:t>
            </w:r>
          </w:p>
        </w:tc>
        <w:tc>
          <w:tcPr>
            <w:tcW w:w="720" w:type="dxa"/>
            <w:vAlign w:val="bottom"/>
          </w:tcPr>
          <w:p>
            <w:pPr>
              <w:ind w:left="40"/>
              <w:spacing w:after="0"/>
              <w:rPr>
                <w:sz w:val="20"/>
                <w:szCs w:val="20"/>
                <w:color w:val="auto"/>
              </w:rPr>
            </w:pPr>
            <w:r>
              <w:rPr>
                <w:rFonts w:ascii="Arial" w:cs="Arial" w:eastAsia="Arial" w:hAnsi="Arial"/>
                <w:sz w:val="10"/>
                <w:szCs w:val="10"/>
                <w:color w:val="auto"/>
              </w:rPr>
              <w:t>10.49%/0.00%</w:t>
            </w:r>
          </w:p>
        </w:tc>
        <w:tc>
          <w:tcPr>
            <w:tcW w:w="640" w:type="dxa"/>
            <w:vAlign w:val="bottom"/>
          </w:tcPr>
          <w:p>
            <w:pPr>
              <w:ind w:left="100"/>
              <w:spacing w:after="0"/>
              <w:rPr>
                <w:sz w:val="20"/>
                <w:szCs w:val="20"/>
                <w:color w:val="auto"/>
              </w:rPr>
            </w:pPr>
            <w:r>
              <w:rPr>
                <w:rFonts w:ascii="Arial" w:cs="Arial" w:eastAsia="Arial" w:hAnsi="Arial"/>
                <w:sz w:val="10"/>
                <w:szCs w:val="10"/>
                <w:color w:val="auto"/>
              </w:rPr>
              <w:t>5/1/2024</w:t>
            </w:r>
          </w:p>
        </w:tc>
        <w:tc>
          <w:tcPr>
            <w:tcW w:w="680" w:type="dxa"/>
            <w:vAlign w:val="bottom"/>
          </w:tcPr>
          <w:p>
            <w:pPr>
              <w:ind w:left="100"/>
              <w:spacing w:after="0"/>
              <w:rPr>
                <w:sz w:val="20"/>
                <w:szCs w:val="20"/>
                <w:color w:val="auto"/>
              </w:rPr>
            </w:pPr>
            <w:r>
              <w:rPr>
                <w:rFonts w:ascii="Arial" w:cs="Arial" w:eastAsia="Arial" w:hAnsi="Arial"/>
                <w:sz w:val="10"/>
                <w:szCs w:val="10"/>
                <w:color w:val="auto"/>
              </w:rPr>
              <w:t>3/7/2029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8,989</w:t>
            </w:r>
          </w:p>
        </w:tc>
        <w:tc>
          <w:tcPr>
            <w:tcW w:w="440" w:type="dxa"/>
            <w:vAlign w:val="bottom"/>
          </w:tcPr>
          <w:p>
            <w:pPr>
              <w:jc w:val="right"/>
              <w:spacing w:after="0"/>
              <w:rPr>
                <w:sz w:val="20"/>
                <w:szCs w:val="20"/>
                <w:color w:val="auto"/>
              </w:rPr>
            </w:pPr>
            <w:r>
              <w:rPr>
                <w:rFonts w:ascii="Arial" w:cs="Arial" w:eastAsia="Arial" w:hAnsi="Arial"/>
                <w:sz w:val="10"/>
                <w:szCs w:val="10"/>
                <w:color w:val="auto"/>
              </w:rPr>
              <w:t>9,000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3/7/2024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1,000</w:t>
            </w:r>
          </w:p>
        </w:tc>
        <w:tc>
          <w:tcPr>
            <w:tcW w:w="440" w:type="dxa"/>
            <w:vAlign w:val="bottom"/>
          </w:tcPr>
          <w:p>
            <w:pPr>
              <w:jc w:val="right"/>
              <w:spacing w:after="0"/>
              <w:rPr>
                <w:sz w:val="20"/>
                <w:szCs w:val="20"/>
                <w:color w:val="auto"/>
              </w:rPr>
            </w:pPr>
            <w:r>
              <w:rPr>
                <w:rFonts w:ascii="Arial" w:cs="Arial" w:eastAsia="Arial" w:hAnsi="Arial"/>
                <w:sz w:val="10"/>
                <w:szCs w:val="10"/>
                <w:color w:val="auto"/>
              </w:rPr>
              <w:t>504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9,989</w:t>
            </w:r>
          </w:p>
        </w:tc>
        <w:tc>
          <w:tcPr>
            <w:tcW w:w="440" w:type="dxa"/>
            <w:vAlign w:val="bottom"/>
          </w:tcPr>
          <w:p>
            <w:pPr>
              <w:jc w:val="right"/>
              <w:spacing w:after="0"/>
              <w:rPr>
                <w:sz w:val="20"/>
                <w:szCs w:val="20"/>
                <w:color w:val="auto"/>
              </w:rPr>
            </w:pPr>
            <w:r>
              <w:rPr>
                <w:rFonts w:ascii="Arial" w:cs="Arial" w:eastAsia="Arial" w:hAnsi="Arial"/>
                <w:sz w:val="10"/>
                <w:szCs w:val="10"/>
                <w:color w:val="auto"/>
              </w:rPr>
              <w:t>9,504</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+ 7.50%) / (0.50%)</w:t>
            </w:r>
          </w:p>
        </w:tc>
        <w:tc>
          <w:tcPr>
            <w:tcW w:w="720" w:type="dxa"/>
            <w:vAlign w:val="bottom"/>
          </w:tcPr>
          <w:p>
            <w:pPr>
              <w:ind w:left="40"/>
              <w:spacing w:after="0"/>
              <w:rPr>
                <w:sz w:val="20"/>
                <w:szCs w:val="20"/>
                <w:color w:val="auto"/>
              </w:rPr>
            </w:pPr>
            <w:r>
              <w:rPr>
                <w:rFonts w:ascii="Arial" w:cs="Arial" w:eastAsia="Arial" w:hAnsi="Arial"/>
                <w:sz w:val="10"/>
                <w:szCs w:val="10"/>
                <w:color w:val="auto"/>
              </w:rPr>
              <w:t>11.32%/0.00%</w:t>
            </w:r>
          </w:p>
        </w:tc>
        <w:tc>
          <w:tcPr>
            <w:tcW w:w="640" w:type="dxa"/>
            <w:vAlign w:val="bottom"/>
          </w:tcPr>
          <w:p>
            <w:pPr>
              <w:ind w:left="100"/>
              <w:spacing w:after="0"/>
              <w:rPr>
                <w:sz w:val="20"/>
                <w:szCs w:val="20"/>
                <w:color w:val="auto"/>
              </w:rPr>
            </w:pPr>
            <w:r>
              <w:rPr>
                <w:rFonts w:ascii="Arial" w:cs="Arial" w:eastAsia="Arial" w:hAnsi="Arial"/>
                <w:sz w:val="10"/>
                <w:szCs w:val="10"/>
                <w:color w:val="auto"/>
              </w:rPr>
              <w:t>4/5/2021</w:t>
            </w:r>
          </w:p>
        </w:tc>
        <w:tc>
          <w:tcPr>
            <w:tcW w:w="680" w:type="dxa"/>
            <w:vAlign w:val="bottom"/>
          </w:tcPr>
          <w:p>
            <w:pPr>
              <w:ind w:left="100"/>
              <w:spacing w:after="0"/>
              <w:rPr>
                <w:sz w:val="20"/>
                <w:szCs w:val="20"/>
                <w:color w:val="auto"/>
              </w:rPr>
            </w:pPr>
            <w:r>
              <w:rPr>
                <w:rFonts w:ascii="Arial" w:cs="Arial" w:eastAsia="Arial" w:hAnsi="Arial"/>
                <w:sz w:val="10"/>
                <w:szCs w:val="10"/>
                <w:color w:val="auto"/>
              </w:rPr>
              <w:t>4/5/2026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9,465</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9,460</w:t>
            </w:r>
          </w:p>
        </w:tc>
        <w:tc>
          <w:tcPr>
            <w:tcW w:w="440" w:type="dxa"/>
            <w:vAlign w:val="bottom"/>
          </w:tcPr>
          <w:p>
            <w:pPr>
              <w:jc w:val="right"/>
              <w:spacing w:after="0"/>
              <w:rPr>
                <w:sz w:val="20"/>
                <w:szCs w:val="20"/>
                <w:color w:val="auto"/>
              </w:rPr>
            </w:pPr>
            <w:r>
              <w:rPr>
                <w:rFonts w:ascii="Arial" w:cs="Arial" w:eastAsia="Arial" w:hAnsi="Arial"/>
                <w:sz w:val="10"/>
                <w:szCs w:val="10"/>
                <w:color w:val="auto"/>
              </w:rPr>
              <w:t>9,465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+ 7.50%) / (0.50%)</w:t>
            </w:r>
          </w:p>
        </w:tc>
        <w:tc>
          <w:tcPr>
            <w:tcW w:w="720" w:type="dxa"/>
            <w:vAlign w:val="bottom"/>
          </w:tcPr>
          <w:p>
            <w:pPr>
              <w:ind w:left="40"/>
              <w:spacing w:after="0"/>
              <w:rPr>
                <w:sz w:val="20"/>
                <w:szCs w:val="20"/>
                <w:color w:val="auto"/>
              </w:rPr>
            </w:pPr>
            <w:r>
              <w:rPr>
                <w:rFonts w:ascii="Arial" w:cs="Arial" w:eastAsia="Arial" w:hAnsi="Arial"/>
                <w:sz w:val="10"/>
                <w:szCs w:val="10"/>
                <w:color w:val="auto"/>
              </w:rPr>
              <w:t>7.82%/0.00%</w:t>
            </w:r>
          </w:p>
        </w:tc>
        <w:tc>
          <w:tcPr>
            <w:tcW w:w="640" w:type="dxa"/>
            <w:vAlign w:val="bottom"/>
          </w:tcPr>
          <w:p>
            <w:pPr>
              <w:ind w:left="100"/>
              <w:spacing w:after="0"/>
              <w:rPr>
                <w:sz w:val="20"/>
                <w:szCs w:val="20"/>
                <w:color w:val="auto"/>
              </w:rPr>
            </w:pPr>
            <w:r>
              <w:rPr>
                <w:rFonts w:ascii="Arial" w:cs="Arial" w:eastAsia="Arial" w:hAnsi="Arial"/>
                <w:sz w:val="10"/>
                <w:szCs w:val="10"/>
                <w:color w:val="auto"/>
              </w:rPr>
              <w:t>6/30/2021</w:t>
            </w:r>
          </w:p>
        </w:tc>
        <w:tc>
          <w:tcPr>
            <w:tcW w:w="680" w:type="dxa"/>
            <w:vAlign w:val="bottom"/>
          </w:tcPr>
          <w:p>
            <w:pPr>
              <w:ind w:left="100"/>
              <w:spacing w:after="0"/>
              <w:rPr>
                <w:sz w:val="20"/>
                <w:szCs w:val="20"/>
                <w:color w:val="auto"/>
              </w:rPr>
            </w:pPr>
            <w:r>
              <w:rPr>
                <w:rFonts w:ascii="Arial" w:cs="Arial" w:eastAsia="Arial" w:hAnsi="Arial"/>
                <w:sz w:val="10"/>
                <w:szCs w:val="10"/>
                <w:color w:val="auto"/>
              </w:rPr>
              <w:t>4/5/2026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9,813</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9,813</w:t>
            </w:r>
          </w:p>
        </w:tc>
        <w:tc>
          <w:tcPr>
            <w:tcW w:w="440" w:type="dxa"/>
            <w:vAlign w:val="bottom"/>
          </w:tcPr>
          <w:p>
            <w:pPr>
              <w:jc w:val="right"/>
              <w:spacing w:after="0"/>
              <w:rPr>
                <w:sz w:val="20"/>
                <w:szCs w:val="20"/>
                <w:color w:val="auto"/>
              </w:rPr>
            </w:pPr>
            <w:r>
              <w:rPr>
                <w:rFonts w:ascii="Arial" w:cs="Arial" w:eastAsia="Arial" w:hAnsi="Arial"/>
                <w:sz w:val="10"/>
                <w:szCs w:val="10"/>
                <w:color w:val="auto"/>
              </w:rPr>
              <w:t>9,809</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4/5/2021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500</w:t>
            </w:r>
          </w:p>
        </w:tc>
        <w:tc>
          <w:tcPr>
            <w:tcW w:w="440" w:type="dxa"/>
            <w:vAlign w:val="bottom"/>
          </w:tcPr>
          <w:p>
            <w:pPr>
              <w:jc w:val="right"/>
              <w:spacing w:after="0"/>
              <w:rPr>
                <w:sz w:val="20"/>
                <w:szCs w:val="20"/>
                <w:color w:val="auto"/>
              </w:rPr>
            </w:pPr>
            <w:r>
              <w:rPr>
                <w:rFonts w:ascii="Arial" w:cs="Arial" w:eastAsia="Arial" w:hAnsi="Arial"/>
                <w:sz w:val="10"/>
                <w:szCs w:val="10"/>
                <w:color w:val="auto"/>
              </w:rPr>
              <w:t>349</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19,773</w:t>
            </w:r>
          </w:p>
        </w:tc>
        <w:tc>
          <w:tcPr>
            <w:tcW w:w="440" w:type="dxa"/>
            <w:vAlign w:val="bottom"/>
          </w:tcPr>
          <w:p>
            <w:pPr>
              <w:jc w:val="right"/>
              <w:spacing w:after="0"/>
              <w:rPr>
                <w:sz w:val="20"/>
                <w:szCs w:val="20"/>
                <w:color w:val="auto"/>
              </w:rPr>
            </w:pPr>
            <w:r>
              <w:rPr>
                <w:rFonts w:ascii="Arial" w:cs="Arial" w:eastAsia="Arial" w:hAnsi="Arial"/>
                <w:sz w:val="10"/>
                <w:szCs w:val="10"/>
                <w:color w:val="auto"/>
              </w:rPr>
              <w:t>19,623</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1/3/2024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1,500</w:t>
            </w:r>
          </w:p>
        </w:tc>
        <w:tc>
          <w:tcPr>
            <w:tcW w:w="440" w:type="dxa"/>
            <w:vAlign w:val="bottom"/>
          </w:tcPr>
          <w:p>
            <w:pPr>
              <w:jc w:val="right"/>
              <w:spacing w:after="0"/>
              <w:rPr>
                <w:sz w:val="20"/>
                <w:szCs w:val="20"/>
                <w:color w:val="auto"/>
              </w:rPr>
            </w:pPr>
            <w:r>
              <w:rPr>
                <w:rFonts w:ascii="Arial" w:cs="Arial" w:eastAsia="Arial" w:hAnsi="Arial"/>
                <w:sz w:val="10"/>
                <w:szCs w:val="10"/>
                <w:color w:val="auto"/>
              </w:rPr>
              <w:t>1,020</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+ 5.50%) / (2.00%)</w:t>
            </w:r>
          </w:p>
        </w:tc>
        <w:tc>
          <w:tcPr>
            <w:tcW w:w="720" w:type="dxa"/>
            <w:vAlign w:val="bottom"/>
          </w:tcPr>
          <w:p>
            <w:pPr>
              <w:ind w:left="40"/>
              <w:spacing w:after="0"/>
              <w:rPr>
                <w:sz w:val="20"/>
                <w:szCs w:val="20"/>
                <w:color w:val="auto"/>
              </w:rPr>
            </w:pPr>
            <w:r>
              <w:rPr>
                <w:rFonts w:ascii="Arial" w:cs="Arial" w:eastAsia="Arial" w:hAnsi="Arial"/>
                <w:sz w:val="10"/>
                <w:szCs w:val="10"/>
                <w:color w:val="auto"/>
              </w:rPr>
              <w:t>9.46%/0.00%</w:t>
            </w:r>
          </w:p>
        </w:tc>
        <w:tc>
          <w:tcPr>
            <w:tcW w:w="640" w:type="dxa"/>
            <w:vAlign w:val="bottom"/>
          </w:tcPr>
          <w:p>
            <w:pPr>
              <w:ind w:left="100"/>
              <w:spacing w:after="0"/>
              <w:rPr>
                <w:sz w:val="20"/>
                <w:szCs w:val="20"/>
                <w:color w:val="auto"/>
              </w:rPr>
            </w:pPr>
            <w:r>
              <w:rPr>
                <w:rFonts w:ascii="Arial" w:cs="Arial" w:eastAsia="Arial" w:hAnsi="Arial"/>
                <w:sz w:val="10"/>
                <w:szCs w:val="10"/>
                <w:color w:val="auto"/>
              </w:rPr>
              <w:t>8/16/2024</w:t>
            </w:r>
          </w:p>
        </w:tc>
        <w:tc>
          <w:tcPr>
            <w:tcW w:w="680" w:type="dxa"/>
            <w:vAlign w:val="bottom"/>
          </w:tcPr>
          <w:p>
            <w:pPr>
              <w:ind w:left="100"/>
              <w:spacing w:after="0"/>
              <w:rPr>
                <w:sz w:val="20"/>
                <w:szCs w:val="20"/>
                <w:color w:val="auto"/>
              </w:rPr>
            </w:pPr>
            <w:r>
              <w:rPr>
                <w:rFonts w:ascii="Arial" w:cs="Arial" w:eastAsia="Arial" w:hAnsi="Arial"/>
                <w:sz w:val="10"/>
                <w:szCs w:val="10"/>
                <w:color w:val="auto"/>
              </w:rPr>
              <w:t>8/16/2029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5,940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5,888</w:t>
            </w:r>
          </w:p>
        </w:tc>
        <w:tc>
          <w:tcPr>
            <w:tcW w:w="440" w:type="dxa"/>
            <w:vAlign w:val="bottom"/>
          </w:tcPr>
          <w:p>
            <w:pPr>
              <w:jc w:val="right"/>
              <w:spacing w:after="0"/>
              <w:rPr>
                <w:sz w:val="20"/>
                <w:szCs w:val="20"/>
                <w:color w:val="auto"/>
              </w:rPr>
            </w:pPr>
            <w:r>
              <w:rPr>
                <w:rFonts w:ascii="Arial" w:cs="Arial" w:eastAsia="Arial" w:hAnsi="Arial"/>
                <w:sz w:val="10"/>
                <w:szCs w:val="10"/>
                <w:color w:val="auto"/>
              </w:rPr>
              <w:t>5,940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8/16/2024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8/16/2024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750</w:t>
            </w:r>
          </w:p>
        </w:tc>
        <w:tc>
          <w:tcPr>
            <w:tcW w:w="440" w:type="dxa"/>
            <w:vAlign w:val="bottom"/>
          </w:tcPr>
          <w:p>
            <w:pPr>
              <w:jc w:val="right"/>
              <w:spacing w:after="0"/>
              <w:rPr>
                <w:sz w:val="20"/>
                <w:szCs w:val="20"/>
                <w:color w:val="auto"/>
              </w:rPr>
            </w:pPr>
            <w:r>
              <w:rPr>
                <w:rFonts w:ascii="Arial" w:cs="Arial" w:eastAsia="Arial" w:hAnsi="Arial"/>
                <w:sz w:val="10"/>
                <w:szCs w:val="10"/>
                <w:color w:val="auto"/>
              </w:rPr>
              <w:t>438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6,638</w:t>
            </w:r>
          </w:p>
        </w:tc>
        <w:tc>
          <w:tcPr>
            <w:tcW w:w="440" w:type="dxa"/>
            <w:vAlign w:val="bottom"/>
          </w:tcPr>
          <w:p>
            <w:pPr>
              <w:jc w:val="right"/>
              <w:spacing w:after="0"/>
              <w:rPr>
                <w:sz w:val="20"/>
                <w:szCs w:val="20"/>
                <w:color w:val="auto"/>
              </w:rPr>
            </w:pPr>
            <w:r>
              <w:rPr>
                <w:rFonts w:ascii="Arial" w:cs="Arial" w:eastAsia="Arial" w:hAnsi="Arial"/>
                <w:sz w:val="10"/>
                <w:szCs w:val="10"/>
                <w:color w:val="auto"/>
              </w:rPr>
              <w:t>6,378</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+ 5.50%) / (2.00%)</w:t>
            </w:r>
          </w:p>
        </w:tc>
        <w:tc>
          <w:tcPr>
            <w:tcW w:w="720" w:type="dxa"/>
            <w:vAlign w:val="bottom"/>
          </w:tcPr>
          <w:p>
            <w:pPr>
              <w:ind w:left="40"/>
              <w:spacing w:after="0"/>
              <w:rPr>
                <w:sz w:val="20"/>
                <w:szCs w:val="20"/>
                <w:color w:val="auto"/>
              </w:rPr>
            </w:pPr>
            <w:r>
              <w:rPr>
                <w:rFonts w:ascii="Arial" w:cs="Arial" w:eastAsia="Arial" w:hAnsi="Arial"/>
                <w:sz w:val="10"/>
                <w:szCs w:val="10"/>
                <w:color w:val="auto"/>
              </w:rPr>
              <w:t>9.34%/0.00%</w:t>
            </w:r>
          </w:p>
        </w:tc>
        <w:tc>
          <w:tcPr>
            <w:tcW w:w="640" w:type="dxa"/>
            <w:vAlign w:val="bottom"/>
          </w:tcPr>
          <w:p>
            <w:pPr>
              <w:ind w:left="100"/>
              <w:spacing w:after="0"/>
              <w:rPr>
                <w:sz w:val="20"/>
                <w:szCs w:val="20"/>
                <w:color w:val="auto"/>
              </w:rPr>
            </w:pPr>
            <w:r>
              <w:rPr>
                <w:rFonts w:ascii="Arial" w:cs="Arial" w:eastAsia="Arial" w:hAnsi="Arial"/>
                <w:sz w:val="10"/>
                <w:szCs w:val="10"/>
                <w:color w:val="auto"/>
              </w:rPr>
              <w:t>11/26/2025</w:t>
            </w:r>
          </w:p>
        </w:tc>
        <w:tc>
          <w:tcPr>
            <w:tcW w:w="680" w:type="dxa"/>
            <w:vAlign w:val="bottom"/>
          </w:tcPr>
          <w:p>
            <w:pPr>
              <w:ind w:left="100"/>
              <w:spacing w:after="0"/>
              <w:rPr>
                <w:sz w:val="20"/>
                <w:szCs w:val="20"/>
                <w:color w:val="auto"/>
              </w:rPr>
            </w:pPr>
            <w:r>
              <w:rPr>
                <w:rFonts w:ascii="Arial" w:cs="Arial" w:eastAsia="Arial" w:hAnsi="Arial"/>
                <w:sz w:val="10"/>
                <w:szCs w:val="10"/>
                <w:color w:val="auto"/>
              </w:rPr>
              <w:t>11/26/2030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10,000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9,933</w:t>
            </w:r>
          </w:p>
        </w:tc>
        <w:tc>
          <w:tcPr>
            <w:tcW w:w="440" w:type="dxa"/>
            <w:vAlign w:val="bottom"/>
          </w:tcPr>
          <w:p>
            <w:pPr>
              <w:jc w:val="right"/>
              <w:spacing w:after="0"/>
              <w:rPr>
                <w:sz w:val="20"/>
                <w:szCs w:val="20"/>
                <w:color w:val="auto"/>
              </w:rPr>
            </w:pPr>
            <w:r>
              <w:rPr>
                <w:rFonts w:ascii="Arial" w:cs="Arial" w:eastAsia="Arial" w:hAnsi="Arial"/>
                <w:sz w:val="10"/>
                <w:szCs w:val="10"/>
                <w:color w:val="auto"/>
              </w:rPr>
              <w:t>9,945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11/26/2025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616</w:t>
            </w:r>
          </w:p>
        </w:tc>
        <w:tc>
          <w:tcPr>
            <w:tcW w:w="440" w:type="dxa"/>
            <w:vAlign w:val="bottom"/>
          </w:tcPr>
          <w:p>
            <w:pPr>
              <w:jc w:val="right"/>
              <w:spacing w:after="0"/>
              <w:rPr>
                <w:sz w:val="20"/>
                <w:szCs w:val="20"/>
                <w:color w:val="auto"/>
              </w:rPr>
            </w:pPr>
            <w:r>
              <w:rPr>
                <w:rFonts w:ascii="Arial" w:cs="Arial" w:eastAsia="Arial" w:hAnsi="Arial"/>
                <w:sz w:val="10"/>
                <w:szCs w:val="10"/>
                <w:color w:val="auto"/>
              </w:rPr>
              <w:t>616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10,549</w:t>
            </w:r>
          </w:p>
        </w:tc>
        <w:tc>
          <w:tcPr>
            <w:tcW w:w="440" w:type="dxa"/>
            <w:vAlign w:val="bottom"/>
          </w:tcPr>
          <w:p>
            <w:pPr>
              <w:jc w:val="right"/>
              <w:spacing w:after="0"/>
              <w:rPr>
                <w:sz w:val="20"/>
                <w:szCs w:val="20"/>
                <w:color w:val="auto"/>
              </w:rPr>
            </w:pPr>
            <w:r>
              <w:rPr>
                <w:rFonts w:ascii="Arial" w:cs="Arial" w:eastAsia="Arial" w:hAnsi="Arial"/>
                <w:sz w:val="10"/>
                <w:szCs w:val="10"/>
                <w:color w:val="auto"/>
              </w:rPr>
              <w:t>10,561</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12/8/2017</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933</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-6556375</wp:posOffset>
            </wp:positionV>
            <wp:extent cx="5967730" cy="1993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-6156960</wp:posOffset>
            </wp:positionV>
            <wp:extent cx="5967730" cy="6275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7730" cy="6275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hanging="70"/>
        <w:spacing w:after="0"/>
        <w:tabs>
          <w:tab w:leader="none" w:pos="80" w:val="left"/>
        </w:tabs>
        <w:numPr>
          <w:ilvl w:val="0"/>
          <w:numId w:val="9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hanging="70"/>
        <w:spacing w:after="0"/>
        <w:tabs>
          <w:tab w:leader="none" w:pos="80" w:val="left"/>
        </w:tabs>
        <w:numPr>
          <w:ilvl w:val="0"/>
          <w:numId w:val="9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0"/>
        <w:spacing w:after="0"/>
        <w:tabs>
          <w:tab w:leader="none" w:pos="80" w:val="left"/>
        </w:tabs>
        <w:numPr>
          <w:ilvl w:val="0"/>
          <w:numId w:val="9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hanging="70"/>
        <w:spacing w:after="0"/>
        <w:tabs>
          <w:tab w:leader="none" w:pos="80" w:val="left"/>
        </w:tabs>
        <w:numPr>
          <w:ilvl w:val="0"/>
          <w:numId w:val="9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80" w:hanging="70"/>
        <w:spacing w:after="0"/>
        <w:tabs>
          <w:tab w:leader="none" w:pos="80" w:val="left"/>
        </w:tabs>
        <w:numPr>
          <w:ilvl w:val="0"/>
          <w:numId w:val="9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599" w:lineRule="exact"/>
        <w:rPr>
          <w:sz w:val="20"/>
          <w:szCs w:val="20"/>
          <w:color w:val="auto"/>
        </w:rPr>
      </w:pPr>
    </w:p>
    <w:p>
      <w:pPr>
        <w:sectPr>
          <w:pgSz w:w="11900" w:h="16838" w:orient="portrait"/>
          <w:cols w:equalWidth="0" w:num="3">
            <w:col w:w="3580" w:space="460"/>
            <w:col w:w="4620" w:space="560"/>
            <w:col w:w="160"/>
          </w:cols>
          <w:pgMar w:left="1260" w:top="127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9380"/>
          </w:cols>
          <w:pgMar w:left="1260" w:top="1270" w:right="1266" w:bottom="0" w:gutter="0" w:footer="0" w:header="0"/>
          <w:type w:val="continuous"/>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+ 5.25%)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4/15/2025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4/15/2030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9,606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9,565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9,606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($3,427 unfunded commitment) (i)</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+ 5.25%)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4/15/2025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4/15/2030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573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573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(3,881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4/15/2025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254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(3,619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4/15/2025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8</w:t>
      </w:r>
    </w:p>
    <w:p>
      <w:pPr>
        <w:sectPr>
          <w:pgSz w:w="11900" w:h="16838" w:orient="portrait"/>
          <w:cols w:equalWidth="0" w:num="1">
            <w:col w:w="9400"/>
          </w:cols>
          <w:pgMar w:left="1260" w:top="1440" w:right="1246" w:bottom="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0"/>
          <w:szCs w:val="10"/>
          <w:color w:val="auto"/>
        </w:rPr>
        <w:t>362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10,873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10,988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Level Education Group, LLC (dba CE4Less)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(ak)</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+ 5.25%)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9.47%/0.00%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9/30/2030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12,485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12,405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12,485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(1,000,000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4/1/2021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934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2,798</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8</w:t>
      </w:r>
    </w:p>
    <w:p>
      <w:pPr>
        <w:sectPr>
          <w:pgSz w:w="11900" w:h="16838" w:orient="portrait"/>
          <w:cols w:equalWidth="0" w:num="1">
            <w:col w:w="9400"/>
          </w:cols>
          <w:pgMar w:left="1260" w:top="1406" w:right="1246" w:bottom="0" w:gutter="0" w:footer="0" w:header="0"/>
          <w:type w:val="continuous"/>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13,339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15,283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LifeSpan Biosciences,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Healthcare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11.50%/0.00%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3/19/2021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4/7/2028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15,980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14,983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(108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16,575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8</w:t>
      </w:r>
    </w:p>
    <w:p>
      <w:pPr>
        <w:sectPr>
          <w:pgSz w:w="11900" w:h="16838" w:orient="portrait"/>
          <w:cols w:equalWidth="0" w:num="1">
            <w:col w:w="9400"/>
          </w:cols>
          <w:pgMar w:left="1260" w:top="1440" w:right="1246" w:bottom="0" w:gutter="0" w:footer="0" w:header="0"/>
          <w:type w:val="continuous"/>
        </w:sectPr>
      </w:pPr>
    </w:p>
    <w:bookmarkStart w:id="200" w:name="page201"/>
    <w:bookmarkEnd w:id="200"/>
    <w:p>
      <w:pPr>
        <w:spacing w:after="0" w:line="2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15,404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Mayesh Wholesale Florist,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Specialty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(j)(be)</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+ 6.00%)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9.96%/0.00%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3/18/2025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3/18/2030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10,397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10,500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8</w:t>
      </w:r>
    </w:p>
    <w:p>
      <w:pPr>
        <w:sectPr>
          <w:pgSz w:w="11900" w:h="16838" w:orient="portrait"/>
          <w:cols w:equalWidth="0" w:num="1">
            <w:col w:w="9400"/>
          </w:cols>
          <w:pgMar w:left="1260" w:top="1440" w:right="1246" w:bottom="0" w:gutter="0" w:footer="0" w:header="0"/>
          <w:type w:val="continuous"/>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($2,000 unfunded commitment)(i)(be)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(500,000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MBS Opco, LLC (dba Marketron)</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MDME Holding Corp.</w:t>
      </w:r>
      <w:r>
        <w:rPr>
          <w:sz w:val="20"/>
          <w:szCs w:val="20"/>
          <w:color w:val="auto"/>
        </w:rPr>
        <w:tab/>
      </w:r>
      <w:r>
        <w:rPr>
          <w:rFonts w:ascii="Arial" w:cs="Arial" w:eastAsia="Arial" w:hAnsi="Arial"/>
          <w:sz w:val="9"/>
          <w:szCs w:val="9"/>
          <w:color w:val="auto"/>
        </w:rPr>
        <w:t>Healthcare Products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(5,149 units)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(12,500 units)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(713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Netbase Solutions, Inc. (dba Netbase Quid)</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(ap)</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NWS Technologies, LLC</w:t>
      </w:r>
      <w:r>
        <w:rPr>
          <w:sz w:val="20"/>
          <w:szCs w:val="20"/>
          <w:color w:val="auto"/>
        </w:rPr>
        <w:tab/>
      </w:r>
      <w:r>
        <w:rPr>
          <w:rFonts w:ascii="Arial" w:cs="Arial" w:eastAsia="Arial" w:hAnsi="Arial"/>
          <w:sz w:val="9"/>
          <w:szCs w:val="9"/>
          <w:color w:val="auto"/>
        </w:rPr>
        <w:t>Utilities: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($1,140 unfunded commitment)(u)</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 unit) (h)</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(0.375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OnePath Systems, LLC (n)</w:t>
      </w:r>
      <w:r>
        <w:rPr>
          <w:sz w:val="20"/>
          <w:szCs w:val="20"/>
          <w:color w:val="auto"/>
        </w:rPr>
        <w:tab/>
      </w:r>
      <w:r>
        <w:rPr>
          <w:rFonts w:ascii="Arial" w:cs="Arial" w:eastAsia="Arial" w:hAnsi="Arial"/>
          <w:sz w:val="9"/>
          <w:szCs w:val="9"/>
          <w:color w:val="auto"/>
        </w:rPr>
        <w:t>Information Technology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(732,542 shares)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Onsight Industries, LLC</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(j)(bf)</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(380,000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Palmetto Moon, LLC</w:t>
      </w:r>
      <w:r>
        <w:rPr>
          <w:sz w:val="20"/>
          <w:szCs w:val="20"/>
          <w:color w:val="auto"/>
        </w:rPr>
        <w:tab/>
      </w:r>
      <w:r>
        <w:rPr>
          <w:rFonts w:ascii="Arial" w:cs="Arial" w:eastAsia="Arial" w:hAnsi="Arial"/>
          <w:sz w:val="9"/>
          <w:szCs w:val="9"/>
          <w:color w:val="auto"/>
        </w:rPr>
        <w:t>Retail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(499 units)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PayEntry Financial Services, Inc. (dba Payentry)</w:t>
      </w:r>
      <w:r>
        <w:rPr>
          <w:sz w:val="20"/>
          <w:szCs w:val="20"/>
          <w:color w:val="auto"/>
        </w:rPr>
        <w:tab/>
      </w:r>
      <w:r>
        <w:rPr>
          <w:rFonts w:ascii="Arial" w:cs="Arial" w:eastAsia="Arial" w:hAnsi="Arial"/>
          <w:sz w:val="7"/>
          <w:szCs w:val="7"/>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(bg)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($3,125 unfunded commitment)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(10,000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Pinnergy, Ltd.</w:t>
      </w:r>
      <w:r>
        <w:rPr>
          <w:sz w:val="20"/>
          <w:szCs w:val="20"/>
          <w:color w:val="auto"/>
        </w:rPr>
        <w:tab/>
      </w:r>
      <w:r>
        <w:rPr>
          <w:rFonts w:ascii="Arial" w:cs="Arial" w:eastAsia="Arial" w:hAnsi="Arial"/>
          <w:sz w:val="9"/>
          <w:szCs w:val="9"/>
          <w:color w:val="auto"/>
        </w:rPr>
        <w:t>Oil &amp; Gas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PowerGrid Services Acquisition, LLC</w:t>
      </w:r>
      <w:r>
        <w:rPr>
          <w:sz w:val="20"/>
          <w:szCs w:val="20"/>
          <w:color w:val="auto"/>
        </w:rPr>
        <w:tab/>
      </w:r>
      <w:r>
        <w:rPr>
          <w:rFonts w:ascii="Arial" w:cs="Arial" w:eastAsia="Arial" w:hAnsi="Arial"/>
          <w:sz w:val="9"/>
          <w:szCs w:val="9"/>
          <w:color w:val="auto"/>
        </w:rPr>
        <w:t>Utilities: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(4,490 units) (h)</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(118 units) (h)</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(133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Prime AE Group, Inc.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(900,000 shares)</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Pronto Plumbing &amp; Drain, Inc.</w:t>
      </w:r>
      <w:r>
        <w:rPr>
          <w:sz w:val="20"/>
          <w:szCs w:val="20"/>
          <w:color w:val="auto"/>
        </w:rPr>
        <w:tab/>
      </w:r>
      <w:r>
        <w:rPr>
          <w:rFonts w:ascii="Arial" w:cs="Arial" w:eastAsia="Arial" w:hAnsi="Arial"/>
          <w:sz w:val="9"/>
          <w:szCs w:val="9"/>
          <w:color w:val="auto"/>
        </w:rPr>
        <w:t>Utilities: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($500 unfunded commitment)(i)</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(Units N/A) (h)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20"/>
                <w:szCs w:val="20"/>
                <w:color w:val="auto"/>
              </w:rPr>
            </w:pPr>
            <w:r>
              <w:rPr>
                <w:rFonts w:ascii="Arial" w:cs="Arial" w:eastAsia="Arial" w:hAnsi="Arial"/>
                <w:sz w:val="10"/>
                <w:szCs w:val="10"/>
                <w:color w:val="auto"/>
                <w:w w:val="95"/>
              </w:rPr>
              <w:t>(S + 6.00%) / (2.00%)</w:t>
            </w:r>
          </w:p>
        </w:tc>
        <w:tc>
          <w:tcPr>
            <w:tcW w:w="720" w:type="dxa"/>
            <w:vAlign w:val="bottom"/>
          </w:tcPr>
          <w:p>
            <w:pPr>
              <w:ind w:left="40"/>
              <w:spacing w:after="0"/>
              <w:rPr>
                <w:sz w:val="20"/>
                <w:szCs w:val="20"/>
                <w:color w:val="auto"/>
              </w:rPr>
            </w:pPr>
            <w:r>
              <w:rPr>
                <w:rFonts w:ascii="Arial" w:cs="Arial" w:eastAsia="Arial" w:hAnsi="Arial"/>
                <w:sz w:val="10"/>
                <w:szCs w:val="10"/>
                <w:color w:val="auto"/>
              </w:rPr>
              <w:t>9.96%/0.00%</w:t>
            </w:r>
          </w:p>
        </w:tc>
        <w:tc>
          <w:tcPr>
            <w:tcW w:w="640" w:type="dxa"/>
            <w:vAlign w:val="bottom"/>
          </w:tcPr>
          <w:p>
            <w:pPr>
              <w:ind w:left="100"/>
              <w:spacing w:after="0"/>
              <w:rPr>
                <w:sz w:val="20"/>
                <w:szCs w:val="20"/>
                <w:color w:val="auto"/>
              </w:rPr>
            </w:pPr>
            <w:r>
              <w:rPr>
                <w:rFonts w:ascii="Arial" w:cs="Arial" w:eastAsia="Arial" w:hAnsi="Arial"/>
                <w:sz w:val="10"/>
                <w:szCs w:val="10"/>
                <w:color w:val="auto"/>
              </w:rPr>
              <w:t>3/18/2025</w:t>
            </w:r>
          </w:p>
        </w:tc>
        <w:tc>
          <w:tcPr>
            <w:tcW w:w="680" w:type="dxa"/>
            <w:vAlign w:val="bottom"/>
          </w:tcPr>
          <w:p>
            <w:pPr>
              <w:ind w:left="100"/>
              <w:spacing w:after="0"/>
              <w:rPr>
                <w:sz w:val="20"/>
                <w:szCs w:val="20"/>
                <w:color w:val="auto"/>
              </w:rPr>
            </w:pPr>
            <w:r>
              <w:rPr>
                <w:rFonts w:ascii="Arial" w:cs="Arial" w:eastAsia="Arial" w:hAnsi="Arial"/>
                <w:sz w:val="10"/>
                <w:szCs w:val="10"/>
                <w:color w:val="auto"/>
              </w:rPr>
              <w:t>3/18/2030</w:t>
            </w:r>
          </w:p>
        </w:tc>
        <w:tc>
          <w:tcPr>
            <w:tcW w:w="58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3/18/2025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500</w:t>
            </w:r>
          </w:p>
        </w:tc>
        <w:tc>
          <w:tcPr>
            <w:tcW w:w="420" w:type="dxa"/>
            <w:vAlign w:val="bottom"/>
          </w:tcPr>
          <w:p>
            <w:pPr>
              <w:jc w:val="right"/>
              <w:spacing w:after="0"/>
              <w:rPr>
                <w:sz w:val="20"/>
                <w:szCs w:val="20"/>
                <w:color w:val="auto"/>
              </w:rPr>
            </w:pPr>
            <w:r>
              <w:rPr>
                <w:rFonts w:ascii="Arial" w:cs="Arial" w:eastAsia="Arial" w:hAnsi="Arial"/>
                <w:sz w:val="10"/>
                <w:szCs w:val="10"/>
                <w:color w:val="auto"/>
              </w:rPr>
              <w:t>736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10,897</w:t>
            </w:r>
          </w:p>
        </w:tc>
        <w:tc>
          <w:tcPr>
            <w:tcW w:w="420" w:type="dxa"/>
            <w:vAlign w:val="bottom"/>
          </w:tcPr>
          <w:p>
            <w:pPr>
              <w:jc w:val="right"/>
              <w:spacing w:after="0"/>
              <w:rPr>
                <w:sz w:val="20"/>
                <w:szCs w:val="20"/>
                <w:color w:val="auto"/>
              </w:rPr>
            </w:pPr>
            <w:r>
              <w:rPr>
                <w:rFonts w:ascii="Arial" w:cs="Arial" w:eastAsia="Arial" w:hAnsi="Arial"/>
                <w:sz w:val="10"/>
                <w:szCs w:val="10"/>
                <w:color w:val="auto"/>
              </w:rPr>
              <w:t>11,236</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+ 8.50%) / (1.50%)</w:t>
            </w:r>
          </w:p>
        </w:tc>
        <w:tc>
          <w:tcPr>
            <w:tcW w:w="720" w:type="dxa"/>
            <w:vAlign w:val="bottom"/>
          </w:tcPr>
          <w:p>
            <w:pPr>
              <w:ind w:left="40"/>
              <w:spacing w:after="0"/>
              <w:rPr>
                <w:sz w:val="20"/>
                <w:szCs w:val="20"/>
                <w:color w:val="auto"/>
              </w:rPr>
            </w:pPr>
            <w:r>
              <w:rPr>
                <w:rFonts w:ascii="Arial" w:cs="Arial" w:eastAsia="Arial" w:hAnsi="Arial"/>
                <w:sz w:val="10"/>
                <w:szCs w:val="10"/>
                <w:color w:val="auto"/>
              </w:rPr>
              <w:t>12.75%/0.00%</w:t>
            </w:r>
          </w:p>
        </w:tc>
        <w:tc>
          <w:tcPr>
            <w:tcW w:w="640" w:type="dxa"/>
            <w:vAlign w:val="bottom"/>
          </w:tcPr>
          <w:p>
            <w:pPr>
              <w:ind w:left="100"/>
              <w:spacing w:after="0"/>
              <w:rPr>
                <w:sz w:val="20"/>
                <w:szCs w:val="20"/>
                <w:color w:val="auto"/>
              </w:rPr>
            </w:pPr>
            <w:r>
              <w:rPr>
                <w:rFonts w:ascii="Arial" w:cs="Arial" w:eastAsia="Arial" w:hAnsi="Arial"/>
                <w:sz w:val="10"/>
                <w:szCs w:val="10"/>
                <w:color w:val="auto"/>
              </w:rPr>
              <w:t>9/29/2022</w:t>
            </w:r>
          </w:p>
        </w:tc>
        <w:tc>
          <w:tcPr>
            <w:tcW w:w="680" w:type="dxa"/>
            <w:vAlign w:val="bottom"/>
          </w:tcPr>
          <w:p>
            <w:pPr>
              <w:ind w:left="100"/>
              <w:spacing w:after="0"/>
              <w:rPr>
                <w:sz w:val="20"/>
                <w:szCs w:val="20"/>
                <w:color w:val="auto"/>
              </w:rPr>
            </w:pPr>
            <w:r>
              <w:rPr>
                <w:rFonts w:ascii="Arial" w:cs="Arial" w:eastAsia="Arial" w:hAnsi="Arial"/>
                <w:sz w:val="10"/>
                <w:szCs w:val="10"/>
                <w:color w:val="auto"/>
              </w:rPr>
              <w:t>9/28/2026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27,000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26,975</w:t>
            </w:r>
          </w:p>
        </w:tc>
        <w:tc>
          <w:tcPr>
            <w:tcW w:w="420" w:type="dxa"/>
            <w:vAlign w:val="bottom"/>
          </w:tcPr>
          <w:p>
            <w:pPr>
              <w:jc w:val="right"/>
              <w:spacing w:after="0"/>
              <w:rPr>
                <w:sz w:val="20"/>
                <w:szCs w:val="20"/>
                <w:color w:val="auto"/>
              </w:rPr>
            </w:pPr>
            <w:r>
              <w:rPr>
                <w:rFonts w:ascii="Arial" w:cs="Arial" w:eastAsia="Arial" w:hAnsi="Arial"/>
                <w:sz w:val="10"/>
                <w:szCs w:val="10"/>
                <w:color w:val="auto"/>
              </w:rPr>
              <w:t>27,000</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10.07%/0.00%</w:t>
            </w:r>
          </w:p>
        </w:tc>
        <w:tc>
          <w:tcPr>
            <w:tcW w:w="640" w:type="dxa"/>
            <w:vAlign w:val="bottom"/>
          </w:tcPr>
          <w:p>
            <w:pPr>
              <w:ind w:left="100"/>
              <w:spacing w:after="0"/>
              <w:rPr>
                <w:sz w:val="20"/>
                <w:szCs w:val="20"/>
                <w:color w:val="auto"/>
              </w:rPr>
            </w:pPr>
            <w:r>
              <w:rPr>
                <w:rFonts w:ascii="Arial" w:cs="Arial" w:eastAsia="Arial" w:hAnsi="Arial"/>
                <w:sz w:val="10"/>
                <w:szCs w:val="10"/>
                <w:color w:val="auto"/>
              </w:rPr>
              <w:t>8/31/2023</w:t>
            </w:r>
          </w:p>
        </w:tc>
        <w:tc>
          <w:tcPr>
            <w:tcW w:w="680" w:type="dxa"/>
            <w:vAlign w:val="bottom"/>
          </w:tcPr>
          <w:p>
            <w:pPr>
              <w:ind w:left="100"/>
              <w:spacing w:after="0"/>
              <w:rPr>
                <w:sz w:val="20"/>
                <w:szCs w:val="20"/>
                <w:color w:val="auto"/>
              </w:rPr>
            </w:pPr>
            <w:r>
              <w:rPr>
                <w:rFonts w:ascii="Arial" w:cs="Arial" w:eastAsia="Arial" w:hAnsi="Arial"/>
                <w:sz w:val="10"/>
                <w:szCs w:val="10"/>
                <w:color w:val="auto"/>
              </w:rPr>
              <w:t>8/3/2027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12,233</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12,191</w:t>
            </w:r>
          </w:p>
        </w:tc>
        <w:tc>
          <w:tcPr>
            <w:tcW w:w="420" w:type="dxa"/>
            <w:vAlign w:val="bottom"/>
          </w:tcPr>
          <w:p>
            <w:pPr>
              <w:jc w:val="right"/>
              <w:spacing w:after="0"/>
              <w:rPr>
                <w:sz w:val="20"/>
                <w:szCs w:val="20"/>
                <w:color w:val="auto"/>
              </w:rPr>
            </w:pPr>
            <w:r>
              <w:rPr>
                <w:rFonts w:ascii="Arial" w:cs="Arial" w:eastAsia="Arial" w:hAnsi="Arial"/>
                <w:sz w:val="10"/>
                <w:szCs w:val="10"/>
                <w:color w:val="auto"/>
              </w:rPr>
              <w:t>11,677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9/18/2023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9/18/2023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1,250</w:t>
            </w:r>
          </w:p>
        </w:tc>
        <w:tc>
          <w:tcPr>
            <w:tcW w:w="420" w:type="dxa"/>
            <w:vAlign w:val="bottom"/>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7/1/2025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71</w:t>
            </w:r>
          </w:p>
        </w:tc>
        <w:tc>
          <w:tcPr>
            <w:tcW w:w="420" w:type="dxa"/>
            <w:vAlign w:val="bottom"/>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13,512</w:t>
            </w:r>
          </w:p>
        </w:tc>
        <w:tc>
          <w:tcPr>
            <w:tcW w:w="420" w:type="dxa"/>
            <w:vAlign w:val="bottom"/>
          </w:tcPr>
          <w:p>
            <w:pPr>
              <w:jc w:val="right"/>
              <w:spacing w:after="0"/>
              <w:rPr>
                <w:sz w:val="20"/>
                <w:szCs w:val="20"/>
                <w:color w:val="auto"/>
              </w:rPr>
            </w:pPr>
            <w:r>
              <w:rPr>
                <w:rFonts w:ascii="Arial" w:cs="Arial" w:eastAsia="Arial" w:hAnsi="Arial"/>
                <w:sz w:val="10"/>
                <w:szCs w:val="10"/>
                <w:color w:val="auto"/>
              </w:rPr>
              <w:t>11,825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(P + 2.00%) / (3.25%)</w:t>
            </w:r>
          </w:p>
        </w:tc>
        <w:tc>
          <w:tcPr>
            <w:tcW w:w="720" w:type="dxa"/>
            <w:vAlign w:val="bottom"/>
          </w:tcPr>
          <w:p>
            <w:pPr>
              <w:ind w:left="40"/>
              <w:spacing w:after="0"/>
              <w:rPr>
                <w:sz w:val="20"/>
                <w:szCs w:val="20"/>
                <w:color w:val="auto"/>
              </w:rPr>
            </w:pPr>
            <w:r>
              <w:rPr>
                <w:rFonts w:ascii="Arial" w:cs="Arial" w:eastAsia="Arial" w:hAnsi="Arial"/>
                <w:sz w:val="10"/>
                <w:szCs w:val="10"/>
                <w:color w:val="auto"/>
              </w:rPr>
              <w:t>8.75%/2.00%</w:t>
            </w:r>
          </w:p>
        </w:tc>
        <w:tc>
          <w:tcPr>
            <w:tcW w:w="640" w:type="dxa"/>
            <w:vAlign w:val="bottom"/>
          </w:tcPr>
          <w:p>
            <w:pPr>
              <w:ind w:left="100"/>
              <w:spacing w:after="0"/>
              <w:rPr>
                <w:sz w:val="20"/>
                <w:szCs w:val="20"/>
                <w:color w:val="auto"/>
              </w:rPr>
            </w:pPr>
            <w:r>
              <w:rPr>
                <w:rFonts w:ascii="Arial" w:cs="Arial" w:eastAsia="Arial" w:hAnsi="Arial"/>
                <w:sz w:val="10"/>
                <w:szCs w:val="10"/>
                <w:color w:val="auto"/>
              </w:rPr>
              <w:t>11/18/2021</w:t>
            </w:r>
          </w:p>
        </w:tc>
        <w:tc>
          <w:tcPr>
            <w:tcW w:w="680" w:type="dxa"/>
            <w:vAlign w:val="bottom"/>
          </w:tcPr>
          <w:p>
            <w:pPr>
              <w:ind w:left="100"/>
              <w:spacing w:after="0"/>
              <w:rPr>
                <w:sz w:val="20"/>
                <w:szCs w:val="20"/>
                <w:color w:val="auto"/>
              </w:rPr>
            </w:pPr>
            <w:r>
              <w:rPr>
                <w:rFonts w:ascii="Arial" w:cs="Arial" w:eastAsia="Arial" w:hAnsi="Arial"/>
                <w:sz w:val="10"/>
                <w:szCs w:val="10"/>
                <w:color w:val="auto"/>
              </w:rPr>
              <w:t>11/18/2026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16,575</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16,564</w:t>
            </w:r>
          </w:p>
        </w:tc>
        <w:tc>
          <w:tcPr>
            <w:tcW w:w="420" w:type="dxa"/>
            <w:vAlign w:val="bottom"/>
          </w:tcPr>
          <w:p>
            <w:pPr>
              <w:jc w:val="right"/>
              <w:spacing w:after="0"/>
              <w:rPr>
                <w:sz w:val="20"/>
                <w:szCs w:val="20"/>
                <w:color w:val="auto"/>
              </w:rPr>
            </w:pPr>
            <w:r>
              <w:rPr>
                <w:rFonts w:ascii="Arial" w:cs="Arial" w:eastAsia="Arial" w:hAnsi="Arial"/>
                <w:sz w:val="10"/>
                <w:szCs w:val="10"/>
                <w:color w:val="auto"/>
              </w:rPr>
              <w:t>16,575</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+ 7.50%) / (2.50%)</w:t>
            </w:r>
          </w:p>
        </w:tc>
        <w:tc>
          <w:tcPr>
            <w:tcW w:w="720" w:type="dxa"/>
            <w:vAlign w:val="bottom"/>
          </w:tcPr>
          <w:p>
            <w:pPr>
              <w:ind w:left="40"/>
              <w:spacing w:after="0"/>
              <w:rPr>
                <w:sz w:val="20"/>
                <w:szCs w:val="20"/>
                <w:color w:val="auto"/>
              </w:rPr>
            </w:pPr>
            <w:r>
              <w:rPr>
                <w:rFonts w:ascii="Arial" w:cs="Arial" w:eastAsia="Arial" w:hAnsi="Arial"/>
                <w:sz w:val="10"/>
                <w:szCs w:val="10"/>
                <w:color w:val="auto"/>
              </w:rPr>
              <w:t>11.49%/0.00%</w:t>
            </w:r>
          </w:p>
        </w:tc>
        <w:tc>
          <w:tcPr>
            <w:tcW w:w="640" w:type="dxa"/>
            <w:vAlign w:val="bottom"/>
          </w:tcPr>
          <w:p>
            <w:pPr>
              <w:ind w:left="100"/>
              <w:spacing w:after="0"/>
              <w:rPr>
                <w:sz w:val="20"/>
                <w:szCs w:val="20"/>
                <w:color w:val="auto"/>
              </w:rPr>
            </w:pPr>
            <w:r>
              <w:rPr>
                <w:rFonts w:ascii="Arial" w:cs="Arial" w:eastAsia="Arial" w:hAnsi="Arial"/>
                <w:sz w:val="10"/>
                <w:szCs w:val="10"/>
                <w:color w:val="auto"/>
              </w:rPr>
              <w:t>6/20/2023</w:t>
            </w:r>
          </w:p>
        </w:tc>
        <w:tc>
          <w:tcPr>
            <w:tcW w:w="680" w:type="dxa"/>
            <w:vAlign w:val="bottom"/>
          </w:tcPr>
          <w:p>
            <w:pPr>
              <w:ind w:left="100"/>
              <w:spacing w:after="0"/>
              <w:rPr>
                <w:sz w:val="20"/>
                <w:szCs w:val="20"/>
                <w:color w:val="auto"/>
              </w:rPr>
            </w:pPr>
            <w:r>
              <w:rPr>
                <w:rFonts w:ascii="Arial" w:cs="Arial" w:eastAsia="Arial" w:hAnsi="Arial"/>
                <w:sz w:val="10"/>
                <w:szCs w:val="10"/>
                <w:color w:val="auto"/>
              </w:rPr>
              <w:t>6/16/2028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17,760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17,627</w:t>
            </w:r>
          </w:p>
        </w:tc>
        <w:tc>
          <w:tcPr>
            <w:tcW w:w="420" w:type="dxa"/>
            <w:vAlign w:val="bottom"/>
          </w:tcPr>
          <w:p>
            <w:pPr>
              <w:jc w:val="right"/>
              <w:spacing w:after="0"/>
              <w:rPr>
                <w:sz w:val="20"/>
                <w:szCs w:val="20"/>
                <w:color w:val="auto"/>
              </w:rPr>
            </w:pPr>
            <w:r>
              <w:rPr>
                <w:rFonts w:ascii="Arial" w:cs="Arial" w:eastAsia="Arial" w:hAnsi="Arial"/>
                <w:sz w:val="10"/>
                <w:szCs w:val="10"/>
                <w:color w:val="auto"/>
              </w:rPr>
              <w:t>17,760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6/20/2023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1,125</w:t>
            </w:r>
          </w:p>
        </w:tc>
        <w:tc>
          <w:tcPr>
            <w:tcW w:w="420" w:type="dxa"/>
            <w:vAlign w:val="bottom"/>
          </w:tcPr>
          <w:p>
            <w:pPr>
              <w:jc w:val="right"/>
              <w:spacing w:after="0"/>
              <w:rPr>
                <w:sz w:val="20"/>
                <w:szCs w:val="20"/>
                <w:color w:val="auto"/>
              </w:rPr>
            </w:pPr>
            <w:r>
              <w:rPr>
                <w:rFonts w:ascii="Arial" w:cs="Arial" w:eastAsia="Arial" w:hAnsi="Arial"/>
                <w:sz w:val="10"/>
                <w:szCs w:val="10"/>
                <w:color w:val="auto"/>
              </w:rPr>
              <w:t>1,760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6/20/2023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375</w:t>
            </w:r>
          </w:p>
        </w:tc>
        <w:tc>
          <w:tcPr>
            <w:tcW w:w="420" w:type="dxa"/>
            <w:vAlign w:val="bottom"/>
          </w:tcPr>
          <w:p>
            <w:pPr>
              <w:jc w:val="right"/>
              <w:spacing w:after="0"/>
              <w:rPr>
                <w:sz w:val="20"/>
                <w:szCs w:val="20"/>
                <w:color w:val="auto"/>
              </w:rPr>
            </w:pPr>
            <w:r>
              <w:rPr>
                <w:rFonts w:ascii="Arial" w:cs="Arial" w:eastAsia="Arial" w:hAnsi="Arial"/>
                <w:sz w:val="10"/>
                <w:szCs w:val="10"/>
                <w:color w:val="auto"/>
              </w:rPr>
              <w:t>440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19,127</w:t>
            </w:r>
          </w:p>
        </w:tc>
        <w:tc>
          <w:tcPr>
            <w:tcW w:w="420" w:type="dxa"/>
            <w:vAlign w:val="bottom"/>
          </w:tcPr>
          <w:p>
            <w:pPr>
              <w:jc w:val="right"/>
              <w:spacing w:after="0"/>
              <w:rPr>
                <w:sz w:val="20"/>
                <w:szCs w:val="20"/>
                <w:color w:val="auto"/>
              </w:rPr>
            </w:pPr>
            <w:r>
              <w:rPr>
                <w:rFonts w:ascii="Arial" w:cs="Arial" w:eastAsia="Arial" w:hAnsi="Arial"/>
                <w:sz w:val="10"/>
                <w:szCs w:val="10"/>
                <w:color w:val="auto"/>
              </w:rPr>
              <w:t>19,960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9/30/2022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0"/>
                <w:szCs w:val="20"/>
                <w:color w:val="auto"/>
              </w:rPr>
            </w:pPr>
            <w:r>
              <w:rPr>
                <w:rFonts w:ascii="Arial" w:cs="Arial" w:eastAsia="Arial" w:hAnsi="Arial"/>
                <w:sz w:val="10"/>
                <w:szCs w:val="10"/>
                <w:color w:val="auto"/>
                <w:w w:val="95"/>
              </w:rPr>
              <w:t>(S + 5.50%) / (1.50%)</w:t>
            </w:r>
          </w:p>
        </w:tc>
        <w:tc>
          <w:tcPr>
            <w:tcW w:w="720" w:type="dxa"/>
            <w:vAlign w:val="bottom"/>
          </w:tcPr>
          <w:p>
            <w:pPr>
              <w:ind w:left="40"/>
              <w:spacing w:after="0"/>
              <w:rPr>
                <w:sz w:val="20"/>
                <w:szCs w:val="20"/>
                <w:color w:val="auto"/>
              </w:rPr>
            </w:pPr>
            <w:r>
              <w:rPr>
                <w:rFonts w:ascii="Arial" w:cs="Arial" w:eastAsia="Arial" w:hAnsi="Arial"/>
                <w:sz w:val="10"/>
                <w:szCs w:val="10"/>
                <w:color w:val="auto"/>
              </w:rPr>
              <w:t>9.49%/0.00%</w:t>
            </w:r>
          </w:p>
        </w:tc>
        <w:tc>
          <w:tcPr>
            <w:tcW w:w="640" w:type="dxa"/>
            <w:vAlign w:val="bottom"/>
          </w:tcPr>
          <w:p>
            <w:pPr>
              <w:ind w:left="100"/>
              <w:spacing w:after="0"/>
              <w:rPr>
                <w:sz w:val="20"/>
                <w:szCs w:val="20"/>
                <w:color w:val="auto"/>
              </w:rPr>
            </w:pPr>
            <w:r>
              <w:rPr>
                <w:rFonts w:ascii="Arial" w:cs="Arial" w:eastAsia="Arial" w:hAnsi="Arial"/>
                <w:sz w:val="10"/>
                <w:szCs w:val="10"/>
                <w:color w:val="auto"/>
              </w:rPr>
              <w:t>3/27/2025</w:t>
            </w:r>
          </w:p>
        </w:tc>
        <w:tc>
          <w:tcPr>
            <w:tcW w:w="680" w:type="dxa"/>
            <w:vAlign w:val="bottom"/>
          </w:tcPr>
          <w:p>
            <w:pPr>
              <w:ind w:left="100"/>
              <w:spacing w:after="0"/>
              <w:rPr>
                <w:sz w:val="20"/>
                <w:szCs w:val="20"/>
                <w:color w:val="auto"/>
              </w:rPr>
            </w:pPr>
            <w:r>
              <w:rPr>
                <w:rFonts w:ascii="Arial" w:cs="Arial" w:eastAsia="Arial" w:hAnsi="Arial"/>
                <w:sz w:val="10"/>
                <w:szCs w:val="10"/>
                <w:color w:val="auto"/>
              </w:rPr>
              <w:t>1/7/2030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9,120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9,094</w:t>
            </w:r>
          </w:p>
        </w:tc>
        <w:tc>
          <w:tcPr>
            <w:tcW w:w="420" w:type="dxa"/>
            <w:vAlign w:val="bottom"/>
          </w:tcPr>
          <w:p>
            <w:pPr>
              <w:jc w:val="right"/>
              <w:spacing w:after="0"/>
              <w:rPr>
                <w:sz w:val="20"/>
                <w:szCs w:val="20"/>
                <w:color w:val="auto"/>
              </w:rPr>
            </w:pPr>
            <w:r>
              <w:rPr>
                <w:rFonts w:ascii="Arial" w:cs="Arial" w:eastAsia="Arial" w:hAnsi="Arial"/>
                <w:sz w:val="10"/>
                <w:szCs w:val="10"/>
                <w:color w:val="auto"/>
              </w:rPr>
              <w:t>9,120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1/7/2025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380</w:t>
            </w:r>
          </w:p>
        </w:tc>
        <w:tc>
          <w:tcPr>
            <w:tcW w:w="420" w:type="dxa"/>
            <w:vAlign w:val="bottom"/>
          </w:tcPr>
          <w:p>
            <w:pPr>
              <w:jc w:val="right"/>
              <w:spacing w:after="0"/>
              <w:rPr>
                <w:sz w:val="20"/>
                <w:szCs w:val="20"/>
                <w:color w:val="auto"/>
              </w:rPr>
            </w:pPr>
            <w:r>
              <w:rPr>
                <w:rFonts w:ascii="Arial" w:cs="Arial" w:eastAsia="Arial" w:hAnsi="Arial"/>
                <w:sz w:val="10"/>
                <w:szCs w:val="10"/>
                <w:color w:val="auto"/>
              </w:rPr>
              <w:t>351</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9,474</w:t>
            </w:r>
          </w:p>
        </w:tc>
        <w:tc>
          <w:tcPr>
            <w:tcW w:w="420" w:type="dxa"/>
            <w:vAlign w:val="bottom"/>
          </w:tcPr>
          <w:p>
            <w:pPr>
              <w:jc w:val="right"/>
              <w:spacing w:after="0"/>
              <w:rPr>
                <w:sz w:val="20"/>
                <w:szCs w:val="20"/>
                <w:color w:val="auto"/>
              </w:rPr>
            </w:pPr>
            <w:r>
              <w:rPr>
                <w:rFonts w:ascii="Arial" w:cs="Arial" w:eastAsia="Arial" w:hAnsi="Arial"/>
                <w:sz w:val="10"/>
                <w:szCs w:val="10"/>
                <w:color w:val="auto"/>
              </w:rPr>
              <w:t>9,471</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11/3/2016</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1,169</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10.50%/1.75%</w:t>
            </w:r>
          </w:p>
        </w:tc>
        <w:tc>
          <w:tcPr>
            <w:tcW w:w="640" w:type="dxa"/>
            <w:vAlign w:val="bottom"/>
          </w:tcPr>
          <w:p>
            <w:pPr>
              <w:ind w:left="100"/>
              <w:spacing w:after="0"/>
              <w:rPr>
                <w:sz w:val="20"/>
                <w:szCs w:val="20"/>
                <w:color w:val="auto"/>
              </w:rPr>
            </w:pPr>
            <w:r>
              <w:rPr>
                <w:rFonts w:ascii="Arial" w:cs="Arial" w:eastAsia="Arial" w:hAnsi="Arial"/>
                <w:sz w:val="10"/>
                <w:szCs w:val="10"/>
                <w:color w:val="auto"/>
              </w:rPr>
              <w:t>3/28/2025</w:t>
            </w:r>
          </w:p>
        </w:tc>
        <w:tc>
          <w:tcPr>
            <w:tcW w:w="680" w:type="dxa"/>
            <w:vAlign w:val="bottom"/>
          </w:tcPr>
          <w:p>
            <w:pPr>
              <w:ind w:left="100"/>
              <w:spacing w:after="0"/>
              <w:rPr>
                <w:sz w:val="20"/>
                <w:szCs w:val="20"/>
                <w:color w:val="auto"/>
              </w:rPr>
            </w:pPr>
            <w:r>
              <w:rPr>
                <w:rFonts w:ascii="Arial" w:cs="Arial" w:eastAsia="Arial" w:hAnsi="Arial"/>
                <w:sz w:val="10"/>
                <w:szCs w:val="10"/>
                <w:color w:val="auto"/>
              </w:rPr>
              <w:t>9/28/2031</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5,626</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5,576</w:t>
            </w:r>
          </w:p>
        </w:tc>
        <w:tc>
          <w:tcPr>
            <w:tcW w:w="420" w:type="dxa"/>
            <w:vAlign w:val="bottom"/>
          </w:tcPr>
          <w:p>
            <w:pPr>
              <w:jc w:val="right"/>
              <w:spacing w:after="0"/>
              <w:rPr>
                <w:sz w:val="20"/>
                <w:szCs w:val="20"/>
                <w:color w:val="auto"/>
              </w:rPr>
            </w:pPr>
            <w:r>
              <w:rPr>
                <w:rFonts w:ascii="Arial" w:cs="Arial" w:eastAsia="Arial" w:hAnsi="Arial"/>
                <w:sz w:val="10"/>
                <w:szCs w:val="10"/>
                <w:color w:val="auto"/>
              </w:rPr>
              <w:t>5,626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10.50%/1.75%</w:t>
            </w:r>
          </w:p>
        </w:tc>
        <w:tc>
          <w:tcPr>
            <w:tcW w:w="640" w:type="dxa"/>
            <w:vAlign w:val="bottom"/>
          </w:tcPr>
          <w:p>
            <w:pPr>
              <w:ind w:left="100"/>
              <w:spacing w:after="0"/>
              <w:rPr>
                <w:sz w:val="20"/>
                <w:szCs w:val="20"/>
                <w:color w:val="auto"/>
              </w:rPr>
            </w:pPr>
            <w:r>
              <w:rPr>
                <w:rFonts w:ascii="Arial" w:cs="Arial" w:eastAsia="Arial" w:hAnsi="Arial"/>
                <w:sz w:val="10"/>
                <w:szCs w:val="10"/>
                <w:color w:val="auto"/>
              </w:rPr>
              <w:t>3/28/2025</w:t>
            </w:r>
          </w:p>
        </w:tc>
        <w:tc>
          <w:tcPr>
            <w:tcW w:w="680" w:type="dxa"/>
            <w:vAlign w:val="bottom"/>
          </w:tcPr>
          <w:p>
            <w:pPr>
              <w:ind w:left="100"/>
              <w:spacing w:after="0"/>
              <w:rPr>
                <w:sz w:val="20"/>
                <w:szCs w:val="20"/>
                <w:color w:val="auto"/>
              </w:rPr>
            </w:pPr>
            <w:r>
              <w:rPr>
                <w:rFonts w:ascii="Arial" w:cs="Arial" w:eastAsia="Arial" w:hAnsi="Arial"/>
                <w:sz w:val="10"/>
                <w:szCs w:val="10"/>
                <w:color w:val="auto"/>
              </w:rPr>
              <w:t>9/28/2031</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2,880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2,868</w:t>
            </w:r>
          </w:p>
        </w:tc>
        <w:tc>
          <w:tcPr>
            <w:tcW w:w="420" w:type="dxa"/>
            <w:vAlign w:val="bottom"/>
          </w:tcPr>
          <w:p>
            <w:pPr>
              <w:jc w:val="right"/>
              <w:spacing w:after="0"/>
              <w:rPr>
                <w:sz w:val="20"/>
                <w:szCs w:val="20"/>
                <w:color w:val="auto"/>
              </w:rPr>
            </w:pPr>
            <w:r>
              <w:rPr>
                <w:rFonts w:ascii="Arial" w:cs="Arial" w:eastAsia="Arial" w:hAnsi="Arial"/>
                <w:sz w:val="10"/>
                <w:szCs w:val="10"/>
                <w:color w:val="auto"/>
              </w:rPr>
              <w:t>2,880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10.50%/1.75%</w:t>
            </w:r>
          </w:p>
        </w:tc>
        <w:tc>
          <w:tcPr>
            <w:tcW w:w="640" w:type="dxa"/>
            <w:vAlign w:val="bottom"/>
          </w:tcPr>
          <w:p>
            <w:pPr>
              <w:ind w:left="100"/>
              <w:spacing w:after="0"/>
              <w:rPr>
                <w:sz w:val="20"/>
                <w:szCs w:val="20"/>
                <w:color w:val="auto"/>
              </w:rPr>
            </w:pPr>
            <w:r>
              <w:rPr>
                <w:rFonts w:ascii="Arial" w:cs="Arial" w:eastAsia="Arial" w:hAnsi="Arial"/>
                <w:sz w:val="10"/>
                <w:szCs w:val="10"/>
                <w:color w:val="auto"/>
              </w:rPr>
              <w:t>3/28/2025</w:t>
            </w:r>
          </w:p>
        </w:tc>
        <w:tc>
          <w:tcPr>
            <w:tcW w:w="680" w:type="dxa"/>
            <w:vAlign w:val="bottom"/>
          </w:tcPr>
          <w:p>
            <w:pPr>
              <w:ind w:left="100"/>
              <w:spacing w:after="0"/>
              <w:rPr>
                <w:sz w:val="20"/>
                <w:szCs w:val="20"/>
                <w:color w:val="auto"/>
              </w:rPr>
            </w:pPr>
            <w:r>
              <w:rPr>
                <w:rFonts w:ascii="Arial" w:cs="Arial" w:eastAsia="Arial" w:hAnsi="Arial"/>
                <w:sz w:val="10"/>
                <w:szCs w:val="10"/>
                <w:color w:val="auto"/>
              </w:rPr>
              <w:t>9/28/2031</w:t>
            </w:r>
          </w:p>
        </w:tc>
        <w:tc>
          <w:tcPr>
            <w:tcW w:w="58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3/28/2025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1,000</w:t>
            </w:r>
          </w:p>
        </w:tc>
        <w:tc>
          <w:tcPr>
            <w:tcW w:w="420" w:type="dxa"/>
            <w:vAlign w:val="bottom"/>
          </w:tcPr>
          <w:p>
            <w:pPr>
              <w:jc w:val="right"/>
              <w:spacing w:after="0"/>
              <w:rPr>
                <w:sz w:val="20"/>
                <w:szCs w:val="20"/>
                <w:color w:val="auto"/>
              </w:rPr>
            </w:pPr>
            <w:r>
              <w:rPr>
                <w:rFonts w:ascii="Arial" w:cs="Arial" w:eastAsia="Arial" w:hAnsi="Arial"/>
                <w:sz w:val="10"/>
                <w:szCs w:val="10"/>
                <w:color w:val="auto"/>
              </w:rPr>
              <w:t>1,104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9,444</w:t>
            </w:r>
          </w:p>
        </w:tc>
        <w:tc>
          <w:tcPr>
            <w:tcW w:w="420" w:type="dxa"/>
            <w:vAlign w:val="bottom"/>
          </w:tcPr>
          <w:p>
            <w:pPr>
              <w:jc w:val="right"/>
              <w:spacing w:after="0"/>
              <w:rPr>
                <w:sz w:val="20"/>
                <w:szCs w:val="20"/>
                <w:color w:val="auto"/>
              </w:rPr>
            </w:pPr>
            <w:r>
              <w:rPr>
                <w:rFonts w:ascii="Arial" w:cs="Arial" w:eastAsia="Arial" w:hAnsi="Arial"/>
                <w:sz w:val="10"/>
                <w:szCs w:val="10"/>
                <w:color w:val="auto"/>
              </w:rPr>
              <w:t>9,610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10.00%/0.00%</w:t>
            </w:r>
          </w:p>
        </w:tc>
        <w:tc>
          <w:tcPr>
            <w:tcW w:w="640" w:type="dxa"/>
            <w:vAlign w:val="bottom"/>
          </w:tcPr>
          <w:p>
            <w:pPr>
              <w:ind w:left="100"/>
              <w:spacing w:after="0"/>
              <w:rPr>
                <w:sz w:val="20"/>
                <w:szCs w:val="20"/>
                <w:color w:val="auto"/>
              </w:rPr>
            </w:pPr>
            <w:r>
              <w:rPr>
                <w:rFonts w:ascii="Arial" w:cs="Arial" w:eastAsia="Arial" w:hAnsi="Arial"/>
                <w:sz w:val="10"/>
                <w:szCs w:val="10"/>
                <w:color w:val="auto"/>
              </w:rPr>
              <w:t>6/30/2022</w:t>
            </w:r>
          </w:p>
        </w:tc>
        <w:tc>
          <w:tcPr>
            <w:tcW w:w="680" w:type="dxa"/>
            <w:vAlign w:val="bottom"/>
          </w:tcPr>
          <w:p>
            <w:pPr>
              <w:ind w:left="100"/>
              <w:spacing w:after="0"/>
              <w:rPr>
                <w:sz w:val="20"/>
                <w:szCs w:val="20"/>
                <w:color w:val="auto"/>
              </w:rPr>
            </w:pPr>
            <w:r>
              <w:rPr>
                <w:rFonts w:ascii="Arial" w:cs="Arial" w:eastAsia="Arial" w:hAnsi="Arial"/>
                <w:sz w:val="10"/>
                <w:szCs w:val="10"/>
                <w:color w:val="auto"/>
              </w:rPr>
              <w:t>6/30/2027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10,050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10,028</w:t>
            </w:r>
          </w:p>
        </w:tc>
        <w:tc>
          <w:tcPr>
            <w:tcW w:w="420" w:type="dxa"/>
            <w:vAlign w:val="bottom"/>
          </w:tcPr>
          <w:p>
            <w:pPr>
              <w:jc w:val="right"/>
              <w:spacing w:after="0"/>
              <w:rPr>
                <w:sz w:val="20"/>
                <w:szCs w:val="20"/>
                <w:color w:val="auto"/>
              </w:rPr>
            </w:pPr>
            <w:r>
              <w:rPr>
                <w:rFonts w:ascii="Arial" w:cs="Arial" w:eastAsia="Arial" w:hAnsi="Arial"/>
                <w:sz w:val="10"/>
                <w:szCs w:val="10"/>
                <w:color w:val="auto"/>
              </w:rPr>
              <w:t>9,929</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9/21/2021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53</w:t>
            </w:r>
          </w:p>
        </w:tc>
        <w:tc>
          <w:tcPr>
            <w:tcW w:w="420" w:type="dxa"/>
            <w:vAlign w:val="bottom"/>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7/2/2025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118</w:t>
            </w:r>
          </w:p>
        </w:tc>
        <w:tc>
          <w:tcPr>
            <w:tcW w:w="420" w:type="dxa"/>
            <w:vAlign w:val="bottom"/>
          </w:tcPr>
          <w:p>
            <w:pPr>
              <w:jc w:val="right"/>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7/2/2025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133</w:t>
            </w:r>
          </w:p>
        </w:tc>
        <w:tc>
          <w:tcPr>
            <w:tcW w:w="42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304</w:t>
            </w:r>
          </w:p>
        </w:tc>
        <w:tc>
          <w:tcPr>
            <w:tcW w:w="42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11/25/2019</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900</w:t>
            </w:r>
          </w:p>
        </w:tc>
        <w:tc>
          <w:tcPr>
            <w:tcW w:w="420" w:type="dxa"/>
            <w:vAlign w:val="bottom"/>
          </w:tcPr>
          <w:p>
            <w:pPr>
              <w:jc w:val="right"/>
              <w:spacing w:after="0"/>
              <w:rPr>
                <w:sz w:val="20"/>
                <w:szCs w:val="20"/>
                <w:color w:val="auto"/>
              </w:rPr>
            </w:pPr>
            <w:r>
              <w:rPr>
                <w:rFonts w:ascii="Arial" w:cs="Arial" w:eastAsia="Arial" w:hAnsi="Arial"/>
                <w:sz w:val="10"/>
                <w:szCs w:val="10"/>
                <w:color w:val="auto"/>
              </w:rPr>
              <w:t>349</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10.99%/0.00%</w:t>
            </w:r>
          </w:p>
        </w:tc>
        <w:tc>
          <w:tcPr>
            <w:tcW w:w="640" w:type="dxa"/>
            <w:vAlign w:val="bottom"/>
          </w:tcPr>
          <w:p>
            <w:pPr>
              <w:ind w:left="100"/>
              <w:spacing w:after="0"/>
              <w:rPr>
                <w:sz w:val="20"/>
                <w:szCs w:val="20"/>
                <w:color w:val="auto"/>
              </w:rPr>
            </w:pPr>
            <w:r>
              <w:rPr>
                <w:rFonts w:ascii="Arial" w:cs="Arial" w:eastAsia="Arial" w:hAnsi="Arial"/>
                <w:sz w:val="10"/>
                <w:szCs w:val="10"/>
                <w:color w:val="auto"/>
              </w:rPr>
              <w:t>5/22/2025</w:t>
            </w:r>
          </w:p>
        </w:tc>
        <w:tc>
          <w:tcPr>
            <w:tcW w:w="680" w:type="dxa"/>
            <w:vAlign w:val="bottom"/>
          </w:tcPr>
          <w:p>
            <w:pPr>
              <w:ind w:left="100"/>
              <w:spacing w:after="0"/>
              <w:rPr>
                <w:sz w:val="20"/>
                <w:szCs w:val="20"/>
                <w:color w:val="auto"/>
              </w:rPr>
            </w:pPr>
            <w:r>
              <w:rPr>
                <w:rFonts w:ascii="Arial" w:cs="Arial" w:eastAsia="Arial" w:hAnsi="Arial"/>
                <w:sz w:val="10"/>
                <w:szCs w:val="10"/>
                <w:color w:val="auto"/>
              </w:rPr>
              <w:t>5/22/2030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8,683</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8,598</w:t>
            </w:r>
          </w:p>
        </w:tc>
        <w:tc>
          <w:tcPr>
            <w:tcW w:w="420" w:type="dxa"/>
            <w:vAlign w:val="bottom"/>
          </w:tcPr>
          <w:p>
            <w:pPr>
              <w:jc w:val="right"/>
              <w:spacing w:after="0"/>
              <w:rPr>
                <w:sz w:val="20"/>
                <w:szCs w:val="20"/>
                <w:color w:val="auto"/>
              </w:rPr>
            </w:pPr>
            <w:r>
              <w:rPr>
                <w:rFonts w:ascii="Arial" w:cs="Arial" w:eastAsia="Arial" w:hAnsi="Arial"/>
                <w:sz w:val="10"/>
                <w:szCs w:val="10"/>
                <w:color w:val="auto"/>
              </w:rPr>
              <w:t>8,683</w:t>
            </w:r>
          </w:p>
        </w:tc>
        <w:tc>
          <w:tcPr>
            <w:tcW w:w="0" w:type="dxa"/>
            <w:vAlign w:val="bottom"/>
          </w:tcPr>
          <w:p>
            <w:pPr>
              <w:spacing w:after="0"/>
              <w:rPr>
                <w:sz w:val="1"/>
                <w:szCs w:val="1"/>
                <w:color w:val="auto"/>
              </w:rPr>
            </w:pPr>
          </w:p>
        </w:tc>
      </w:tr>
      <w:tr>
        <w:trPr>
          <w:trHeight w:val="356"/>
        </w:trPr>
        <w:tc>
          <w:tcPr>
            <w:tcW w:w="940" w:type="dxa"/>
            <w:vAlign w:val="bottom"/>
          </w:tcPr>
          <w:p>
            <w:pPr>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ind w:left="40"/>
              <w:spacing w:after="0"/>
              <w:rPr>
                <w:sz w:val="20"/>
                <w:szCs w:val="20"/>
                <w:color w:val="auto"/>
              </w:rPr>
            </w:pPr>
            <w:r>
              <w:rPr>
                <w:rFonts w:ascii="Arial" w:cs="Arial" w:eastAsia="Arial" w:hAnsi="Arial"/>
                <w:sz w:val="10"/>
                <w:szCs w:val="10"/>
                <w:color w:val="auto"/>
              </w:rPr>
              <w:t>10.99%/0.00%</w:t>
            </w:r>
          </w:p>
        </w:tc>
        <w:tc>
          <w:tcPr>
            <w:tcW w:w="640" w:type="dxa"/>
            <w:vAlign w:val="bottom"/>
          </w:tcPr>
          <w:p>
            <w:pPr>
              <w:ind w:left="100"/>
              <w:spacing w:after="0"/>
              <w:rPr>
                <w:sz w:val="20"/>
                <w:szCs w:val="20"/>
                <w:color w:val="auto"/>
              </w:rPr>
            </w:pPr>
            <w:r>
              <w:rPr>
                <w:rFonts w:ascii="Arial" w:cs="Arial" w:eastAsia="Arial" w:hAnsi="Arial"/>
                <w:sz w:val="10"/>
                <w:szCs w:val="10"/>
                <w:color w:val="auto"/>
              </w:rPr>
              <w:t>5/22/2025</w:t>
            </w:r>
          </w:p>
        </w:tc>
        <w:tc>
          <w:tcPr>
            <w:tcW w:w="680" w:type="dxa"/>
            <w:vAlign w:val="bottom"/>
          </w:tcPr>
          <w:p>
            <w:pPr>
              <w:ind w:left="100"/>
              <w:spacing w:after="0"/>
              <w:rPr>
                <w:sz w:val="20"/>
                <w:szCs w:val="20"/>
                <w:color w:val="auto"/>
              </w:rPr>
            </w:pPr>
            <w:r>
              <w:rPr>
                <w:rFonts w:ascii="Arial" w:cs="Arial" w:eastAsia="Arial" w:hAnsi="Arial"/>
                <w:sz w:val="10"/>
                <w:szCs w:val="10"/>
                <w:color w:val="auto"/>
              </w:rPr>
              <w:t>5/22/2030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0"/>
              <w:spacing w:after="0"/>
              <w:rPr>
                <w:sz w:val="20"/>
                <w:szCs w:val="20"/>
                <w:color w:val="auto"/>
              </w:rPr>
            </w:pPr>
            <w:r>
              <w:rPr>
                <w:rFonts w:ascii="Arial" w:cs="Arial" w:eastAsia="Arial" w:hAnsi="Arial"/>
                <w:sz w:val="10"/>
                <w:szCs w:val="10"/>
                <w:color w:val="auto"/>
              </w:rPr>
              <w:t xml:space="preserve">(4 </w:t>
            </w:r>
            <w:r>
              <w:rPr>
                <w:rFonts w:ascii="Arial" w:cs="Arial" w:eastAsia="Arial" w:hAnsi="Arial"/>
                <w:sz w:val="19"/>
                <w:szCs w:val="19"/>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5/22/2025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563</w:t>
            </w:r>
          </w:p>
        </w:tc>
        <w:tc>
          <w:tcPr>
            <w:tcW w:w="420" w:type="dxa"/>
            <w:vAlign w:val="bottom"/>
          </w:tcPr>
          <w:p>
            <w:pPr>
              <w:jc w:val="right"/>
              <w:spacing w:after="0"/>
              <w:rPr>
                <w:sz w:val="20"/>
                <w:szCs w:val="20"/>
                <w:color w:val="auto"/>
              </w:rPr>
            </w:pPr>
            <w:r>
              <w:rPr>
                <w:rFonts w:ascii="Arial" w:cs="Arial" w:eastAsia="Arial" w:hAnsi="Arial"/>
                <w:sz w:val="10"/>
                <w:szCs w:val="10"/>
                <w:color w:val="auto"/>
              </w:rPr>
              <w:t>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-7866380</wp:posOffset>
            </wp:positionV>
            <wp:extent cx="5967730" cy="1041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-7562215</wp:posOffset>
            </wp:positionV>
            <wp:extent cx="5967730" cy="1041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-7353300</wp:posOffset>
            </wp:positionV>
            <wp:extent cx="5967730" cy="1993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-6953885</wp:posOffset>
            </wp:positionV>
            <wp:extent cx="5967730" cy="1993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-8271510</wp:posOffset>
            </wp:positionV>
            <wp:extent cx="5967730" cy="8312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7730" cy="831215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-8271510</wp:posOffset>
            </wp:positionV>
            <wp:extent cx="5967730" cy="8312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7730" cy="8312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hanging="70"/>
        <w:spacing w:after="0"/>
        <w:tabs>
          <w:tab w:leader="none" w:pos="80" w:val="left"/>
        </w:tabs>
        <w:numPr>
          <w:ilvl w:val="0"/>
          <w:numId w:val="94"/>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4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hanging="70"/>
        <w:spacing w:after="0"/>
        <w:tabs>
          <w:tab w:leader="none" w:pos="80" w:val="left"/>
        </w:tabs>
        <w:numPr>
          <w:ilvl w:val="0"/>
          <w:numId w:val="95"/>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95"/>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hanging="70"/>
        <w:spacing w:after="0"/>
        <w:tabs>
          <w:tab w:leader="none" w:pos="80" w:val="left"/>
        </w:tabs>
        <w:numPr>
          <w:ilvl w:val="0"/>
          <w:numId w:val="96"/>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hanging="70"/>
        <w:spacing w:after="0"/>
        <w:tabs>
          <w:tab w:leader="none" w:pos="80" w:val="left"/>
        </w:tabs>
        <w:numPr>
          <w:ilvl w:val="0"/>
          <w:numId w:val="97"/>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hanging="70"/>
        <w:spacing w:after="0"/>
        <w:tabs>
          <w:tab w:leader="none" w:pos="80" w:val="left"/>
        </w:tabs>
        <w:numPr>
          <w:ilvl w:val="0"/>
          <w:numId w:val="9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9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hanging="70"/>
        <w:spacing w:after="0"/>
        <w:tabs>
          <w:tab w:leader="none" w:pos="80" w:val="left"/>
        </w:tabs>
        <w:numPr>
          <w:ilvl w:val="0"/>
          <w:numId w:val="9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9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1575" w:lineRule="exact"/>
        <w:rPr>
          <w:sz w:val="20"/>
          <w:szCs w:val="20"/>
          <w:color w:val="auto"/>
        </w:rPr>
      </w:pPr>
    </w:p>
    <w:p>
      <w:pPr>
        <w:sectPr>
          <w:pgSz w:w="11900" w:h="16838" w:orient="portrait"/>
          <w:cols w:equalWidth="0" w:num="3">
            <w:col w:w="3580" w:space="460"/>
            <w:col w:w="4620" w:space="560"/>
            <w:col w:w="160"/>
          </w:cols>
          <w:pgMar w:left="1260" w:top="1440" w:right="1266" w:bottom="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8</w:t>
      </w:r>
    </w:p>
    <w:p>
      <w:pPr>
        <w:sectPr>
          <w:pgSz w:w="11900" w:h="16838" w:orient="portrait"/>
          <w:cols w:equalWidth="0" w:num="1">
            <w:col w:w="9380"/>
          </w:cols>
          <w:pgMar w:left="1260" w:top="1440" w:right="1266" w:bottom="0" w:gutter="0" w:footer="0" w:header="0"/>
          <w:type w:val="continuous"/>
        </w:sectPr>
      </w:pPr>
    </w:p>
    <w:bookmarkStart w:id="202" w:name="page203"/>
    <w:bookmarkEnd w:id="202"/>
    <w:p>
      <w:pPr>
        <w:spacing w:after="0" w:line="292"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Puget Collision, LLC</w:t>
      </w:r>
      <w:r>
        <w:rPr>
          <w:sz w:val="20"/>
          <w:szCs w:val="20"/>
          <w:color w:val="auto"/>
        </w:rPr>
        <w:tab/>
      </w:r>
      <w:r>
        <w:rPr>
          <w:rFonts w:ascii="Arial" w:cs="Arial" w:eastAsia="Arial" w:hAnsi="Arial"/>
          <w:sz w:val="9"/>
          <w:szCs w:val="9"/>
          <w:color w:val="auto"/>
        </w:rPr>
        <w:t>Retail</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(310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QED Technologies International, Inc.</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(q)</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(j)(q)</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(140 shares)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Quest Software US Holdings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R1 Holdings, LLC (dba RoadOne IntermodaLogistics) </w:t>
      </w:r>
      <w:r>
        <w:rPr>
          <w:rFonts w:ascii="Arial" w:cs="Arial" w:eastAsia="Arial" w:hAnsi="Arial"/>
          <w:sz w:val="10"/>
          <w:szCs w:val="10"/>
          <w:color w:val="auto"/>
        </w:rPr>
        <w:t>Transportation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(280,000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R.F. Fager Company LLC</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(12,500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Sales Rabbit,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ServicePower,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(k)(as)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(ba)</w:t>
      </w:r>
    </w:p>
    <w:p>
      <w:pPr>
        <w:spacing w:after="0" w:line="36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SES Investors, LLC (dba SES Foam) (n)</w:t>
      </w:r>
      <w:r>
        <w:rPr>
          <w:sz w:val="20"/>
          <w:szCs w:val="20"/>
          <w:color w:val="auto"/>
        </w:rPr>
        <w:tab/>
      </w:r>
      <w:r>
        <w:rPr>
          <w:rFonts w:ascii="Arial" w:cs="Arial" w:eastAsia="Arial" w:hAnsi="Arial"/>
          <w:sz w:val="9"/>
          <w:szCs w:val="9"/>
          <w:color w:val="auto"/>
        </w:rPr>
        <w:t>Building Products Manufacturing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(6,000 units) (h)</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Sogno Toscano LLC</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(bi)</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(6 units)</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Suited Connector LLC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(97,808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Tedia Company, LLC</w:t>
      </w:r>
      <w:r>
        <w:rPr>
          <w:sz w:val="20"/>
          <w:szCs w:val="20"/>
          <w:color w:val="auto"/>
        </w:rPr>
        <w:tab/>
      </w:r>
      <w:r>
        <w:rPr>
          <w:rFonts w:ascii="Arial" w:cs="Arial" w:eastAsia="Arial" w:hAnsi="Arial"/>
          <w:sz w:val="9"/>
          <w:szCs w:val="9"/>
          <w:color w:val="auto"/>
        </w:rPr>
        <w:t>Healthcare Products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($1,750 unfunded commitment) (i)</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Thrust Flight LLC</w:t>
      </w:r>
      <w:r>
        <w:rPr>
          <w:sz w:val="20"/>
          <w:szCs w:val="20"/>
          <w:color w:val="auto"/>
        </w:rPr>
        <w:tab/>
      </w:r>
      <w:r>
        <w:rPr>
          <w:rFonts w:ascii="Arial" w:cs="Arial" w:eastAsia="Arial" w:hAnsi="Arial"/>
          <w:sz w:val="7"/>
          <w:szCs w:val="7"/>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(j)(au)</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($1,818 unfunded commitment)(i)(au)</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(1,050,000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True Environmental Inc.</w:t>
      </w:r>
      <w:r>
        <w:rPr>
          <w:sz w:val="20"/>
          <w:szCs w:val="20"/>
          <w:color w:val="auto"/>
        </w:rPr>
        <w:tab/>
      </w:r>
      <w:r>
        <w:rPr>
          <w:rFonts w:ascii="Arial" w:cs="Arial" w:eastAsia="Arial" w:hAnsi="Arial"/>
          <w:sz w:val="7"/>
          <w:szCs w:val="7"/>
          <w:color w:val="auto"/>
        </w:rPr>
        <w:t>Business Services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9,157</w:t>
            </w:r>
          </w:p>
        </w:tc>
        <w:tc>
          <w:tcPr>
            <w:tcW w:w="440" w:type="dxa"/>
            <w:vAlign w:val="bottom"/>
          </w:tcPr>
          <w:p>
            <w:pPr>
              <w:jc w:val="right"/>
              <w:spacing w:after="0"/>
              <w:rPr>
                <w:sz w:val="20"/>
                <w:szCs w:val="20"/>
                <w:color w:val="auto"/>
              </w:rPr>
            </w:pPr>
            <w:r>
              <w:rPr>
                <w:rFonts w:ascii="Arial" w:cs="Arial" w:eastAsia="Arial" w:hAnsi="Arial"/>
                <w:sz w:val="10"/>
                <w:szCs w:val="10"/>
                <w:color w:val="auto"/>
              </w:rPr>
              <w:t>9,287</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+ 4.75%) / (0.75%)</w:t>
            </w:r>
          </w:p>
        </w:tc>
        <w:tc>
          <w:tcPr>
            <w:tcW w:w="720" w:type="dxa"/>
            <w:vAlign w:val="bottom"/>
          </w:tcPr>
          <w:p>
            <w:pPr>
              <w:ind w:left="40"/>
              <w:spacing w:after="0"/>
              <w:rPr>
                <w:sz w:val="20"/>
                <w:szCs w:val="20"/>
                <w:color w:val="auto"/>
              </w:rPr>
            </w:pPr>
            <w:r>
              <w:rPr>
                <w:rFonts w:ascii="Arial" w:cs="Arial" w:eastAsia="Arial" w:hAnsi="Arial"/>
                <w:sz w:val="10"/>
                <w:szCs w:val="10"/>
                <w:color w:val="auto"/>
              </w:rPr>
              <w:t>8.42%/0.00%</w:t>
            </w:r>
          </w:p>
        </w:tc>
        <w:tc>
          <w:tcPr>
            <w:tcW w:w="640" w:type="dxa"/>
            <w:vAlign w:val="bottom"/>
          </w:tcPr>
          <w:p>
            <w:pPr>
              <w:ind w:left="100"/>
              <w:spacing w:after="0"/>
              <w:rPr>
                <w:sz w:val="20"/>
                <w:szCs w:val="20"/>
                <w:color w:val="auto"/>
              </w:rPr>
            </w:pPr>
            <w:r>
              <w:rPr>
                <w:rFonts w:ascii="Arial" w:cs="Arial" w:eastAsia="Arial" w:hAnsi="Arial"/>
                <w:sz w:val="10"/>
                <w:szCs w:val="10"/>
                <w:color w:val="auto"/>
              </w:rPr>
              <w:t>10/3/2025</w:t>
            </w:r>
          </w:p>
        </w:tc>
        <w:tc>
          <w:tcPr>
            <w:tcW w:w="680" w:type="dxa"/>
            <w:vAlign w:val="bottom"/>
          </w:tcPr>
          <w:p>
            <w:pPr>
              <w:ind w:left="100"/>
              <w:spacing w:after="0"/>
              <w:rPr>
                <w:sz w:val="20"/>
                <w:szCs w:val="20"/>
                <w:color w:val="auto"/>
              </w:rPr>
            </w:pPr>
            <w:r>
              <w:rPr>
                <w:rFonts w:ascii="Arial" w:cs="Arial" w:eastAsia="Arial" w:hAnsi="Arial"/>
                <w:sz w:val="10"/>
                <w:szCs w:val="10"/>
                <w:color w:val="auto"/>
              </w:rPr>
              <w:t>10/3/2030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12,500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12,426</w:t>
            </w:r>
          </w:p>
        </w:tc>
        <w:tc>
          <w:tcPr>
            <w:tcW w:w="440" w:type="dxa"/>
            <w:vAlign w:val="bottom"/>
          </w:tcPr>
          <w:p>
            <w:pPr>
              <w:jc w:val="right"/>
              <w:spacing w:after="0"/>
              <w:rPr>
                <w:sz w:val="20"/>
                <w:szCs w:val="20"/>
                <w:color w:val="auto"/>
              </w:rPr>
            </w:pPr>
            <w:r>
              <w:rPr>
                <w:rFonts w:ascii="Arial" w:cs="Arial" w:eastAsia="Arial" w:hAnsi="Arial"/>
                <w:sz w:val="10"/>
                <w:szCs w:val="10"/>
                <w:color w:val="auto"/>
              </w:rPr>
              <w:t>12,426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1/4/2024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810</w:t>
            </w:r>
          </w:p>
        </w:tc>
        <w:tc>
          <w:tcPr>
            <w:tcW w:w="440" w:type="dxa"/>
            <w:vAlign w:val="bottom"/>
          </w:tcPr>
          <w:p>
            <w:pPr>
              <w:jc w:val="right"/>
              <w:spacing w:after="0"/>
              <w:rPr>
                <w:sz w:val="20"/>
                <w:szCs w:val="20"/>
                <w:color w:val="auto"/>
              </w:rPr>
            </w:pPr>
            <w:r>
              <w:rPr>
                <w:rFonts w:ascii="Arial" w:cs="Arial" w:eastAsia="Arial" w:hAnsi="Arial"/>
                <w:sz w:val="10"/>
                <w:szCs w:val="10"/>
                <w:color w:val="auto"/>
              </w:rPr>
              <w:t>1,058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13,236</w:t>
            </w:r>
          </w:p>
        </w:tc>
        <w:tc>
          <w:tcPr>
            <w:tcW w:w="440" w:type="dxa"/>
            <w:vAlign w:val="bottom"/>
          </w:tcPr>
          <w:p>
            <w:pPr>
              <w:jc w:val="right"/>
              <w:spacing w:after="0"/>
              <w:rPr>
                <w:sz w:val="20"/>
                <w:szCs w:val="20"/>
                <w:color w:val="auto"/>
              </w:rPr>
            </w:pPr>
            <w:r>
              <w:rPr>
                <w:rFonts w:ascii="Arial" w:cs="Arial" w:eastAsia="Arial" w:hAnsi="Arial"/>
                <w:sz w:val="10"/>
                <w:szCs w:val="10"/>
                <w:color w:val="auto"/>
              </w:rPr>
              <w:t>13,484</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+ 4.75%) / (1.50%)</w:t>
            </w:r>
          </w:p>
        </w:tc>
        <w:tc>
          <w:tcPr>
            <w:tcW w:w="720" w:type="dxa"/>
            <w:vAlign w:val="bottom"/>
          </w:tcPr>
          <w:p>
            <w:pPr>
              <w:ind w:left="40"/>
              <w:spacing w:after="0"/>
              <w:rPr>
                <w:sz w:val="20"/>
                <w:szCs w:val="20"/>
                <w:color w:val="auto"/>
              </w:rPr>
            </w:pPr>
            <w:r>
              <w:rPr>
                <w:rFonts w:ascii="Arial" w:cs="Arial" w:eastAsia="Arial" w:hAnsi="Arial"/>
                <w:sz w:val="10"/>
                <w:szCs w:val="10"/>
                <w:color w:val="auto"/>
              </w:rPr>
              <w:t>9.24%0.00%</w:t>
            </w:r>
          </w:p>
        </w:tc>
        <w:tc>
          <w:tcPr>
            <w:tcW w:w="640" w:type="dxa"/>
            <w:vAlign w:val="bottom"/>
          </w:tcPr>
          <w:p>
            <w:pPr>
              <w:ind w:left="100"/>
              <w:spacing w:after="0"/>
              <w:rPr>
                <w:sz w:val="20"/>
                <w:szCs w:val="20"/>
                <w:color w:val="auto"/>
              </w:rPr>
            </w:pPr>
            <w:r>
              <w:rPr>
                <w:rFonts w:ascii="Arial" w:cs="Arial" w:eastAsia="Arial" w:hAnsi="Arial"/>
                <w:sz w:val="10"/>
                <w:szCs w:val="10"/>
                <w:color w:val="auto"/>
              </w:rPr>
              <w:t>3/1/2023</w:t>
            </w:r>
          </w:p>
        </w:tc>
        <w:tc>
          <w:tcPr>
            <w:tcW w:w="680" w:type="dxa"/>
            <w:vAlign w:val="bottom"/>
          </w:tcPr>
          <w:p>
            <w:pPr>
              <w:ind w:left="100"/>
              <w:spacing w:after="0"/>
              <w:rPr>
                <w:sz w:val="20"/>
                <w:szCs w:val="20"/>
                <w:color w:val="auto"/>
              </w:rPr>
            </w:pPr>
            <w:r>
              <w:rPr>
                <w:rFonts w:ascii="Arial" w:cs="Arial" w:eastAsia="Arial" w:hAnsi="Arial"/>
                <w:sz w:val="10"/>
                <w:szCs w:val="10"/>
                <w:color w:val="auto"/>
              </w:rPr>
              <w:t>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15,551</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15,494</w:t>
            </w:r>
          </w:p>
        </w:tc>
        <w:tc>
          <w:tcPr>
            <w:tcW w:w="440" w:type="dxa"/>
            <w:vAlign w:val="bottom"/>
          </w:tcPr>
          <w:p>
            <w:pPr>
              <w:jc w:val="right"/>
              <w:spacing w:after="0"/>
              <w:rPr>
                <w:sz w:val="20"/>
                <w:szCs w:val="20"/>
                <w:color w:val="auto"/>
              </w:rPr>
            </w:pPr>
            <w:r>
              <w:rPr>
                <w:rFonts w:ascii="Arial" w:cs="Arial" w:eastAsia="Arial" w:hAnsi="Arial"/>
                <w:sz w:val="10"/>
                <w:szCs w:val="10"/>
                <w:color w:val="auto"/>
              </w:rPr>
              <w:t>15,551</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+ 4.75%) / (1.50%)</w:t>
            </w:r>
          </w:p>
        </w:tc>
        <w:tc>
          <w:tcPr>
            <w:tcW w:w="720" w:type="dxa"/>
            <w:vAlign w:val="bottom"/>
          </w:tcPr>
          <w:p>
            <w:pPr>
              <w:ind w:left="40"/>
              <w:spacing w:after="0"/>
              <w:rPr>
                <w:sz w:val="20"/>
                <w:szCs w:val="20"/>
                <w:color w:val="auto"/>
              </w:rPr>
            </w:pPr>
            <w:r>
              <w:rPr>
                <w:rFonts w:ascii="Arial" w:cs="Arial" w:eastAsia="Arial" w:hAnsi="Arial"/>
                <w:sz w:val="10"/>
                <w:szCs w:val="10"/>
                <w:color w:val="auto"/>
              </w:rPr>
              <w:t>9.24%0.00%</w:t>
            </w:r>
          </w:p>
        </w:tc>
        <w:tc>
          <w:tcPr>
            <w:tcW w:w="640" w:type="dxa"/>
            <w:vAlign w:val="bottom"/>
          </w:tcPr>
          <w:p>
            <w:pPr>
              <w:ind w:left="100"/>
              <w:spacing w:after="0"/>
              <w:rPr>
                <w:sz w:val="20"/>
                <w:szCs w:val="20"/>
                <w:color w:val="auto"/>
              </w:rPr>
            </w:pPr>
            <w:r>
              <w:rPr>
                <w:rFonts w:ascii="Arial" w:cs="Arial" w:eastAsia="Arial" w:hAnsi="Arial"/>
                <w:sz w:val="10"/>
                <w:szCs w:val="10"/>
                <w:color w:val="auto"/>
              </w:rPr>
              <w:t>5/30/2025</w:t>
            </w:r>
          </w:p>
        </w:tc>
        <w:tc>
          <w:tcPr>
            <w:tcW w:w="680" w:type="dxa"/>
            <w:vAlign w:val="bottom"/>
          </w:tcPr>
          <w:p>
            <w:pPr>
              <w:ind w:left="100"/>
              <w:spacing w:after="0"/>
              <w:rPr>
                <w:sz w:val="20"/>
                <w:szCs w:val="20"/>
                <w:color w:val="auto"/>
              </w:rPr>
            </w:pPr>
            <w:r>
              <w:rPr>
                <w:rFonts w:ascii="Arial" w:cs="Arial" w:eastAsia="Arial" w:hAnsi="Arial"/>
                <w:sz w:val="10"/>
                <w:szCs w:val="10"/>
                <w:color w:val="auto"/>
              </w:rPr>
              <w:t>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2,103</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2,052</w:t>
            </w:r>
          </w:p>
        </w:tc>
        <w:tc>
          <w:tcPr>
            <w:tcW w:w="440" w:type="dxa"/>
            <w:vAlign w:val="bottom"/>
          </w:tcPr>
          <w:p>
            <w:pPr>
              <w:jc w:val="right"/>
              <w:spacing w:after="0"/>
              <w:rPr>
                <w:sz w:val="20"/>
                <w:szCs w:val="20"/>
                <w:color w:val="auto"/>
              </w:rPr>
            </w:pPr>
            <w:r>
              <w:rPr>
                <w:rFonts w:ascii="Arial" w:cs="Arial" w:eastAsia="Arial" w:hAnsi="Arial"/>
                <w:sz w:val="10"/>
                <w:szCs w:val="10"/>
                <w:color w:val="auto"/>
              </w:rPr>
              <w:t>2,103</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2/28/2023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1,402</w:t>
            </w:r>
          </w:p>
        </w:tc>
        <w:tc>
          <w:tcPr>
            <w:tcW w:w="440" w:type="dxa"/>
            <w:vAlign w:val="bottom"/>
          </w:tcPr>
          <w:p>
            <w:pPr>
              <w:jc w:val="right"/>
              <w:spacing w:after="0"/>
              <w:rPr>
                <w:sz w:val="20"/>
                <w:szCs w:val="20"/>
                <w:color w:val="auto"/>
              </w:rPr>
            </w:pPr>
            <w:r>
              <w:rPr>
                <w:rFonts w:ascii="Arial" w:cs="Arial" w:eastAsia="Arial" w:hAnsi="Arial"/>
                <w:sz w:val="10"/>
                <w:szCs w:val="10"/>
                <w:color w:val="auto"/>
              </w:rPr>
              <w:t>4,018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18,948</w:t>
            </w:r>
          </w:p>
        </w:tc>
        <w:tc>
          <w:tcPr>
            <w:tcW w:w="440" w:type="dxa"/>
            <w:vAlign w:val="bottom"/>
          </w:tcPr>
          <w:p>
            <w:pPr>
              <w:jc w:val="right"/>
              <w:spacing w:after="0"/>
              <w:rPr>
                <w:sz w:val="20"/>
                <w:szCs w:val="20"/>
                <w:color w:val="auto"/>
              </w:rPr>
            </w:pPr>
            <w:r>
              <w:rPr>
                <w:rFonts w:ascii="Arial" w:cs="Arial" w:eastAsia="Arial" w:hAnsi="Arial"/>
                <w:sz w:val="10"/>
                <w:szCs w:val="10"/>
                <w:color w:val="auto"/>
              </w:rPr>
              <w:t>21,672</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+ 1.00%) / (0.50%)</w:t>
            </w:r>
          </w:p>
        </w:tc>
        <w:tc>
          <w:tcPr>
            <w:tcW w:w="720" w:type="dxa"/>
            <w:vAlign w:val="bottom"/>
          </w:tcPr>
          <w:p>
            <w:pPr>
              <w:ind w:left="40"/>
              <w:spacing w:after="0"/>
              <w:rPr>
                <w:sz w:val="20"/>
                <w:szCs w:val="20"/>
                <w:color w:val="auto"/>
              </w:rPr>
            </w:pPr>
            <w:r>
              <w:rPr>
                <w:rFonts w:ascii="Arial" w:cs="Arial" w:eastAsia="Arial" w:hAnsi="Arial"/>
                <w:sz w:val="10"/>
                <w:szCs w:val="10"/>
                <w:color w:val="auto"/>
              </w:rPr>
              <w:t>4.84%/6.75%</w:t>
            </w:r>
          </w:p>
        </w:tc>
        <w:tc>
          <w:tcPr>
            <w:tcW w:w="640" w:type="dxa"/>
            <w:vAlign w:val="bottom"/>
          </w:tcPr>
          <w:p>
            <w:pPr>
              <w:ind w:left="100"/>
              <w:spacing w:after="0"/>
              <w:rPr>
                <w:sz w:val="20"/>
                <w:szCs w:val="20"/>
                <w:color w:val="auto"/>
              </w:rPr>
            </w:pPr>
            <w:r>
              <w:rPr>
                <w:rFonts w:ascii="Arial" w:cs="Arial" w:eastAsia="Arial" w:hAnsi="Arial"/>
                <w:sz w:val="10"/>
                <w:szCs w:val="10"/>
                <w:color w:val="auto"/>
              </w:rPr>
              <w:t>8/11/2025</w:t>
            </w:r>
          </w:p>
        </w:tc>
        <w:tc>
          <w:tcPr>
            <w:tcW w:w="680" w:type="dxa"/>
            <w:vAlign w:val="bottom"/>
          </w:tcPr>
          <w:p>
            <w:pPr>
              <w:ind w:left="100"/>
              <w:spacing w:after="0"/>
              <w:rPr>
                <w:sz w:val="20"/>
                <w:szCs w:val="20"/>
                <w:color w:val="auto"/>
              </w:rPr>
            </w:pPr>
            <w:r>
              <w:rPr>
                <w:rFonts w:ascii="Arial" w:cs="Arial" w:eastAsia="Arial" w:hAnsi="Arial"/>
                <w:sz w:val="10"/>
                <w:szCs w:val="10"/>
                <w:color w:val="auto"/>
              </w:rPr>
              <w:t>2/1/2030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17,698</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17,698</w:t>
            </w:r>
          </w:p>
        </w:tc>
        <w:tc>
          <w:tcPr>
            <w:tcW w:w="440" w:type="dxa"/>
            <w:vAlign w:val="bottom"/>
          </w:tcPr>
          <w:p>
            <w:pPr>
              <w:jc w:val="right"/>
              <w:spacing w:after="0"/>
              <w:rPr>
                <w:sz w:val="20"/>
                <w:szCs w:val="20"/>
                <w:color w:val="auto"/>
              </w:rPr>
            </w:pPr>
            <w:r>
              <w:rPr>
                <w:rFonts w:ascii="Arial" w:cs="Arial" w:eastAsia="Arial" w:hAnsi="Arial"/>
                <w:sz w:val="10"/>
                <w:szCs w:val="10"/>
                <w:color w:val="auto"/>
              </w:rPr>
              <w:t>16,582</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9.95%/0.00%</w:t>
            </w:r>
          </w:p>
        </w:tc>
        <w:tc>
          <w:tcPr>
            <w:tcW w:w="640" w:type="dxa"/>
            <w:vAlign w:val="bottom"/>
          </w:tcPr>
          <w:p>
            <w:pPr>
              <w:ind w:left="100"/>
              <w:spacing w:after="0"/>
              <w:rPr>
                <w:sz w:val="20"/>
                <w:szCs w:val="20"/>
                <w:color w:val="auto"/>
              </w:rPr>
            </w:pPr>
            <w:r>
              <w:rPr>
                <w:rFonts w:ascii="Arial" w:cs="Arial" w:eastAsia="Arial" w:hAnsi="Arial"/>
                <w:sz w:val="10"/>
                <w:szCs w:val="10"/>
                <w:color w:val="auto"/>
              </w:rPr>
              <w:t>12/30/2022</w:t>
            </w:r>
          </w:p>
        </w:tc>
        <w:tc>
          <w:tcPr>
            <w:tcW w:w="680" w:type="dxa"/>
            <w:vAlign w:val="bottom"/>
          </w:tcPr>
          <w:p>
            <w:pPr>
              <w:ind w:left="100"/>
              <w:spacing w:after="0"/>
              <w:rPr>
                <w:sz w:val="20"/>
                <w:szCs w:val="20"/>
                <w:color w:val="auto"/>
              </w:rPr>
            </w:pPr>
            <w:r>
              <w:rPr>
                <w:rFonts w:ascii="Arial" w:cs="Arial" w:eastAsia="Arial" w:hAnsi="Arial"/>
                <w:sz w:val="10"/>
                <w:szCs w:val="10"/>
                <w:color w:val="auto"/>
              </w:rPr>
              <w:t>12/30/2028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6,231</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6,104</w:t>
            </w:r>
          </w:p>
        </w:tc>
        <w:tc>
          <w:tcPr>
            <w:tcW w:w="440" w:type="dxa"/>
            <w:vAlign w:val="bottom"/>
          </w:tcPr>
          <w:p>
            <w:pPr>
              <w:jc w:val="right"/>
              <w:spacing w:after="0"/>
              <w:rPr>
                <w:sz w:val="20"/>
                <w:szCs w:val="20"/>
                <w:color w:val="auto"/>
              </w:rPr>
            </w:pPr>
            <w:r>
              <w:rPr>
                <w:rFonts w:ascii="Arial" w:cs="Arial" w:eastAsia="Arial" w:hAnsi="Arial"/>
                <w:sz w:val="10"/>
                <w:szCs w:val="10"/>
                <w:color w:val="auto"/>
              </w:rPr>
              <w:t>6,231</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8.75%/5.00%</w:t>
            </w:r>
          </w:p>
        </w:tc>
        <w:tc>
          <w:tcPr>
            <w:tcW w:w="640" w:type="dxa"/>
            <w:vAlign w:val="bottom"/>
          </w:tcPr>
          <w:p>
            <w:pPr>
              <w:ind w:left="100"/>
              <w:spacing w:after="0"/>
              <w:rPr>
                <w:sz w:val="20"/>
                <w:szCs w:val="20"/>
                <w:color w:val="auto"/>
              </w:rPr>
            </w:pPr>
            <w:r>
              <w:rPr>
                <w:rFonts w:ascii="Arial" w:cs="Arial" w:eastAsia="Arial" w:hAnsi="Arial"/>
                <w:sz w:val="10"/>
                <w:szCs w:val="10"/>
                <w:color w:val="auto"/>
              </w:rPr>
              <w:t>12/30/2022</w:t>
            </w:r>
          </w:p>
        </w:tc>
        <w:tc>
          <w:tcPr>
            <w:tcW w:w="680" w:type="dxa"/>
            <w:vAlign w:val="bottom"/>
          </w:tcPr>
          <w:p>
            <w:pPr>
              <w:ind w:left="100"/>
              <w:spacing w:after="0"/>
              <w:rPr>
                <w:sz w:val="20"/>
                <w:szCs w:val="20"/>
                <w:color w:val="auto"/>
              </w:rPr>
            </w:pPr>
            <w:r>
              <w:rPr>
                <w:rFonts w:ascii="Arial" w:cs="Arial" w:eastAsia="Arial" w:hAnsi="Arial"/>
                <w:sz w:val="10"/>
                <w:szCs w:val="10"/>
                <w:color w:val="auto"/>
              </w:rPr>
              <w:t>6/30/2029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1,552</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1,526</w:t>
            </w:r>
          </w:p>
        </w:tc>
        <w:tc>
          <w:tcPr>
            <w:tcW w:w="440" w:type="dxa"/>
            <w:vAlign w:val="bottom"/>
          </w:tcPr>
          <w:p>
            <w:pPr>
              <w:jc w:val="right"/>
              <w:spacing w:after="0"/>
              <w:rPr>
                <w:sz w:val="20"/>
                <w:szCs w:val="20"/>
                <w:color w:val="auto"/>
              </w:rPr>
            </w:pPr>
            <w:r>
              <w:rPr>
                <w:rFonts w:ascii="Arial" w:cs="Arial" w:eastAsia="Arial" w:hAnsi="Arial"/>
                <w:sz w:val="10"/>
                <w:szCs w:val="10"/>
                <w:color w:val="auto"/>
              </w:rPr>
              <w:t>1,459</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12/30/2022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280</w:t>
            </w:r>
          </w:p>
        </w:tc>
        <w:tc>
          <w:tcPr>
            <w:tcW w:w="440" w:type="dxa"/>
            <w:vAlign w:val="bottom"/>
          </w:tcPr>
          <w:p>
            <w:pPr>
              <w:jc w:val="right"/>
              <w:spacing w:after="0"/>
              <w:rPr>
                <w:sz w:val="20"/>
                <w:szCs w:val="20"/>
                <w:color w:val="auto"/>
              </w:rPr>
            </w:pPr>
            <w:r>
              <w:rPr>
                <w:rFonts w:ascii="Arial" w:cs="Arial" w:eastAsia="Arial" w:hAnsi="Arial"/>
                <w:sz w:val="10"/>
                <w:szCs w:val="10"/>
                <w:color w:val="auto"/>
              </w:rPr>
              <w:t>127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7,910</w:t>
            </w:r>
          </w:p>
        </w:tc>
        <w:tc>
          <w:tcPr>
            <w:tcW w:w="440" w:type="dxa"/>
            <w:vAlign w:val="bottom"/>
          </w:tcPr>
          <w:p>
            <w:pPr>
              <w:jc w:val="right"/>
              <w:spacing w:after="0"/>
              <w:rPr>
                <w:sz w:val="20"/>
                <w:szCs w:val="20"/>
                <w:color w:val="auto"/>
              </w:rPr>
            </w:pPr>
            <w:r>
              <w:rPr>
                <w:rFonts w:ascii="Arial" w:cs="Arial" w:eastAsia="Arial" w:hAnsi="Arial"/>
                <w:sz w:val="10"/>
                <w:szCs w:val="10"/>
                <w:color w:val="auto"/>
              </w:rPr>
              <w:t>7,817</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12.75%/0.00%</w:t>
            </w:r>
          </w:p>
        </w:tc>
        <w:tc>
          <w:tcPr>
            <w:tcW w:w="640" w:type="dxa"/>
            <w:vAlign w:val="bottom"/>
          </w:tcPr>
          <w:p>
            <w:pPr>
              <w:ind w:left="100"/>
              <w:spacing w:after="0"/>
              <w:rPr>
                <w:sz w:val="20"/>
                <w:szCs w:val="20"/>
                <w:color w:val="auto"/>
              </w:rPr>
            </w:pPr>
            <w:r>
              <w:rPr>
                <w:rFonts w:ascii="Arial" w:cs="Arial" w:eastAsia="Arial" w:hAnsi="Arial"/>
                <w:sz w:val="10"/>
                <w:szCs w:val="10"/>
                <w:color w:val="auto"/>
              </w:rPr>
              <w:t>3/4/2024</w:t>
            </w:r>
          </w:p>
        </w:tc>
        <w:tc>
          <w:tcPr>
            <w:tcW w:w="680" w:type="dxa"/>
            <w:vAlign w:val="bottom"/>
          </w:tcPr>
          <w:p>
            <w:pPr>
              <w:ind w:left="100"/>
              <w:spacing w:after="0"/>
              <w:rPr>
                <w:sz w:val="20"/>
                <w:szCs w:val="20"/>
                <w:color w:val="auto"/>
              </w:rPr>
            </w:pPr>
            <w:r>
              <w:rPr>
                <w:rFonts w:ascii="Arial" w:cs="Arial" w:eastAsia="Arial" w:hAnsi="Arial"/>
                <w:sz w:val="10"/>
                <w:szCs w:val="10"/>
                <w:color w:val="auto"/>
              </w:rPr>
              <w:t>8/4/2030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18,000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17,926</w:t>
            </w:r>
          </w:p>
        </w:tc>
        <w:tc>
          <w:tcPr>
            <w:tcW w:w="440" w:type="dxa"/>
            <w:vAlign w:val="bottom"/>
          </w:tcPr>
          <w:p>
            <w:pPr>
              <w:jc w:val="right"/>
              <w:spacing w:after="0"/>
              <w:rPr>
                <w:sz w:val="20"/>
                <w:szCs w:val="20"/>
                <w:color w:val="auto"/>
              </w:rPr>
            </w:pPr>
            <w:r>
              <w:rPr>
                <w:rFonts w:ascii="Arial" w:cs="Arial" w:eastAsia="Arial" w:hAnsi="Arial"/>
                <w:sz w:val="10"/>
                <w:szCs w:val="10"/>
                <w:color w:val="auto"/>
              </w:rPr>
              <w:t>18,000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3/4/2024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1,250</w:t>
            </w:r>
          </w:p>
        </w:tc>
        <w:tc>
          <w:tcPr>
            <w:tcW w:w="440" w:type="dxa"/>
            <w:vAlign w:val="bottom"/>
          </w:tcPr>
          <w:p>
            <w:pPr>
              <w:jc w:val="right"/>
              <w:spacing w:after="0"/>
              <w:rPr>
                <w:sz w:val="20"/>
                <w:szCs w:val="20"/>
                <w:color w:val="auto"/>
              </w:rPr>
            </w:pPr>
            <w:r>
              <w:rPr>
                <w:rFonts w:ascii="Arial" w:cs="Arial" w:eastAsia="Arial" w:hAnsi="Arial"/>
                <w:sz w:val="10"/>
                <w:szCs w:val="10"/>
                <w:color w:val="auto"/>
              </w:rPr>
              <w:t>1,450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19,176</w:t>
            </w:r>
          </w:p>
        </w:tc>
        <w:tc>
          <w:tcPr>
            <w:tcW w:w="440" w:type="dxa"/>
            <w:vAlign w:val="bottom"/>
          </w:tcPr>
          <w:p>
            <w:pPr>
              <w:jc w:val="right"/>
              <w:spacing w:after="0"/>
              <w:rPr>
                <w:sz w:val="20"/>
                <w:szCs w:val="20"/>
                <w:color w:val="auto"/>
              </w:rPr>
            </w:pPr>
            <w:r>
              <w:rPr>
                <w:rFonts w:ascii="Arial" w:cs="Arial" w:eastAsia="Arial" w:hAnsi="Arial"/>
                <w:sz w:val="10"/>
                <w:szCs w:val="10"/>
                <w:color w:val="auto"/>
              </w:rPr>
              <w:t>19,450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11.00%/2.00%</w:t>
            </w:r>
          </w:p>
        </w:tc>
        <w:tc>
          <w:tcPr>
            <w:tcW w:w="640" w:type="dxa"/>
            <w:vAlign w:val="bottom"/>
          </w:tcPr>
          <w:p>
            <w:pPr>
              <w:ind w:left="100"/>
              <w:spacing w:after="0"/>
              <w:rPr>
                <w:sz w:val="20"/>
                <w:szCs w:val="20"/>
                <w:color w:val="auto"/>
              </w:rPr>
            </w:pPr>
            <w:r>
              <w:rPr>
                <w:rFonts w:ascii="Arial" w:cs="Arial" w:eastAsia="Arial" w:hAnsi="Arial"/>
                <w:sz w:val="10"/>
                <w:szCs w:val="10"/>
                <w:color w:val="auto"/>
              </w:rPr>
              <w:t>12/23/2025</w:t>
            </w:r>
          </w:p>
        </w:tc>
        <w:tc>
          <w:tcPr>
            <w:tcW w:w="680" w:type="dxa"/>
            <w:vAlign w:val="bottom"/>
          </w:tcPr>
          <w:p>
            <w:pPr>
              <w:ind w:left="100"/>
              <w:spacing w:after="0"/>
              <w:rPr>
                <w:sz w:val="20"/>
                <w:szCs w:val="20"/>
                <w:color w:val="auto"/>
              </w:rPr>
            </w:pPr>
            <w:r>
              <w:rPr>
                <w:rFonts w:ascii="Arial" w:cs="Arial" w:eastAsia="Arial" w:hAnsi="Arial"/>
                <w:sz w:val="10"/>
                <w:szCs w:val="10"/>
                <w:color w:val="auto"/>
              </w:rPr>
              <w:t>12/23/2030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22,762</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22,515</w:t>
            </w:r>
          </w:p>
        </w:tc>
        <w:tc>
          <w:tcPr>
            <w:tcW w:w="440" w:type="dxa"/>
            <w:vAlign w:val="bottom"/>
          </w:tcPr>
          <w:p>
            <w:pPr>
              <w:jc w:val="right"/>
              <w:spacing w:after="0"/>
              <w:rPr>
                <w:sz w:val="20"/>
                <w:szCs w:val="20"/>
                <w:color w:val="auto"/>
              </w:rPr>
            </w:pPr>
            <w:r>
              <w:rPr>
                <w:rFonts w:ascii="Arial" w:cs="Arial" w:eastAsia="Arial" w:hAnsi="Arial"/>
                <w:sz w:val="10"/>
                <w:szCs w:val="10"/>
                <w:color w:val="auto"/>
              </w:rPr>
              <w:t>22,515</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10.50%/5.50%</w:t>
            </w:r>
          </w:p>
        </w:tc>
        <w:tc>
          <w:tcPr>
            <w:tcW w:w="640" w:type="dxa"/>
            <w:vAlign w:val="bottom"/>
          </w:tcPr>
          <w:p>
            <w:pPr>
              <w:ind w:left="100"/>
              <w:spacing w:after="0"/>
              <w:rPr>
                <w:sz w:val="20"/>
                <w:szCs w:val="20"/>
                <w:color w:val="auto"/>
              </w:rPr>
            </w:pPr>
            <w:r>
              <w:rPr>
                <w:rFonts w:ascii="Arial" w:cs="Arial" w:eastAsia="Arial" w:hAnsi="Arial"/>
                <w:sz w:val="10"/>
                <w:szCs w:val="10"/>
                <w:color w:val="auto"/>
              </w:rPr>
              <w:t>3/15/2024</w:t>
            </w:r>
          </w:p>
        </w:tc>
        <w:tc>
          <w:tcPr>
            <w:tcW w:w="680" w:type="dxa"/>
            <w:vAlign w:val="bottom"/>
          </w:tcPr>
          <w:p>
            <w:pPr>
              <w:ind w:left="100"/>
              <w:spacing w:after="0"/>
              <w:rPr>
                <w:sz w:val="20"/>
                <w:szCs w:val="20"/>
                <w:color w:val="auto"/>
              </w:rPr>
            </w:pPr>
            <w:r>
              <w:rPr>
                <w:rFonts w:ascii="Arial" w:cs="Arial" w:eastAsia="Arial" w:hAnsi="Arial"/>
                <w:sz w:val="10"/>
                <w:szCs w:val="10"/>
                <w:color w:val="auto"/>
              </w:rPr>
              <w:t>3/15/2028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30,033</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29,826</w:t>
            </w:r>
          </w:p>
        </w:tc>
        <w:tc>
          <w:tcPr>
            <w:tcW w:w="440" w:type="dxa"/>
            <w:vAlign w:val="bottom"/>
          </w:tcPr>
          <w:p>
            <w:pPr>
              <w:jc w:val="right"/>
              <w:spacing w:after="0"/>
              <w:rPr>
                <w:sz w:val="20"/>
                <w:szCs w:val="20"/>
                <w:color w:val="auto"/>
              </w:rPr>
            </w:pPr>
            <w:r>
              <w:rPr>
                <w:rFonts w:ascii="Arial" w:cs="Arial" w:eastAsia="Arial" w:hAnsi="Arial"/>
                <w:sz w:val="10"/>
                <w:szCs w:val="10"/>
                <w:color w:val="auto"/>
              </w:rPr>
              <w:t>30,033</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8.25%/0.00%</w:t>
            </w:r>
          </w:p>
        </w:tc>
        <w:tc>
          <w:tcPr>
            <w:tcW w:w="640" w:type="dxa"/>
            <w:vAlign w:val="bottom"/>
          </w:tcPr>
          <w:p>
            <w:pPr>
              <w:ind w:left="100"/>
              <w:spacing w:after="0"/>
              <w:rPr>
                <w:sz w:val="20"/>
                <w:szCs w:val="20"/>
                <w:color w:val="auto"/>
              </w:rPr>
            </w:pPr>
            <w:r>
              <w:rPr>
                <w:rFonts w:ascii="Arial" w:cs="Arial" w:eastAsia="Arial" w:hAnsi="Arial"/>
                <w:sz w:val="10"/>
                <w:szCs w:val="10"/>
                <w:color w:val="auto"/>
              </w:rPr>
              <w:t>6/6/2025</w:t>
            </w:r>
          </w:p>
        </w:tc>
        <w:tc>
          <w:tcPr>
            <w:tcW w:w="680" w:type="dxa"/>
            <w:vAlign w:val="bottom"/>
          </w:tcPr>
          <w:p>
            <w:pPr>
              <w:ind w:left="100"/>
              <w:spacing w:after="0"/>
              <w:rPr>
                <w:sz w:val="20"/>
                <w:szCs w:val="20"/>
                <w:color w:val="auto"/>
              </w:rPr>
            </w:pPr>
            <w:r>
              <w:rPr>
                <w:rFonts w:ascii="Arial" w:cs="Arial" w:eastAsia="Arial" w:hAnsi="Arial"/>
                <w:sz w:val="10"/>
                <w:szCs w:val="10"/>
                <w:color w:val="auto"/>
              </w:rPr>
              <w:t>3/15/2028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w:t>
            </w:r>
          </w:p>
        </w:tc>
        <w:tc>
          <w:tcPr>
            <w:tcW w:w="44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29,831</w:t>
            </w:r>
          </w:p>
        </w:tc>
        <w:tc>
          <w:tcPr>
            <w:tcW w:w="440" w:type="dxa"/>
            <w:vAlign w:val="bottom"/>
          </w:tcPr>
          <w:p>
            <w:pPr>
              <w:jc w:val="right"/>
              <w:spacing w:after="0"/>
              <w:rPr>
                <w:sz w:val="20"/>
                <w:szCs w:val="20"/>
                <w:color w:val="auto"/>
              </w:rPr>
            </w:pPr>
            <w:r>
              <w:rPr>
                <w:rFonts w:ascii="Arial" w:cs="Arial" w:eastAsia="Arial" w:hAnsi="Arial"/>
                <w:sz w:val="10"/>
                <w:szCs w:val="10"/>
                <w:color w:val="auto"/>
              </w:rPr>
              <w:t>30,038</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9/8/2016</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0"/>
                <w:szCs w:val="20"/>
                <w:color w:val="auto"/>
              </w:rPr>
            </w:pPr>
            <w:r>
              <w:rPr>
                <w:rFonts w:ascii="Arial" w:cs="Arial" w:eastAsia="Arial" w:hAnsi="Arial"/>
                <w:sz w:val="10"/>
                <w:szCs w:val="10"/>
                <w:color w:val="auto"/>
                <w:w w:val="95"/>
              </w:rPr>
              <w:t>(S + 5.00%) / (2.00%)</w:t>
            </w:r>
          </w:p>
        </w:tc>
        <w:tc>
          <w:tcPr>
            <w:tcW w:w="720" w:type="dxa"/>
            <w:vAlign w:val="bottom"/>
          </w:tcPr>
          <w:p>
            <w:pPr>
              <w:ind w:left="40"/>
              <w:spacing w:after="0"/>
              <w:rPr>
                <w:sz w:val="20"/>
                <w:szCs w:val="20"/>
                <w:color w:val="auto"/>
              </w:rPr>
            </w:pPr>
            <w:r>
              <w:rPr>
                <w:rFonts w:ascii="Arial" w:cs="Arial" w:eastAsia="Arial" w:hAnsi="Arial"/>
                <w:sz w:val="10"/>
                <w:szCs w:val="10"/>
                <w:color w:val="auto"/>
              </w:rPr>
              <w:t>9.00%/0.00%</w:t>
            </w:r>
          </w:p>
        </w:tc>
        <w:tc>
          <w:tcPr>
            <w:tcW w:w="640" w:type="dxa"/>
            <w:vAlign w:val="bottom"/>
          </w:tcPr>
          <w:p>
            <w:pPr>
              <w:ind w:left="100"/>
              <w:spacing w:after="0"/>
              <w:rPr>
                <w:sz w:val="20"/>
                <w:szCs w:val="20"/>
                <w:color w:val="auto"/>
              </w:rPr>
            </w:pPr>
            <w:r>
              <w:rPr>
                <w:rFonts w:ascii="Arial" w:cs="Arial" w:eastAsia="Arial" w:hAnsi="Arial"/>
                <w:sz w:val="10"/>
                <w:szCs w:val="10"/>
                <w:color w:val="auto"/>
              </w:rPr>
              <w:t>7/2/2025</w:t>
            </w:r>
          </w:p>
        </w:tc>
        <w:tc>
          <w:tcPr>
            <w:tcW w:w="680" w:type="dxa"/>
            <w:vAlign w:val="bottom"/>
          </w:tcPr>
          <w:p>
            <w:pPr>
              <w:ind w:left="100"/>
              <w:spacing w:after="0"/>
              <w:rPr>
                <w:sz w:val="20"/>
                <w:szCs w:val="20"/>
                <w:color w:val="auto"/>
              </w:rPr>
            </w:pPr>
            <w:r>
              <w:rPr>
                <w:rFonts w:ascii="Arial" w:cs="Arial" w:eastAsia="Arial" w:hAnsi="Arial"/>
                <w:sz w:val="10"/>
                <w:szCs w:val="10"/>
                <w:color w:val="auto"/>
              </w:rPr>
              <w:t>1/2/2029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8,500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8,445</w:t>
            </w:r>
          </w:p>
        </w:tc>
        <w:tc>
          <w:tcPr>
            <w:tcW w:w="440" w:type="dxa"/>
            <w:vAlign w:val="bottom"/>
          </w:tcPr>
          <w:p>
            <w:pPr>
              <w:jc w:val="right"/>
              <w:spacing w:after="0"/>
              <w:rPr>
                <w:sz w:val="20"/>
                <w:szCs w:val="20"/>
                <w:color w:val="auto"/>
              </w:rPr>
            </w:pPr>
            <w:r>
              <w:rPr>
                <w:rFonts w:ascii="Arial" w:cs="Arial" w:eastAsia="Arial" w:hAnsi="Arial"/>
                <w:sz w:val="10"/>
                <w:szCs w:val="10"/>
                <w:color w:val="auto"/>
              </w:rPr>
              <w:t>8,445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7/2/2025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4,250</w:t>
            </w:r>
          </w:p>
        </w:tc>
        <w:tc>
          <w:tcPr>
            <w:tcW w:w="440" w:type="dxa"/>
            <w:vAlign w:val="bottom"/>
          </w:tcPr>
          <w:p>
            <w:pPr>
              <w:jc w:val="right"/>
              <w:spacing w:after="0"/>
              <w:rPr>
                <w:sz w:val="20"/>
                <w:szCs w:val="20"/>
                <w:color w:val="auto"/>
              </w:rPr>
            </w:pPr>
            <w:r>
              <w:rPr>
                <w:rFonts w:ascii="Arial" w:cs="Arial" w:eastAsia="Arial" w:hAnsi="Arial"/>
                <w:sz w:val="10"/>
                <w:szCs w:val="10"/>
                <w:color w:val="auto"/>
              </w:rPr>
              <w:t>4,250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12,695</w:t>
            </w:r>
          </w:p>
        </w:tc>
        <w:tc>
          <w:tcPr>
            <w:tcW w:w="440" w:type="dxa"/>
            <w:vAlign w:val="bottom"/>
          </w:tcPr>
          <w:p>
            <w:pPr>
              <w:jc w:val="right"/>
              <w:spacing w:after="0"/>
              <w:rPr>
                <w:sz w:val="20"/>
                <w:szCs w:val="20"/>
                <w:color w:val="auto"/>
              </w:rPr>
            </w:pPr>
            <w:r>
              <w:rPr>
                <w:rFonts w:ascii="Arial" w:cs="Arial" w:eastAsia="Arial" w:hAnsi="Arial"/>
                <w:sz w:val="10"/>
                <w:szCs w:val="10"/>
                <w:color w:val="auto"/>
              </w:rPr>
              <w:t>12,695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0.00%/13.00%</w:t>
            </w:r>
          </w:p>
        </w:tc>
        <w:tc>
          <w:tcPr>
            <w:tcW w:w="640" w:type="dxa"/>
            <w:vAlign w:val="bottom"/>
          </w:tcPr>
          <w:p>
            <w:pPr>
              <w:ind w:left="100"/>
              <w:spacing w:after="0"/>
              <w:rPr>
                <w:sz w:val="20"/>
                <w:szCs w:val="20"/>
                <w:color w:val="auto"/>
              </w:rPr>
            </w:pPr>
            <w:r>
              <w:rPr>
                <w:rFonts w:ascii="Arial" w:cs="Arial" w:eastAsia="Arial" w:hAnsi="Arial"/>
                <w:sz w:val="10"/>
                <w:szCs w:val="10"/>
                <w:color w:val="auto"/>
              </w:rPr>
              <w:t>10/29/2021</w:t>
            </w:r>
          </w:p>
        </w:tc>
        <w:tc>
          <w:tcPr>
            <w:tcW w:w="680" w:type="dxa"/>
            <w:vAlign w:val="bottom"/>
          </w:tcPr>
          <w:p>
            <w:pPr>
              <w:ind w:left="100"/>
              <w:spacing w:after="0"/>
              <w:rPr>
                <w:sz w:val="20"/>
                <w:szCs w:val="20"/>
                <w:color w:val="auto"/>
              </w:rPr>
            </w:pPr>
            <w:r>
              <w:rPr>
                <w:rFonts w:ascii="Arial" w:cs="Arial" w:eastAsia="Arial" w:hAnsi="Arial"/>
                <w:sz w:val="10"/>
                <w:szCs w:val="10"/>
                <w:color w:val="auto"/>
              </w:rPr>
              <w:t>6/1/2028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23,590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15,934</w:t>
            </w:r>
          </w:p>
        </w:tc>
        <w:tc>
          <w:tcPr>
            <w:tcW w:w="440" w:type="dxa"/>
            <w:vAlign w:val="bottom"/>
          </w:tcPr>
          <w:p>
            <w:pPr>
              <w:jc w:val="right"/>
              <w:spacing w:after="0"/>
              <w:rPr>
                <w:sz w:val="20"/>
                <w:szCs w:val="20"/>
                <w:color w:val="auto"/>
              </w:rPr>
            </w:pPr>
            <w:r>
              <w:rPr>
                <w:rFonts w:ascii="Arial" w:cs="Arial" w:eastAsia="Arial" w:hAnsi="Arial"/>
                <w:sz w:val="10"/>
                <w:szCs w:val="10"/>
                <w:color w:val="auto"/>
              </w:rPr>
              <w:t>1,476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12/1/2021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857</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16,791</w:t>
            </w:r>
          </w:p>
        </w:tc>
        <w:tc>
          <w:tcPr>
            <w:tcW w:w="440" w:type="dxa"/>
            <w:vAlign w:val="bottom"/>
          </w:tcPr>
          <w:p>
            <w:pPr>
              <w:jc w:val="right"/>
              <w:spacing w:after="0"/>
              <w:rPr>
                <w:sz w:val="20"/>
                <w:szCs w:val="20"/>
                <w:color w:val="auto"/>
              </w:rPr>
            </w:pPr>
            <w:r>
              <w:rPr>
                <w:rFonts w:ascii="Arial" w:cs="Arial" w:eastAsia="Arial" w:hAnsi="Arial"/>
                <w:sz w:val="10"/>
                <w:szCs w:val="10"/>
                <w:color w:val="auto"/>
              </w:rPr>
              <w:t>1,476</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+ 7.75%)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12.00%/0.00%</w:t>
            </w:r>
          </w:p>
        </w:tc>
        <w:tc>
          <w:tcPr>
            <w:tcW w:w="640" w:type="dxa"/>
            <w:vAlign w:val="bottom"/>
          </w:tcPr>
          <w:p>
            <w:pPr>
              <w:ind w:left="100"/>
              <w:spacing w:after="0"/>
              <w:rPr>
                <w:sz w:val="20"/>
                <w:szCs w:val="20"/>
                <w:color w:val="auto"/>
              </w:rPr>
            </w:pPr>
            <w:r>
              <w:rPr>
                <w:rFonts w:ascii="Arial" w:cs="Arial" w:eastAsia="Arial" w:hAnsi="Arial"/>
                <w:sz w:val="10"/>
                <w:szCs w:val="10"/>
                <w:color w:val="auto"/>
              </w:rPr>
              <w:t>3/4/2022</w:t>
            </w:r>
          </w:p>
        </w:tc>
        <w:tc>
          <w:tcPr>
            <w:tcW w:w="680" w:type="dxa"/>
            <w:vAlign w:val="bottom"/>
          </w:tcPr>
          <w:p>
            <w:pPr>
              <w:ind w:left="100"/>
              <w:spacing w:after="0"/>
              <w:rPr>
                <w:sz w:val="20"/>
                <w:szCs w:val="20"/>
                <w:color w:val="auto"/>
              </w:rPr>
            </w:pPr>
            <w:r>
              <w:rPr>
                <w:rFonts w:ascii="Arial" w:cs="Arial" w:eastAsia="Arial" w:hAnsi="Arial"/>
                <w:sz w:val="10"/>
                <w:szCs w:val="10"/>
                <w:color w:val="auto"/>
              </w:rPr>
              <w:t>3/4/2027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14,100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14,080</w:t>
            </w:r>
          </w:p>
        </w:tc>
        <w:tc>
          <w:tcPr>
            <w:tcW w:w="440" w:type="dxa"/>
            <w:vAlign w:val="bottom"/>
          </w:tcPr>
          <w:p>
            <w:pPr>
              <w:jc w:val="right"/>
              <w:spacing w:after="0"/>
              <w:rPr>
                <w:sz w:val="20"/>
                <w:szCs w:val="20"/>
                <w:color w:val="auto"/>
              </w:rPr>
            </w:pPr>
            <w:r>
              <w:rPr>
                <w:rFonts w:ascii="Arial" w:cs="Arial" w:eastAsia="Arial" w:hAnsi="Arial"/>
                <w:sz w:val="10"/>
                <w:szCs w:val="10"/>
                <w:color w:val="auto"/>
              </w:rPr>
              <w:t>14,100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12.00%/0.00%</w:t>
            </w:r>
          </w:p>
        </w:tc>
        <w:tc>
          <w:tcPr>
            <w:tcW w:w="640" w:type="dxa"/>
            <w:vAlign w:val="bottom"/>
          </w:tcPr>
          <w:p>
            <w:pPr>
              <w:ind w:left="100"/>
              <w:spacing w:after="0"/>
              <w:rPr>
                <w:sz w:val="20"/>
                <w:szCs w:val="20"/>
                <w:color w:val="auto"/>
              </w:rPr>
            </w:pPr>
            <w:r>
              <w:rPr>
                <w:rFonts w:ascii="Arial" w:cs="Arial" w:eastAsia="Arial" w:hAnsi="Arial"/>
                <w:sz w:val="10"/>
                <w:szCs w:val="10"/>
                <w:color w:val="auto"/>
              </w:rPr>
              <w:t>3/4/2022</w:t>
            </w:r>
          </w:p>
        </w:tc>
        <w:tc>
          <w:tcPr>
            <w:tcW w:w="680" w:type="dxa"/>
            <w:vAlign w:val="bottom"/>
          </w:tcPr>
          <w:p>
            <w:pPr>
              <w:ind w:left="100"/>
              <w:spacing w:after="0"/>
              <w:rPr>
                <w:sz w:val="20"/>
                <w:szCs w:val="20"/>
                <w:color w:val="auto"/>
              </w:rPr>
            </w:pPr>
            <w:r>
              <w:rPr>
                <w:rFonts w:ascii="Arial" w:cs="Arial" w:eastAsia="Arial" w:hAnsi="Arial"/>
                <w:sz w:val="10"/>
                <w:szCs w:val="10"/>
                <w:color w:val="auto"/>
              </w:rPr>
              <w:t>3/4/2027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495</w:t>
            </w:r>
          </w:p>
        </w:tc>
        <w:tc>
          <w:tcPr>
            <w:tcW w:w="440" w:type="dxa"/>
            <w:vAlign w:val="bottom"/>
          </w:tcPr>
          <w:p>
            <w:pPr>
              <w:jc w:val="right"/>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7.25%/7.25%</w:t>
            </w:r>
          </w:p>
        </w:tc>
        <w:tc>
          <w:tcPr>
            <w:tcW w:w="640" w:type="dxa"/>
            <w:vAlign w:val="bottom"/>
          </w:tcPr>
          <w:p>
            <w:pPr>
              <w:ind w:left="100"/>
              <w:spacing w:after="0"/>
              <w:rPr>
                <w:sz w:val="20"/>
                <w:szCs w:val="20"/>
                <w:color w:val="auto"/>
              </w:rPr>
            </w:pPr>
            <w:r>
              <w:rPr>
                <w:rFonts w:ascii="Arial" w:cs="Arial" w:eastAsia="Arial" w:hAnsi="Arial"/>
                <w:sz w:val="10"/>
                <w:szCs w:val="10"/>
                <w:color w:val="auto"/>
              </w:rPr>
              <w:t>3/4/2022</w:t>
            </w:r>
          </w:p>
        </w:tc>
        <w:tc>
          <w:tcPr>
            <w:tcW w:w="680" w:type="dxa"/>
            <w:vAlign w:val="bottom"/>
          </w:tcPr>
          <w:p>
            <w:pPr>
              <w:ind w:left="100"/>
              <w:spacing w:after="0"/>
              <w:rPr>
                <w:sz w:val="20"/>
                <w:szCs w:val="20"/>
                <w:color w:val="auto"/>
              </w:rPr>
            </w:pPr>
            <w:r>
              <w:rPr>
                <w:rFonts w:ascii="Arial" w:cs="Arial" w:eastAsia="Arial" w:hAnsi="Arial"/>
                <w:sz w:val="10"/>
                <w:szCs w:val="10"/>
                <w:color w:val="auto"/>
              </w:rPr>
              <w:t>9/4/2027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3,322</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3,317</w:t>
            </w:r>
          </w:p>
        </w:tc>
        <w:tc>
          <w:tcPr>
            <w:tcW w:w="440" w:type="dxa"/>
            <w:vAlign w:val="bottom"/>
          </w:tcPr>
          <w:p>
            <w:pPr>
              <w:jc w:val="right"/>
              <w:spacing w:after="0"/>
              <w:rPr>
                <w:sz w:val="20"/>
                <w:szCs w:val="20"/>
                <w:color w:val="auto"/>
              </w:rPr>
            </w:pPr>
            <w:r>
              <w:rPr>
                <w:rFonts w:ascii="Arial" w:cs="Arial" w:eastAsia="Arial" w:hAnsi="Arial"/>
                <w:sz w:val="10"/>
                <w:szCs w:val="10"/>
                <w:color w:val="auto"/>
              </w:rPr>
              <w:t>3,606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3/4/2022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1,000</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994</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18,892</w:t>
            </w:r>
          </w:p>
        </w:tc>
        <w:tc>
          <w:tcPr>
            <w:tcW w:w="440" w:type="dxa"/>
            <w:vAlign w:val="bottom"/>
          </w:tcPr>
          <w:p>
            <w:pPr>
              <w:jc w:val="right"/>
              <w:spacing w:after="0"/>
              <w:rPr>
                <w:sz w:val="20"/>
                <w:szCs w:val="20"/>
                <w:color w:val="auto"/>
              </w:rPr>
            </w:pPr>
            <w:r>
              <w:rPr>
                <w:rFonts w:ascii="Arial" w:cs="Arial" w:eastAsia="Arial" w:hAnsi="Arial"/>
                <w:sz w:val="10"/>
                <w:szCs w:val="10"/>
                <w:color w:val="auto"/>
              </w:rPr>
              <w:t>19,200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+ 5.75%) / (2.00%)</w:t>
            </w:r>
          </w:p>
        </w:tc>
        <w:tc>
          <w:tcPr>
            <w:tcW w:w="720" w:type="dxa"/>
            <w:vAlign w:val="bottom"/>
          </w:tcPr>
          <w:p>
            <w:pPr>
              <w:ind w:left="40"/>
              <w:spacing w:after="0"/>
              <w:rPr>
                <w:sz w:val="20"/>
                <w:szCs w:val="20"/>
                <w:color w:val="auto"/>
              </w:rPr>
            </w:pPr>
            <w:r>
              <w:rPr>
                <w:rFonts w:ascii="Arial" w:cs="Arial" w:eastAsia="Arial" w:hAnsi="Arial"/>
                <w:sz w:val="10"/>
                <w:szCs w:val="10"/>
                <w:color w:val="auto"/>
              </w:rPr>
              <w:t>9.71%/0.00%</w:t>
            </w:r>
          </w:p>
        </w:tc>
        <w:tc>
          <w:tcPr>
            <w:tcW w:w="640" w:type="dxa"/>
            <w:vAlign w:val="bottom"/>
          </w:tcPr>
          <w:p>
            <w:pPr>
              <w:ind w:left="100"/>
              <w:spacing w:after="0"/>
              <w:rPr>
                <w:sz w:val="20"/>
                <w:szCs w:val="20"/>
                <w:color w:val="auto"/>
              </w:rPr>
            </w:pPr>
            <w:r>
              <w:rPr>
                <w:rFonts w:ascii="Arial" w:cs="Arial" w:eastAsia="Arial" w:hAnsi="Arial"/>
                <w:sz w:val="10"/>
                <w:szCs w:val="10"/>
                <w:color w:val="auto"/>
              </w:rPr>
              <w:t>9/9/2024</w:t>
            </w:r>
          </w:p>
        </w:tc>
        <w:tc>
          <w:tcPr>
            <w:tcW w:w="680" w:type="dxa"/>
            <w:vAlign w:val="bottom"/>
          </w:tcPr>
          <w:p>
            <w:pPr>
              <w:ind w:left="100"/>
              <w:spacing w:after="0"/>
              <w:rPr>
                <w:sz w:val="20"/>
                <w:szCs w:val="20"/>
                <w:color w:val="auto"/>
              </w:rPr>
            </w:pPr>
            <w:r>
              <w:rPr>
                <w:rFonts w:ascii="Arial" w:cs="Arial" w:eastAsia="Arial" w:hAnsi="Arial"/>
                <w:sz w:val="10"/>
                <w:szCs w:val="10"/>
                <w:color w:val="auto"/>
              </w:rPr>
              <w:t>9/9/2029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12,586</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12,503</w:t>
            </w:r>
          </w:p>
        </w:tc>
        <w:tc>
          <w:tcPr>
            <w:tcW w:w="440" w:type="dxa"/>
            <w:vAlign w:val="bottom"/>
          </w:tcPr>
          <w:p>
            <w:pPr>
              <w:jc w:val="right"/>
              <w:spacing w:after="0"/>
              <w:rPr>
                <w:sz w:val="20"/>
                <w:szCs w:val="20"/>
                <w:color w:val="auto"/>
              </w:rPr>
            </w:pPr>
            <w:r>
              <w:rPr>
                <w:rFonts w:ascii="Arial" w:cs="Arial" w:eastAsia="Arial" w:hAnsi="Arial"/>
                <w:sz w:val="10"/>
                <w:szCs w:val="10"/>
                <w:color w:val="auto"/>
              </w:rPr>
              <w:t>12,586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+ 5.75%) / (2.00%)</w:t>
            </w:r>
          </w:p>
        </w:tc>
        <w:tc>
          <w:tcPr>
            <w:tcW w:w="720" w:type="dxa"/>
            <w:vAlign w:val="bottom"/>
          </w:tcPr>
          <w:p>
            <w:pPr>
              <w:ind w:left="40"/>
              <w:spacing w:after="0"/>
              <w:rPr>
                <w:sz w:val="20"/>
                <w:szCs w:val="20"/>
                <w:color w:val="auto"/>
              </w:rPr>
            </w:pPr>
            <w:r>
              <w:rPr>
                <w:rFonts w:ascii="Arial" w:cs="Arial" w:eastAsia="Arial" w:hAnsi="Arial"/>
                <w:sz w:val="10"/>
                <w:szCs w:val="10"/>
                <w:color w:val="auto"/>
              </w:rPr>
              <w:t>9.71%/0.00%</w:t>
            </w:r>
          </w:p>
        </w:tc>
        <w:tc>
          <w:tcPr>
            <w:tcW w:w="640" w:type="dxa"/>
            <w:vAlign w:val="bottom"/>
          </w:tcPr>
          <w:p>
            <w:pPr>
              <w:ind w:left="100"/>
              <w:spacing w:after="0"/>
              <w:rPr>
                <w:sz w:val="20"/>
                <w:szCs w:val="20"/>
                <w:color w:val="auto"/>
              </w:rPr>
            </w:pPr>
            <w:r>
              <w:rPr>
                <w:rFonts w:ascii="Arial" w:cs="Arial" w:eastAsia="Arial" w:hAnsi="Arial"/>
                <w:sz w:val="10"/>
                <w:szCs w:val="10"/>
                <w:color w:val="auto"/>
              </w:rPr>
              <w:t>9/9/2024</w:t>
            </w:r>
          </w:p>
        </w:tc>
        <w:tc>
          <w:tcPr>
            <w:tcW w:w="680" w:type="dxa"/>
            <w:vAlign w:val="bottom"/>
          </w:tcPr>
          <w:p>
            <w:pPr>
              <w:ind w:left="100"/>
              <w:spacing w:after="0"/>
              <w:rPr>
                <w:sz w:val="20"/>
                <w:szCs w:val="20"/>
                <w:color w:val="auto"/>
              </w:rPr>
            </w:pPr>
            <w:r>
              <w:rPr>
                <w:rFonts w:ascii="Arial" w:cs="Arial" w:eastAsia="Arial" w:hAnsi="Arial"/>
                <w:sz w:val="10"/>
                <w:szCs w:val="10"/>
                <w:color w:val="auto"/>
              </w:rPr>
              <w:t>9/9/2029</w:t>
            </w:r>
          </w:p>
        </w:tc>
        <w:tc>
          <w:tcPr>
            <w:tcW w:w="58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10.00%/5.00%</w:t>
            </w:r>
          </w:p>
        </w:tc>
        <w:tc>
          <w:tcPr>
            <w:tcW w:w="640" w:type="dxa"/>
            <w:vAlign w:val="bottom"/>
          </w:tcPr>
          <w:p>
            <w:pPr>
              <w:ind w:left="100"/>
              <w:spacing w:after="0"/>
              <w:rPr>
                <w:sz w:val="20"/>
                <w:szCs w:val="20"/>
                <w:color w:val="auto"/>
              </w:rPr>
            </w:pPr>
            <w:r>
              <w:rPr>
                <w:rFonts w:ascii="Arial" w:cs="Arial" w:eastAsia="Arial" w:hAnsi="Arial"/>
                <w:sz w:val="10"/>
                <w:szCs w:val="10"/>
                <w:color w:val="auto"/>
              </w:rPr>
              <w:t>12/11/2025</w:t>
            </w:r>
          </w:p>
        </w:tc>
        <w:tc>
          <w:tcPr>
            <w:tcW w:w="680" w:type="dxa"/>
            <w:vAlign w:val="bottom"/>
          </w:tcPr>
          <w:p>
            <w:pPr>
              <w:ind w:left="100"/>
              <w:spacing w:after="0"/>
              <w:rPr>
                <w:sz w:val="20"/>
                <w:szCs w:val="20"/>
                <w:color w:val="auto"/>
              </w:rPr>
            </w:pPr>
            <w:r>
              <w:rPr>
                <w:rFonts w:ascii="Arial" w:cs="Arial" w:eastAsia="Arial" w:hAnsi="Arial"/>
                <w:sz w:val="10"/>
                <w:szCs w:val="10"/>
                <w:color w:val="auto"/>
              </w:rPr>
              <w:t>3/9/2030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1,526</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1,496</w:t>
            </w:r>
          </w:p>
        </w:tc>
        <w:tc>
          <w:tcPr>
            <w:tcW w:w="440" w:type="dxa"/>
            <w:vAlign w:val="bottom"/>
          </w:tcPr>
          <w:p>
            <w:pPr>
              <w:jc w:val="right"/>
              <w:spacing w:after="0"/>
              <w:rPr>
                <w:sz w:val="20"/>
                <w:szCs w:val="20"/>
                <w:color w:val="auto"/>
              </w:rPr>
            </w:pPr>
            <w:r>
              <w:rPr>
                <w:rFonts w:ascii="Arial" w:cs="Arial" w:eastAsia="Arial" w:hAnsi="Arial"/>
                <w:sz w:val="10"/>
                <w:szCs w:val="10"/>
                <w:color w:val="auto"/>
              </w:rPr>
              <w:t>1,496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9/9/2024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1,050</w:t>
            </w:r>
          </w:p>
        </w:tc>
        <w:tc>
          <w:tcPr>
            <w:tcW w:w="440" w:type="dxa"/>
            <w:vAlign w:val="bottom"/>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15,049</w:t>
            </w:r>
          </w:p>
        </w:tc>
        <w:tc>
          <w:tcPr>
            <w:tcW w:w="440" w:type="dxa"/>
            <w:vAlign w:val="bottom"/>
          </w:tcPr>
          <w:p>
            <w:pPr>
              <w:jc w:val="right"/>
              <w:spacing w:after="0"/>
              <w:rPr>
                <w:sz w:val="20"/>
                <w:szCs w:val="20"/>
                <w:color w:val="auto"/>
              </w:rPr>
            </w:pPr>
            <w:r>
              <w:rPr>
                <w:rFonts w:ascii="Arial" w:cs="Arial" w:eastAsia="Arial" w:hAnsi="Arial"/>
                <w:sz w:val="10"/>
                <w:szCs w:val="10"/>
                <w:color w:val="auto"/>
              </w:rPr>
              <w:t>14,763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-8969375</wp:posOffset>
            </wp:positionV>
            <wp:extent cx="5967730" cy="1993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-8665210</wp:posOffset>
            </wp:positionV>
            <wp:extent cx="5967730" cy="1993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-8266430</wp:posOffset>
            </wp:positionV>
            <wp:extent cx="5967730" cy="8411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7730" cy="8411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hanging="70"/>
        <w:spacing w:after="0"/>
        <w:tabs>
          <w:tab w:leader="none" w:pos="80" w:val="left"/>
        </w:tabs>
        <w:numPr>
          <w:ilvl w:val="0"/>
          <w:numId w:val="10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0"/>
        <w:spacing w:after="0"/>
        <w:tabs>
          <w:tab w:leader="none" w:pos="80" w:val="left"/>
        </w:tabs>
        <w:numPr>
          <w:ilvl w:val="0"/>
          <w:numId w:val="10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0"/>
        <w:spacing w:after="0"/>
        <w:tabs>
          <w:tab w:leader="none" w:pos="80" w:val="left"/>
        </w:tabs>
        <w:numPr>
          <w:ilvl w:val="0"/>
          <w:numId w:val="10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10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hanging="70"/>
        <w:spacing w:after="0"/>
        <w:tabs>
          <w:tab w:leader="none" w:pos="80" w:val="left"/>
        </w:tabs>
        <w:numPr>
          <w:ilvl w:val="0"/>
          <w:numId w:val="10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hanging="70"/>
        <w:spacing w:after="0"/>
        <w:tabs>
          <w:tab w:leader="none" w:pos="80" w:val="left"/>
        </w:tabs>
        <w:numPr>
          <w:ilvl w:val="0"/>
          <w:numId w:val="104"/>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434" w:lineRule="exact"/>
        <w:rPr>
          <w:sz w:val="20"/>
          <w:szCs w:val="20"/>
          <w:color w:val="auto"/>
        </w:rPr>
      </w:pPr>
    </w:p>
    <w:p>
      <w:pPr>
        <w:sectPr>
          <w:pgSz w:w="11900" w:h="16838" w:orient="portrait"/>
          <w:cols w:equalWidth="0" w:num="3">
            <w:col w:w="3580" w:space="460"/>
            <w:col w:w="4620" w:space="560"/>
            <w:col w:w="160"/>
          </w:cols>
          <w:pgMar w:left="1260" w:top="1184" w:right="1266"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8</w:t>
      </w:r>
    </w:p>
    <w:p>
      <w:pPr>
        <w:sectPr>
          <w:pgSz w:w="11900" w:h="16838" w:orient="portrait"/>
          <w:cols w:equalWidth="0" w:num="1">
            <w:col w:w="9380"/>
          </w:cols>
          <w:pgMar w:left="1260" w:top="1184" w:right="1266" w:bottom="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115"/>
        </w:trPr>
        <w:tc>
          <w:tcPr>
            <w:tcW w:w="3060" w:type="dxa"/>
            <w:vAlign w:val="bottom"/>
            <w:vMerge w:val="restart"/>
          </w:tcPr>
          <w:p>
            <w:pPr>
              <w:ind w:left="20"/>
              <w:spacing w:after="0"/>
              <w:rPr>
                <w:sz w:val="20"/>
                <w:szCs w:val="20"/>
                <w:color w:val="auto"/>
              </w:rPr>
            </w:pPr>
            <w:r>
              <w:rPr>
                <w:rFonts w:ascii="Arial" w:cs="Arial" w:eastAsia="Arial" w:hAnsi="Arial"/>
                <w:sz w:val="10"/>
                <w:szCs w:val="10"/>
                <w:color w:val="auto"/>
              </w:rPr>
              <w:t>First Lien Debt (j) (bj)</w:t>
            </w:r>
          </w:p>
        </w:tc>
        <w:tc>
          <w:tcPr>
            <w:tcW w:w="1920" w:type="dxa"/>
            <w:vAlign w:val="bottom"/>
          </w:tcPr>
          <w:p>
            <w:pPr>
              <w:ind w:left="980"/>
              <w:spacing w:after="0"/>
              <w:rPr>
                <w:sz w:val="20"/>
                <w:szCs w:val="20"/>
                <w:color w:val="auto"/>
              </w:rPr>
            </w:pPr>
            <w:r>
              <w:rPr>
                <w:rFonts w:ascii="Arial" w:cs="Arial" w:eastAsia="Arial" w:hAnsi="Arial"/>
                <w:sz w:val="10"/>
                <w:szCs w:val="10"/>
                <w:color w:val="auto"/>
                <w:w w:val="95"/>
              </w:rPr>
              <w:t>(S + 5.50%) / (2.00%)</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w w:val="94"/>
              </w:rPr>
              <w:t>9.46%/0.00%</w:t>
            </w: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5/12/2025</w:t>
            </w:r>
          </w:p>
        </w:tc>
        <w:tc>
          <w:tcPr>
            <w:tcW w:w="700" w:type="dxa"/>
            <w:vAlign w:val="bottom"/>
          </w:tcPr>
          <w:p>
            <w:pPr>
              <w:jc w:val="right"/>
              <w:ind w:right="130"/>
              <w:spacing w:after="0"/>
              <w:rPr>
                <w:sz w:val="20"/>
                <w:szCs w:val="20"/>
                <w:color w:val="auto"/>
              </w:rPr>
            </w:pPr>
            <w:r>
              <w:rPr>
                <w:rFonts w:ascii="Arial" w:cs="Arial" w:eastAsia="Arial" w:hAnsi="Arial"/>
                <w:sz w:val="10"/>
                <w:szCs w:val="10"/>
                <w:color w:val="auto"/>
              </w:rPr>
              <w:t>5/12/2030</w:t>
            </w:r>
          </w:p>
        </w:tc>
        <w:tc>
          <w:tcPr>
            <w:tcW w:w="600" w:type="dxa"/>
            <w:vAlign w:val="bottom"/>
          </w:tcPr>
          <w:p>
            <w:pPr>
              <w:jc w:val="right"/>
              <w:ind w:right="150"/>
              <w:spacing w:after="0"/>
              <w:rPr>
                <w:sz w:val="20"/>
                <w:szCs w:val="20"/>
                <w:color w:val="auto"/>
              </w:rPr>
            </w:pPr>
            <w:r>
              <w:rPr>
                <w:rFonts w:ascii="Arial" w:cs="Arial" w:eastAsia="Arial" w:hAnsi="Arial"/>
                <w:sz w:val="10"/>
                <w:szCs w:val="10"/>
                <w:color w:val="auto"/>
              </w:rPr>
              <w:t>6,650</w:t>
            </w:r>
          </w:p>
        </w:tc>
        <w:tc>
          <w:tcPr>
            <w:tcW w:w="620" w:type="dxa"/>
            <w:vAlign w:val="bottom"/>
          </w:tcPr>
          <w:p>
            <w:pPr>
              <w:jc w:val="right"/>
              <w:ind w:right="150"/>
              <w:spacing w:after="0"/>
              <w:rPr>
                <w:sz w:val="20"/>
                <w:szCs w:val="20"/>
                <w:color w:val="auto"/>
              </w:rPr>
            </w:pPr>
            <w:r>
              <w:rPr>
                <w:rFonts w:ascii="Arial" w:cs="Arial" w:eastAsia="Arial" w:hAnsi="Arial"/>
                <w:sz w:val="10"/>
                <w:szCs w:val="10"/>
                <w:color w:val="auto"/>
              </w:rPr>
              <w:t>6,610</w:t>
            </w:r>
          </w:p>
        </w:tc>
        <w:tc>
          <w:tcPr>
            <w:tcW w:w="1160" w:type="dxa"/>
            <w:vAlign w:val="bottom"/>
          </w:tcPr>
          <w:p>
            <w:pPr>
              <w:jc w:val="right"/>
              <w:ind w:right="690"/>
              <w:spacing w:after="0"/>
              <w:rPr>
                <w:sz w:val="20"/>
                <w:szCs w:val="20"/>
                <w:color w:val="auto"/>
              </w:rPr>
            </w:pPr>
            <w:r>
              <w:rPr>
                <w:rFonts w:ascii="Arial" w:cs="Arial" w:eastAsia="Arial" w:hAnsi="Arial"/>
                <w:sz w:val="10"/>
                <w:szCs w:val="10"/>
                <w:color w:val="auto"/>
              </w:rPr>
              <w:t>6,650</w:t>
            </w:r>
          </w:p>
        </w:tc>
        <w:tc>
          <w:tcPr>
            <w:tcW w:w="0" w:type="dxa"/>
            <w:vAlign w:val="bottom"/>
          </w:tcPr>
          <w:p>
            <w:pPr>
              <w:spacing w:after="0"/>
              <w:rPr>
                <w:sz w:val="1"/>
                <w:szCs w:val="1"/>
                <w:color w:val="auto"/>
              </w:rPr>
            </w:pPr>
          </w:p>
        </w:tc>
      </w:tr>
      <w:tr>
        <w:trPr>
          <w:trHeight w:val="41"/>
        </w:trPr>
        <w:tc>
          <w:tcPr>
            <w:tcW w:w="3060" w:type="dxa"/>
            <w:vAlign w:val="bottom"/>
            <w:vMerge w:val="continue"/>
          </w:tcPr>
          <w:p>
            <w:pPr>
              <w:spacing w:after="0"/>
              <w:rPr>
                <w:sz w:val="3"/>
                <w:szCs w:val="3"/>
                <w:color w:val="auto"/>
              </w:rPr>
            </w:pPr>
          </w:p>
        </w:tc>
        <w:tc>
          <w:tcPr>
            <w:tcW w:w="1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060" w:type="dxa"/>
            <w:vAlign w:val="bottom"/>
            <w:shd w:val="clear" w:color="auto" w:fill="CFF0FC"/>
          </w:tcPr>
          <w:p>
            <w:pPr>
              <w:ind w:left="20"/>
              <w:spacing w:after="0"/>
              <w:rPr>
                <w:sz w:val="20"/>
                <w:szCs w:val="20"/>
                <w:color w:val="auto"/>
              </w:rPr>
            </w:pPr>
            <w:r>
              <w:rPr>
                <w:rFonts w:ascii="Arial" w:cs="Arial" w:eastAsia="Arial" w:hAnsi="Arial"/>
                <w:sz w:val="10"/>
                <w:szCs w:val="10"/>
                <w:color w:val="auto"/>
              </w:rPr>
              <w:t>First Lien Debt ($1,125 unfunded commitment)(bj)</w:t>
            </w:r>
          </w:p>
        </w:tc>
        <w:tc>
          <w:tcPr>
            <w:tcW w:w="1920" w:type="dxa"/>
            <w:vAlign w:val="bottom"/>
            <w:shd w:val="clear" w:color="auto" w:fill="CFF0FC"/>
          </w:tcPr>
          <w:p>
            <w:pPr>
              <w:ind w:left="980"/>
              <w:spacing w:after="0"/>
              <w:rPr>
                <w:sz w:val="20"/>
                <w:szCs w:val="20"/>
                <w:color w:val="auto"/>
              </w:rPr>
            </w:pPr>
            <w:r>
              <w:rPr>
                <w:rFonts w:ascii="Arial" w:cs="Arial" w:eastAsia="Arial" w:hAnsi="Arial"/>
                <w:sz w:val="10"/>
                <w:szCs w:val="10"/>
                <w:color w:val="auto"/>
                <w:w w:val="95"/>
              </w:rPr>
              <w:t>(S + 5.50%) / (2.00%)</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94"/>
              </w:rPr>
              <w:t>9.46%/0.00%</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5/12/2025</w:t>
            </w:r>
          </w:p>
        </w:tc>
        <w:tc>
          <w:tcPr>
            <w:tcW w:w="70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5/12/2030</w:t>
            </w:r>
          </w:p>
        </w:tc>
        <w:tc>
          <w:tcPr>
            <w:tcW w:w="600" w:type="dxa"/>
            <w:vAlign w:val="bottom"/>
            <w:vMerge w:val="restart"/>
            <w:shd w:val="clear" w:color="auto" w:fill="CFF0FC"/>
          </w:tcPr>
          <w:p>
            <w:pPr>
              <w:jc w:val="right"/>
              <w:ind w:right="150"/>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FF0FC"/>
          </w:tcPr>
          <w:p>
            <w:pPr>
              <w:jc w:val="right"/>
              <w:ind w:right="150"/>
              <w:spacing w:after="0"/>
              <w:rPr>
                <w:sz w:val="20"/>
                <w:szCs w:val="20"/>
                <w:color w:val="auto"/>
              </w:rPr>
            </w:pPr>
            <w:r>
              <w:rPr>
                <w:rFonts w:ascii="Arial" w:cs="Arial" w:eastAsia="Arial" w:hAnsi="Arial"/>
                <w:sz w:val="10"/>
                <w:szCs w:val="10"/>
                <w:color w:val="auto"/>
              </w:rPr>
              <w:t>—</w:t>
            </w:r>
          </w:p>
        </w:tc>
        <w:tc>
          <w:tcPr>
            <w:tcW w:w="1160" w:type="dxa"/>
            <w:vAlign w:val="bottom"/>
            <w:vMerge w:val="restart"/>
            <w:shd w:val="clear" w:color="auto" w:fill="CFF0FC"/>
          </w:tcPr>
          <w:p>
            <w:pPr>
              <w:jc w:val="right"/>
              <w:ind w:right="69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3060" w:type="dxa"/>
            <w:vAlign w:val="bottom"/>
            <w:shd w:val="clear" w:color="auto" w:fill="CFF0FC"/>
          </w:tcPr>
          <w:p>
            <w:pPr>
              <w:spacing w:after="0"/>
              <w:rPr>
                <w:sz w:val="3"/>
                <w:szCs w:val="3"/>
                <w:color w:val="auto"/>
              </w:rPr>
            </w:pPr>
          </w:p>
        </w:tc>
        <w:tc>
          <w:tcPr>
            <w:tcW w:w="19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600" w:type="dxa"/>
            <w:vAlign w:val="bottom"/>
            <w:vMerge w:val="continue"/>
            <w:shd w:val="clear" w:color="auto" w:fill="CFF0FC"/>
          </w:tcPr>
          <w:p>
            <w:pPr>
              <w:spacing w:after="0"/>
              <w:rPr>
                <w:sz w:val="3"/>
                <w:szCs w:val="3"/>
                <w:color w:val="auto"/>
              </w:rPr>
            </w:pPr>
          </w:p>
        </w:tc>
        <w:tc>
          <w:tcPr>
            <w:tcW w:w="620" w:type="dxa"/>
            <w:vAlign w:val="bottom"/>
            <w:vMerge w:val="continue"/>
            <w:shd w:val="clear" w:color="auto" w:fill="CFF0FC"/>
          </w:tcPr>
          <w:p>
            <w:pPr>
              <w:spacing w:after="0"/>
              <w:rPr>
                <w:sz w:val="3"/>
                <w:szCs w:val="3"/>
                <w:color w:val="auto"/>
              </w:rPr>
            </w:pPr>
          </w:p>
        </w:tc>
        <w:tc>
          <w:tcPr>
            <w:tcW w:w="1160" w:type="dxa"/>
            <w:vAlign w:val="bottom"/>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06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7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8</w:t>
      </w:r>
    </w:p>
    <w:p>
      <w:pPr>
        <w:sectPr>
          <w:pgSz w:w="11900" w:h="16838" w:orient="portrait"/>
          <w:cols w:equalWidth="0" w:num="1">
            <w:col w:w="9400"/>
          </w:cols>
          <w:pgMar w:left="1260" w:top="1270" w:right="1246" w:bottom="0" w:gutter="0" w:footer="0" w:header="0"/>
          <w:type w:val="continuous"/>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($2,250 unfunded commitment)(bj)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(312,500 units) (h)</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UBEO, LLC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(705,000 units) (h)</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United Biologics, LLC</w:t>
      </w:r>
      <w:r>
        <w:rPr>
          <w:sz w:val="20"/>
          <w:szCs w:val="20"/>
          <w:color w:val="auto"/>
        </w:rPr>
        <w:tab/>
      </w:r>
      <w:r>
        <w:rPr>
          <w:rFonts w:ascii="Arial" w:cs="Arial" w:eastAsia="Arial" w:hAnsi="Arial"/>
          <w:sz w:val="7"/>
          <w:szCs w:val="7"/>
          <w:color w:val="auto"/>
        </w:rPr>
        <w:t>Healthcare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(98,377 units) (h)</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Warrant (57,469 units) (m)</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USG AS Holdings, LLC</w:t>
      </w:r>
      <w:r>
        <w:rPr>
          <w:sz w:val="20"/>
          <w:szCs w:val="20"/>
          <w:color w:val="auto"/>
        </w:rPr>
        <w:tab/>
      </w:r>
      <w:r>
        <w:rPr>
          <w:rFonts w:ascii="Arial" w:cs="Arial" w:eastAsia="Arial" w:hAnsi="Arial"/>
          <w:sz w:val="9"/>
          <w:szCs w:val="9"/>
          <w:color w:val="auto"/>
        </w:rPr>
        <w:t>Utilities: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(Units N/A)</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Virginia Tile Company, LLC (n)</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(Units N/A)</w:t>
      </w:r>
    </w:p>
    <w:p>
      <w:pPr>
        <w:spacing w:after="0" w:line="21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Virtex Enterprises, LP</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(y)</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(y)</w:t>
      </w:r>
    </w:p>
    <w:p>
      <w:pPr>
        <w:spacing w:after="0" w:line="364"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VMS MSO, LLC (dba Vytal Health Partners)</w:t>
      </w:r>
      <w:r>
        <w:rPr>
          <w:sz w:val="20"/>
          <w:szCs w:val="20"/>
          <w:color w:val="auto"/>
        </w:rPr>
        <w:tab/>
      </w:r>
      <w:r>
        <w:rPr>
          <w:rFonts w:ascii="Arial" w:cs="Arial" w:eastAsia="Arial" w:hAnsi="Arial"/>
          <w:sz w:val="7"/>
          <w:szCs w:val="7"/>
          <w:color w:val="auto"/>
        </w:rPr>
        <w:t>Healthcare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($1,500 unfunded commitment)(i)</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W50 Holdings, LLC</w:t>
      </w:r>
      <w:r>
        <w:rPr>
          <w:sz w:val="20"/>
          <w:szCs w:val="20"/>
          <w:color w:val="auto"/>
        </w:rPr>
        <w:tab/>
      </w:r>
      <w:r>
        <w:rPr>
          <w:rFonts w:ascii="Arial" w:cs="Arial" w:eastAsia="Arial" w:hAnsi="Arial"/>
          <w:sz w:val="7"/>
          <w:szCs w:val="7"/>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(Units N/A) ($100 unfunded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commitment)</w:t>
      </w:r>
    </w:p>
    <w:p>
      <w:pPr>
        <w:spacing w:after="0" w:line="200" w:lineRule="exact"/>
        <w:rPr>
          <w:sz w:val="20"/>
          <w:szCs w:val="20"/>
          <w:color w:val="auto"/>
        </w:rPr>
      </w:pPr>
    </w:p>
    <w:p>
      <w:pPr>
        <w:spacing w:after="0" w:line="211" w:lineRule="exact"/>
        <w:rPr>
          <w:sz w:val="20"/>
          <w:szCs w:val="20"/>
          <w:color w:val="auto"/>
        </w:rPr>
      </w:pPr>
    </w:p>
    <w:p>
      <w:pPr>
        <w:ind w:right="1240"/>
        <w:spacing w:after="0" w:line="300" w:lineRule="auto"/>
        <w:rPr>
          <w:sz w:val="20"/>
          <w:szCs w:val="20"/>
          <w:color w:val="auto"/>
        </w:rPr>
      </w:pPr>
      <w:r>
        <w:rPr>
          <w:rFonts w:ascii="Arial" w:cs="Arial" w:eastAsia="Arial" w:hAnsi="Arial"/>
          <w:sz w:val="10"/>
          <w:szCs w:val="10"/>
          <w:i w:val="1"/>
          <w:iCs w:val="1"/>
          <w:color w:val="auto"/>
        </w:rPr>
        <w:t>Waterworks Solutions Acquisition, Inc. (dba CITCO Water)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20"/>
                <w:szCs w:val="20"/>
                <w:color w:val="auto"/>
              </w:rPr>
            </w:pPr>
            <w:r>
              <w:rPr>
                <w:rFonts w:ascii="Arial" w:cs="Arial" w:eastAsia="Arial" w:hAnsi="Arial"/>
                <w:sz w:val="10"/>
                <w:szCs w:val="10"/>
                <w:color w:val="auto"/>
                <w:w w:val="95"/>
              </w:rPr>
              <w:t>(S + 5.50%) / (2.00%)</w:t>
            </w:r>
          </w:p>
        </w:tc>
        <w:tc>
          <w:tcPr>
            <w:tcW w:w="720" w:type="dxa"/>
            <w:vAlign w:val="bottom"/>
          </w:tcPr>
          <w:p>
            <w:pPr>
              <w:ind w:left="40"/>
              <w:spacing w:after="0"/>
              <w:rPr>
                <w:sz w:val="20"/>
                <w:szCs w:val="20"/>
                <w:color w:val="auto"/>
              </w:rPr>
            </w:pPr>
            <w:r>
              <w:rPr>
                <w:rFonts w:ascii="Arial" w:cs="Arial" w:eastAsia="Arial" w:hAnsi="Arial"/>
                <w:sz w:val="10"/>
                <w:szCs w:val="10"/>
                <w:color w:val="auto"/>
              </w:rPr>
              <w:t>9.46%/0.00%</w:t>
            </w:r>
          </w:p>
        </w:tc>
        <w:tc>
          <w:tcPr>
            <w:tcW w:w="640" w:type="dxa"/>
            <w:vAlign w:val="bottom"/>
          </w:tcPr>
          <w:p>
            <w:pPr>
              <w:ind w:left="100"/>
              <w:spacing w:after="0"/>
              <w:rPr>
                <w:sz w:val="20"/>
                <w:szCs w:val="20"/>
                <w:color w:val="auto"/>
              </w:rPr>
            </w:pPr>
            <w:r>
              <w:rPr>
                <w:rFonts w:ascii="Arial" w:cs="Arial" w:eastAsia="Arial" w:hAnsi="Arial"/>
                <w:sz w:val="10"/>
                <w:szCs w:val="10"/>
                <w:color w:val="auto"/>
              </w:rPr>
              <w:t>5/12/2025</w:t>
            </w:r>
          </w:p>
        </w:tc>
        <w:tc>
          <w:tcPr>
            <w:tcW w:w="680" w:type="dxa"/>
            <w:vAlign w:val="bottom"/>
          </w:tcPr>
          <w:p>
            <w:pPr>
              <w:ind w:left="100"/>
              <w:spacing w:after="0"/>
              <w:rPr>
                <w:sz w:val="20"/>
                <w:szCs w:val="20"/>
                <w:color w:val="auto"/>
              </w:rPr>
            </w:pPr>
            <w:r>
              <w:rPr>
                <w:rFonts w:ascii="Arial" w:cs="Arial" w:eastAsia="Arial" w:hAnsi="Arial"/>
                <w:sz w:val="10"/>
                <w:szCs w:val="10"/>
                <w:color w:val="auto"/>
              </w:rPr>
              <w:t>5/12/2030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13,300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13,219</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13,300</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5/12/2025</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500</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246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20,329</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20,196</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4/3/2018</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655</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1,967</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602"/>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4/1/2012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891</w:t>
            </w:r>
          </w:p>
        </w:tc>
        <w:tc>
          <w:tcPr>
            <w:tcW w:w="700" w:type="dxa"/>
            <w:vAlign w:val="bottom"/>
            <w:vMerge w:val="restart"/>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3/5/2012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564</w:t>
            </w:r>
          </w:p>
        </w:tc>
        <w:tc>
          <w:tcPr>
            <w:tcW w:w="700" w:type="dxa"/>
            <w:vAlign w:val="bottom"/>
            <w:vMerge w:val="restart"/>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1,455</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2/21/2023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4</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2,802</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12/19/2014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602"/>
        </w:trPr>
        <w:tc>
          <w:tcPr>
            <w:tcW w:w="940" w:type="dxa"/>
            <w:vAlign w:val="bottom"/>
          </w:tcPr>
          <w:p>
            <w:pPr>
              <w:spacing w:after="0"/>
              <w:rPr>
                <w:sz w:val="20"/>
                <w:szCs w:val="20"/>
                <w:color w:val="auto"/>
              </w:rPr>
            </w:pPr>
            <w:r>
              <w:rPr>
                <w:rFonts w:ascii="Arial" w:cs="Arial" w:eastAsia="Arial" w:hAnsi="Arial"/>
                <w:sz w:val="10"/>
                <w:szCs w:val="10"/>
                <w:color w:val="auto"/>
                <w:w w:val="95"/>
              </w:rPr>
              <w:t>(S + 0.00%) / (2.50%)</w:t>
            </w:r>
          </w:p>
        </w:tc>
        <w:tc>
          <w:tcPr>
            <w:tcW w:w="720" w:type="dxa"/>
            <w:vAlign w:val="bottom"/>
          </w:tcPr>
          <w:p>
            <w:pPr>
              <w:ind w:left="40"/>
              <w:spacing w:after="0"/>
              <w:rPr>
                <w:sz w:val="20"/>
                <w:szCs w:val="20"/>
                <w:color w:val="auto"/>
              </w:rPr>
            </w:pPr>
            <w:r>
              <w:rPr>
                <w:rFonts w:ascii="Arial" w:cs="Arial" w:eastAsia="Arial" w:hAnsi="Arial"/>
                <w:sz w:val="10"/>
                <w:szCs w:val="10"/>
                <w:color w:val="auto"/>
              </w:rPr>
              <w:t>3.82%/9.75%</w:t>
            </w:r>
          </w:p>
        </w:tc>
        <w:tc>
          <w:tcPr>
            <w:tcW w:w="640" w:type="dxa"/>
            <w:vAlign w:val="bottom"/>
          </w:tcPr>
          <w:p>
            <w:pPr>
              <w:ind w:left="100"/>
              <w:spacing w:after="0"/>
              <w:rPr>
                <w:sz w:val="20"/>
                <w:szCs w:val="20"/>
                <w:color w:val="auto"/>
              </w:rPr>
            </w:pPr>
            <w:r>
              <w:rPr>
                <w:rFonts w:ascii="Arial" w:cs="Arial" w:eastAsia="Arial" w:hAnsi="Arial"/>
                <w:sz w:val="10"/>
                <w:szCs w:val="10"/>
                <w:color w:val="auto"/>
              </w:rPr>
              <w:t>4/13/2022</w:t>
            </w:r>
          </w:p>
        </w:tc>
        <w:tc>
          <w:tcPr>
            <w:tcW w:w="680" w:type="dxa"/>
            <w:vAlign w:val="bottom"/>
          </w:tcPr>
          <w:p>
            <w:pPr>
              <w:ind w:left="100"/>
              <w:spacing w:after="0"/>
              <w:rPr>
                <w:sz w:val="20"/>
                <w:szCs w:val="20"/>
                <w:color w:val="auto"/>
              </w:rPr>
            </w:pPr>
            <w:r>
              <w:rPr>
                <w:rFonts w:ascii="Arial" w:cs="Arial" w:eastAsia="Arial" w:hAnsi="Arial"/>
                <w:sz w:val="10"/>
                <w:szCs w:val="10"/>
                <w:color w:val="auto"/>
              </w:rPr>
              <w:t>9/30/2027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17,381</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10,907</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0"/>
                <w:szCs w:val="10"/>
                <w:color w:val="auto"/>
                <w:w w:val="95"/>
              </w:rPr>
              <w:t>(S + 4.00%) / (2.50%)</w:t>
            </w:r>
          </w:p>
        </w:tc>
        <w:tc>
          <w:tcPr>
            <w:tcW w:w="720" w:type="dxa"/>
            <w:vAlign w:val="bottom"/>
          </w:tcPr>
          <w:p>
            <w:pPr>
              <w:ind w:left="40"/>
              <w:spacing w:after="0"/>
              <w:rPr>
                <w:sz w:val="20"/>
                <w:szCs w:val="20"/>
                <w:color w:val="auto"/>
              </w:rPr>
            </w:pPr>
            <w:r>
              <w:rPr>
                <w:rFonts w:ascii="Arial" w:cs="Arial" w:eastAsia="Arial" w:hAnsi="Arial"/>
                <w:sz w:val="10"/>
                <w:szCs w:val="10"/>
                <w:color w:val="auto"/>
              </w:rPr>
              <w:t>9.82%/0.00%</w:t>
            </w:r>
          </w:p>
        </w:tc>
        <w:tc>
          <w:tcPr>
            <w:tcW w:w="640" w:type="dxa"/>
            <w:vAlign w:val="bottom"/>
          </w:tcPr>
          <w:p>
            <w:pPr>
              <w:ind w:left="100"/>
              <w:spacing w:after="0"/>
              <w:rPr>
                <w:sz w:val="20"/>
                <w:szCs w:val="20"/>
                <w:color w:val="auto"/>
              </w:rPr>
            </w:pPr>
            <w:r>
              <w:rPr>
                <w:rFonts w:ascii="Arial" w:cs="Arial" w:eastAsia="Arial" w:hAnsi="Arial"/>
                <w:sz w:val="10"/>
                <w:szCs w:val="10"/>
                <w:color w:val="auto"/>
              </w:rPr>
              <w:t>9/20/2023</w:t>
            </w:r>
          </w:p>
        </w:tc>
        <w:tc>
          <w:tcPr>
            <w:tcW w:w="680" w:type="dxa"/>
            <w:vAlign w:val="bottom"/>
          </w:tcPr>
          <w:p>
            <w:pPr>
              <w:ind w:left="100"/>
              <w:spacing w:after="0"/>
              <w:rPr>
                <w:sz w:val="20"/>
                <w:szCs w:val="20"/>
                <w:color w:val="auto"/>
              </w:rPr>
            </w:pPr>
            <w:r>
              <w:rPr>
                <w:rFonts w:ascii="Arial" w:cs="Arial" w:eastAsia="Arial" w:hAnsi="Arial"/>
                <w:sz w:val="10"/>
                <w:szCs w:val="10"/>
                <w:color w:val="auto"/>
              </w:rPr>
              <w:t>3/31/2027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356</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307</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208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11,214</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208</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438"/>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13.75%/0.00%</w:t>
            </w:r>
          </w:p>
        </w:tc>
        <w:tc>
          <w:tcPr>
            <w:tcW w:w="640" w:type="dxa"/>
            <w:vAlign w:val="bottom"/>
          </w:tcPr>
          <w:p>
            <w:pPr>
              <w:ind w:left="100"/>
              <w:spacing w:after="0"/>
              <w:rPr>
                <w:sz w:val="20"/>
                <w:szCs w:val="20"/>
                <w:color w:val="auto"/>
              </w:rPr>
            </w:pPr>
            <w:r>
              <w:rPr>
                <w:rFonts w:ascii="Arial" w:cs="Arial" w:eastAsia="Arial" w:hAnsi="Arial"/>
                <w:sz w:val="10"/>
                <w:szCs w:val="10"/>
                <w:color w:val="auto"/>
              </w:rPr>
              <w:t>12/18/2025</w:t>
            </w:r>
          </w:p>
        </w:tc>
        <w:tc>
          <w:tcPr>
            <w:tcW w:w="680" w:type="dxa"/>
            <w:vAlign w:val="bottom"/>
          </w:tcPr>
          <w:p>
            <w:pPr>
              <w:ind w:left="100"/>
              <w:spacing w:after="0"/>
              <w:rPr>
                <w:sz w:val="20"/>
                <w:szCs w:val="20"/>
                <w:color w:val="auto"/>
              </w:rPr>
            </w:pPr>
            <w:r>
              <w:rPr>
                <w:rFonts w:ascii="Arial" w:cs="Arial" w:eastAsia="Arial" w:hAnsi="Arial"/>
                <w:sz w:val="10"/>
                <w:szCs w:val="10"/>
                <w:color w:val="auto"/>
              </w:rPr>
              <w:t>12/18/2030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15,000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14,923</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14,923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13.75%/0.00%</w:t>
            </w:r>
          </w:p>
        </w:tc>
        <w:tc>
          <w:tcPr>
            <w:tcW w:w="640" w:type="dxa"/>
            <w:vAlign w:val="bottom"/>
          </w:tcPr>
          <w:p>
            <w:pPr>
              <w:ind w:left="100"/>
              <w:spacing w:after="0"/>
              <w:rPr>
                <w:sz w:val="20"/>
                <w:szCs w:val="20"/>
                <w:color w:val="auto"/>
              </w:rPr>
            </w:pPr>
            <w:r>
              <w:rPr>
                <w:rFonts w:ascii="Arial" w:cs="Arial" w:eastAsia="Arial" w:hAnsi="Arial"/>
                <w:sz w:val="10"/>
                <w:szCs w:val="10"/>
                <w:color w:val="auto"/>
              </w:rPr>
              <w:t>12/18/2025</w:t>
            </w:r>
          </w:p>
        </w:tc>
        <w:tc>
          <w:tcPr>
            <w:tcW w:w="680" w:type="dxa"/>
            <w:vAlign w:val="bottom"/>
          </w:tcPr>
          <w:p>
            <w:pPr>
              <w:ind w:left="100"/>
              <w:spacing w:after="0"/>
              <w:rPr>
                <w:sz w:val="20"/>
                <w:szCs w:val="20"/>
                <w:color w:val="auto"/>
              </w:rPr>
            </w:pPr>
            <w:r>
              <w:rPr>
                <w:rFonts w:ascii="Arial" w:cs="Arial" w:eastAsia="Arial" w:hAnsi="Arial"/>
                <w:sz w:val="10"/>
                <w:szCs w:val="10"/>
                <w:color w:val="auto"/>
              </w:rPr>
              <w:t>12/18/2030</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0"/>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9"/>
                <w:szCs w:val="19"/>
                <w:color w:val="auto"/>
                <w:vertAlign w:val="subscript"/>
              </w:rPr>
              <w:t>)</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14,916</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14,923</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438"/>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11.50%/0.00%</w:t>
            </w:r>
          </w:p>
        </w:tc>
        <w:tc>
          <w:tcPr>
            <w:tcW w:w="640" w:type="dxa"/>
            <w:vAlign w:val="bottom"/>
          </w:tcPr>
          <w:p>
            <w:pPr>
              <w:ind w:left="100"/>
              <w:spacing w:after="0"/>
              <w:rPr>
                <w:sz w:val="20"/>
                <w:szCs w:val="20"/>
                <w:color w:val="auto"/>
              </w:rPr>
            </w:pPr>
            <w:r>
              <w:rPr>
                <w:rFonts w:ascii="Arial" w:cs="Arial" w:eastAsia="Arial" w:hAnsi="Arial"/>
                <w:sz w:val="10"/>
                <w:szCs w:val="10"/>
                <w:color w:val="auto"/>
              </w:rPr>
              <w:t>3/22/2024</w:t>
            </w:r>
          </w:p>
        </w:tc>
        <w:tc>
          <w:tcPr>
            <w:tcW w:w="680" w:type="dxa"/>
            <w:vAlign w:val="bottom"/>
          </w:tcPr>
          <w:p>
            <w:pPr>
              <w:ind w:left="100"/>
              <w:spacing w:after="0"/>
              <w:rPr>
                <w:sz w:val="20"/>
                <w:szCs w:val="20"/>
                <w:color w:val="auto"/>
              </w:rPr>
            </w:pPr>
            <w:r>
              <w:rPr>
                <w:rFonts w:ascii="Arial" w:cs="Arial" w:eastAsia="Arial" w:hAnsi="Arial"/>
                <w:sz w:val="10"/>
                <w:szCs w:val="10"/>
                <w:color w:val="auto"/>
              </w:rPr>
              <w:t>3/24/2031</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12,500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12,383</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12,500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3/21/2024</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900</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819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13,283</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13,319</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-4234180</wp:posOffset>
            </wp:positionV>
            <wp:extent cx="5967730" cy="1041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-3930015</wp:posOffset>
            </wp:positionV>
            <wp:extent cx="5967730" cy="1041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-3721100</wp:posOffset>
            </wp:positionV>
            <wp:extent cx="5967730" cy="1993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-4639945</wp:posOffset>
            </wp:positionV>
            <wp:extent cx="5967730" cy="4653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7730" cy="465391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-4639945</wp:posOffset>
            </wp:positionV>
            <wp:extent cx="5967730" cy="46539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7730" cy="4653915"/>
                    </a:xfrm>
                    <a:prstGeom prst="rect">
                      <a:avLst/>
                    </a:prstGeom>
                    <a:noFill/>
                  </pic:spPr>
                </pic:pic>
              </a:graphicData>
            </a:graphic>
          </wp:anchor>
        </w:drawing>
      </w:r>
    </w:p>
    <w:p>
      <w:pPr>
        <w:spacing w:after="0" w:line="542" w:lineRule="exact"/>
        <w:rPr>
          <w:sz w:val="20"/>
          <w:szCs w:val="20"/>
          <w:color w:val="auto"/>
        </w:rPr>
      </w:pPr>
    </w:p>
    <w:p>
      <w:pPr>
        <w:sectPr>
          <w:pgSz w:w="11900" w:h="16838" w:orient="portrait"/>
          <w:cols w:equalWidth="0" w:num="2">
            <w:col w:w="3320" w:space="720"/>
            <w:col w:w="534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8</w:t>
      </w:r>
    </w:p>
    <w:p>
      <w:pPr>
        <w:sectPr>
          <w:pgSz w:w="11900" w:h="16838" w:orient="portrait"/>
          <w:cols w:equalWidth="0" w:num="1">
            <w:col w:w="9380"/>
          </w:cols>
          <w:pgMar w:left="1260" w:top="1440" w:right="1266" w:bottom="0" w:gutter="0" w:footer="0" w:header="0"/>
          <w:type w:val="continuous"/>
        </w:sectPr>
      </w:pPr>
    </w:p>
    <w:bookmarkStart w:id="205" w:name="page206"/>
    <w:bookmarkEnd w:id="205"/>
    <w:p>
      <w:pPr>
        <w:spacing w:after="0"/>
        <w:rPr>
          <w:sz w:val="20"/>
          <w:szCs w:val="20"/>
          <w:color w:val="auto"/>
        </w:rPr>
      </w:pPr>
      <w:r>
        <w:rPr>
          <w:rFonts w:ascii="Arial" w:cs="Arial" w:eastAsia="Arial" w:hAnsi="Arial"/>
          <w:sz w:val="10"/>
          <w:szCs w:val="10"/>
          <w:color w:val="auto"/>
        </w:rPr>
        <w:t>Specialty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($3,500 unfunded commitment)(z)(bm)</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+ 4.75%)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8.44%/0.00%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12/26/2025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12/26/2030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15,995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15,875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15,875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White Label Communication,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(j)(ab)</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+ 5.25%)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9.21%/0.00%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6/30/2025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6/30/2030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24,263</w:t>
      </w:r>
    </w:p>
    <w:p>
      <w:pPr>
        <w:sectPr>
          <w:pgSz w:w="11900" w:h="16838" w:orient="portrait"/>
          <w:cols w:equalWidth="0" w:num="1">
            <w:col w:w="9400"/>
          </w:cols>
          <w:pgMar w:left="1260" w:top="12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400"/>
          </w:cols>
          <w:pgMar w:left="1260" w:top="1267" w:right="1246" w:bottom="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10"/>
          <w:szCs w:val="10"/>
          <w:color w:val="auto"/>
        </w:rPr>
        <w:t>24,400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(536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10/11/2023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(5,000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10/11/2023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24,763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24,900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Wonderware Holdings, LLC (dba CORE Business Technologies)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(z)</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+ 5.00%)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8.72%/0.00%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2/10/2021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5/14/2028</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9400"/>
          </w:cols>
          <w:pgMar w:left="1260" w:top="1406" w:right="1246" w:bottom="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0"/>
          <w:szCs w:val="10"/>
          <w:color w:val="auto"/>
        </w:rPr>
        <w:t>8,316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8,316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8,316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World Tours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Consumer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(ay)</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+ 6.50%)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10.49%/0.00%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11/13/2024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11/13/2029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5,965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(1,000,000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11/13/2024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1,517</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400"/>
          </w:cols>
          <w:pgMar w:left="1260" w:top="1256" w:right="1246" w:bottom="0" w:gutter="0" w:footer="0" w:header="0"/>
          <w:type w:val="continuous"/>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6,965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7,517</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Worldwide Express Operations,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Transportation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(795,000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7/21/2021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994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(752,380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7/26/2021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1,020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9400"/>
          </w:cols>
          <w:pgMar w:left="1260" w:top="1440" w:right="1246" w:bottom="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10"/>
          <w:szCs w:val="10"/>
          <w:color w:val="auto"/>
        </w:rPr>
        <w:t>1,756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Zonkd,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Component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(4,987 units) (h)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3/18/2022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487</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Non-control/Non-affiliate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1,222,476</w:t>
      </w: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1,205,738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9400"/>
          </w:cols>
          <w:pgMar w:left="1260" w:top="1256" w:right="1246" w:bottom="0" w:gutter="0" w:footer="0" w:header="0"/>
          <w:type w:val="continuous"/>
        </w:sectPr>
      </w:pPr>
    </w:p>
    <w:bookmarkStart w:id="210" w:name="page211"/>
    <w:bookmarkEnd w:id="210"/>
    <w:p>
      <w:pPr>
        <w:spacing w:after="0" w:line="30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1,299,294</w:t>
      </w: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1,324,753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179</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Money market funds (included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Goldman Sachs Financial Square Treasury Obligation Institution CUSIP (38141W323) (ad)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3.65%/0.00%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68,974</w:t>
      </w: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68,974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0"/>
          <w:szCs w:val="10"/>
          <w:b w:val="1"/>
          <w:bCs w:val="1"/>
          <w:color w:val="auto"/>
        </w:rPr>
        <w:t>Total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68,974</w:t>
      </w: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9400"/>
          </w:cols>
          <w:pgMar w:left="1260" w:top="1440" w:right="1246" w:bottom="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10"/>
          <w:szCs w:val="10"/>
          <w:color w:val="auto"/>
        </w:rPr>
        <w:t>68,974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0"/>
          <w:szCs w:val="10"/>
          <w:b w:val="1"/>
          <w:bCs w:val="1"/>
          <w:color w:val="auto"/>
        </w:rPr>
        <w:t>Total Investments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1,368,268</w:t>
      </w:r>
    </w:p>
    <w:p>
      <w:pPr>
        <w:spacing w:after="0" w:line="3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1,393,727</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188</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6" w:hanging="166"/>
        <w:spacing w:after="0"/>
        <w:tabs>
          <w:tab w:leader="none" w:pos="16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See Note 3 to the consolidated financial statements for portfolio composition by geographic location.</w:t>
      </w:r>
    </w:p>
    <w:p>
      <w:pPr>
        <w:spacing w:after="0" w:line="169" w:lineRule="exact"/>
        <w:rPr>
          <w:rFonts w:ascii="Arial" w:cs="Arial" w:eastAsia="Arial" w:hAnsi="Arial"/>
          <w:sz w:val="12"/>
          <w:szCs w:val="12"/>
          <w:color w:val="auto"/>
        </w:rPr>
      </w:pPr>
    </w:p>
    <w:p>
      <w:pPr>
        <w:ind w:left="6" w:right="200" w:hanging="6"/>
        <w:spacing w:after="0" w:line="515" w:lineRule="auto"/>
        <w:tabs>
          <w:tab w:leader="none" w:pos="17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December 31, 2025, the Company held restricted securities with an aggregate fair value of $1,324,753, or 179% of the Company's net assets.</w:t>
      </w:r>
    </w:p>
    <w:p>
      <w:pPr>
        <w:spacing w:after="0" w:line="4" w:lineRule="exact"/>
        <w:rPr>
          <w:rFonts w:ascii="Arial" w:cs="Arial" w:eastAsia="Arial" w:hAnsi="Arial"/>
          <w:sz w:val="12"/>
          <w:szCs w:val="12"/>
          <w:color w:val="auto"/>
        </w:rPr>
      </w:pPr>
    </w:p>
    <w:p>
      <w:pPr>
        <w:ind w:left="166" w:hanging="166"/>
        <w:spacing w:after="0"/>
        <w:tabs>
          <w:tab w:leader="none" w:pos="16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All debt investments are income producing, unless otherwise indicated. Equity investments are non-income producing unless otherwise noted.</w:t>
      </w:r>
    </w:p>
    <w:p>
      <w:pPr>
        <w:spacing w:after="0" w:line="169" w:lineRule="exact"/>
        <w:rPr>
          <w:rFonts w:ascii="Arial" w:cs="Arial" w:eastAsia="Arial" w:hAnsi="Arial"/>
          <w:sz w:val="12"/>
          <w:szCs w:val="12"/>
          <w:color w:val="auto"/>
        </w:rPr>
      </w:pPr>
    </w:p>
    <w:p>
      <w:pPr>
        <w:ind w:left="6" w:right="60" w:hanging="6"/>
        <w:spacing w:after="0" w:line="515" w:lineRule="auto"/>
        <w:tabs>
          <w:tab w:leader="none" w:pos="17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2025.</w:t>
      </w:r>
    </w:p>
    <w:p>
      <w:pPr>
        <w:spacing w:after="0" w:line="11" w:lineRule="exact"/>
        <w:rPr>
          <w:rFonts w:ascii="Arial" w:cs="Arial" w:eastAsia="Arial" w:hAnsi="Arial"/>
          <w:sz w:val="12"/>
          <w:szCs w:val="12"/>
          <w:color w:val="auto"/>
        </w:rPr>
      </w:pPr>
    </w:p>
    <w:p>
      <w:pPr>
        <w:ind w:left="6" w:right="260" w:hanging="6"/>
        <w:spacing w:after="0" w:line="509" w:lineRule="auto"/>
        <w:tabs>
          <w:tab w:leader="none" w:pos="169"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December 31, 2025. Generally, payment-in-kind interest can be paid-in-kind or all in cash.</w:t>
      </w:r>
    </w:p>
    <w:p>
      <w:pPr>
        <w:spacing w:after="0" w:line="7" w:lineRule="exact"/>
        <w:rPr>
          <w:rFonts w:ascii="Arial" w:cs="Arial" w:eastAsia="Arial" w:hAnsi="Arial"/>
          <w:sz w:val="12"/>
          <w:szCs w:val="12"/>
          <w:color w:val="auto"/>
        </w:rPr>
      </w:pPr>
    </w:p>
    <w:p>
      <w:pPr>
        <w:ind w:left="146" w:hanging="146"/>
        <w:spacing w:after="0"/>
        <w:tabs>
          <w:tab w:leader="none" w:pos="14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Investment date represents the date of the initial investment in the security.</w:t>
      </w:r>
    </w:p>
    <w:p>
      <w:pPr>
        <w:spacing w:after="0" w:line="169" w:lineRule="exact"/>
        <w:rPr>
          <w:rFonts w:ascii="Arial" w:cs="Arial" w:eastAsia="Arial" w:hAnsi="Arial"/>
          <w:sz w:val="12"/>
          <w:szCs w:val="12"/>
          <w:color w:val="auto"/>
        </w:rPr>
      </w:pPr>
    </w:p>
    <w:p>
      <w:pPr>
        <w:ind w:left="6" w:right="120" w:hanging="6"/>
        <w:spacing w:after="0" w:line="515" w:lineRule="auto"/>
        <w:tabs>
          <w:tab w:leader="none" w:pos="17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4" w:lineRule="exact"/>
        <w:rPr>
          <w:rFonts w:ascii="Arial" w:cs="Arial" w:eastAsia="Arial" w:hAnsi="Arial"/>
          <w:sz w:val="12"/>
          <w:szCs w:val="12"/>
          <w:color w:val="auto"/>
        </w:rPr>
      </w:pPr>
    </w:p>
    <w:p>
      <w:pPr>
        <w:ind w:left="166" w:hanging="166"/>
        <w:spacing w:after="0"/>
        <w:tabs>
          <w:tab w:leader="none" w:pos="16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Investment is held by a taxable subsidiary of the Company.</w:t>
      </w:r>
    </w:p>
    <w:p>
      <w:pPr>
        <w:spacing w:after="0" w:line="169" w:lineRule="exact"/>
        <w:rPr>
          <w:rFonts w:ascii="Arial" w:cs="Arial" w:eastAsia="Arial" w:hAnsi="Arial"/>
          <w:sz w:val="12"/>
          <w:szCs w:val="12"/>
          <w:color w:val="auto"/>
        </w:rPr>
      </w:pPr>
    </w:p>
    <w:p>
      <w:pPr>
        <w:ind w:left="6" w:right="200" w:hanging="6"/>
        <w:spacing w:after="0" w:line="509" w:lineRule="auto"/>
        <w:tabs>
          <w:tab w:leader="none" w:pos="15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2025. The Company is earning 0.50% interest on the unfunded balance of the commitment. The interest rate disclosed represents the rate which will be earned if the commitment is funded.</w:t>
      </w:r>
    </w:p>
    <w:p>
      <w:pPr>
        <w:spacing w:after="0" w:line="14" w:lineRule="exact"/>
        <w:rPr>
          <w:rFonts w:ascii="Arial" w:cs="Arial" w:eastAsia="Arial" w:hAnsi="Arial"/>
          <w:sz w:val="12"/>
          <w:szCs w:val="12"/>
          <w:color w:val="auto"/>
        </w:rPr>
      </w:pPr>
    </w:p>
    <w:p>
      <w:pPr>
        <w:ind w:left="6" w:right="160" w:hanging="6"/>
        <w:spacing w:after="0" w:line="569" w:lineRule="auto"/>
        <w:tabs>
          <w:tab w:leader="none" w:pos="15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w:t>
      </w:r>
    </w:p>
    <w:p>
      <w:pPr>
        <w:ind w:left="6" w:right="40" w:hanging="6"/>
        <w:spacing w:after="0" w:line="509" w:lineRule="auto"/>
        <w:tabs>
          <w:tab w:leader="none" w:pos="17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w:t>
      </w:r>
    </w:p>
    <w:p>
      <w:pPr>
        <w:spacing w:after="0" w:line="14" w:lineRule="exact"/>
        <w:rPr>
          <w:rFonts w:ascii="Arial" w:cs="Arial" w:eastAsia="Arial" w:hAnsi="Arial"/>
          <w:sz w:val="12"/>
          <w:szCs w:val="12"/>
          <w:color w:val="auto"/>
        </w:rPr>
      </w:pPr>
    </w:p>
    <w:p>
      <w:pPr>
        <w:ind w:left="6" w:right="40" w:hanging="6"/>
        <w:spacing w:after="0" w:line="515" w:lineRule="auto"/>
        <w:tabs>
          <w:tab w:leader="none" w:pos="15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ectPr>
          <w:pgSz w:w="11900" w:h="16838" w:orient="portrait"/>
          <w:cols w:equalWidth="0" w:num="1">
            <w:col w:w="9406"/>
          </w:cols>
          <w:pgMar w:left="1254"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9406"/>
          </w:cols>
          <w:pgMar w:left="1254" w:top="1256" w:right="1246" w:bottom="0" w:gutter="0" w:footer="0" w:header="0"/>
          <w:type w:val="continuous"/>
        </w:sectPr>
      </w:pPr>
    </w:p>
    <w:bookmarkStart w:id="212" w:name="page213"/>
    <w:bookmarkEnd w:id="212"/>
    <w:p>
      <w:pPr>
        <w:ind w:left="6" w:right="80" w:hanging="6"/>
        <w:spacing w:after="0" w:line="509" w:lineRule="auto"/>
        <w:tabs>
          <w:tab w:leader="none" w:pos="21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7" w:lineRule="exact"/>
        <w:rPr>
          <w:rFonts w:ascii="Arial" w:cs="Arial" w:eastAsia="Arial" w:hAnsi="Arial"/>
          <w:sz w:val="12"/>
          <w:szCs w:val="12"/>
          <w:color w:val="auto"/>
        </w:rPr>
      </w:pPr>
    </w:p>
    <w:p>
      <w:pPr>
        <w:ind w:left="166" w:hanging="166"/>
        <w:spacing w:after="0"/>
        <w:tabs>
          <w:tab w:leader="none" w:pos="16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Investment in portfolio company that has sold its operations and is in the process of winding down.</w:t>
      </w:r>
    </w:p>
    <w:p>
      <w:pPr>
        <w:spacing w:after="0" w:line="169" w:lineRule="exact"/>
        <w:rPr>
          <w:rFonts w:ascii="Arial" w:cs="Arial" w:eastAsia="Arial" w:hAnsi="Arial"/>
          <w:sz w:val="12"/>
          <w:szCs w:val="12"/>
          <w:color w:val="auto"/>
        </w:rPr>
      </w:pPr>
    </w:p>
    <w:p>
      <w:pPr>
        <w:jc w:val="both"/>
        <w:ind w:left="6" w:right="20" w:hanging="6"/>
        <w:spacing w:after="0" w:line="515" w:lineRule="auto"/>
        <w:tabs>
          <w:tab w:leader="none" w:pos="17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1" w:lineRule="exact"/>
        <w:rPr>
          <w:rFonts w:ascii="Arial" w:cs="Arial" w:eastAsia="Arial" w:hAnsi="Arial"/>
          <w:sz w:val="12"/>
          <w:szCs w:val="12"/>
          <w:color w:val="auto"/>
        </w:rPr>
      </w:pPr>
    </w:p>
    <w:p>
      <w:pPr>
        <w:ind w:left="166" w:hanging="166"/>
        <w:spacing w:after="0"/>
        <w:tabs>
          <w:tab w:leader="none" w:pos="166"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1.72%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166" w:hanging="166"/>
        <w:spacing w:after="0"/>
        <w:tabs>
          <w:tab w:leader="none" w:pos="166"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2.94%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6" w:right="140" w:hanging="6"/>
        <w:spacing w:after="0" w:line="515" w:lineRule="auto"/>
        <w:tabs>
          <w:tab w:leader="none" w:pos="15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140" w:hanging="6"/>
        <w:spacing w:after="0" w:line="515" w:lineRule="auto"/>
        <w:tabs>
          <w:tab w:leader="none" w:pos="16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1.56%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hanging="6"/>
        <w:spacing w:after="0" w:line="626" w:lineRule="auto"/>
        <w:tabs>
          <w:tab w:leader="none" w:pos="15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w:t>
      </w:r>
    </w:p>
    <w:p>
      <w:pPr>
        <w:ind w:left="6"/>
        <w:spacing w:after="0" w:line="227" w:lineRule="auto"/>
        <w:rPr>
          <w:sz w:val="20"/>
          <w:szCs w:val="20"/>
          <w:color w:val="auto"/>
        </w:rPr>
      </w:pPr>
      <w:r>
        <w:rPr>
          <w:rFonts w:ascii="Arial" w:cs="Arial" w:eastAsia="Arial" w:hAnsi="Arial"/>
          <w:sz w:val="12"/>
          <w:szCs w:val="12"/>
          <w:color w:val="auto"/>
        </w:rPr>
        <w:t>a portfolio company that the Company is deemed to Control</w:t>
      </w:r>
    </w:p>
    <w:p>
      <w:pPr>
        <w:spacing w:after="0" w:line="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24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9386"/>
          </w:cols>
          <w:pgMar w:left="1254" w:top="1244" w:right="1266" w:bottom="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
        <w:spacing w:after="0"/>
        <w:rPr>
          <w:sz w:val="20"/>
          <w:szCs w:val="20"/>
          <w:color w:val="auto"/>
        </w:rPr>
      </w:pPr>
      <w:r>
        <w:rPr>
          <w:rFonts w:ascii="Arial" w:cs="Arial" w:eastAsia="Arial" w:hAnsi="Arial"/>
          <w:sz w:val="12"/>
          <w:szCs w:val="12"/>
          <w:color w:val="auto"/>
        </w:rPr>
        <w:t>are detailed in Note 3 to the consolidated financial statements.</w:t>
      </w:r>
    </w:p>
    <w:p>
      <w:pPr>
        <w:spacing w:after="0" w:line="169" w:lineRule="exact"/>
        <w:rPr>
          <w:sz w:val="20"/>
          <w:szCs w:val="20"/>
          <w:color w:val="auto"/>
        </w:rPr>
      </w:pPr>
    </w:p>
    <w:p>
      <w:pPr>
        <w:ind w:left="166" w:hanging="166"/>
        <w:spacing w:after="0"/>
        <w:tabs>
          <w:tab w:leader="none" w:pos="166" w:val="left"/>
        </w:tabs>
        <w:numPr>
          <w:ilvl w:val="0"/>
          <w:numId w:val="107"/>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2.30% on its “last out” tranche of the</w:t>
      </w:r>
    </w:p>
    <w:p>
      <w:pPr>
        <w:spacing w:after="0" w:line="173" w:lineRule="exact"/>
        <w:rPr>
          <w:rFonts w:ascii="Arial" w:cs="Arial" w:eastAsia="Arial" w:hAnsi="Arial"/>
          <w:sz w:val="11"/>
          <w:szCs w:val="11"/>
          <w:color w:val="auto"/>
        </w:rPr>
      </w:pPr>
    </w:p>
    <w:p>
      <w:pPr>
        <w:ind w:left="6"/>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166" w:hanging="166"/>
        <w:spacing w:after="0"/>
        <w:tabs>
          <w:tab w:leader="none" w:pos="166" w:val="left"/>
        </w:tabs>
        <w:numPr>
          <w:ilvl w:val="0"/>
          <w:numId w:val="107"/>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1.07% on its “last out” tranche of the</w:t>
      </w:r>
    </w:p>
    <w:p>
      <w:pPr>
        <w:spacing w:after="0" w:line="173" w:lineRule="exact"/>
        <w:rPr>
          <w:rFonts w:ascii="Arial" w:cs="Arial" w:eastAsia="Arial" w:hAnsi="Arial"/>
          <w:sz w:val="11"/>
          <w:szCs w:val="11"/>
          <w:color w:val="auto"/>
        </w:rPr>
      </w:pPr>
    </w:p>
    <w:p>
      <w:pPr>
        <w:ind w:left="6"/>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6" w:hanging="6"/>
        <w:spacing w:after="0" w:line="509" w:lineRule="auto"/>
        <w:tabs>
          <w:tab w:leader="none" w:pos="20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2025. The Company is earning 0.75% interest on the unfunded balance of the commitment. The interest rate disclosed represents the rate earned on the outstanding, funded balance of the commitment.</w:t>
      </w:r>
    </w:p>
    <w:p>
      <w:pPr>
        <w:spacing w:after="0" w:line="14" w:lineRule="exact"/>
        <w:rPr>
          <w:rFonts w:ascii="Arial" w:cs="Arial" w:eastAsia="Arial" w:hAnsi="Arial"/>
          <w:sz w:val="12"/>
          <w:szCs w:val="12"/>
          <w:color w:val="auto"/>
        </w:rPr>
      </w:pPr>
    </w:p>
    <w:p>
      <w:pPr>
        <w:ind w:left="6" w:right="20" w:hanging="6"/>
        <w:spacing w:after="0" w:line="509" w:lineRule="auto"/>
        <w:tabs>
          <w:tab w:leader="none" w:pos="17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2025. The Company is earning 1.00% interest on the unfunded balance of the commitment. The interest rate disclosed represents the rate earned on the outstanding, funded balance of the commitment.</w:t>
      </w:r>
    </w:p>
    <w:p>
      <w:pPr>
        <w:spacing w:after="0" w:line="7" w:lineRule="exact"/>
        <w:rPr>
          <w:rFonts w:ascii="Arial" w:cs="Arial" w:eastAsia="Arial" w:hAnsi="Arial"/>
          <w:sz w:val="12"/>
          <w:szCs w:val="12"/>
          <w:color w:val="auto"/>
        </w:rPr>
      </w:pPr>
    </w:p>
    <w:p>
      <w:pPr>
        <w:ind w:left="166" w:hanging="166"/>
        <w:spacing w:after="0"/>
        <w:tabs>
          <w:tab w:leader="none" w:pos="16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Investment was on non-accrual status as of December 31, 2025.</w:t>
      </w:r>
    </w:p>
    <w:p>
      <w:pPr>
        <w:spacing w:after="0" w:line="169" w:lineRule="exact"/>
        <w:rPr>
          <w:rFonts w:ascii="Arial" w:cs="Arial" w:eastAsia="Arial" w:hAnsi="Arial"/>
          <w:sz w:val="12"/>
          <w:szCs w:val="12"/>
          <w:color w:val="auto"/>
        </w:rPr>
      </w:pPr>
    </w:p>
    <w:p>
      <w:pPr>
        <w:ind w:left="6" w:hanging="6"/>
        <w:spacing w:after="0" w:line="515" w:lineRule="auto"/>
        <w:tabs>
          <w:tab w:leader="none" w:pos="169"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20" w:hanging="6"/>
        <w:spacing w:after="0" w:line="569" w:lineRule="auto"/>
        <w:tabs>
          <w:tab w:leader="none" w:pos="223"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(ab) In addition to the interest earned based on the stated interest rate of this security, the Company is entitled to receive an additional interest amount of 1.92%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right="20"/>
        <w:spacing w:after="0" w:line="515" w:lineRule="auto"/>
        <w:rPr>
          <w:rFonts w:ascii="Arial" w:cs="Arial" w:eastAsia="Arial" w:hAnsi="Arial"/>
          <w:sz w:val="11"/>
          <w:szCs w:val="11"/>
          <w:color w:val="auto"/>
        </w:rPr>
      </w:pPr>
      <w:r>
        <w:rPr>
          <w:rFonts w:ascii="Arial" w:cs="Arial" w:eastAsia="Arial" w:hAnsi="Arial"/>
          <w:sz w:val="12"/>
          <w:szCs w:val="12"/>
          <w:color w:val="auto"/>
        </w:rPr>
        <w:t>(ac) In addition to the interest earned based on the stated interest rate of this security, the Company is entitled to receive an additional cash interest amount of 2.86% and PIK interest amount of 1.27%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4" w:lineRule="exact"/>
        <w:rPr>
          <w:rFonts w:ascii="Arial" w:cs="Arial" w:eastAsia="Arial" w:hAnsi="Arial"/>
          <w:sz w:val="11"/>
          <w:szCs w:val="11"/>
          <w:color w:val="auto"/>
        </w:rPr>
      </w:pPr>
    </w:p>
    <w:p>
      <w:pPr>
        <w:ind w:left="6"/>
        <w:spacing w:after="0"/>
        <w:rPr>
          <w:rFonts w:ascii="Arial" w:cs="Arial" w:eastAsia="Arial" w:hAnsi="Arial"/>
          <w:sz w:val="11"/>
          <w:szCs w:val="11"/>
          <w:color w:val="auto"/>
        </w:rPr>
      </w:pPr>
      <w:r>
        <w:rPr>
          <w:rFonts w:ascii="Arial" w:cs="Arial" w:eastAsia="Arial" w:hAnsi="Arial"/>
          <w:sz w:val="12"/>
          <w:szCs w:val="12"/>
          <w:color w:val="auto"/>
        </w:rPr>
        <w:t>(ad) This investment is classified as a Level 1 investment. For further detail on the fair value measurements, see Note 4 to the consolidated financial statements.</w:t>
      </w:r>
    </w:p>
    <w:p>
      <w:pPr>
        <w:spacing w:after="0" w:line="169"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(ae)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(ag) In addition to the interest earned based on the stated interest rate of this security, the Company is entitled to receive an additional interest amount of 1.68%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(ah) In addition to the interest earned based on the stated interest rate of this security, the Company is entitled to receive an additional interest amount of 3.75%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(ai) 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(aj)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1"/>
          <w:szCs w:val="11"/>
          <w:color w:val="auto"/>
        </w:rPr>
      </w:pPr>
    </w:p>
    <w:p>
      <w:pPr>
        <w:ind w:left="6"/>
        <w:spacing w:after="0" w:line="515" w:lineRule="auto"/>
        <w:rPr>
          <w:rFonts w:ascii="Arial" w:cs="Arial" w:eastAsia="Arial" w:hAnsi="Arial"/>
          <w:sz w:val="11"/>
          <w:szCs w:val="11"/>
          <w:color w:val="auto"/>
        </w:rPr>
      </w:pPr>
      <w:r>
        <w:rPr>
          <w:rFonts w:ascii="Arial" w:cs="Arial" w:eastAsia="Arial" w:hAnsi="Arial"/>
          <w:sz w:val="12"/>
          <w:szCs w:val="12"/>
          <w:color w:val="auto"/>
        </w:rPr>
        <w:t>(ak) In addition to the interest earned based on the stated interest rate of this security, the Company is entitled to receive an additional interest amount of 3.41%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9246"/>
          </w:cols>
          <w:pgMar w:left="1254" w:top="1440" w:right="1406"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45"/>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9246"/>
          </w:cols>
          <w:pgMar w:left="1254" w:top="1440" w:right="1406" w:bottom="0" w:gutter="0" w:footer="0" w:header="0"/>
          <w:type w:val="continuous"/>
        </w:sectPr>
      </w:pPr>
    </w:p>
    <w:bookmarkStart w:id="214" w:name="page215"/>
    <w:bookmarkEnd w:id="214"/>
    <w:p>
      <w:pPr>
        <w:ind w:left="6" w:right="120"/>
        <w:spacing w:after="0" w:line="515" w:lineRule="auto"/>
        <w:rPr>
          <w:sz w:val="20"/>
          <w:szCs w:val="20"/>
          <w:color w:val="auto"/>
        </w:rPr>
      </w:pPr>
      <w:r>
        <w:rPr>
          <w:rFonts w:ascii="Arial" w:cs="Arial" w:eastAsia="Arial" w:hAnsi="Arial"/>
          <w:sz w:val="12"/>
          <w:szCs w:val="12"/>
          <w:color w:val="auto"/>
        </w:rPr>
        <w:t>(al) 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(am) 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60"/>
        <w:spacing w:after="0" w:line="569" w:lineRule="auto"/>
        <w:rPr>
          <w:sz w:val="20"/>
          <w:szCs w:val="20"/>
          <w:color w:val="auto"/>
        </w:rPr>
      </w:pPr>
      <w:r>
        <w:rPr>
          <w:rFonts w:ascii="Arial" w:cs="Arial" w:eastAsia="Arial" w:hAnsi="Arial"/>
          <w:sz w:val="11"/>
          <w:szCs w:val="11"/>
          <w:color w:val="auto"/>
        </w:rPr>
        <w:t>(an) 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ind w:left="6" w:right="80"/>
        <w:spacing w:after="0" w:line="515" w:lineRule="auto"/>
        <w:rPr>
          <w:sz w:val="20"/>
          <w:szCs w:val="20"/>
          <w:color w:val="auto"/>
        </w:rPr>
      </w:pPr>
      <w:r>
        <w:rPr>
          <w:rFonts w:ascii="Arial" w:cs="Arial" w:eastAsia="Arial" w:hAnsi="Arial"/>
          <w:sz w:val="12"/>
          <w:szCs w:val="12"/>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2025, total non-qualifying assets at fair value represented 1.12% of the Company's total assets calculated in accordance with the 1940 Act.</w:t>
      </w:r>
    </w:p>
    <w:p>
      <w:pPr>
        <w:spacing w:after="0" w:line="12" w:lineRule="exact"/>
        <w:rPr>
          <w:sz w:val="20"/>
          <w:szCs w:val="20"/>
          <w:color w:val="auto"/>
        </w:rPr>
      </w:pPr>
    </w:p>
    <w:p>
      <w:pPr>
        <w:ind w:left="6" w:right="140"/>
        <w:spacing w:after="0" w:line="517" w:lineRule="auto"/>
        <w:rPr>
          <w:sz w:val="20"/>
          <w:szCs w:val="20"/>
          <w:color w:val="auto"/>
        </w:rPr>
      </w:pPr>
      <w:r>
        <w:rPr>
          <w:rFonts w:ascii="Arial" w:cs="Arial" w:eastAsia="Arial" w:hAnsi="Arial"/>
          <w:sz w:val="12"/>
          <w:szCs w:val="12"/>
          <w:color w:val="auto"/>
        </w:rPr>
        <w:t>(ap) In addition to the interest earned based on the stated interest rate of this security, the Company is entitled to receive an additional cash interest amount of 0.46% and PIK interest amount of 1.83%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(aq) The headquarters of this portfolio company is located in Canada.</w:t>
      </w:r>
    </w:p>
    <w:p>
      <w:pPr>
        <w:spacing w:after="0" w:line="11"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(ar) In addition to the interest earned based on the stated interest rate of this security, the Company is entitled to receive an additional interest amount of 2.59%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60"/>
        <w:spacing w:after="0" w:line="515" w:lineRule="auto"/>
        <w:rPr>
          <w:sz w:val="20"/>
          <w:szCs w:val="20"/>
          <w:color w:val="auto"/>
        </w:rPr>
      </w:pPr>
      <w:r>
        <w:rPr>
          <w:rFonts w:ascii="Arial" w:cs="Arial" w:eastAsia="Arial" w:hAnsi="Arial"/>
          <w:sz w:val="12"/>
          <w:szCs w:val="12"/>
          <w:color w:val="auto"/>
        </w:rPr>
        <w:t>(as) In addition to the interest earned based on the stated interest rate of this security, the Company is entitled to receive an additional cash interest amount of 0.24% and PIK interest amount of 0.59%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(at)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(au) In addition to the interest earned based on the stated interest rate of this security, the Company is entitled to receive an additional interest amount of 2.18%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(av) 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(ax) In addition to the interest earned based on the stated interest rate of this security, the Company is entitled to receive an additional interest amount of 1.02%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(ay) In addition to the interest earned based on the stated interest rate of this security, the Company is entitled to receive an additional interest amount of 2.06%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right="120"/>
        <w:spacing w:after="0" w:line="515" w:lineRule="auto"/>
        <w:rPr>
          <w:sz w:val="20"/>
          <w:szCs w:val="20"/>
          <w:color w:val="auto"/>
        </w:rPr>
      </w:pPr>
      <w:r>
        <w:rPr>
          <w:rFonts w:ascii="Arial" w:cs="Arial" w:eastAsia="Arial" w:hAnsi="Arial"/>
          <w:sz w:val="12"/>
          <w:szCs w:val="12"/>
          <w:color w:val="auto"/>
        </w:rPr>
        <w:t>(az)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left="6"/>
        <w:spacing w:after="0" w:line="569" w:lineRule="auto"/>
        <w:rPr>
          <w:sz w:val="20"/>
          <w:szCs w:val="20"/>
          <w:color w:val="auto"/>
        </w:rPr>
      </w:pPr>
      <w:r>
        <w:rPr>
          <w:rFonts w:ascii="Arial" w:cs="Arial" w:eastAsia="Arial" w:hAnsi="Arial"/>
          <w:sz w:val="11"/>
          <w:szCs w:val="11"/>
          <w:color w:val="auto"/>
        </w:rPr>
        <w:t>(ba) The Company sold a participating interest of approximately $0.005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ind w:left="6" w:right="120" w:hanging="6"/>
        <w:spacing w:after="0" w:line="515" w:lineRule="auto"/>
        <w:tabs>
          <w:tab w:leader="none" w:pos="23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9366"/>
          </w:cols>
          <w:pgMar w:left="1254" w:top="1244"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9366"/>
          </w:cols>
          <w:pgMar w:left="1254" w:top="1244" w:right="1286" w:bottom="0" w:gutter="0" w:footer="0" w:header="0"/>
          <w:type w:val="continuous"/>
        </w:sectPr>
      </w:pPr>
    </w:p>
    <w:bookmarkStart w:id="215" w:name="page216"/>
    <w:bookmarkEnd w:id="215"/>
    <w:p>
      <w:pPr>
        <w:ind w:right="20"/>
        <w:spacing w:after="0" w:line="515" w:lineRule="auto"/>
        <w:rPr>
          <w:sz w:val="20"/>
          <w:szCs w:val="20"/>
          <w:color w:val="auto"/>
        </w:rPr>
      </w:pPr>
      <w:r>
        <w:rPr>
          <w:rFonts w:ascii="Arial" w:cs="Arial" w:eastAsia="Arial" w:hAnsi="Arial"/>
          <w:sz w:val="12"/>
          <w:szCs w:val="12"/>
          <w:color w:val="auto"/>
        </w:rPr>
        <w:t>(bc) In addition to the interest earned based on the stated interest rate of this security, the Company is entitled to receive an additional cash interest amount of 2.20% and PIK interest amount of 0.74%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spacing w:after="0" w:line="515" w:lineRule="auto"/>
        <w:rPr>
          <w:sz w:val="20"/>
          <w:szCs w:val="20"/>
          <w:color w:val="auto"/>
        </w:rPr>
      </w:pPr>
      <w:r>
        <w:rPr>
          <w:rFonts w:ascii="Arial" w:cs="Arial" w:eastAsia="Arial" w:hAnsi="Arial"/>
          <w:sz w:val="12"/>
          <w:szCs w:val="12"/>
          <w:color w:val="auto"/>
        </w:rPr>
        <w:t>(bd) In addition to the interest earned based on the stated interest rate of this security, the Company is entitled to receive an additional interest amount of 3.06%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spacing w:after="0" w:line="480" w:lineRule="auto"/>
        <w:rPr>
          <w:sz w:val="20"/>
          <w:szCs w:val="20"/>
          <w:color w:val="auto"/>
        </w:rPr>
      </w:pPr>
      <w:r>
        <w:rPr>
          <w:rFonts w:ascii="Arial" w:cs="Arial" w:eastAsia="Arial" w:hAnsi="Arial"/>
          <w:sz w:val="12"/>
          <w:szCs w:val="12"/>
          <w:color w:val="auto"/>
        </w:rPr>
        <w:t>(be) In addition to the interest earned based on the stated interest rate of this security, the Company is entitled to receive an additional interest amount of 2.97%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ind w:right="-159"/>
        <w:spacing w:after="0" w:line="230" w:lineRule="auto"/>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244"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9240"/>
          </w:cols>
          <w:pgMar w:left="1260" w:top="1244" w:right="1406" w:bottom="0" w:gutter="0" w:footer="0" w:header="0"/>
          <w:type w:val="continuous"/>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(bf) In addition to the interest earned based on the stated interest rate of this security, the Company is entitled to receive an additional interest amount of 2.40%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(bg) As of December 31, 2025, the Company is earning an incremental 0.60% interest on the outstanding principal balance.</w:t>
      </w:r>
    </w:p>
    <w:p>
      <w:pPr>
        <w:spacing w:after="0" w:line="169" w:lineRule="exact"/>
        <w:rPr>
          <w:sz w:val="20"/>
          <w:szCs w:val="20"/>
          <w:color w:val="auto"/>
        </w:rPr>
      </w:pPr>
    </w:p>
    <w:p>
      <w:pPr>
        <w:jc w:val="both"/>
        <w:spacing w:after="0" w:line="515" w:lineRule="auto"/>
        <w:rPr>
          <w:sz w:val="20"/>
          <w:szCs w:val="20"/>
          <w:color w:val="auto"/>
        </w:rPr>
      </w:pPr>
      <w:r>
        <w:rPr>
          <w:rFonts w:ascii="Arial" w:cs="Arial" w:eastAsia="Arial" w:hAnsi="Arial"/>
          <w:sz w:val="12"/>
          <w:szCs w:val="12"/>
          <w:color w:val="auto"/>
        </w:rPr>
        <w:t>(bh) The fair value for this investment includes a multiple of invested capital fee equal to (i) the principal amount repaid multiplied by a return percentage that is subject to change based upon the loan repayment date minus (ii) the sum of (a) the principal amount repaid plus (b) all interest paid in cash on such principal amount plus (c) the aggregate amount of fees paid in cash on or prior to the date of such repayment.</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(bi) In addition to the interest earned based on the stated interest rate of this security, the Company is entitled to receive an additional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(bj) In addition to the interest earned based on the stated interest rate of this security, the Company is entitled to receive an additional interest amount of 3.20%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(bk)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(bl) In addition to the interest earned based on the stated interest rate of this security, the Company is entitled to receive an additional interest amount of 3.10%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(bm) In addition to the interest earned based on the stated interest rate of this security, the Company is entitled to receive an additional interest amount of 3.71%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(bn) In addition to the interest earned based on the stated interest rate of this security, the Company is entitled to receive an additional interest amount of 2.34%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9380"/>
          </w:cols>
          <w:pgMar w:left="1260" w:top="1440" w:right="1266" w:bottom="0" w:gutter="0" w:footer="0" w:header="0"/>
          <w:type w:val="continuous"/>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Schedule of Investments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2024</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 (a)(b)</w:t>
            </w:r>
          </w:p>
        </w:tc>
        <w:tc>
          <w:tcPr>
            <w:tcW w:w="1660" w:type="dxa"/>
            <w:vAlign w:val="bottom"/>
          </w:tcPr>
          <w:p>
            <w:pPr>
              <w:spacing w:after="0"/>
              <w:rPr>
                <w:sz w:val="10"/>
                <w:szCs w:val="10"/>
                <w:color w:val="auto"/>
              </w:rPr>
            </w:pPr>
          </w:p>
        </w:tc>
        <w:tc>
          <w:tcPr>
            <w:tcW w:w="1600" w:type="dxa"/>
            <w:vAlign w:val="bottom"/>
          </w:tcPr>
          <w:p>
            <w:pPr>
              <w:ind w:left="720"/>
              <w:spacing w:after="0"/>
              <w:rPr>
                <w:sz w:val="20"/>
                <w:szCs w:val="20"/>
                <w:color w:val="auto"/>
              </w:rPr>
            </w:pPr>
            <w:r>
              <w:rPr>
                <w:rFonts w:ascii="Arial" w:cs="Arial" w:eastAsia="Arial" w:hAnsi="Arial"/>
                <w:sz w:val="10"/>
                <w:szCs w:val="10"/>
                <w:b w:val="1"/>
                <w:bCs w:val="1"/>
                <w:color w:val="auto"/>
              </w:rPr>
              <w:t>Variable Index</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Rate (e)</w:t>
            </w:r>
          </w:p>
        </w:tc>
        <w:tc>
          <w:tcPr>
            <w:tcW w:w="740" w:type="dxa"/>
            <w:vAlign w:val="bottom"/>
          </w:tcPr>
          <w:p>
            <w:pPr>
              <w:ind w:left="180"/>
              <w:spacing w:after="0"/>
              <w:rPr>
                <w:sz w:val="20"/>
                <w:szCs w:val="20"/>
                <w:color w:val="auto"/>
              </w:rPr>
            </w:pPr>
            <w:r>
              <w:rPr>
                <w:rFonts w:ascii="Arial" w:cs="Arial" w:eastAsia="Arial" w:hAnsi="Arial"/>
                <w:sz w:val="10"/>
                <w:szCs w:val="10"/>
                <w:b w:val="1"/>
                <w:bCs w:val="1"/>
                <w:color w:val="auto"/>
              </w:rPr>
              <w:t>Investment</w:t>
            </w:r>
          </w:p>
        </w:tc>
        <w:tc>
          <w:tcPr>
            <w:tcW w:w="560" w:type="dxa"/>
            <w:vAlign w:val="bottom"/>
          </w:tcPr>
          <w:p>
            <w:pPr>
              <w:spacing w:after="0"/>
              <w:rPr>
                <w:sz w:val="10"/>
                <w:szCs w:val="10"/>
                <w:color w:val="auto"/>
              </w:rPr>
            </w:pPr>
          </w:p>
        </w:tc>
        <w:tc>
          <w:tcPr>
            <w:tcW w:w="680" w:type="dxa"/>
            <w:vAlign w:val="bottom"/>
          </w:tcPr>
          <w:p>
            <w:pPr>
              <w:jc w:val="center"/>
              <w:ind w:right="10"/>
              <w:spacing w:after="0"/>
              <w:rPr>
                <w:sz w:val="20"/>
                <w:szCs w:val="20"/>
                <w:color w:val="auto"/>
              </w:rPr>
            </w:pPr>
            <w:r>
              <w:rPr>
                <w:rFonts w:ascii="Arial" w:cs="Arial" w:eastAsia="Arial" w:hAnsi="Arial"/>
                <w:sz w:val="10"/>
                <w:szCs w:val="10"/>
                <w:b w:val="1"/>
                <w:bCs w:val="1"/>
                <w:color w:val="auto"/>
                <w:w w:val="89"/>
              </w:rPr>
              <w:t>Principal</w:t>
            </w:r>
          </w:p>
        </w:tc>
        <w:tc>
          <w:tcPr>
            <w:tcW w:w="500" w:type="dxa"/>
            <w:vAlign w:val="bottom"/>
          </w:tcPr>
          <w:p>
            <w:pPr>
              <w:spacing w:after="0"/>
              <w:rPr>
                <w:sz w:val="10"/>
                <w:szCs w:val="10"/>
                <w:color w:val="auto"/>
              </w:rPr>
            </w:pPr>
          </w:p>
        </w:tc>
        <w:tc>
          <w:tcPr>
            <w:tcW w:w="640" w:type="dxa"/>
            <w:vAlign w:val="bottom"/>
          </w:tcPr>
          <w:p>
            <w:pPr>
              <w:jc w:val="center"/>
              <w:ind w:left="50"/>
              <w:spacing w:after="0"/>
              <w:rPr>
                <w:sz w:val="20"/>
                <w:szCs w:val="20"/>
                <w:color w:val="auto"/>
              </w:rPr>
            </w:pPr>
            <w:r>
              <w:rPr>
                <w:rFonts w:ascii="Arial" w:cs="Arial" w:eastAsia="Arial" w:hAnsi="Arial"/>
                <w:sz w:val="10"/>
                <w:szCs w:val="10"/>
                <w:b w:val="1"/>
                <w:bCs w:val="1"/>
                <w:color w:val="auto"/>
                <w:w w:val="97"/>
              </w:rPr>
              <w:t>Fair</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Percent of</w:t>
            </w:r>
          </w:p>
        </w:tc>
      </w:tr>
      <w:tr>
        <w:trPr>
          <w:trHeight w:val="164"/>
        </w:trPr>
        <w:tc>
          <w:tcPr>
            <w:tcW w:w="1640" w:type="dxa"/>
            <w:vAlign w:val="bottom"/>
            <w:gridSpan w:val="2"/>
          </w:tcPr>
          <w:p>
            <w:pPr>
              <w:spacing w:after="0"/>
              <w:rPr>
                <w:sz w:val="20"/>
                <w:szCs w:val="20"/>
                <w:color w:val="auto"/>
              </w:rPr>
            </w:pPr>
            <w:r>
              <w:rPr>
                <w:rFonts w:ascii="Arial" w:cs="Arial" w:eastAsia="Arial" w:hAnsi="Arial"/>
                <w:sz w:val="10"/>
                <w:szCs w:val="10"/>
                <w:b w:val="1"/>
                <w:bCs w:val="1"/>
                <w:color w:val="auto"/>
              </w:rPr>
              <w:t>Investment Type (c)</w:t>
            </w:r>
          </w:p>
        </w:tc>
        <w:tc>
          <w:tcPr>
            <w:tcW w:w="1660" w:type="dxa"/>
            <w:vAlign w:val="bottom"/>
          </w:tcPr>
          <w:p>
            <w:pPr>
              <w:ind w:left="580"/>
              <w:spacing w:after="0"/>
              <w:rPr>
                <w:sz w:val="20"/>
                <w:szCs w:val="20"/>
                <w:color w:val="auto"/>
              </w:rPr>
            </w:pPr>
            <w:r>
              <w:rPr>
                <w:rFonts w:ascii="Arial" w:cs="Arial" w:eastAsia="Arial" w:hAnsi="Arial"/>
                <w:sz w:val="10"/>
                <w:szCs w:val="10"/>
                <w:b w:val="1"/>
                <w:bCs w:val="1"/>
                <w:color w:val="auto"/>
              </w:rPr>
              <w:t>Industry</w:t>
            </w:r>
          </w:p>
        </w:tc>
        <w:tc>
          <w:tcPr>
            <w:tcW w:w="1600" w:type="dxa"/>
            <w:vAlign w:val="bottom"/>
          </w:tcPr>
          <w:p>
            <w:pPr>
              <w:ind w:left="720"/>
              <w:spacing w:after="0"/>
              <w:rPr>
                <w:sz w:val="20"/>
                <w:szCs w:val="20"/>
                <w:color w:val="auto"/>
              </w:rPr>
            </w:pPr>
            <w:r>
              <w:rPr>
                <w:rFonts w:ascii="Arial" w:cs="Arial" w:eastAsia="Arial" w:hAnsi="Arial"/>
                <w:sz w:val="10"/>
                <w:szCs w:val="10"/>
                <w:b w:val="1"/>
                <w:bCs w:val="1"/>
                <w:color w:val="auto"/>
              </w:rPr>
              <w:t>Spread / Floor (d)</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Cash/PIK</w:t>
            </w:r>
          </w:p>
        </w:tc>
        <w:tc>
          <w:tcPr>
            <w:tcW w:w="740" w:type="dxa"/>
            <w:vAlign w:val="bottom"/>
          </w:tcPr>
          <w:p>
            <w:pPr>
              <w:ind w:left="180"/>
              <w:spacing w:after="0"/>
              <w:rPr>
                <w:sz w:val="20"/>
                <w:szCs w:val="20"/>
                <w:color w:val="auto"/>
              </w:rPr>
            </w:pPr>
            <w:r>
              <w:rPr>
                <w:rFonts w:ascii="Arial" w:cs="Arial" w:eastAsia="Arial" w:hAnsi="Arial"/>
                <w:sz w:val="10"/>
                <w:szCs w:val="10"/>
                <w:b w:val="1"/>
                <w:bCs w:val="1"/>
                <w:color w:val="auto"/>
              </w:rPr>
              <w:t>Date (f)</w:t>
            </w:r>
          </w:p>
        </w:tc>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Maturity</w:t>
            </w:r>
          </w:p>
        </w:tc>
        <w:tc>
          <w:tcPr>
            <w:tcW w:w="680" w:type="dxa"/>
            <w:vAlign w:val="bottom"/>
          </w:tcPr>
          <w:p>
            <w:pPr>
              <w:jc w:val="center"/>
              <w:ind w:right="10"/>
              <w:spacing w:after="0"/>
              <w:rPr>
                <w:sz w:val="20"/>
                <w:szCs w:val="20"/>
                <w:color w:val="auto"/>
              </w:rPr>
            </w:pPr>
            <w:r>
              <w:rPr>
                <w:rFonts w:ascii="Arial" w:cs="Arial" w:eastAsia="Arial" w:hAnsi="Arial"/>
                <w:sz w:val="10"/>
                <w:szCs w:val="10"/>
                <w:b w:val="1"/>
                <w:bCs w:val="1"/>
                <w:color w:val="auto"/>
                <w:w w:val="89"/>
              </w:rPr>
              <w:t>Amount</w:t>
            </w:r>
          </w:p>
        </w:tc>
        <w:tc>
          <w:tcPr>
            <w:tcW w:w="500" w:type="dxa"/>
            <w:vAlign w:val="bottom"/>
          </w:tcPr>
          <w:p>
            <w:pPr>
              <w:ind w:left="160"/>
              <w:spacing w:after="0"/>
              <w:rPr>
                <w:sz w:val="20"/>
                <w:szCs w:val="20"/>
                <w:color w:val="auto"/>
              </w:rPr>
            </w:pPr>
            <w:r>
              <w:rPr>
                <w:rFonts w:ascii="Arial" w:cs="Arial" w:eastAsia="Arial" w:hAnsi="Arial"/>
                <w:sz w:val="10"/>
                <w:szCs w:val="10"/>
                <w:b w:val="1"/>
                <w:bCs w:val="1"/>
                <w:color w:val="auto"/>
              </w:rPr>
              <w:t>Cost</w:t>
            </w:r>
          </w:p>
        </w:tc>
        <w:tc>
          <w:tcPr>
            <w:tcW w:w="640" w:type="dxa"/>
            <w:vAlign w:val="bottom"/>
          </w:tcPr>
          <w:p>
            <w:pPr>
              <w:jc w:val="center"/>
              <w:ind w:left="50"/>
              <w:spacing w:after="0"/>
              <w:rPr>
                <w:sz w:val="20"/>
                <w:szCs w:val="20"/>
                <w:color w:val="auto"/>
              </w:rPr>
            </w:pPr>
            <w:r>
              <w:rPr>
                <w:rFonts w:ascii="Arial" w:cs="Arial" w:eastAsia="Arial" w:hAnsi="Arial"/>
                <w:sz w:val="10"/>
                <w:szCs w:val="10"/>
                <w:b w:val="1"/>
                <w:bCs w:val="1"/>
                <w:color w:val="auto"/>
                <w:w w:val="89"/>
              </w:rPr>
              <w:t>Value (g)</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Net Assets</w:t>
            </w:r>
          </w:p>
        </w:tc>
      </w:tr>
      <w:tr>
        <w:trPr>
          <w:trHeight w:val="197"/>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44"/>
        </w:trPr>
        <w:tc>
          <w:tcPr>
            <w:tcW w:w="1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89"/>
              </w:rPr>
              <w:t>Control Investments (t)</w:t>
            </w:r>
          </w:p>
        </w:tc>
        <w:tc>
          <w:tcPr>
            <w:tcW w:w="6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0550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0550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8"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US GreenFiber, LLC (n)</w:t>
      </w:r>
      <w:r>
        <w:rPr>
          <w:sz w:val="20"/>
          <w:szCs w:val="20"/>
          <w:color w:val="auto"/>
        </w:rPr>
        <w:tab/>
      </w:r>
      <w:r>
        <w:rPr>
          <w:rFonts w:ascii="Arial" w:cs="Arial" w:eastAsia="Arial" w:hAnsi="Arial"/>
          <w:sz w:val="9"/>
          <w:szCs w:val="9"/>
          <w:color w:val="auto"/>
        </w:rPr>
        <w:t>Building Products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(j)(y)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(2,522 units) (h)(j)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(425,508 units) (j)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(1,022,813 units) (h)(j)</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Control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Affiliate Investments (l)</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Applegate Greenfiber Intermediate Inc. (fka US</w:t>
      </w:r>
    </w:p>
    <w:p>
      <w:pPr>
        <w:spacing w:after="0" w:line="3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GreenFiber, LLC)</w:t>
      </w:r>
      <w:r>
        <w:rPr>
          <w:sz w:val="20"/>
          <w:szCs w:val="20"/>
          <w:color w:val="auto"/>
        </w:rPr>
        <w:tab/>
      </w:r>
      <w:r>
        <w:rPr>
          <w:rFonts w:ascii="Arial" w:cs="Arial" w:eastAsia="Arial" w:hAnsi="Arial"/>
          <w:sz w:val="9"/>
          <w:szCs w:val="9"/>
          <w:color w:val="auto"/>
        </w:rPr>
        <w:t>Building Products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(5,690 units) (h)(j)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(7,113 units) (h)(j)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(2,012 units) (h)(j)</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60" w:type="dxa"/>
            <w:vAlign w:val="bottom"/>
          </w:tcPr>
          <w:p>
            <w:pPr>
              <w:jc w:val="right"/>
              <w:ind w:right="70"/>
              <w:spacing w:after="0"/>
              <w:rPr>
                <w:sz w:val="20"/>
                <w:szCs w:val="20"/>
                <w:color w:val="auto"/>
              </w:rPr>
            </w:pPr>
            <w:r>
              <w:rPr>
                <w:rFonts w:ascii="Arial" w:cs="Arial" w:eastAsia="Arial" w:hAnsi="Arial"/>
                <w:sz w:val="10"/>
                <w:szCs w:val="10"/>
                <w:color w:val="auto"/>
                <w:w w:val="87"/>
              </w:rPr>
              <w:t>0.00%/0.00%</w:t>
            </w:r>
          </w:p>
        </w:tc>
        <w:tc>
          <w:tcPr>
            <w:tcW w:w="640" w:type="dxa"/>
            <w:vAlign w:val="bottom"/>
          </w:tcPr>
          <w:p>
            <w:pPr>
              <w:ind w:left="120"/>
              <w:spacing w:after="0"/>
              <w:rPr>
                <w:sz w:val="20"/>
                <w:szCs w:val="20"/>
                <w:color w:val="auto"/>
              </w:rPr>
            </w:pPr>
            <w:r>
              <w:rPr>
                <w:rFonts w:ascii="Arial" w:cs="Arial" w:eastAsia="Arial" w:hAnsi="Arial"/>
                <w:sz w:val="10"/>
                <w:szCs w:val="10"/>
                <w:color w:val="auto"/>
              </w:rPr>
              <w:t>7/3/2014</w:t>
            </w:r>
          </w:p>
        </w:tc>
        <w:tc>
          <w:tcPr>
            <w:tcW w:w="620" w:type="dxa"/>
            <w:vAlign w:val="bottom"/>
          </w:tcPr>
          <w:p>
            <w:pPr>
              <w:jc w:val="right"/>
              <w:ind w:right="50"/>
              <w:spacing w:after="0"/>
              <w:rPr>
                <w:sz w:val="20"/>
                <w:szCs w:val="20"/>
                <w:color w:val="auto"/>
              </w:rPr>
            </w:pPr>
            <w:r>
              <w:rPr>
                <w:rFonts w:ascii="Arial" w:cs="Arial" w:eastAsia="Arial" w:hAnsi="Arial"/>
                <w:sz w:val="10"/>
                <w:szCs w:val="10"/>
                <w:color w:val="auto"/>
              </w:rPr>
              <w:t>8/30/2024</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5,226</w:t>
            </w:r>
          </w:p>
        </w:tc>
        <w:tc>
          <w:tcPr>
            <w:tcW w:w="220" w:type="dxa"/>
            <w:vAlign w:val="bottom"/>
            <w:vMerge w:val="restart"/>
          </w:tcPr>
          <w:p>
            <w:pPr>
              <w:jc w:val="right"/>
              <w:ind w:right="3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5,223</w:t>
            </w:r>
          </w:p>
        </w:tc>
        <w:tc>
          <w:tcPr>
            <w:tcW w:w="280" w:type="dxa"/>
            <w:vAlign w:val="bottom"/>
            <w:vMerge w:val="restart"/>
          </w:tcPr>
          <w:p>
            <w:pPr>
              <w:jc w:val="right"/>
              <w:ind w:right="90"/>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Arial" w:cs="Arial" w:eastAsia="Arial" w:hAnsi="Arial"/>
                <w:sz w:val="10"/>
                <w:szCs w:val="10"/>
                <w:color w:val="auto"/>
              </w:rPr>
              <w:t>7/3/2014</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585</w:t>
            </w:r>
          </w:p>
        </w:tc>
        <w:tc>
          <w:tcPr>
            <w:tcW w:w="280" w:type="dxa"/>
            <w:vAlign w:val="bottom"/>
          </w:tcPr>
          <w:p>
            <w:pPr>
              <w:spacing w:after="0"/>
              <w:rPr>
                <w:sz w:val="23"/>
                <w:szCs w:val="23"/>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66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Arial" w:cs="Arial" w:eastAsia="Arial" w:hAnsi="Arial"/>
                <w:sz w:val="10"/>
                <w:szCs w:val="10"/>
                <w:color w:val="auto"/>
              </w:rPr>
              <w:t>8/30/2019</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1</w:t>
            </w:r>
          </w:p>
        </w:tc>
        <w:tc>
          <w:tcPr>
            <w:tcW w:w="280" w:type="dxa"/>
            <w:vAlign w:val="bottom"/>
          </w:tcPr>
          <w:p>
            <w:pPr>
              <w:spacing w:after="0"/>
              <w:rPr>
                <w:sz w:val="23"/>
                <w:szCs w:val="23"/>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0"/>
                <w:szCs w:val="10"/>
                <w:color w:val="auto"/>
              </w:rPr>
              <w:t>7/1/2020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1,023</w:t>
            </w:r>
          </w:p>
        </w:tc>
        <w:tc>
          <w:tcPr>
            <w:tcW w:w="2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6,832</w:t>
            </w:r>
          </w:p>
        </w:tc>
        <w:tc>
          <w:tcPr>
            <w:tcW w:w="2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8"/>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6,832</w:t>
            </w:r>
          </w:p>
        </w:tc>
        <w:tc>
          <w:tcPr>
            <w:tcW w:w="280" w:type="dxa"/>
            <w:vAlign w:val="bottom"/>
            <w:vMerge w:val="restart"/>
          </w:tcPr>
          <w:p>
            <w:pPr>
              <w:jc w:val="right"/>
              <w:ind w:right="90"/>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ind w:left="140"/>
              <w:spacing w:after="0"/>
              <w:rPr>
                <w:sz w:val="20"/>
                <w:szCs w:val="20"/>
                <w:color w:val="auto"/>
              </w:rPr>
            </w:pPr>
            <w:r>
              <w:rPr>
                <w:rFonts w:ascii="Arial" w:cs="Arial" w:eastAsia="Arial" w:hAnsi="Arial"/>
                <w:sz w:val="10"/>
                <w:szCs w:val="10"/>
                <w:color w:val="auto"/>
                <w:w w:val="79"/>
              </w:rPr>
              <w:t>—</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-1301115</wp:posOffset>
            </wp:positionV>
            <wp:extent cx="5967730" cy="1993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-901700</wp:posOffset>
            </wp:positionV>
            <wp:extent cx="5967730" cy="1993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-502285</wp:posOffset>
            </wp:positionV>
            <wp:extent cx="5967730" cy="1153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7730" cy="115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jc w:val="right"/>
              <w:ind w:right="30"/>
              <w:spacing w:after="0"/>
              <w:rPr>
                <w:sz w:val="20"/>
                <w:szCs w:val="20"/>
                <w:color w:val="auto"/>
              </w:rPr>
            </w:pPr>
            <w:r>
              <w:rPr>
                <w:rFonts w:ascii="Arial" w:cs="Arial" w:eastAsia="Arial" w:hAnsi="Arial"/>
                <w:sz w:val="10"/>
                <w:szCs w:val="10"/>
                <w:color w:val="auto"/>
                <w:w w:val="89"/>
              </w:rPr>
              <w:t>11.00%/0.00%</w:t>
            </w: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jc w:val="right"/>
              <w:ind w:right="30"/>
              <w:spacing w:after="0"/>
              <w:rPr>
                <w:sz w:val="20"/>
                <w:szCs w:val="20"/>
                <w:color w:val="auto"/>
              </w:rPr>
            </w:pPr>
            <w:r>
              <w:rPr>
                <w:rFonts w:ascii="Arial" w:cs="Arial" w:eastAsia="Arial" w:hAnsi="Arial"/>
                <w:sz w:val="10"/>
                <w:szCs w:val="10"/>
                <w:color w:val="auto"/>
              </w:rPr>
              <w:t>12/31/2027</w:t>
            </w:r>
          </w:p>
        </w:tc>
        <w:tc>
          <w:tcPr>
            <w:tcW w:w="1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9,602</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9,602</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9,602</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5,690</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6,571</w:t>
            </w: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7,113</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8,214</w:t>
            </w: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0"/>
                <w:szCs w:val="10"/>
                <w:color w:val="auto"/>
              </w:rPr>
              <w:t>12/31/2021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22,405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24,387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-558800</wp:posOffset>
            </wp:positionV>
            <wp:extent cx="5967730" cy="1993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-165735</wp:posOffset>
            </wp:positionV>
            <wp:extent cx="5967730" cy="2057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hanging="70"/>
        <w:spacing w:after="0"/>
        <w:tabs>
          <w:tab w:leader="none" w:pos="80" w:val="left"/>
        </w:tabs>
        <w:numPr>
          <w:ilvl w:val="0"/>
          <w:numId w:val="10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84" w:lineRule="exact"/>
        <w:rPr>
          <w:rFonts w:ascii="Arial" w:cs="Arial" w:eastAsia="Arial" w:hAnsi="Arial"/>
          <w:sz w:val="7"/>
          <w:szCs w:val="7"/>
          <w:color w:val="auto"/>
        </w:rPr>
      </w:pPr>
    </w:p>
    <w:p>
      <w:pPr>
        <w:ind w:left="80" w:hanging="70"/>
        <w:spacing w:after="0"/>
        <w:tabs>
          <w:tab w:leader="none" w:pos="80" w:val="left"/>
        </w:tabs>
        <w:numPr>
          <w:ilvl w:val="0"/>
          <w:numId w:val="10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4 </w:t>
      </w:r>
      <w:r>
        <w:rPr>
          <w:rFonts w:ascii="Arial" w:cs="Arial" w:eastAsia="Arial" w:hAnsi="Arial"/>
          <w:sz w:val="15"/>
          <w:szCs w:val="15"/>
          <w:color w:val="auto"/>
          <w:vertAlign w:val="subscript"/>
        </w:rPr>
        <w:t>%</w:t>
      </w:r>
    </w:p>
    <w:p>
      <w:pPr>
        <w:spacing w:after="0" w:line="119" w:lineRule="exact"/>
        <w:rPr>
          <w:sz w:val="20"/>
          <w:szCs w:val="20"/>
          <w:color w:val="auto"/>
        </w:rPr>
      </w:pPr>
    </w:p>
    <w:p>
      <w:pPr>
        <w:sectPr>
          <w:pgSz w:w="11900" w:h="16838" w:orient="portrait"/>
          <w:cols w:equalWidth="0" w:num="3">
            <w:col w:w="4280" w:space="720"/>
            <w:col w:w="3660" w:space="560"/>
            <w:col w:w="180"/>
          </w:cols>
          <w:pgMar w:left="1260" w:top="1440" w:right="1246" w:bottom="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100" w:type="dxa"/>
            <w:vAlign w:val="bottom"/>
          </w:tcPr>
          <w:p>
            <w:pPr>
              <w:spacing w:after="0"/>
              <w:rPr>
                <w:sz w:val="20"/>
                <w:szCs w:val="20"/>
                <w:color w:val="auto"/>
              </w:rPr>
            </w:pPr>
            <w:r>
              <w:rPr>
                <w:rFonts w:ascii="Arial" w:cs="Arial" w:eastAsia="Arial" w:hAnsi="Arial"/>
                <w:sz w:val="10"/>
                <w:szCs w:val="10"/>
                <w:i w:val="1"/>
                <w:iCs w:val="1"/>
                <w:color w:val="auto"/>
              </w:rPr>
              <w:t>CP Communications, LLC</w:t>
            </w:r>
          </w:p>
        </w:tc>
        <w:tc>
          <w:tcPr>
            <w:tcW w:w="2860" w:type="dxa"/>
            <w:vAlign w:val="bottom"/>
          </w:tcPr>
          <w:p>
            <w:pPr>
              <w:ind w:left="120"/>
              <w:spacing w:after="0"/>
              <w:rPr>
                <w:sz w:val="20"/>
                <w:szCs w:val="20"/>
                <w:color w:val="auto"/>
              </w:rPr>
            </w:pPr>
            <w:r>
              <w:rPr>
                <w:rFonts w:ascii="Arial" w:cs="Arial" w:eastAsia="Arial" w:hAnsi="Arial"/>
                <w:sz w:val="10"/>
                <w:szCs w:val="10"/>
                <w:color w:val="auto"/>
              </w:rPr>
              <w:t>Business Services</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100" w:type="dxa"/>
            <w:vAlign w:val="bottom"/>
            <w:vMerge w:val="restart"/>
          </w:tcPr>
          <w:p>
            <w:pPr>
              <w:ind w:left="20"/>
              <w:spacing w:after="0"/>
              <w:rPr>
                <w:sz w:val="20"/>
                <w:szCs w:val="20"/>
                <w:color w:val="auto"/>
              </w:rPr>
            </w:pPr>
            <w:r>
              <w:rPr>
                <w:rFonts w:ascii="Arial" w:cs="Arial" w:eastAsia="Arial" w:hAnsi="Arial"/>
                <w:sz w:val="10"/>
                <w:szCs w:val="10"/>
                <w:color w:val="auto"/>
              </w:rPr>
              <w:t>First Lien Debt (am)</w:t>
            </w:r>
          </w:p>
        </w:tc>
        <w:tc>
          <w:tcPr>
            <w:tcW w:w="2860" w:type="dxa"/>
            <w:vAlign w:val="bottom"/>
          </w:tcPr>
          <w:p>
            <w:pPr>
              <w:ind w:left="1920"/>
              <w:spacing w:after="0"/>
              <w:rPr>
                <w:sz w:val="20"/>
                <w:szCs w:val="20"/>
                <w:color w:val="auto"/>
              </w:rPr>
            </w:pPr>
            <w:r>
              <w:rPr>
                <w:rFonts w:ascii="Arial" w:cs="Arial" w:eastAsia="Arial" w:hAnsi="Arial"/>
                <w:sz w:val="10"/>
                <w:szCs w:val="10"/>
                <w:color w:val="auto"/>
                <w:w w:val="95"/>
              </w:rPr>
              <w:t>(S + 8.50%) / (4.00%)</w:t>
            </w:r>
          </w:p>
        </w:tc>
        <w:tc>
          <w:tcPr>
            <w:tcW w:w="720" w:type="dxa"/>
            <w:vAlign w:val="bottom"/>
          </w:tcPr>
          <w:p>
            <w:pPr>
              <w:ind w:left="40"/>
              <w:spacing w:after="0"/>
              <w:rPr>
                <w:sz w:val="20"/>
                <w:szCs w:val="20"/>
                <w:color w:val="auto"/>
              </w:rPr>
            </w:pPr>
            <w:r>
              <w:rPr>
                <w:rFonts w:ascii="Arial" w:cs="Arial" w:eastAsia="Arial" w:hAnsi="Arial"/>
                <w:sz w:val="10"/>
                <w:szCs w:val="10"/>
                <w:color w:val="auto"/>
              </w:rPr>
              <w:t>12.96%/0.00%</w:t>
            </w:r>
          </w:p>
        </w:tc>
        <w:tc>
          <w:tcPr>
            <w:tcW w:w="640" w:type="dxa"/>
            <w:vAlign w:val="bottom"/>
          </w:tcPr>
          <w:p>
            <w:pPr>
              <w:ind w:left="100"/>
              <w:spacing w:after="0"/>
              <w:rPr>
                <w:sz w:val="20"/>
                <w:szCs w:val="20"/>
                <w:color w:val="auto"/>
              </w:rPr>
            </w:pPr>
            <w:r>
              <w:rPr>
                <w:rFonts w:ascii="Arial" w:cs="Arial" w:eastAsia="Arial" w:hAnsi="Arial"/>
                <w:sz w:val="10"/>
                <w:szCs w:val="10"/>
                <w:color w:val="auto"/>
              </w:rPr>
              <w:t>12/4/2024</w:t>
            </w:r>
          </w:p>
        </w:tc>
        <w:tc>
          <w:tcPr>
            <w:tcW w:w="660" w:type="dxa"/>
            <w:vAlign w:val="bottom"/>
          </w:tcPr>
          <w:p>
            <w:pPr>
              <w:ind w:left="100"/>
              <w:spacing w:after="0"/>
              <w:rPr>
                <w:sz w:val="20"/>
                <w:szCs w:val="20"/>
                <w:color w:val="auto"/>
              </w:rPr>
            </w:pPr>
            <w:r>
              <w:rPr>
                <w:rFonts w:ascii="Arial" w:cs="Arial" w:eastAsia="Arial" w:hAnsi="Arial"/>
                <w:sz w:val="10"/>
                <w:szCs w:val="10"/>
                <w:color w:val="auto"/>
              </w:rPr>
              <w:t>12/4/2029</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6,350</w:t>
            </w: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6,304</w:t>
            </w:r>
          </w:p>
        </w:tc>
        <w:tc>
          <w:tcPr>
            <w:tcW w:w="460" w:type="dxa"/>
            <w:vAlign w:val="bottom"/>
          </w:tcPr>
          <w:p>
            <w:pPr>
              <w:jc w:val="right"/>
              <w:spacing w:after="0"/>
              <w:rPr>
                <w:sz w:val="20"/>
                <w:szCs w:val="20"/>
                <w:color w:val="auto"/>
              </w:rPr>
            </w:pPr>
            <w:r>
              <w:rPr>
                <w:rFonts w:ascii="Arial" w:cs="Arial" w:eastAsia="Arial" w:hAnsi="Arial"/>
                <w:sz w:val="10"/>
                <w:szCs w:val="10"/>
                <w:color w:val="auto"/>
              </w:rPr>
              <w:t>6,304</w:t>
            </w:r>
          </w:p>
        </w:tc>
        <w:tc>
          <w:tcPr>
            <w:tcW w:w="0" w:type="dxa"/>
            <w:vAlign w:val="bottom"/>
          </w:tcPr>
          <w:p>
            <w:pPr>
              <w:spacing w:after="0"/>
              <w:rPr>
                <w:sz w:val="1"/>
                <w:szCs w:val="1"/>
                <w:color w:val="auto"/>
              </w:rPr>
            </w:pPr>
          </w:p>
        </w:tc>
      </w:tr>
      <w:tr>
        <w:trPr>
          <w:trHeight w:val="41"/>
        </w:trPr>
        <w:tc>
          <w:tcPr>
            <w:tcW w:w="210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00" w:type="dxa"/>
            <w:vAlign w:val="bottom"/>
            <w:vMerge w:val="restart"/>
          </w:tcPr>
          <w:p>
            <w:pPr>
              <w:ind w:left="20"/>
              <w:spacing w:after="0"/>
              <w:rPr>
                <w:sz w:val="20"/>
                <w:szCs w:val="20"/>
                <w:color w:val="auto"/>
              </w:rPr>
            </w:pPr>
            <w:r>
              <w:rPr>
                <w:rFonts w:ascii="Arial" w:cs="Arial" w:eastAsia="Arial" w:hAnsi="Arial"/>
                <w:sz w:val="10"/>
                <w:szCs w:val="10"/>
                <w:color w:val="auto"/>
              </w:rPr>
              <w:t>Holdco Note (j)</w:t>
            </w:r>
          </w:p>
        </w:tc>
        <w:tc>
          <w:tcPr>
            <w:tcW w:w="286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8.00%/8.00%</w:t>
            </w:r>
          </w:p>
        </w:tc>
        <w:tc>
          <w:tcPr>
            <w:tcW w:w="640" w:type="dxa"/>
            <w:vAlign w:val="bottom"/>
          </w:tcPr>
          <w:p>
            <w:pPr>
              <w:ind w:left="100"/>
              <w:spacing w:after="0"/>
              <w:rPr>
                <w:sz w:val="20"/>
                <w:szCs w:val="20"/>
                <w:color w:val="auto"/>
              </w:rPr>
            </w:pPr>
            <w:r>
              <w:rPr>
                <w:rFonts w:ascii="Arial" w:cs="Arial" w:eastAsia="Arial" w:hAnsi="Arial"/>
                <w:sz w:val="10"/>
                <w:szCs w:val="10"/>
                <w:color w:val="auto"/>
              </w:rPr>
              <w:t>12/4/2024</w:t>
            </w:r>
          </w:p>
        </w:tc>
        <w:tc>
          <w:tcPr>
            <w:tcW w:w="660" w:type="dxa"/>
            <w:vAlign w:val="bottom"/>
          </w:tcPr>
          <w:p>
            <w:pPr>
              <w:ind w:left="100"/>
              <w:spacing w:after="0"/>
              <w:rPr>
                <w:sz w:val="20"/>
                <w:szCs w:val="20"/>
                <w:color w:val="auto"/>
              </w:rPr>
            </w:pPr>
            <w:r>
              <w:rPr>
                <w:rFonts w:ascii="Arial" w:cs="Arial" w:eastAsia="Arial" w:hAnsi="Arial"/>
                <w:sz w:val="10"/>
                <w:szCs w:val="10"/>
                <w:color w:val="auto"/>
              </w:rPr>
              <w:t>6/4/2030</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1,509</w:t>
            </w: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1,502</w:t>
            </w:r>
          </w:p>
        </w:tc>
        <w:tc>
          <w:tcPr>
            <w:tcW w:w="460" w:type="dxa"/>
            <w:vAlign w:val="bottom"/>
          </w:tcPr>
          <w:p>
            <w:pPr>
              <w:jc w:val="right"/>
              <w:spacing w:after="0"/>
              <w:rPr>
                <w:sz w:val="20"/>
                <w:szCs w:val="20"/>
                <w:color w:val="auto"/>
              </w:rPr>
            </w:pPr>
            <w:r>
              <w:rPr>
                <w:rFonts w:ascii="Arial" w:cs="Arial" w:eastAsia="Arial" w:hAnsi="Arial"/>
                <w:sz w:val="10"/>
                <w:szCs w:val="10"/>
                <w:color w:val="auto"/>
              </w:rPr>
              <w:t>1,502</w:t>
            </w:r>
          </w:p>
        </w:tc>
        <w:tc>
          <w:tcPr>
            <w:tcW w:w="0" w:type="dxa"/>
            <w:vAlign w:val="bottom"/>
          </w:tcPr>
          <w:p>
            <w:pPr>
              <w:spacing w:after="0"/>
              <w:rPr>
                <w:sz w:val="1"/>
                <w:szCs w:val="1"/>
                <w:color w:val="auto"/>
              </w:rPr>
            </w:pPr>
          </w:p>
        </w:tc>
      </w:tr>
      <w:tr>
        <w:trPr>
          <w:trHeight w:val="41"/>
        </w:trPr>
        <w:tc>
          <w:tcPr>
            <w:tcW w:w="210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00" w:type="dxa"/>
            <w:vAlign w:val="bottom"/>
          </w:tcPr>
          <w:p>
            <w:pPr>
              <w:ind w:left="20"/>
              <w:spacing w:after="0"/>
              <w:rPr>
                <w:sz w:val="20"/>
                <w:szCs w:val="20"/>
                <w:color w:val="auto"/>
              </w:rPr>
            </w:pPr>
            <w:r>
              <w:rPr>
                <w:rFonts w:ascii="Arial" w:cs="Arial" w:eastAsia="Arial" w:hAnsi="Arial"/>
                <w:sz w:val="10"/>
                <w:szCs w:val="10"/>
                <w:color w:val="auto"/>
              </w:rPr>
              <w:t>Preferred Equity (62 units)</w:t>
            </w: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12/4/2024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500</w:t>
            </w:r>
          </w:p>
        </w:tc>
        <w:tc>
          <w:tcPr>
            <w:tcW w:w="460" w:type="dxa"/>
            <w:vAlign w:val="bottom"/>
          </w:tcPr>
          <w:p>
            <w:pPr>
              <w:jc w:val="right"/>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8,306</w:t>
            </w:r>
          </w:p>
        </w:tc>
        <w:tc>
          <w:tcPr>
            <w:tcW w:w="460" w:type="dxa"/>
            <w:vAlign w:val="bottom"/>
          </w:tcPr>
          <w:p>
            <w:pPr>
              <w:jc w:val="right"/>
              <w:spacing w:after="0"/>
              <w:rPr>
                <w:sz w:val="20"/>
                <w:szCs w:val="20"/>
                <w:color w:val="auto"/>
              </w:rPr>
            </w:pPr>
            <w:r>
              <w:rPr>
                <w:rFonts w:ascii="Arial" w:cs="Arial" w:eastAsia="Arial" w:hAnsi="Arial"/>
                <w:sz w:val="10"/>
                <w:szCs w:val="10"/>
                <w:color w:val="auto"/>
              </w:rPr>
              <w:t>8,306</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0"/>
                <w:szCs w:val="10"/>
                <w:i w:val="1"/>
                <w:iCs w:val="1"/>
                <w:color w:val="auto"/>
              </w:rPr>
              <w:t>Medsurant Holdings, LLC</w:t>
            </w:r>
          </w:p>
        </w:tc>
        <w:tc>
          <w:tcPr>
            <w:tcW w:w="2860" w:type="dxa"/>
            <w:vAlign w:val="bottom"/>
          </w:tcPr>
          <w:p>
            <w:pPr>
              <w:ind w:left="12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Preferred Equity (84,997 units) (h)(j)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4/12/2011</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314</w:t>
            </w:r>
          </w:p>
        </w:tc>
        <w:tc>
          <w:tcPr>
            <w:tcW w:w="460" w:type="dxa"/>
            <w:vAlign w:val="bottom"/>
          </w:tcPr>
          <w:p>
            <w:pPr>
              <w:jc w:val="right"/>
              <w:spacing w:after="0"/>
              <w:rPr>
                <w:sz w:val="20"/>
                <w:szCs w:val="20"/>
                <w:color w:val="auto"/>
              </w:rPr>
            </w:pPr>
            <w:r>
              <w:rPr>
                <w:rFonts w:ascii="Arial" w:cs="Arial" w:eastAsia="Arial" w:hAnsi="Arial"/>
                <w:sz w:val="10"/>
                <w:szCs w:val="10"/>
                <w:color w:val="auto"/>
              </w:rPr>
              <w:t>2,231</w:t>
            </w:r>
          </w:p>
        </w:tc>
        <w:tc>
          <w:tcPr>
            <w:tcW w:w="0" w:type="dxa"/>
            <w:vAlign w:val="bottom"/>
          </w:tcPr>
          <w:p>
            <w:pPr>
              <w:spacing w:after="0"/>
              <w:rPr>
                <w:sz w:val="1"/>
                <w:szCs w:val="1"/>
                <w:color w:val="auto"/>
              </w:rPr>
            </w:pPr>
          </w:p>
        </w:tc>
      </w:tr>
      <w:tr>
        <w:trPr>
          <w:trHeight w:val="324"/>
        </w:trPr>
        <w:tc>
          <w:tcPr>
            <w:tcW w:w="2100" w:type="dxa"/>
            <w:vAlign w:val="bottom"/>
          </w:tcPr>
          <w:p>
            <w:pPr>
              <w:ind w:left="20"/>
              <w:spacing w:after="0"/>
              <w:rPr>
                <w:sz w:val="20"/>
                <w:szCs w:val="20"/>
                <w:color w:val="auto"/>
              </w:rPr>
            </w:pPr>
            <w:r>
              <w:rPr>
                <w:rFonts w:ascii="Arial" w:cs="Arial" w:eastAsia="Arial" w:hAnsi="Arial"/>
                <w:sz w:val="10"/>
                <w:szCs w:val="10"/>
                <w:color w:val="auto"/>
              </w:rPr>
              <w:t>Warrant (252,588 units) (h)(j)(m)</w:t>
            </w: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4/12/2011</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2,257</w:t>
            </w:r>
          </w:p>
        </w:tc>
        <w:tc>
          <w:tcPr>
            <w:tcW w:w="460" w:type="dxa"/>
            <w:vAlign w:val="bottom"/>
          </w:tcPr>
          <w:p>
            <w:pPr>
              <w:jc w:val="right"/>
              <w:spacing w:after="0"/>
              <w:rPr>
                <w:sz w:val="20"/>
                <w:szCs w:val="20"/>
                <w:color w:val="auto"/>
              </w:rPr>
            </w:pPr>
            <w:r>
              <w:rPr>
                <w:rFonts w:ascii="Arial" w:cs="Arial" w:eastAsia="Arial" w:hAnsi="Arial"/>
                <w:sz w:val="10"/>
                <w:szCs w:val="10"/>
                <w:color w:val="auto"/>
              </w:rPr>
              <w:t>7,632</w:t>
            </w: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2,571</w:t>
            </w:r>
          </w:p>
        </w:tc>
        <w:tc>
          <w:tcPr>
            <w:tcW w:w="460" w:type="dxa"/>
            <w:vAlign w:val="bottom"/>
          </w:tcPr>
          <w:p>
            <w:pPr>
              <w:jc w:val="right"/>
              <w:spacing w:after="0"/>
              <w:rPr>
                <w:sz w:val="20"/>
                <w:szCs w:val="20"/>
                <w:color w:val="auto"/>
              </w:rPr>
            </w:pPr>
            <w:r>
              <w:rPr>
                <w:rFonts w:ascii="Arial" w:cs="Arial" w:eastAsia="Arial" w:hAnsi="Arial"/>
                <w:sz w:val="10"/>
                <w:szCs w:val="10"/>
                <w:color w:val="auto"/>
              </w:rPr>
              <w:t>9,863</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0"/>
                <w:szCs w:val="10"/>
                <w:i w:val="1"/>
                <w:iCs w:val="1"/>
                <w:color w:val="auto"/>
              </w:rPr>
              <w:t>Pfanstiehl, Inc.</w:t>
            </w:r>
          </w:p>
        </w:tc>
        <w:tc>
          <w:tcPr>
            <w:tcW w:w="2860" w:type="dxa"/>
            <w:vAlign w:val="bottom"/>
          </w:tcPr>
          <w:p>
            <w:pPr>
              <w:ind w:left="120"/>
              <w:spacing w:after="0"/>
              <w:rPr>
                <w:sz w:val="20"/>
                <w:szCs w:val="20"/>
                <w:color w:val="auto"/>
              </w:rPr>
            </w:pPr>
            <w:r>
              <w:rPr>
                <w:rFonts w:ascii="Arial" w:cs="Arial" w:eastAsia="Arial" w:hAnsi="Arial"/>
                <w:sz w:val="10"/>
                <w:szCs w:val="10"/>
                <w:color w:val="auto"/>
              </w:rPr>
              <w:t>Healthcare Products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(2,550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3/29/2013</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255</w:t>
            </w:r>
          </w:p>
        </w:tc>
        <w:tc>
          <w:tcPr>
            <w:tcW w:w="460" w:type="dxa"/>
            <w:vAlign w:val="bottom"/>
          </w:tcPr>
          <w:p>
            <w:pPr>
              <w:jc w:val="right"/>
              <w:spacing w:after="0"/>
              <w:rPr>
                <w:sz w:val="20"/>
                <w:szCs w:val="20"/>
                <w:color w:val="auto"/>
              </w:rPr>
            </w:pPr>
            <w:r>
              <w:rPr>
                <w:rFonts w:ascii="Arial" w:cs="Arial" w:eastAsia="Arial" w:hAnsi="Arial"/>
                <w:sz w:val="10"/>
                <w:szCs w:val="10"/>
                <w:color w:val="auto"/>
              </w:rPr>
              <w:t>39,923</w:t>
            </w:r>
          </w:p>
        </w:tc>
        <w:tc>
          <w:tcPr>
            <w:tcW w:w="0" w:type="dxa"/>
            <w:vAlign w:val="bottom"/>
          </w:tcPr>
          <w:p>
            <w:pPr>
              <w:spacing w:after="0"/>
              <w:rPr>
                <w:sz w:val="1"/>
                <w:szCs w:val="1"/>
                <w:color w:val="auto"/>
              </w:rPr>
            </w:pPr>
          </w:p>
        </w:tc>
      </w:tr>
      <w:tr>
        <w:trPr>
          <w:trHeight w:val="370"/>
        </w:trPr>
        <w:tc>
          <w:tcPr>
            <w:tcW w:w="2100" w:type="dxa"/>
            <w:vAlign w:val="bottom"/>
          </w:tcPr>
          <w:p>
            <w:pPr>
              <w:spacing w:after="0"/>
              <w:rPr>
                <w:sz w:val="20"/>
                <w:szCs w:val="20"/>
                <w:color w:val="auto"/>
              </w:rPr>
            </w:pPr>
            <w:r>
              <w:rPr>
                <w:rFonts w:ascii="Arial" w:cs="Arial" w:eastAsia="Arial" w:hAnsi="Arial"/>
                <w:sz w:val="10"/>
                <w:szCs w:val="10"/>
                <w:i w:val="1"/>
                <w:iCs w:val="1"/>
                <w:color w:val="auto"/>
                <w:w w:val="97"/>
              </w:rPr>
              <w:t>Spectra A&amp;D Acquisition, Inc. (fka FDS Avionics</w:t>
            </w: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100" w:type="dxa"/>
            <w:vAlign w:val="bottom"/>
          </w:tcPr>
          <w:p>
            <w:pPr>
              <w:spacing w:after="0"/>
              <w:rPr>
                <w:sz w:val="20"/>
                <w:szCs w:val="20"/>
                <w:color w:val="auto"/>
              </w:rPr>
            </w:pPr>
            <w:r>
              <w:rPr>
                <w:rFonts w:ascii="Arial" w:cs="Arial" w:eastAsia="Arial" w:hAnsi="Arial"/>
                <w:sz w:val="10"/>
                <w:szCs w:val="10"/>
                <w:i w:val="1"/>
                <w:iCs w:val="1"/>
                <w:color w:val="auto"/>
              </w:rPr>
              <w:t>Corp.)</w:t>
            </w:r>
          </w:p>
        </w:tc>
        <w:tc>
          <w:tcPr>
            <w:tcW w:w="2860" w:type="dxa"/>
            <w:vAlign w:val="bottom"/>
          </w:tcPr>
          <w:p>
            <w:pPr>
              <w:ind w:left="120"/>
              <w:spacing w:after="0"/>
              <w:rPr>
                <w:sz w:val="20"/>
                <w:szCs w:val="20"/>
                <w:color w:val="auto"/>
              </w:rPr>
            </w:pPr>
            <w:r>
              <w:rPr>
                <w:rFonts w:ascii="Arial" w:cs="Arial" w:eastAsia="Arial" w:hAnsi="Arial"/>
                <w:sz w:val="10"/>
                <w:szCs w:val="10"/>
                <w:color w:val="auto"/>
              </w:rPr>
              <w:t>Aerospace &amp; Defense Manufacturing</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100" w:type="dxa"/>
            <w:vAlign w:val="bottom"/>
            <w:vMerge w:val="restart"/>
          </w:tcPr>
          <w:p>
            <w:pPr>
              <w:ind w:left="20"/>
              <w:spacing w:after="0"/>
              <w:rPr>
                <w:sz w:val="20"/>
                <w:szCs w:val="20"/>
                <w:color w:val="auto"/>
              </w:rPr>
            </w:pPr>
            <w:r>
              <w:rPr>
                <w:rFonts w:ascii="Arial" w:cs="Arial" w:eastAsia="Arial" w:hAnsi="Arial"/>
                <w:sz w:val="10"/>
                <w:szCs w:val="10"/>
                <w:color w:val="auto"/>
              </w:rPr>
              <w:t>First Lien Debt (j)(ag)</w:t>
            </w:r>
          </w:p>
        </w:tc>
        <w:tc>
          <w:tcPr>
            <w:tcW w:w="2860" w:type="dxa"/>
            <w:vAlign w:val="bottom"/>
          </w:tcPr>
          <w:p>
            <w:pPr>
              <w:ind w:left="1920"/>
              <w:spacing w:after="0"/>
              <w:rPr>
                <w:sz w:val="20"/>
                <w:szCs w:val="20"/>
                <w:color w:val="auto"/>
              </w:rPr>
            </w:pPr>
            <w:r>
              <w:rPr>
                <w:rFonts w:ascii="Arial" w:cs="Arial" w:eastAsia="Arial" w:hAnsi="Arial"/>
                <w:sz w:val="10"/>
                <w:szCs w:val="10"/>
                <w:color w:val="auto"/>
                <w:w w:val="95"/>
              </w:rPr>
              <w:t>(S + 6.00%) / (1.00%)</w:t>
            </w:r>
          </w:p>
        </w:tc>
        <w:tc>
          <w:tcPr>
            <w:tcW w:w="720" w:type="dxa"/>
            <w:vAlign w:val="bottom"/>
          </w:tcPr>
          <w:p>
            <w:pPr>
              <w:ind w:left="40"/>
              <w:spacing w:after="0"/>
              <w:rPr>
                <w:sz w:val="20"/>
                <w:szCs w:val="20"/>
                <w:color w:val="auto"/>
              </w:rPr>
            </w:pPr>
            <w:r>
              <w:rPr>
                <w:rFonts w:ascii="Arial" w:cs="Arial" w:eastAsia="Arial" w:hAnsi="Arial"/>
                <w:sz w:val="10"/>
                <w:szCs w:val="10"/>
                <w:color w:val="auto"/>
              </w:rPr>
              <w:t>10.57%/0.00%</w:t>
            </w:r>
          </w:p>
        </w:tc>
        <w:tc>
          <w:tcPr>
            <w:tcW w:w="640" w:type="dxa"/>
            <w:vAlign w:val="bottom"/>
          </w:tcPr>
          <w:p>
            <w:pPr>
              <w:ind w:left="100"/>
              <w:spacing w:after="0"/>
              <w:rPr>
                <w:sz w:val="20"/>
                <w:szCs w:val="20"/>
                <w:color w:val="auto"/>
              </w:rPr>
            </w:pPr>
            <w:r>
              <w:rPr>
                <w:rFonts w:ascii="Arial" w:cs="Arial" w:eastAsia="Arial" w:hAnsi="Arial"/>
                <w:sz w:val="10"/>
                <w:szCs w:val="10"/>
                <w:color w:val="auto"/>
              </w:rPr>
              <w:t>2/12/2021</w:t>
            </w:r>
          </w:p>
        </w:tc>
        <w:tc>
          <w:tcPr>
            <w:tcW w:w="660" w:type="dxa"/>
            <w:vAlign w:val="bottom"/>
          </w:tcPr>
          <w:p>
            <w:pPr>
              <w:ind w:left="100"/>
              <w:spacing w:after="0"/>
              <w:rPr>
                <w:sz w:val="20"/>
                <w:szCs w:val="20"/>
                <w:color w:val="auto"/>
              </w:rPr>
            </w:pPr>
            <w:r>
              <w:rPr>
                <w:rFonts w:ascii="Arial" w:cs="Arial" w:eastAsia="Arial" w:hAnsi="Arial"/>
                <w:sz w:val="10"/>
                <w:szCs w:val="10"/>
                <w:color w:val="auto"/>
              </w:rPr>
              <w:t>2/11/2026</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15,000</w:t>
            </w: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14,976</w:t>
            </w:r>
          </w:p>
        </w:tc>
        <w:tc>
          <w:tcPr>
            <w:tcW w:w="460" w:type="dxa"/>
            <w:vAlign w:val="bottom"/>
          </w:tcPr>
          <w:p>
            <w:pPr>
              <w:jc w:val="right"/>
              <w:spacing w:after="0"/>
              <w:rPr>
                <w:sz w:val="20"/>
                <w:szCs w:val="20"/>
                <w:color w:val="auto"/>
              </w:rPr>
            </w:pPr>
            <w:r>
              <w:rPr>
                <w:rFonts w:ascii="Arial" w:cs="Arial" w:eastAsia="Arial" w:hAnsi="Arial"/>
                <w:sz w:val="10"/>
                <w:szCs w:val="10"/>
                <w:color w:val="auto"/>
              </w:rPr>
              <w:t>14,186</w:t>
            </w:r>
          </w:p>
        </w:tc>
        <w:tc>
          <w:tcPr>
            <w:tcW w:w="0" w:type="dxa"/>
            <w:vAlign w:val="bottom"/>
          </w:tcPr>
          <w:p>
            <w:pPr>
              <w:spacing w:after="0"/>
              <w:rPr>
                <w:sz w:val="1"/>
                <w:szCs w:val="1"/>
                <w:color w:val="auto"/>
              </w:rPr>
            </w:pPr>
          </w:p>
        </w:tc>
      </w:tr>
      <w:tr>
        <w:trPr>
          <w:trHeight w:val="41"/>
        </w:trPr>
        <w:tc>
          <w:tcPr>
            <w:tcW w:w="210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(12,035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8/25/2021</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1,204</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(38,493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12/16/2022</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2,609</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(6,783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7/10/2023</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686</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(4,663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9/16/2022</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472</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1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(21,689 units) (j)</w:t>
            </w: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5/22/2024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2,195</w:t>
            </w:r>
          </w:p>
        </w:tc>
        <w:tc>
          <w:tcPr>
            <w:tcW w:w="460" w:type="dxa"/>
            <w:vAlign w:val="bottom"/>
          </w:tcPr>
          <w:p>
            <w:pPr>
              <w:jc w:val="right"/>
              <w:spacing w:after="0"/>
              <w:rPr>
                <w:sz w:val="20"/>
                <w:szCs w:val="20"/>
                <w:color w:val="auto"/>
              </w:rPr>
            </w:pPr>
            <w:r>
              <w:rPr>
                <w:rFonts w:ascii="Arial" w:cs="Arial" w:eastAsia="Arial" w:hAnsi="Arial"/>
                <w:sz w:val="10"/>
                <w:szCs w:val="10"/>
                <w:color w:val="auto"/>
              </w:rPr>
              <w:t>735</w:t>
            </w: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22,142</w:t>
            </w:r>
          </w:p>
        </w:tc>
        <w:tc>
          <w:tcPr>
            <w:tcW w:w="460" w:type="dxa"/>
            <w:vAlign w:val="bottom"/>
          </w:tcPr>
          <w:p>
            <w:pPr>
              <w:jc w:val="right"/>
              <w:spacing w:after="0"/>
              <w:rPr>
                <w:sz w:val="20"/>
                <w:szCs w:val="20"/>
                <w:color w:val="auto"/>
              </w:rPr>
            </w:pPr>
            <w:r>
              <w:rPr>
                <w:rFonts w:ascii="Arial" w:cs="Arial" w:eastAsia="Arial" w:hAnsi="Arial"/>
                <w:sz w:val="10"/>
                <w:szCs w:val="10"/>
                <w:color w:val="auto"/>
              </w:rPr>
              <w:t>14,921</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0"/>
                <w:szCs w:val="10"/>
                <w:i w:val="1"/>
                <w:iCs w:val="1"/>
                <w:color w:val="auto"/>
              </w:rPr>
              <w:t>Steward Holding LLC (dba Steward Advanced</w:t>
            </w:r>
          </w:p>
        </w:tc>
        <w:tc>
          <w:tcPr>
            <w:tcW w:w="2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00" w:type="dxa"/>
            <w:vAlign w:val="bottom"/>
          </w:tcPr>
          <w:p>
            <w:pPr>
              <w:spacing w:after="0"/>
              <w:rPr>
                <w:sz w:val="20"/>
                <w:szCs w:val="20"/>
                <w:color w:val="auto"/>
              </w:rPr>
            </w:pPr>
            <w:r>
              <w:rPr>
                <w:rFonts w:ascii="Arial" w:cs="Arial" w:eastAsia="Arial" w:hAnsi="Arial"/>
                <w:sz w:val="10"/>
                <w:szCs w:val="10"/>
                <w:i w:val="1"/>
                <w:iCs w:val="1"/>
                <w:color w:val="auto"/>
              </w:rPr>
              <w:t>Materials)</w:t>
            </w:r>
          </w:p>
        </w:tc>
        <w:tc>
          <w:tcPr>
            <w:tcW w:w="2860" w:type="dxa"/>
            <w:vAlign w:val="bottom"/>
          </w:tcPr>
          <w:p>
            <w:pPr>
              <w:ind w:left="120"/>
              <w:spacing w:after="0"/>
              <w:rPr>
                <w:sz w:val="20"/>
                <w:szCs w:val="20"/>
                <w:color w:val="auto"/>
              </w:rPr>
            </w:pPr>
            <w:r>
              <w:rPr>
                <w:rFonts w:ascii="Arial" w:cs="Arial" w:eastAsia="Arial" w:hAnsi="Arial"/>
                <w:sz w:val="10"/>
                <w:szCs w:val="10"/>
                <w:color w:val="auto"/>
              </w:rPr>
              <w:t>Aerospace &amp; Defense Manufacturing</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(1,000,000 units) (j)</w:t>
            </w:r>
          </w:p>
        </w:tc>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11/12/2015</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1,000</w:t>
            </w:r>
          </w:p>
        </w:tc>
        <w:tc>
          <w:tcPr>
            <w:tcW w:w="460" w:type="dxa"/>
            <w:vAlign w:val="bottom"/>
          </w:tcPr>
          <w:p>
            <w:pPr>
              <w:jc w:val="right"/>
              <w:spacing w:after="0"/>
              <w:rPr>
                <w:sz w:val="20"/>
                <w:szCs w:val="20"/>
                <w:color w:val="auto"/>
              </w:rPr>
            </w:pPr>
            <w:r>
              <w:rPr>
                <w:rFonts w:ascii="Arial" w:cs="Arial" w:eastAsia="Arial" w:hAnsi="Arial"/>
                <w:sz w:val="10"/>
                <w:szCs w:val="10"/>
                <w:color w:val="auto"/>
              </w:rPr>
              <w:t>4,624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-3885565</wp:posOffset>
            </wp:positionV>
            <wp:extent cx="5967730" cy="1993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-3080385</wp:posOffset>
            </wp:positionV>
            <wp:extent cx="5967730" cy="1041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-2371090</wp:posOffset>
            </wp:positionV>
            <wp:extent cx="5967730" cy="1041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-2066925</wp:posOffset>
            </wp:positionV>
            <wp:extent cx="5967730" cy="1041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-1762760</wp:posOffset>
            </wp:positionV>
            <wp:extent cx="5967730" cy="1993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-1363345</wp:posOffset>
            </wp:positionV>
            <wp:extent cx="5967730" cy="1993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-963930</wp:posOffset>
            </wp:positionV>
            <wp:extent cx="5967730" cy="1993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-3486150</wp:posOffset>
            </wp:positionV>
            <wp:extent cx="5967730" cy="36372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7730" cy="36372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-3486150</wp:posOffset>
            </wp:positionV>
            <wp:extent cx="5967730" cy="36372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7730" cy="363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hanging="70"/>
        <w:spacing w:after="0"/>
        <w:tabs>
          <w:tab w:leader="none" w:pos="80" w:val="left"/>
        </w:tabs>
        <w:numPr>
          <w:ilvl w:val="0"/>
          <w:numId w:val="11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80" w:hanging="70"/>
        <w:spacing w:after="0"/>
        <w:tabs>
          <w:tab w:leader="none" w:pos="80" w:val="left"/>
        </w:tabs>
        <w:numPr>
          <w:ilvl w:val="0"/>
          <w:numId w:val="11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6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hanging="70"/>
        <w:spacing w:after="0"/>
        <w:tabs>
          <w:tab w:leader="none" w:pos="80" w:val="left"/>
        </w:tabs>
        <w:numPr>
          <w:ilvl w:val="0"/>
          <w:numId w:val="11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7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28" w:lineRule="exact"/>
        <w:rPr>
          <w:sz w:val="20"/>
          <w:szCs w:val="20"/>
          <w:color w:val="auto"/>
        </w:rPr>
      </w:pPr>
    </w:p>
    <w:p>
      <w:pPr>
        <w:sectPr>
          <w:pgSz w:w="11900" w:h="16838" w:orient="portrait"/>
          <w:cols w:equalWidth="0" w:num="2">
            <w:col w:w="8660" w:space="560"/>
            <w:col w:w="18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9400"/>
          </w:cols>
          <w:pgMar w:left="1260" w:top="1440" w:right="1246" w:bottom="0" w:gutter="0" w:footer="0" w:header="0"/>
          <w:type w:val="continuous"/>
        </w:sectPr>
      </w:pPr>
    </w:p>
    <w:bookmarkStart w:id="218" w:name="page219"/>
    <w:bookmarkEnd w:id="218"/>
    <w:p>
      <w:pPr>
        <w:spacing w:after="0" w:line="17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Affiliate Investments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Non-control/Non-affiliate Investments</w:t>
            </w:r>
          </w:p>
        </w:tc>
        <w:tc>
          <w:tcPr>
            <w:tcW w:w="54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54"/>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2KDirect, Inc. (dba iPromote)</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(k)(at)</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(j)(aa)</w:t>
            </w:r>
          </w:p>
        </w:tc>
        <w:tc>
          <w:tcPr>
            <w:tcW w:w="1400" w:type="dxa"/>
            <w:vAlign w:val="bottom"/>
          </w:tcPr>
          <w:p>
            <w:pPr>
              <w:spacing w:after="0"/>
              <w:rPr>
                <w:sz w:val="24"/>
                <w:szCs w:val="24"/>
                <w:color w:val="auto"/>
              </w:rPr>
            </w:pPr>
          </w:p>
        </w:tc>
      </w:tr>
      <w:tr>
        <w:trPr>
          <w:trHeight w:val="28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(1,000,000 units)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301 Edison Holdings Inc. (dba LGG Industrial)</w:t>
            </w:r>
          </w:p>
        </w:tc>
        <w:tc>
          <w:tcPr>
            <w:tcW w:w="1400" w:type="dxa"/>
            <w:vAlign w:val="bottom"/>
          </w:tcPr>
          <w:p>
            <w:pPr>
              <w:ind w:left="60"/>
              <w:spacing w:after="0"/>
              <w:rPr>
                <w:sz w:val="20"/>
                <w:szCs w:val="20"/>
                <w:color w:val="auto"/>
              </w:rPr>
            </w:pPr>
            <w:r>
              <w:rPr>
                <w:rFonts w:ascii="Arial" w:cs="Arial" w:eastAsia="Arial" w:hAnsi="Arial"/>
                <w:sz w:val="10"/>
                <w:szCs w:val="10"/>
                <w:color w:val="auto"/>
              </w:rPr>
              <w:t>Specialty Distribution</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28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(518,135 units) (j)</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Acendre Midco, Inc.</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Revolving Loan (j)</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(500,000 shares) (j)</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Warrant (150,000 shares) (j)(m)</w:t>
            </w:r>
          </w:p>
        </w:tc>
        <w:tc>
          <w:tcPr>
            <w:tcW w:w="1400" w:type="dxa"/>
            <w:vAlign w:val="bottom"/>
          </w:tcPr>
          <w:p>
            <w:pPr>
              <w:spacing w:after="0"/>
              <w:rPr>
                <w:sz w:val="24"/>
                <w:szCs w:val="24"/>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(77,016 shares) (j)</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Ad Info Parent, Inc. (dba MediaRadar)</w:t>
            </w:r>
          </w:p>
        </w:tc>
        <w:tc>
          <w:tcPr>
            <w:tcW w:w="1400" w:type="dxa"/>
            <w:vAlign w:val="bottom"/>
          </w:tcPr>
          <w:p>
            <w:pPr>
              <w:ind w:left="60"/>
              <w:spacing w:after="0"/>
              <w:rPr>
                <w:sz w:val="20"/>
                <w:szCs w:val="20"/>
                <w:color w:val="auto"/>
              </w:rPr>
            </w:pPr>
            <w:r>
              <w:rPr>
                <w:rFonts w:ascii="Arial" w:cs="Arial" w:eastAsia="Arial" w:hAnsi="Arial"/>
                <w:sz w:val="10"/>
                <w:szCs w:val="10"/>
                <w:color w:val="auto"/>
                <w:w w:val="90"/>
              </w:rPr>
              <w:t>Information Technology Services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w w:val="95"/>
              </w:rPr>
              <w:t>Revolving Loan ($865 unfunded commitment) (i)(j)</w:t>
            </w:r>
          </w:p>
        </w:tc>
        <w:tc>
          <w:tcPr>
            <w:tcW w:w="1400" w:type="dxa"/>
            <w:vAlign w:val="bottom"/>
          </w:tcPr>
          <w:p>
            <w:pPr>
              <w:spacing w:after="0"/>
              <w:rPr>
                <w:sz w:val="23"/>
                <w:szCs w:val="23"/>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(1,250,000 units) (j)</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Aldinger Company</w:t>
            </w:r>
          </w:p>
        </w:tc>
        <w:tc>
          <w:tcPr>
            <w:tcW w:w="1400" w:type="dxa"/>
            <w:vAlign w:val="bottom"/>
          </w:tcPr>
          <w:p>
            <w:pPr>
              <w:ind w:left="60"/>
              <w:spacing w:after="0"/>
              <w:rPr>
                <w:sz w:val="20"/>
                <w:szCs w:val="20"/>
                <w:color w:val="auto"/>
              </w:rPr>
            </w:pPr>
            <w:r>
              <w:rPr>
                <w:rFonts w:ascii="Arial" w:cs="Arial" w:eastAsia="Arial" w:hAnsi="Arial"/>
                <w:sz w:val="10"/>
                <w:szCs w:val="10"/>
                <w:color w:val="auto"/>
              </w:rPr>
              <w:t>Business Services</w:t>
            </w: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(12,504 units)</w:t>
            </w:r>
          </w:p>
        </w:tc>
        <w:tc>
          <w:tcPr>
            <w:tcW w:w="1400" w:type="dxa"/>
            <w:vAlign w:val="bottom"/>
          </w:tcPr>
          <w:p>
            <w:pPr>
              <w:spacing w:after="0"/>
              <w:rPr>
                <w:sz w:val="23"/>
                <w:szCs w:val="23"/>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(12,861 units)</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w w:val="96"/>
              </w:rPr>
              <w:t>Allredi, LLC (fka Marco Group International OpCo,</w:t>
            </w:r>
          </w:p>
        </w:tc>
        <w:tc>
          <w:tcPr>
            <w:tcW w:w="1400" w:type="dxa"/>
            <w:vAlign w:val="bottom"/>
          </w:tcPr>
          <w:p>
            <w:pPr>
              <w:spacing w:after="0"/>
              <w:rPr>
                <w:sz w:val="24"/>
                <w:szCs w:val="24"/>
                <w:color w:val="auto"/>
              </w:rPr>
            </w:pPr>
          </w:p>
        </w:tc>
      </w:tr>
      <w:tr>
        <w:trPr>
          <w:trHeight w:val="15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LLC)</w:t>
            </w:r>
          </w:p>
        </w:tc>
        <w:tc>
          <w:tcPr>
            <w:tcW w:w="1400" w:type="dxa"/>
            <w:vAlign w:val="bottom"/>
          </w:tcPr>
          <w:p>
            <w:pPr>
              <w:ind w:left="60"/>
              <w:spacing w:after="0"/>
              <w:rPr>
                <w:sz w:val="20"/>
                <w:szCs w:val="20"/>
                <w:color w:val="auto"/>
              </w:rPr>
            </w:pPr>
            <w:r>
              <w:rPr>
                <w:rFonts w:ascii="Arial" w:cs="Arial" w:eastAsia="Arial" w:hAnsi="Arial"/>
                <w:sz w:val="10"/>
                <w:szCs w:val="10"/>
                <w:color w:val="auto"/>
                <w:w w:val="98"/>
              </w:rPr>
              <w:t>Industrial Cleaning &amp; Coatings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Second Lien Debt (j)</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(570,636 units) (h)(j)</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(39,443 units) (h)(j)</w:t>
            </w:r>
          </w:p>
        </w:tc>
        <w:tc>
          <w:tcPr>
            <w:tcW w:w="1400" w:type="dxa"/>
            <w:vAlign w:val="bottom"/>
          </w:tcPr>
          <w:p>
            <w:pPr>
              <w:spacing w:after="0"/>
              <w:rPr>
                <w:sz w:val="24"/>
                <w:szCs w:val="24"/>
                <w:color w:val="auto"/>
              </w:rPr>
            </w:pPr>
          </w:p>
        </w:tc>
      </w:tr>
      <w:tr>
        <w:trPr>
          <w:trHeight w:val="32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(524,624units) (h)(j)</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w w:val="92"/>
              </w:rPr>
              <w:t>American AllWaste LLC (dba WasteWater Transport</w:t>
            </w:r>
          </w:p>
        </w:tc>
        <w:tc>
          <w:tcPr>
            <w:tcW w:w="1400" w:type="dxa"/>
            <w:vAlign w:val="bottom"/>
          </w:tcPr>
          <w:p>
            <w:pPr>
              <w:spacing w:after="0"/>
              <w:rPr>
                <w:sz w:val="24"/>
                <w:szCs w:val="24"/>
                <w:color w:val="auto"/>
              </w:rPr>
            </w:pPr>
          </w:p>
        </w:tc>
      </w:tr>
      <w:tr>
        <w:trPr>
          <w:trHeight w:val="15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Services)</w:t>
            </w:r>
          </w:p>
        </w:tc>
        <w:tc>
          <w:tcPr>
            <w:tcW w:w="1400" w:type="dxa"/>
            <w:vAlign w:val="bottom"/>
          </w:tcPr>
          <w:p>
            <w:pPr>
              <w:ind w:left="60"/>
              <w:spacing w:after="0"/>
              <w:rPr>
                <w:sz w:val="20"/>
                <w:szCs w:val="20"/>
                <w:color w:val="auto"/>
              </w:rPr>
            </w:pPr>
            <w:r>
              <w:rPr>
                <w:rFonts w:ascii="Arial" w:cs="Arial" w:eastAsia="Arial" w:hAnsi="Arial"/>
                <w:sz w:val="10"/>
                <w:szCs w:val="10"/>
                <w:color w:val="auto"/>
              </w:rPr>
              <w:t>Environmental Industries</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(j)(p)</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(j)(o)</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(j)</w:t>
            </w:r>
          </w:p>
        </w:tc>
        <w:tc>
          <w:tcPr>
            <w:tcW w:w="1400" w:type="dxa"/>
            <w:vAlign w:val="bottom"/>
          </w:tcPr>
          <w:p>
            <w:pPr>
              <w:spacing w:after="0"/>
              <w:rPr>
                <w:sz w:val="24"/>
                <w:szCs w:val="24"/>
                <w:color w:val="auto"/>
              </w:rPr>
            </w:pPr>
          </w:p>
        </w:tc>
      </w:tr>
      <w:tr>
        <w:trPr>
          <w:trHeight w:val="273"/>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(500 units) (h)(j)</w:t>
            </w:r>
          </w:p>
        </w:tc>
        <w:tc>
          <w:tcPr>
            <w:tcW w:w="1400" w:type="dxa"/>
            <w:vAlign w:val="bottom"/>
          </w:tcPr>
          <w:p>
            <w:pPr>
              <w:spacing w:after="0"/>
              <w:rPr>
                <w:sz w:val="23"/>
                <w:szCs w:val="23"/>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(207 units) (h)(j)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(141 units) (h)(j)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(74 units) (h)(j)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(52 units) (h)(j)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Preferred Equity (312 units) (h)(j)</w:t>
            </w:r>
          </w:p>
        </w:tc>
        <w:tc>
          <w:tcPr>
            <w:tcW w:w="1400" w:type="dxa"/>
            <w:vAlign w:val="bottom"/>
          </w:tcPr>
          <w:p>
            <w:pPr>
              <w:spacing w:after="0"/>
              <w:rPr>
                <w:sz w:val="24"/>
                <w:szCs w:val="24"/>
                <w:color w:val="auto"/>
              </w:rPr>
            </w:pP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Common Equity (1,405 units) (h)(j)</w:t>
            </w:r>
          </w:p>
        </w:tc>
        <w:tc>
          <w:tcPr>
            <w:tcW w:w="1400" w:type="dxa"/>
            <w:vAlign w:val="bottom"/>
          </w:tcPr>
          <w:p>
            <w:pPr>
              <w:spacing w:after="0"/>
              <w:rPr>
                <w:sz w:val="24"/>
                <w:szCs w:val="24"/>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0"/>
                <w:szCs w:val="10"/>
                <w:i w:val="1"/>
                <w:iCs w:val="1"/>
                <w:color w:val="auto"/>
              </w:rPr>
              <w:t>AmeriWater, LLC</w:t>
            </w:r>
          </w:p>
        </w:tc>
        <w:tc>
          <w:tcPr>
            <w:tcW w:w="1400" w:type="dxa"/>
            <w:vAlign w:val="bottom"/>
          </w:tcPr>
          <w:p>
            <w:pPr>
              <w:ind w:left="60"/>
              <w:spacing w:after="0"/>
              <w:rPr>
                <w:sz w:val="20"/>
                <w:szCs w:val="20"/>
                <w:color w:val="auto"/>
              </w:rPr>
            </w:pPr>
            <w:r>
              <w:rPr>
                <w:rFonts w:ascii="Arial" w:cs="Arial" w:eastAsia="Arial" w:hAnsi="Arial"/>
                <w:sz w:val="10"/>
                <w:szCs w:val="10"/>
                <w:color w:val="auto"/>
              </w:rPr>
              <w:t>Component Manufacturing</w:t>
            </w:r>
          </w:p>
        </w:tc>
      </w:tr>
      <w:tr>
        <w:trPr>
          <w:trHeight w:val="314"/>
        </w:trPr>
        <w:tc>
          <w:tcPr>
            <w:tcW w:w="2160" w:type="dxa"/>
            <w:vAlign w:val="bottom"/>
            <w:gridSpan w:val="2"/>
          </w:tcPr>
          <w:p>
            <w:pPr>
              <w:ind w:left="20"/>
              <w:spacing w:after="0"/>
              <w:rPr>
                <w:sz w:val="20"/>
                <w:szCs w:val="20"/>
                <w:color w:val="auto"/>
              </w:rPr>
            </w:pPr>
            <w:r>
              <w:rPr>
                <w:rFonts w:ascii="Arial" w:cs="Arial" w:eastAsia="Arial" w:hAnsi="Arial"/>
                <w:sz w:val="10"/>
                <w:szCs w:val="10"/>
                <w:color w:val="auto"/>
              </w:rPr>
              <w:t>First Lien Debt (af)</w:t>
            </w: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56,679</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102,024</w:t>
            </w:r>
          </w:p>
        </w:tc>
        <w:tc>
          <w:tcPr>
            <w:tcW w:w="0" w:type="dxa"/>
            <w:vAlign w:val="bottom"/>
          </w:tcPr>
          <w:p>
            <w:pPr>
              <w:spacing w:after="0"/>
              <w:rPr>
                <w:sz w:val="1"/>
                <w:szCs w:val="1"/>
                <w:color w:val="auto"/>
              </w:rPr>
            </w:pPr>
          </w:p>
        </w:tc>
      </w:tr>
      <w:tr>
        <w:trPr>
          <w:trHeight w:val="811"/>
        </w:trPr>
        <w:tc>
          <w:tcPr>
            <w:tcW w:w="940" w:type="dxa"/>
            <w:vAlign w:val="bottom"/>
          </w:tcPr>
          <w:p>
            <w:pPr>
              <w:spacing w:after="0"/>
              <w:rPr>
                <w:sz w:val="20"/>
                <w:szCs w:val="20"/>
                <w:color w:val="auto"/>
              </w:rPr>
            </w:pPr>
            <w:r>
              <w:rPr>
                <w:rFonts w:ascii="Arial" w:cs="Arial" w:eastAsia="Arial" w:hAnsi="Arial"/>
                <w:sz w:val="10"/>
                <w:szCs w:val="10"/>
                <w:color w:val="auto"/>
                <w:w w:val="95"/>
              </w:rPr>
              <w:t>(S + 8.00%) / (0.50%)</w:t>
            </w:r>
          </w:p>
        </w:tc>
        <w:tc>
          <w:tcPr>
            <w:tcW w:w="720" w:type="dxa"/>
            <w:vAlign w:val="bottom"/>
          </w:tcPr>
          <w:p>
            <w:pPr>
              <w:ind w:left="40"/>
              <w:spacing w:after="0"/>
              <w:rPr>
                <w:sz w:val="20"/>
                <w:szCs w:val="20"/>
                <w:color w:val="auto"/>
              </w:rPr>
            </w:pPr>
            <w:r>
              <w:rPr>
                <w:rFonts w:ascii="Arial" w:cs="Arial" w:eastAsia="Arial" w:hAnsi="Arial"/>
                <w:sz w:val="10"/>
                <w:szCs w:val="10"/>
                <w:color w:val="auto"/>
              </w:rPr>
              <w:t>12.74%/0.00%</w:t>
            </w:r>
          </w:p>
        </w:tc>
        <w:tc>
          <w:tcPr>
            <w:tcW w:w="640" w:type="dxa"/>
            <w:vAlign w:val="bottom"/>
          </w:tcPr>
          <w:p>
            <w:pPr>
              <w:ind w:left="100"/>
              <w:spacing w:after="0"/>
              <w:rPr>
                <w:sz w:val="20"/>
                <w:szCs w:val="20"/>
                <w:color w:val="auto"/>
              </w:rPr>
            </w:pPr>
            <w:r>
              <w:rPr>
                <w:rFonts w:ascii="Arial" w:cs="Arial" w:eastAsia="Arial" w:hAnsi="Arial"/>
                <w:sz w:val="10"/>
                <w:szCs w:val="10"/>
                <w:color w:val="auto"/>
              </w:rPr>
              <w:t>6/25/2021</w:t>
            </w:r>
          </w:p>
        </w:tc>
        <w:tc>
          <w:tcPr>
            <w:tcW w:w="620" w:type="dxa"/>
            <w:vAlign w:val="bottom"/>
          </w:tcPr>
          <w:p>
            <w:pPr>
              <w:ind w:left="100"/>
              <w:spacing w:after="0"/>
              <w:rPr>
                <w:sz w:val="20"/>
                <w:szCs w:val="20"/>
                <w:color w:val="auto"/>
              </w:rPr>
            </w:pPr>
            <w:r>
              <w:rPr>
                <w:rFonts w:ascii="Arial" w:cs="Arial" w:eastAsia="Arial" w:hAnsi="Arial"/>
                <w:sz w:val="10"/>
                <w:szCs w:val="10"/>
                <w:color w:val="auto"/>
              </w:rPr>
              <w:t>6/25/2026</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7,076</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7,051</w:t>
            </w:r>
          </w:p>
        </w:tc>
        <w:tc>
          <w:tcPr>
            <w:tcW w:w="2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7,076</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0"/>
                <w:szCs w:val="20"/>
                <w:color w:val="auto"/>
              </w:rPr>
            </w:pPr>
            <w:r>
              <w:rPr>
                <w:rFonts w:ascii="Arial" w:cs="Arial" w:eastAsia="Arial" w:hAnsi="Arial"/>
                <w:sz w:val="10"/>
                <w:szCs w:val="10"/>
                <w:color w:val="auto"/>
                <w:w w:val="95"/>
              </w:rPr>
              <w:t>(S + 8.00%) / (0.50%)</w:t>
            </w:r>
          </w:p>
        </w:tc>
        <w:tc>
          <w:tcPr>
            <w:tcW w:w="720" w:type="dxa"/>
            <w:vAlign w:val="bottom"/>
          </w:tcPr>
          <w:p>
            <w:pPr>
              <w:ind w:left="40"/>
              <w:spacing w:after="0"/>
              <w:rPr>
                <w:sz w:val="20"/>
                <w:szCs w:val="20"/>
                <w:color w:val="auto"/>
              </w:rPr>
            </w:pPr>
            <w:r>
              <w:rPr>
                <w:rFonts w:ascii="Arial" w:cs="Arial" w:eastAsia="Arial" w:hAnsi="Arial"/>
                <w:sz w:val="10"/>
                <w:szCs w:val="10"/>
                <w:color w:val="auto"/>
              </w:rPr>
              <w:t>8.99%/0.00%</w:t>
            </w:r>
          </w:p>
        </w:tc>
        <w:tc>
          <w:tcPr>
            <w:tcW w:w="640" w:type="dxa"/>
            <w:vAlign w:val="bottom"/>
          </w:tcPr>
          <w:p>
            <w:pPr>
              <w:ind w:left="100"/>
              <w:spacing w:after="0"/>
              <w:rPr>
                <w:sz w:val="20"/>
                <w:szCs w:val="20"/>
                <w:color w:val="auto"/>
              </w:rPr>
            </w:pPr>
            <w:r>
              <w:rPr>
                <w:rFonts w:ascii="Arial" w:cs="Arial" w:eastAsia="Arial" w:hAnsi="Arial"/>
                <w:sz w:val="10"/>
                <w:szCs w:val="10"/>
                <w:color w:val="auto"/>
              </w:rPr>
              <w:t>7/30/2021</w:t>
            </w:r>
          </w:p>
        </w:tc>
        <w:tc>
          <w:tcPr>
            <w:tcW w:w="620" w:type="dxa"/>
            <w:vAlign w:val="bottom"/>
          </w:tcPr>
          <w:p>
            <w:pPr>
              <w:ind w:left="100"/>
              <w:spacing w:after="0"/>
              <w:rPr>
                <w:sz w:val="20"/>
                <w:szCs w:val="20"/>
                <w:color w:val="auto"/>
              </w:rPr>
            </w:pPr>
            <w:r>
              <w:rPr>
                <w:rFonts w:ascii="Arial" w:cs="Arial" w:eastAsia="Arial" w:hAnsi="Arial"/>
                <w:sz w:val="10"/>
                <w:szCs w:val="10"/>
                <w:color w:val="auto"/>
              </w:rPr>
              <w:t>6/25/2026</w:t>
            </w:r>
          </w:p>
        </w:tc>
        <w:tc>
          <w:tcPr>
            <w:tcW w:w="16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2,141</w:t>
            </w: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2,141</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2,141</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6/25/2021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10,192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9,217</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11.75%/1.50%</w:t>
            </w:r>
          </w:p>
        </w:tc>
        <w:tc>
          <w:tcPr>
            <w:tcW w:w="640" w:type="dxa"/>
            <w:vAlign w:val="bottom"/>
          </w:tcPr>
          <w:p>
            <w:pPr>
              <w:ind w:left="100"/>
              <w:spacing w:after="0"/>
              <w:rPr>
                <w:sz w:val="20"/>
                <w:szCs w:val="20"/>
                <w:color w:val="auto"/>
              </w:rPr>
            </w:pPr>
            <w:r>
              <w:rPr>
                <w:rFonts w:ascii="Arial" w:cs="Arial" w:eastAsia="Arial" w:hAnsi="Arial"/>
                <w:sz w:val="10"/>
                <w:szCs w:val="10"/>
                <w:color w:val="auto"/>
              </w:rPr>
              <w:t>11/14/2023</w:t>
            </w:r>
          </w:p>
        </w:tc>
        <w:tc>
          <w:tcPr>
            <w:tcW w:w="620" w:type="dxa"/>
            <w:vAlign w:val="bottom"/>
          </w:tcPr>
          <w:p>
            <w:pPr>
              <w:ind w:left="100"/>
              <w:spacing w:after="0"/>
              <w:rPr>
                <w:sz w:val="20"/>
                <w:szCs w:val="20"/>
                <w:color w:val="auto"/>
              </w:rPr>
            </w:pPr>
            <w:r>
              <w:rPr>
                <w:rFonts w:ascii="Arial" w:cs="Arial" w:eastAsia="Arial" w:hAnsi="Arial"/>
                <w:sz w:val="10"/>
                <w:szCs w:val="10"/>
                <w:color w:val="auto"/>
                <w:w w:val="99"/>
              </w:rPr>
              <w:t>11/13/2028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11,597</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11,471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11,597</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11/14/2023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12,471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12,597</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+ 7.75%) / (0.50%)</w:t>
            </w:r>
          </w:p>
        </w:tc>
        <w:tc>
          <w:tcPr>
            <w:tcW w:w="720" w:type="dxa"/>
            <w:vAlign w:val="bottom"/>
          </w:tcPr>
          <w:p>
            <w:pPr>
              <w:ind w:left="40"/>
              <w:spacing w:after="0"/>
              <w:rPr>
                <w:sz w:val="20"/>
                <w:szCs w:val="20"/>
                <w:color w:val="auto"/>
              </w:rPr>
            </w:pPr>
            <w:r>
              <w:rPr>
                <w:rFonts w:ascii="Arial" w:cs="Arial" w:eastAsia="Arial" w:hAnsi="Arial"/>
                <w:sz w:val="10"/>
                <w:szCs w:val="10"/>
                <w:color w:val="auto"/>
              </w:rPr>
              <w:t>12.60%/0.00%</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10/6/2026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5,418</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5,412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5,418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+ 7.75%) / (0.50%)</w:t>
            </w:r>
          </w:p>
        </w:tc>
        <w:tc>
          <w:tcPr>
            <w:tcW w:w="720" w:type="dxa"/>
            <w:vAlign w:val="bottom"/>
          </w:tcPr>
          <w:p>
            <w:pPr>
              <w:ind w:left="40"/>
              <w:spacing w:after="0"/>
              <w:rPr>
                <w:sz w:val="20"/>
                <w:szCs w:val="20"/>
                <w:color w:val="auto"/>
              </w:rPr>
            </w:pPr>
            <w:r>
              <w:rPr>
                <w:rFonts w:ascii="Arial" w:cs="Arial" w:eastAsia="Arial" w:hAnsi="Arial"/>
                <w:sz w:val="10"/>
                <w:szCs w:val="10"/>
                <w:color w:val="auto"/>
              </w:rPr>
              <w:t>12.60%/0.00%</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10/6/2026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12,313</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12,289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12,313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+ 7.75%) / (0.50%)</w:t>
            </w:r>
          </w:p>
        </w:tc>
        <w:tc>
          <w:tcPr>
            <w:tcW w:w="720" w:type="dxa"/>
            <w:vAlign w:val="bottom"/>
          </w:tcPr>
          <w:p>
            <w:pPr>
              <w:ind w:left="40"/>
              <w:spacing w:after="0"/>
              <w:rPr>
                <w:sz w:val="20"/>
                <w:szCs w:val="20"/>
                <w:color w:val="auto"/>
              </w:rPr>
            </w:pPr>
            <w:r>
              <w:rPr>
                <w:rFonts w:ascii="Arial" w:cs="Arial" w:eastAsia="Arial" w:hAnsi="Arial"/>
                <w:sz w:val="10"/>
                <w:szCs w:val="10"/>
                <w:color w:val="auto"/>
              </w:rPr>
              <w:t>12.60%/0.00%</w:t>
            </w: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ind w:left="100"/>
              <w:spacing w:after="0"/>
              <w:rPr>
                <w:sz w:val="20"/>
                <w:szCs w:val="20"/>
                <w:color w:val="auto"/>
              </w:rPr>
            </w:pPr>
            <w:r>
              <w:rPr>
                <w:rFonts w:ascii="Arial" w:cs="Arial" w:eastAsia="Arial" w:hAnsi="Arial"/>
                <w:sz w:val="10"/>
                <w:szCs w:val="10"/>
                <w:color w:val="auto"/>
              </w:rPr>
              <w:t>10/6/2026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371</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365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10/6/2021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129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9/26/2022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88</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19,289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19,240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10.75%/0.00%</w:t>
            </w: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ind w:left="100"/>
              <w:spacing w:after="0"/>
              <w:rPr>
                <w:sz w:val="20"/>
                <w:szCs w:val="20"/>
                <w:color w:val="auto"/>
              </w:rPr>
            </w:pPr>
            <w:r>
              <w:rPr>
                <w:rFonts w:ascii="Arial" w:cs="Arial" w:eastAsia="Arial" w:hAnsi="Arial"/>
                <w:sz w:val="10"/>
                <w:szCs w:val="10"/>
                <w:color w:val="auto"/>
              </w:rPr>
              <w:t>9/16/2029</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12,375</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12,319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11,996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10.75%/0.00%</w:t>
            </w: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ind w:left="100"/>
              <w:spacing w:after="0"/>
              <w:rPr>
                <w:sz w:val="20"/>
                <w:szCs w:val="20"/>
                <w:color w:val="auto"/>
              </w:rPr>
            </w:pPr>
            <w:r>
              <w:rPr>
                <w:rFonts w:ascii="Arial" w:cs="Arial" w:eastAsia="Arial" w:hAnsi="Arial"/>
                <w:sz w:val="10"/>
                <w:szCs w:val="10"/>
                <w:color w:val="auto"/>
              </w:rPr>
              <w:t>9/16/2029</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577</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570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577</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1,250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735</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14,139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13,308</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6/30/2023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254</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1,645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6/30/2023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1,286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1,583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1,540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3,228</w:t>
            </w:r>
          </w:p>
        </w:tc>
        <w:tc>
          <w:tcPr>
            <w:tcW w:w="0" w:type="dxa"/>
            <w:vAlign w:val="bottom"/>
          </w:tcPr>
          <w:p>
            <w:pPr>
              <w:spacing w:after="0"/>
              <w:rPr>
                <w:sz w:val="1"/>
                <w:szCs w:val="1"/>
                <w:color w:val="auto"/>
              </w:rPr>
            </w:pPr>
          </w:p>
        </w:tc>
      </w:tr>
      <w:tr>
        <w:trPr>
          <w:trHeight w:val="62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0.00%/17.00%</w:t>
            </w:r>
          </w:p>
        </w:tc>
        <w:tc>
          <w:tcPr>
            <w:tcW w:w="640" w:type="dxa"/>
            <w:vAlign w:val="bottom"/>
          </w:tcPr>
          <w:p>
            <w:pPr>
              <w:ind w:left="100"/>
              <w:spacing w:after="0"/>
              <w:rPr>
                <w:sz w:val="20"/>
                <w:szCs w:val="20"/>
                <w:color w:val="auto"/>
              </w:rPr>
            </w:pPr>
            <w:r>
              <w:rPr>
                <w:rFonts w:ascii="Arial" w:cs="Arial" w:eastAsia="Arial" w:hAnsi="Arial"/>
                <w:sz w:val="10"/>
                <w:szCs w:val="10"/>
                <w:color w:val="auto"/>
              </w:rPr>
              <w:t>3/2/2020</w:t>
            </w:r>
          </w:p>
        </w:tc>
        <w:tc>
          <w:tcPr>
            <w:tcW w:w="620" w:type="dxa"/>
            <w:vAlign w:val="bottom"/>
          </w:tcPr>
          <w:p>
            <w:pPr>
              <w:ind w:left="100"/>
              <w:spacing w:after="0"/>
              <w:rPr>
                <w:sz w:val="20"/>
                <w:szCs w:val="20"/>
                <w:color w:val="auto"/>
              </w:rPr>
            </w:pPr>
            <w:r>
              <w:rPr>
                <w:rFonts w:ascii="Arial" w:cs="Arial" w:eastAsia="Arial" w:hAnsi="Arial"/>
                <w:sz w:val="10"/>
                <w:szCs w:val="10"/>
                <w:color w:val="auto"/>
              </w:rPr>
              <w:t>9/2/2026</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13,702</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13,665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12,623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7/21/2017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637</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11/24/2021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22</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8/3/2023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45</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14,369</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12,756</w:t>
            </w:r>
          </w:p>
        </w:tc>
        <w:tc>
          <w:tcPr>
            <w:tcW w:w="0" w:type="dxa"/>
            <w:vAlign w:val="bottom"/>
          </w:tcPr>
          <w:p>
            <w:pPr>
              <w:spacing w:after="0"/>
              <w:rPr>
                <w:sz w:val="1"/>
                <w:szCs w:val="1"/>
                <w:color w:val="auto"/>
              </w:rPr>
            </w:pPr>
          </w:p>
        </w:tc>
      </w:tr>
      <w:tr>
        <w:trPr>
          <w:trHeight w:val="629"/>
        </w:trPr>
        <w:tc>
          <w:tcPr>
            <w:tcW w:w="940" w:type="dxa"/>
            <w:vAlign w:val="bottom"/>
          </w:tcPr>
          <w:p>
            <w:pPr>
              <w:spacing w:after="0"/>
              <w:rPr>
                <w:sz w:val="20"/>
                <w:szCs w:val="20"/>
                <w:color w:val="auto"/>
              </w:rPr>
            </w:pPr>
            <w:r>
              <w:rPr>
                <w:rFonts w:ascii="Arial" w:cs="Arial" w:eastAsia="Arial" w:hAnsi="Arial"/>
                <w:sz w:val="10"/>
                <w:szCs w:val="10"/>
                <w:color w:val="auto"/>
                <w:w w:val="95"/>
              </w:rPr>
              <w:t>(S + 6.75%)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11.32%/0.00%</w:t>
            </w:r>
          </w:p>
        </w:tc>
        <w:tc>
          <w:tcPr>
            <w:tcW w:w="640" w:type="dxa"/>
            <w:vAlign w:val="bottom"/>
          </w:tcPr>
          <w:p>
            <w:pPr>
              <w:ind w:left="100"/>
              <w:spacing w:after="0"/>
              <w:rPr>
                <w:sz w:val="20"/>
                <w:szCs w:val="20"/>
                <w:color w:val="auto"/>
              </w:rPr>
            </w:pPr>
            <w:r>
              <w:rPr>
                <w:rFonts w:ascii="Arial" w:cs="Arial" w:eastAsia="Arial" w:hAnsi="Arial"/>
                <w:sz w:val="10"/>
                <w:szCs w:val="10"/>
                <w:color w:val="auto"/>
              </w:rPr>
              <w:t>6/28/2021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22,218</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22,180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22,218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+ 6.75%) / (1.00%)</w:t>
            </w:r>
          </w:p>
        </w:tc>
        <w:tc>
          <w:tcPr>
            <w:tcW w:w="720" w:type="dxa"/>
            <w:vAlign w:val="bottom"/>
          </w:tcPr>
          <w:p>
            <w:pPr>
              <w:ind w:left="40"/>
              <w:spacing w:after="0"/>
              <w:rPr>
                <w:sz w:val="20"/>
                <w:szCs w:val="20"/>
                <w:color w:val="auto"/>
              </w:rPr>
            </w:pPr>
            <w:r>
              <w:rPr>
                <w:rFonts w:ascii="Arial" w:cs="Arial" w:eastAsia="Arial" w:hAnsi="Arial"/>
                <w:sz w:val="10"/>
                <w:szCs w:val="10"/>
                <w:color w:val="auto"/>
              </w:rPr>
              <w:t>8.82%/0.00%</w:t>
            </w:r>
          </w:p>
        </w:tc>
        <w:tc>
          <w:tcPr>
            <w:tcW w:w="640" w:type="dxa"/>
            <w:vAlign w:val="bottom"/>
          </w:tcPr>
          <w:p>
            <w:pPr>
              <w:ind w:left="100"/>
              <w:spacing w:after="0"/>
              <w:rPr>
                <w:sz w:val="20"/>
                <w:szCs w:val="20"/>
                <w:color w:val="auto"/>
              </w:rPr>
            </w:pPr>
            <w:r>
              <w:rPr>
                <w:rFonts w:ascii="Arial" w:cs="Arial" w:eastAsia="Arial" w:hAnsi="Arial"/>
                <w:sz w:val="10"/>
                <w:szCs w:val="10"/>
                <w:color w:val="auto"/>
              </w:rPr>
              <w:t>6/28/2021</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330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330</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328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15.25%/0.00%</w:t>
            </w:r>
          </w:p>
        </w:tc>
        <w:tc>
          <w:tcPr>
            <w:tcW w:w="640" w:type="dxa"/>
            <w:vAlign w:val="bottom"/>
          </w:tcPr>
          <w:p>
            <w:pPr>
              <w:ind w:left="100"/>
              <w:spacing w:after="0"/>
              <w:rPr>
                <w:sz w:val="20"/>
                <w:szCs w:val="20"/>
                <w:color w:val="auto"/>
              </w:rPr>
            </w:pPr>
            <w:r>
              <w:rPr>
                <w:rFonts w:ascii="Arial" w:cs="Arial" w:eastAsia="Arial" w:hAnsi="Arial"/>
                <w:sz w:val="10"/>
                <w:szCs w:val="10"/>
                <w:color w:val="auto"/>
              </w:rPr>
              <w:t>3/28/2024</w:t>
            </w:r>
          </w:p>
        </w:tc>
        <w:tc>
          <w:tcPr>
            <w:tcW w:w="620" w:type="dxa"/>
            <w:vAlign w:val="bottom"/>
          </w:tcPr>
          <w:p>
            <w:pPr>
              <w:ind w:left="100"/>
              <w:spacing w:after="0"/>
              <w:rPr>
                <w:sz w:val="20"/>
                <w:szCs w:val="20"/>
                <w:color w:val="auto"/>
              </w:rPr>
            </w:pPr>
            <w:r>
              <w:rPr>
                <w:rFonts w:ascii="Arial" w:cs="Arial" w:eastAsia="Arial" w:hAnsi="Arial"/>
                <w:sz w:val="10"/>
                <w:szCs w:val="10"/>
                <w:color w:val="auto"/>
              </w:rPr>
              <w:t>3/31/2028</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5,864</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5,864</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5,864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5/31/2018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500</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8/6/2019</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250</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11/2/2020</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171</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12/29/2021</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97</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11/27/2024</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52</w:t>
            </w:r>
          </w:p>
        </w:tc>
        <w:tc>
          <w:tcPr>
            <w:tcW w:w="2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12/30/2024</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312</w:t>
            </w: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12/30/2024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w w:val="97"/>
              </w:rPr>
              <w:t>29,756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28,722</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10.58%/0.00%</w:t>
            </w:r>
          </w:p>
        </w:tc>
        <w:tc>
          <w:tcPr>
            <w:tcW w:w="640" w:type="dxa"/>
            <w:vAlign w:val="bottom"/>
          </w:tcPr>
          <w:p>
            <w:pPr>
              <w:ind w:left="100"/>
              <w:spacing w:after="0"/>
              <w:rPr>
                <w:sz w:val="20"/>
                <w:szCs w:val="20"/>
                <w:color w:val="auto"/>
              </w:rPr>
            </w:pPr>
            <w:r>
              <w:rPr>
                <w:rFonts w:ascii="Arial" w:cs="Arial" w:eastAsia="Arial" w:hAnsi="Arial"/>
                <w:sz w:val="10"/>
                <w:szCs w:val="10"/>
                <w:color w:val="auto"/>
              </w:rPr>
              <w:t>7/8/2022</w:t>
            </w:r>
          </w:p>
        </w:tc>
        <w:tc>
          <w:tcPr>
            <w:tcW w:w="620" w:type="dxa"/>
            <w:vAlign w:val="bottom"/>
          </w:tcPr>
          <w:p>
            <w:pPr>
              <w:ind w:left="100"/>
              <w:spacing w:after="0"/>
              <w:rPr>
                <w:sz w:val="20"/>
                <w:szCs w:val="20"/>
                <w:color w:val="auto"/>
              </w:rPr>
            </w:pPr>
            <w:r>
              <w:rPr>
                <w:rFonts w:ascii="Arial" w:cs="Arial" w:eastAsia="Arial" w:hAnsi="Arial"/>
                <w:sz w:val="10"/>
                <w:szCs w:val="10"/>
                <w:color w:val="auto"/>
              </w:rPr>
              <w:t>7/8/2027</w:t>
            </w:r>
          </w:p>
        </w:tc>
        <w:tc>
          <w:tcPr>
            <w:tcW w:w="16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7,340</w:t>
            </w:r>
          </w:p>
        </w:tc>
        <w:tc>
          <w:tcPr>
            <w:tcW w:w="200" w:type="dxa"/>
            <w:vAlign w:val="bottom"/>
          </w:tcPr>
          <w:p>
            <w:pPr>
              <w:spacing w:after="0"/>
              <w:rPr>
                <w:sz w:val="24"/>
                <w:szCs w:val="2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7,316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-8714105</wp:posOffset>
            </wp:positionV>
            <wp:extent cx="5967730" cy="1041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-8505190</wp:posOffset>
            </wp:positionV>
            <wp:extent cx="5967730" cy="1993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-7700645</wp:posOffset>
            </wp:positionV>
            <wp:extent cx="5967730" cy="104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-6990715</wp:posOffset>
            </wp:positionV>
            <wp:extent cx="5967730" cy="1041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-6686550</wp:posOffset>
            </wp:positionV>
            <wp:extent cx="5967730" cy="1993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-6287770</wp:posOffset>
            </wp:positionV>
            <wp:extent cx="5967730" cy="1993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-5482590</wp:posOffset>
            </wp:positionV>
            <wp:extent cx="5967730" cy="1041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-5178425</wp:posOffset>
            </wp:positionV>
            <wp:extent cx="5967730" cy="1993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-9046845</wp:posOffset>
            </wp:positionV>
            <wp:extent cx="5967730" cy="90874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7730" cy="908748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-9046845</wp:posOffset>
            </wp:positionV>
            <wp:extent cx="5967730" cy="90874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7730" cy="908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15 </w:t>
      </w:r>
      <w:r>
        <w:rPr>
          <w:rFonts w:ascii="Arial" w:cs="Arial" w:eastAsia="Arial" w:hAnsi="Arial"/>
          <w:sz w:val="14"/>
          <w:szCs w:val="14"/>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hanging="70"/>
        <w:spacing w:after="0"/>
        <w:tabs>
          <w:tab w:leader="none" w:pos="120" w:val="left"/>
        </w:tabs>
        <w:numPr>
          <w:ilvl w:val="0"/>
          <w:numId w:val="11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40"/>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9"/>
          <w:szCs w:val="19"/>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hanging="70"/>
        <w:spacing w:after="0"/>
        <w:tabs>
          <w:tab w:leader="none" w:pos="120" w:val="left"/>
        </w:tabs>
        <w:numPr>
          <w:ilvl w:val="0"/>
          <w:numId w:val="11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ind w:left="40"/>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9"/>
          <w:szCs w:val="19"/>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4 </w:t>
      </w:r>
      <w:r>
        <w:rPr>
          <w:rFonts w:ascii="Arial" w:cs="Arial" w:eastAsia="Arial" w:hAnsi="Arial"/>
          <w:sz w:val="19"/>
          <w:szCs w:val="19"/>
          <w:color w:val="auto"/>
          <w:vertAlign w:val="subscript"/>
        </w:rPr>
        <w:t>%</w:t>
      </w:r>
    </w:p>
    <w:p>
      <w:pPr>
        <w:spacing w:after="0" w:line="703" w:lineRule="exact"/>
        <w:rPr>
          <w:sz w:val="20"/>
          <w:szCs w:val="20"/>
          <w:color w:val="auto"/>
        </w:rPr>
      </w:pPr>
    </w:p>
    <w:p>
      <w:pPr>
        <w:sectPr>
          <w:pgSz w:w="11900" w:h="16838" w:orient="portrait"/>
          <w:cols w:equalWidth="0" w:num="3">
            <w:col w:w="3560" w:space="460"/>
            <w:col w:w="4640" w:space="520"/>
            <w:col w:w="200"/>
          </w:cols>
          <w:pgMar w:left="1260" w:top="1184" w:right="1266"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9380"/>
          </w:cols>
          <w:pgMar w:left="1260" w:top="1184" w:right="1266" w:bottom="0"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115"/>
        </w:trPr>
        <w:tc>
          <w:tcPr>
            <w:tcW w:w="3240" w:type="dxa"/>
            <w:vAlign w:val="bottom"/>
            <w:vMerge w:val="restart"/>
          </w:tcPr>
          <w:p>
            <w:pPr>
              <w:ind w:left="20"/>
              <w:spacing w:after="0"/>
              <w:rPr>
                <w:sz w:val="20"/>
                <w:szCs w:val="20"/>
                <w:color w:val="auto"/>
              </w:rPr>
            </w:pPr>
            <w:r>
              <w:rPr>
                <w:rFonts w:ascii="Arial" w:cs="Arial" w:eastAsia="Arial" w:hAnsi="Arial"/>
                <w:sz w:val="10"/>
                <w:szCs w:val="10"/>
                <w:color w:val="auto"/>
              </w:rPr>
              <w:t>Subordinated Debt (j)</w:t>
            </w:r>
          </w:p>
        </w:tc>
        <w:tc>
          <w:tcPr>
            <w:tcW w:w="2420" w:type="dxa"/>
            <w:vAlign w:val="bottom"/>
          </w:tcPr>
          <w:p>
            <w:pPr>
              <w:jc w:val="right"/>
              <w:ind w:right="70"/>
              <w:spacing w:after="0"/>
              <w:rPr>
                <w:sz w:val="20"/>
                <w:szCs w:val="20"/>
                <w:color w:val="auto"/>
              </w:rPr>
            </w:pPr>
            <w:r>
              <w:rPr>
                <w:rFonts w:ascii="Arial" w:cs="Arial" w:eastAsia="Arial" w:hAnsi="Arial"/>
                <w:sz w:val="10"/>
                <w:szCs w:val="10"/>
                <w:color w:val="auto"/>
              </w:rPr>
              <w:t>7.00%/7.00%</w:t>
            </w: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7/8/2022</w:t>
            </w:r>
          </w:p>
        </w:tc>
        <w:tc>
          <w:tcPr>
            <w:tcW w:w="700" w:type="dxa"/>
            <w:vAlign w:val="bottom"/>
          </w:tcPr>
          <w:p>
            <w:pPr>
              <w:jc w:val="right"/>
              <w:ind w:right="170"/>
              <w:spacing w:after="0"/>
              <w:rPr>
                <w:sz w:val="20"/>
                <w:szCs w:val="20"/>
                <w:color w:val="auto"/>
              </w:rPr>
            </w:pPr>
            <w:r>
              <w:rPr>
                <w:rFonts w:ascii="Arial" w:cs="Arial" w:eastAsia="Arial" w:hAnsi="Arial"/>
                <w:sz w:val="10"/>
                <w:szCs w:val="10"/>
                <w:color w:val="auto"/>
              </w:rPr>
              <w:t>1/8/2028</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2,382</w:t>
            </w: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2,377</w:t>
            </w:r>
          </w:p>
        </w:tc>
        <w:tc>
          <w:tcPr>
            <w:tcW w:w="740" w:type="dxa"/>
            <w:vAlign w:val="bottom"/>
          </w:tcPr>
          <w:p>
            <w:pPr>
              <w:jc w:val="right"/>
              <w:ind w:right="230"/>
              <w:spacing w:after="0"/>
              <w:rPr>
                <w:sz w:val="20"/>
                <w:szCs w:val="20"/>
                <w:color w:val="auto"/>
              </w:rPr>
            </w:pPr>
            <w:r>
              <w:rPr>
                <w:rFonts w:ascii="Arial" w:cs="Arial" w:eastAsia="Arial" w:hAnsi="Arial"/>
                <w:sz w:val="10"/>
                <w:szCs w:val="10"/>
                <w:color w:val="auto"/>
              </w:rPr>
              <w:t>2,382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24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240" w:type="dxa"/>
            <w:vAlign w:val="bottom"/>
            <w:shd w:val="clear" w:color="auto" w:fill="CFF0FC"/>
          </w:tcPr>
          <w:p>
            <w:pPr>
              <w:ind w:left="20"/>
              <w:spacing w:after="0"/>
              <w:rPr>
                <w:sz w:val="20"/>
                <w:szCs w:val="20"/>
                <w:color w:val="auto"/>
              </w:rPr>
            </w:pPr>
            <w:r>
              <w:rPr>
                <w:rFonts w:ascii="Arial" w:cs="Arial" w:eastAsia="Arial" w:hAnsi="Arial"/>
                <w:sz w:val="10"/>
                <w:szCs w:val="10"/>
                <w:color w:val="auto"/>
              </w:rPr>
              <w:t>Common Equity (1,000 units) (h)(j)</w:t>
            </w:r>
          </w:p>
        </w:tc>
        <w:tc>
          <w:tcPr>
            <w:tcW w:w="242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rPr>
              <w:t>7/8/2022</w:t>
            </w:r>
          </w:p>
        </w:tc>
        <w:tc>
          <w:tcPr>
            <w:tcW w:w="7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rPr>
              <w:t>1,000</w:t>
            </w:r>
          </w:p>
        </w:tc>
        <w:tc>
          <w:tcPr>
            <w:tcW w:w="7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rPr>
              <w:t>1,392</w:t>
            </w:r>
          </w:p>
        </w:tc>
        <w:tc>
          <w:tcPr>
            <w:tcW w:w="4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3240" w:type="dxa"/>
            <w:vAlign w:val="bottom"/>
            <w:shd w:val="clear" w:color="auto" w:fill="CFF0FC"/>
          </w:tcPr>
          <w:p>
            <w:pPr>
              <w:spacing w:after="0"/>
              <w:rPr>
                <w:sz w:val="5"/>
                <w:szCs w:val="5"/>
                <w:color w:val="auto"/>
              </w:rPr>
            </w:pPr>
          </w:p>
        </w:tc>
        <w:tc>
          <w:tcPr>
            <w:tcW w:w="242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3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10,693</w:t>
            </w:r>
          </w:p>
        </w:tc>
        <w:tc>
          <w:tcPr>
            <w:tcW w:w="740" w:type="dxa"/>
            <w:vAlign w:val="bottom"/>
          </w:tcPr>
          <w:p>
            <w:pPr>
              <w:jc w:val="right"/>
              <w:ind w:right="230"/>
              <w:spacing w:after="0"/>
              <w:rPr>
                <w:sz w:val="20"/>
                <w:szCs w:val="20"/>
                <w:color w:val="auto"/>
              </w:rPr>
            </w:pPr>
            <w:r>
              <w:rPr>
                <w:rFonts w:ascii="Arial" w:cs="Arial" w:eastAsia="Arial" w:hAnsi="Arial"/>
                <w:sz w:val="10"/>
                <w:szCs w:val="10"/>
                <w:color w:val="auto"/>
              </w:rPr>
              <w:t>11,114</w:t>
            </w:r>
          </w:p>
        </w:tc>
        <w:tc>
          <w:tcPr>
            <w:tcW w:w="460" w:type="dxa"/>
            <w:vAlign w:val="bottom"/>
          </w:tcPr>
          <w:p>
            <w:pPr>
              <w:jc w:val="right"/>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967730" cy="1041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-191770</wp:posOffset>
            </wp:positionV>
            <wp:extent cx="72644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440" cy="63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AOM Intermediate Holdco, LLC (dba AllOver Media) </w:t>
      </w:r>
      <w:r>
        <w:rPr>
          <w:rFonts w:ascii="Arial" w:cs="Arial" w:eastAsia="Arial" w:hAnsi="Arial"/>
          <w:sz w:val="10"/>
          <w:szCs w:val="10"/>
          <w:color w:val="auto"/>
        </w:rPr>
        <w:t>Information Technology Services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7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9400"/>
          </w:cols>
          <w:pgMar w:left="1260" w:top="1270" w:right="1246" w:bottom="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(1,232 units) (h)(j)</w:t>
      </w: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APM Intermediate Holdings, LLC (dba Artistic Paver</w:t>
      </w:r>
    </w:p>
    <w:p>
      <w:pPr>
        <w:spacing w:after="0" w:line="3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Manufacturing, Inc.)</w:t>
      </w:r>
      <w:r>
        <w:rPr>
          <w:sz w:val="20"/>
          <w:szCs w:val="20"/>
          <w:color w:val="auto"/>
        </w:rPr>
        <w:tab/>
      </w:r>
      <w:r>
        <w:rPr>
          <w:rFonts w:ascii="Arial" w:cs="Arial" w:eastAsia="Arial" w:hAnsi="Arial"/>
          <w:sz w:val="9"/>
          <w:szCs w:val="9"/>
          <w:color w:val="auto"/>
        </w:rPr>
        <w:t>Building Products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(ai)</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(1,200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Auto CRM LLC (dba Dealer Holdings)</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(500 units) (j)</w:t>
      </w:r>
    </w:p>
    <w:p>
      <w:pPr>
        <w:spacing w:after="0" w:line="200" w:lineRule="exact"/>
        <w:rPr>
          <w:sz w:val="20"/>
          <w:szCs w:val="20"/>
          <w:color w:val="auto"/>
        </w:rPr>
      </w:pPr>
    </w:p>
    <w:p>
      <w:pPr>
        <w:spacing w:after="0" w:line="20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Axis Medical Technologies LLC (dba MoveMedical)</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($800 unfunded commitment) (j)(x)</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(1,200,000 units) (j)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2/1/2022</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1,372</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1,459</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r>
      <w:tr>
        <w:trPr>
          <w:trHeight w:val="752"/>
        </w:trPr>
        <w:tc>
          <w:tcPr>
            <w:tcW w:w="940" w:type="dxa"/>
            <w:vAlign w:val="bottom"/>
          </w:tcPr>
          <w:p>
            <w:pPr>
              <w:spacing w:after="0"/>
              <w:rPr>
                <w:sz w:val="20"/>
                <w:szCs w:val="20"/>
                <w:color w:val="auto"/>
              </w:rPr>
            </w:pPr>
            <w:r>
              <w:rPr>
                <w:rFonts w:ascii="Arial" w:cs="Arial" w:eastAsia="Arial" w:hAnsi="Arial"/>
                <w:sz w:val="10"/>
                <w:szCs w:val="10"/>
                <w:color w:val="auto"/>
                <w:w w:val="95"/>
              </w:rPr>
              <w:t>(S + 7.25%)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11.84%/0.00%</w:t>
            </w:r>
          </w:p>
        </w:tc>
        <w:tc>
          <w:tcPr>
            <w:tcW w:w="640" w:type="dxa"/>
            <w:vAlign w:val="bottom"/>
          </w:tcPr>
          <w:p>
            <w:pPr>
              <w:ind w:left="100"/>
              <w:spacing w:after="0"/>
              <w:rPr>
                <w:sz w:val="20"/>
                <w:szCs w:val="20"/>
                <w:color w:val="auto"/>
              </w:rPr>
            </w:pPr>
            <w:r>
              <w:rPr>
                <w:rFonts w:ascii="Arial" w:cs="Arial" w:eastAsia="Arial" w:hAnsi="Arial"/>
                <w:sz w:val="10"/>
                <w:szCs w:val="10"/>
                <w:color w:val="auto"/>
              </w:rPr>
              <w:t>11/8/2022</w:t>
            </w:r>
          </w:p>
        </w:tc>
        <w:tc>
          <w:tcPr>
            <w:tcW w:w="680" w:type="dxa"/>
            <w:vAlign w:val="bottom"/>
          </w:tcPr>
          <w:p>
            <w:pPr>
              <w:ind w:left="100"/>
              <w:spacing w:after="0"/>
              <w:rPr>
                <w:sz w:val="20"/>
                <w:szCs w:val="20"/>
                <w:color w:val="auto"/>
              </w:rPr>
            </w:pPr>
            <w:r>
              <w:rPr>
                <w:rFonts w:ascii="Arial" w:cs="Arial" w:eastAsia="Arial" w:hAnsi="Arial"/>
                <w:sz w:val="10"/>
                <w:szCs w:val="10"/>
                <w:color w:val="auto"/>
              </w:rPr>
              <w:t>11/8/2027</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18,200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18,126</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17,808</w:t>
            </w:r>
          </w:p>
        </w:tc>
        <w:tc>
          <w:tcPr>
            <w:tcW w:w="44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11/8/2022</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1,200</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644</w:t>
            </w:r>
          </w:p>
        </w:tc>
        <w:tc>
          <w:tcPr>
            <w:tcW w:w="440" w:type="dxa"/>
            <w:vAlign w:val="bottom"/>
          </w:tcPr>
          <w:p>
            <w:pPr>
              <w:spacing w:after="0"/>
              <w:rPr>
                <w:sz w:val="24"/>
                <w:szCs w:val="24"/>
                <w:color w:val="auto"/>
              </w:rPr>
            </w:pPr>
          </w:p>
        </w:tc>
      </w:tr>
      <w:tr>
        <w:trPr>
          <w:trHeight w:val="356"/>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19,326</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18,452</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9"/>
                <w:szCs w:val="19"/>
                <w:color w:val="auto"/>
                <w:vertAlign w:val="subscript"/>
              </w:rPr>
              <w:t>%</w:t>
            </w:r>
          </w:p>
        </w:tc>
      </w:tr>
      <w:tr>
        <w:trPr>
          <w:trHeight w:val="438"/>
        </w:trPr>
        <w:tc>
          <w:tcPr>
            <w:tcW w:w="9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0.00%/14.50%</w:t>
            </w:r>
          </w:p>
        </w:tc>
        <w:tc>
          <w:tcPr>
            <w:tcW w:w="640" w:type="dxa"/>
            <w:vAlign w:val="bottom"/>
          </w:tcPr>
          <w:p>
            <w:pPr>
              <w:ind w:left="100"/>
              <w:spacing w:after="0"/>
              <w:rPr>
                <w:sz w:val="20"/>
                <w:szCs w:val="20"/>
                <w:color w:val="auto"/>
              </w:rPr>
            </w:pPr>
            <w:r>
              <w:rPr>
                <w:rFonts w:ascii="Arial" w:cs="Arial" w:eastAsia="Arial" w:hAnsi="Arial"/>
                <w:sz w:val="10"/>
                <w:szCs w:val="10"/>
                <w:color w:val="auto"/>
              </w:rPr>
              <w:t>10/1/2021</w:t>
            </w:r>
          </w:p>
        </w:tc>
        <w:tc>
          <w:tcPr>
            <w:tcW w:w="680" w:type="dxa"/>
            <w:vAlign w:val="bottom"/>
          </w:tcPr>
          <w:p>
            <w:pPr>
              <w:ind w:left="100"/>
              <w:spacing w:after="0"/>
              <w:rPr>
                <w:sz w:val="20"/>
                <w:szCs w:val="20"/>
                <w:color w:val="auto"/>
              </w:rPr>
            </w:pPr>
            <w:r>
              <w:rPr>
                <w:rFonts w:ascii="Arial" w:cs="Arial" w:eastAsia="Arial" w:hAnsi="Arial"/>
                <w:sz w:val="10"/>
                <w:szCs w:val="10"/>
                <w:color w:val="auto"/>
              </w:rPr>
              <w:t>12/31/2028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784</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782</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783</w:t>
            </w:r>
          </w:p>
        </w:tc>
        <w:tc>
          <w:tcPr>
            <w:tcW w:w="440" w:type="dxa"/>
            <w:vAlign w:val="bottom"/>
          </w:tcPr>
          <w:p>
            <w:pPr>
              <w:spacing w:after="0"/>
              <w:rPr>
                <w:sz w:val="24"/>
                <w:szCs w:val="24"/>
                <w:color w:val="auto"/>
              </w:rPr>
            </w:pPr>
          </w:p>
        </w:tc>
      </w:tr>
      <w:tr>
        <w:trPr>
          <w:trHeight w:val="314"/>
        </w:trPr>
        <w:tc>
          <w:tcPr>
            <w:tcW w:w="9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0.00%/14.50%</w:t>
            </w:r>
          </w:p>
        </w:tc>
        <w:tc>
          <w:tcPr>
            <w:tcW w:w="640" w:type="dxa"/>
            <w:vAlign w:val="bottom"/>
          </w:tcPr>
          <w:p>
            <w:pPr>
              <w:ind w:left="100"/>
              <w:spacing w:after="0"/>
              <w:rPr>
                <w:sz w:val="20"/>
                <w:szCs w:val="20"/>
                <w:color w:val="auto"/>
              </w:rPr>
            </w:pPr>
            <w:r>
              <w:rPr>
                <w:rFonts w:ascii="Arial" w:cs="Arial" w:eastAsia="Arial" w:hAnsi="Arial"/>
                <w:sz w:val="10"/>
                <w:szCs w:val="10"/>
                <w:color w:val="auto"/>
              </w:rPr>
              <w:t>12/30/2024</w:t>
            </w:r>
          </w:p>
        </w:tc>
        <w:tc>
          <w:tcPr>
            <w:tcW w:w="680" w:type="dxa"/>
            <w:vAlign w:val="bottom"/>
          </w:tcPr>
          <w:p>
            <w:pPr>
              <w:ind w:left="100"/>
              <w:spacing w:after="0"/>
              <w:rPr>
                <w:sz w:val="20"/>
                <w:szCs w:val="20"/>
                <w:color w:val="auto"/>
              </w:rPr>
            </w:pPr>
            <w:r>
              <w:rPr>
                <w:rFonts w:ascii="Arial" w:cs="Arial" w:eastAsia="Arial" w:hAnsi="Arial"/>
                <w:sz w:val="10"/>
                <w:szCs w:val="10"/>
                <w:color w:val="auto"/>
              </w:rPr>
              <w:t>12/31/2028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1,722</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1,722</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1,722</w:t>
            </w:r>
          </w:p>
        </w:tc>
        <w:tc>
          <w:tcPr>
            <w:tcW w:w="44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10/1/2021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500</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291</w:t>
            </w:r>
          </w:p>
        </w:tc>
        <w:tc>
          <w:tcPr>
            <w:tcW w:w="440" w:type="dxa"/>
            <w:vAlign w:val="bottom"/>
          </w:tcPr>
          <w:p>
            <w:pPr>
              <w:spacing w:after="0"/>
              <w:rPr>
                <w:sz w:val="24"/>
                <w:szCs w:val="24"/>
                <w:color w:val="auto"/>
              </w:rPr>
            </w:pPr>
          </w:p>
        </w:tc>
      </w:tr>
      <w:tr>
        <w:trPr>
          <w:trHeight w:val="356"/>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3,004</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2,796</w:t>
            </w:r>
          </w:p>
        </w:tc>
        <w:tc>
          <w:tcPr>
            <w:tcW w:w="440" w:type="dxa"/>
            <w:vAlign w:val="bottom"/>
          </w:tcPr>
          <w:p>
            <w:pPr>
              <w:jc w:val="right"/>
              <w:spacing w:after="0"/>
              <w:rPr>
                <w:sz w:val="20"/>
                <w:szCs w:val="20"/>
                <w:color w:val="auto"/>
              </w:rPr>
            </w:pPr>
            <w:r>
              <w:rPr>
                <w:rFonts w:ascii="Arial" w:cs="Arial" w:eastAsia="Arial" w:hAnsi="Arial"/>
                <w:sz w:val="10"/>
                <w:szCs w:val="10"/>
                <w:color w:val="auto"/>
              </w:rPr>
              <w:t xml:space="preserve">0 </w:t>
            </w:r>
            <w:r>
              <w:rPr>
                <w:rFonts w:ascii="Arial" w:cs="Arial" w:eastAsia="Arial" w:hAnsi="Arial"/>
                <w:sz w:val="19"/>
                <w:szCs w:val="19"/>
                <w:color w:val="auto"/>
                <w:vertAlign w:val="subscript"/>
              </w:rPr>
              <w:t>%</w:t>
            </w:r>
          </w:p>
        </w:tc>
      </w:tr>
      <w:tr>
        <w:trPr>
          <w:trHeight w:val="438"/>
        </w:trPr>
        <w:tc>
          <w:tcPr>
            <w:tcW w:w="940" w:type="dxa"/>
            <w:vAlign w:val="bottom"/>
          </w:tcPr>
          <w:p>
            <w:pPr>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11.13%/0.00%</w:t>
            </w:r>
          </w:p>
        </w:tc>
        <w:tc>
          <w:tcPr>
            <w:tcW w:w="640" w:type="dxa"/>
            <w:vAlign w:val="bottom"/>
          </w:tcPr>
          <w:p>
            <w:pPr>
              <w:ind w:left="100"/>
              <w:spacing w:after="0"/>
              <w:rPr>
                <w:sz w:val="20"/>
                <w:szCs w:val="20"/>
                <w:color w:val="auto"/>
              </w:rPr>
            </w:pPr>
            <w:r>
              <w:rPr>
                <w:rFonts w:ascii="Arial" w:cs="Arial" w:eastAsia="Arial" w:hAnsi="Arial"/>
                <w:sz w:val="10"/>
                <w:szCs w:val="10"/>
                <w:color w:val="auto"/>
              </w:rPr>
              <w:t>10/24/2024</w:t>
            </w:r>
          </w:p>
        </w:tc>
        <w:tc>
          <w:tcPr>
            <w:tcW w:w="680" w:type="dxa"/>
            <w:vAlign w:val="bottom"/>
          </w:tcPr>
          <w:p>
            <w:pPr>
              <w:ind w:left="100"/>
              <w:spacing w:after="0"/>
              <w:rPr>
                <w:sz w:val="20"/>
                <w:szCs w:val="20"/>
                <w:color w:val="auto"/>
              </w:rPr>
            </w:pPr>
            <w:r>
              <w:rPr>
                <w:rFonts w:ascii="Arial" w:cs="Arial" w:eastAsia="Arial" w:hAnsi="Arial"/>
                <w:sz w:val="10"/>
                <w:szCs w:val="10"/>
                <w:color w:val="auto"/>
              </w:rPr>
              <w:t>10/24/2029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13,600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13,535</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13,535</w:t>
            </w:r>
          </w:p>
        </w:tc>
        <w:tc>
          <w:tcPr>
            <w:tcW w:w="440" w:type="dxa"/>
            <w:vAlign w:val="bottom"/>
          </w:tcPr>
          <w:p>
            <w:pPr>
              <w:spacing w:after="0"/>
              <w:rPr>
                <w:sz w:val="24"/>
                <w:szCs w:val="24"/>
                <w:color w:val="auto"/>
              </w:rPr>
            </w:pPr>
          </w:p>
        </w:tc>
      </w:tr>
      <w:tr>
        <w:trPr>
          <w:trHeight w:val="356"/>
        </w:trPr>
        <w:tc>
          <w:tcPr>
            <w:tcW w:w="940" w:type="dxa"/>
            <w:vAlign w:val="bottom"/>
          </w:tcPr>
          <w:p>
            <w:pPr>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11.13%/0.00%</w:t>
            </w:r>
          </w:p>
        </w:tc>
        <w:tc>
          <w:tcPr>
            <w:tcW w:w="640" w:type="dxa"/>
            <w:vAlign w:val="bottom"/>
          </w:tcPr>
          <w:p>
            <w:pPr>
              <w:ind w:left="100"/>
              <w:spacing w:after="0"/>
              <w:rPr>
                <w:sz w:val="20"/>
                <w:szCs w:val="20"/>
                <w:color w:val="auto"/>
              </w:rPr>
            </w:pPr>
            <w:r>
              <w:rPr>
                <w:rFonts w:ascii="Arial" w:cs="Arial" w:eastAsia="Arial" w:hAnsi="Arial"/>
                <w:sz w:val="10"/>
                <w:szCs w:val="10"/>
                <w:color w:val="auto"/>
              </w:rPr>
              <w:t>10/24/2024</w:t>
            </w:r>
          </w:p>
        </w:tc>
        <w:tc>
          <w:tcPr>
            <w:tcW w:w="680" w:type="dxa"/>
            <w:vAlign w:val="bottom"/>
          </w:tcPr>
          <w:p>
            <w:pPr>
              <w:ind w:left="100"/>
              <w:spacing w:after="0"/>
              <w:rPr>
                <w:sz w:val="20"/>
                <w:szCs w:val="20"/>
                <w:color w:val="auto"/>
              </w:rPr>
            </w:pPr>
            <w:r>
              <w:rPr>
                <w:rFonts w:ascii="Arial" w:cs="Arial" w:eastAsia="Arial" w:hAnsi="Arial"/>
                <w:sz w:val="10"/>
                <w:szCs w:val="10"/>
                <w:color w:val="auto"/>
              </w:rPr>
              <w:t>10/24/2029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0"/>
              <w:spacing w:after="0"/>
              <w:rPr>
                <w:sz w:val="20"/>
                <w:szCs w:val="20"/>
                <w:color w:val="auto"/>
              </w:rPr>
            </w:pPr>
            <w:r>
              <w:rPr>
                <w:rFonts w:ascii="Arial" w:cs="Arial" w:eastAsia="Arial" w:hAnsi="Arial"/>
                <w:sz w:val="10"/>
                <w:szCs w:val="10"/>
                <w:color w:val="auto"/>
              </w:rPr>
              <w:t xml:space="preserve">(4 </w:t>
            </w:r>
            <w:r>
              <w:rPr>
                <w:rFonts w:ascii="Arial" w:cs="Arial" w:eastAsia="Arial" w:hAnsi="Arial"/>
                <w:sz w:val="19"/>
                <w:szCs w:val="19"/>
                <w:color w:val="auto"/>
                <w:vertAlign w:val="subscript"/>
              </w:rPr>
              <w:t>)</w:t>
            </w:r>
          </w:p>
        </w:tc>
        <w:tc>
          <w:tcPr>
            <w:tcW w:w="70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-2308225</wp:posOffset>
            </wp:positionV>
            <wp:extent cx="5967730" cy="1041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-2004060</wp:posOffset>
            </wp:positionV>
            <wp:extent cx="5967730" cy="1993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-1604645</wp:posOffset>
            </wp:positionV>
            <wp:extent cx="5967730" cy="16192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7730" cy="1619250"/>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3580" w:space="460"/>
            <w:col w:w="534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9380"/>
          </w:cols>
          <w:pgMar w:left="1260" w:top="1440" w:right="1266" w:bottom="0" w:gutter="0" w:footer="0" w:header="0"/>
          <w:type w:val="continuous"/>
        </w:sectPr>
      </w:pPr>
    </w:p>
    <w:bookmarkStart w:id="221" w:name="page222"/>
    <w:bookmarkEnd w:id="221"/>
    <w:p>
      <w:pPr>
        <w:spacing w:after="0" w:line="86" w:lineRule="exact"/>
        <w:rPr>
          <w:sz w:val="20"/>
          <w:szCs w:val="20"/>
          <w:color w:val="auto"/>
        </w:rPr>
      </w:pPr>
    </w:p>
    <w:p>
      <w:pPr>
        <w:spacing w:after="0"/>
        <w:rPr>
          <w:sz w:val="20"/>
          <w:szCs w:val="20"/>
          <w:color w:val="auto"/>
        </w:rPr>
      </w:pPr>
      <w:r>
        <w:rPr>
          <w:rFonts w:ascii="Arial" w:cs="Arial" w:eastAsia="Arial" w:hAnsi="Arial"/>
          <w:sz w:val="10"/>
          <w:szCs w:val="10"/>
          <w:color w:val="auto"/>
        </w:rPr>
        <w:t>10/25/2024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1,148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14,679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14,683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Bad Boy Mowers JV Acquisition,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Consumer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9.00%/4.50%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11/9/2023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11/9/2030</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13,695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13,626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13,695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(13,000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11/9/2023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1,300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22</w:t>
      </w:r>
    </w:p>
    <w:p>
      <w:pPr>
        <w:sectPr>
          <w:pgSz w:w="11900" w:h="16838" w:orient="portrait"/>
          <w:cols w:equalWidth="0" w:num="1">
            <w:col w:w="9400"/>
          </w:cols>
          <w:pgMar w:left="1260" w:top="1440" w:right="1246" w:bottom="0" w:gutter="0" w:footer="0" w:header="0"/>
          <w:type w:val="continuous"/>
        </w:sectPr>
      </w:pPr>
    </w:p>
    <w:bookmarkStart w:id="222" w:name="page223"/>
    <w:bookmarkEnd w:id="222"/>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14,926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15,133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Barefoot Mosquito and Pest Control,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Consumer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(k)(s)</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+ 6.50%)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11.02%/0.00%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11/27/2024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12/22/2029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26,800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26,800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26,800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(4,422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12/22/2023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(16,693 units) (h)(j)</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22</w:t>
      </w:r>
    </w:p>
    <w:p>
      <w:pPr>
        <w:sectPr>
          <w:pgSz w:w="11900" w:h="16838" w:orient="portrait"/>
          <w:cols w:equalWidth="0" w:num="1">
            <w:col w:w="9400"/>
          </w:cols>
          <w:pgMar w:left="1260" w:top="1440" w:right="1246" w:bottom="0" w:gutter="0" w:footer="0" w:header="0"/>
          <w:type w:val="continuous"/>
        </w:sectPr>
      </w:pPr>
    </w:p>
    <w:bookmarkStart w:id="223" w:name="page224"/>
    <w:bookmarkEnd w:id="223"/>
    <w:p>
      <w:pPr>
        <w:spacing w:after="0"/>
        <w:rPr>
          <w:sz w:val="20"/>
          <w:szCs w:val="20"/>
          <w:color w:val="auto"/>
        </w:rPr>
      </w:pPr>
      <w:r>
        <w:rPr>
          <w:rFonts w:ascii="Arial" w:cs="Arial" w:eastAsia="Arial" w:hAnsi="Arial"/>
          <w:sz w:val="10"/>
          <w:szCs w:val="10"/>
          <w:color w:val="auto"/>
        </w:rPr>
        <w:t>12/22/2023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28,469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28,536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BCM One Group Holdings,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11.75%/0.00%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11/17/2021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11/17/2028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17,667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17,562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17,667</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22</w:t>
      </w:r>
    </w:p>
    <w:p>
      <w:pPr>
        <w:sectPr>
          <w:pgSz w:w="11900" w:h="16838" w:orient="portrait"/>
          <w:cols w:equalWidth="0" w:num="1">
            <w:col w:w="9400"/>
          </w:cols>
          <w:pgMar w:left="1260" w:top="1256" w:right="1246" w:bottom="0" w:gutter="0" w:footer="0" w:header="0"/>
          <w:type w:val="continuous"/>
        </w:sectPr>
      </w:pPr>
    </w:p>
    <w:bookmarkStart w:id="224" w:name="page225"/>
    <w:bookmarkEnd w:id="224"/>
    <w:p>
      <w:pPr>
        <w:spacing w:after="0"/>
        <w:rPr>
          <w:sz w:val="20"/>
          <w:szCs w:val="20"/>
          <w:color w:val="auto"/>
        </w:rPr>
      </w:pPr>
      <w:r>
        <w:rPr>
          <w:rFonts w:ascii="Arial" w:cs="Arial" w:eastAsia="Arial" w:hAnsi="Arial"/>
          <w:sz w:val="10"/>
          <w:szCs w:val="10"/>
          <w:i w:val="1"/>
          <w:iCs w:val="1"/>
          <w:color w:val="auto"/>
        </w:rPr>
        <w:t>Bedford Precision Parts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Specialty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(500,000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3/12/2019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470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444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Brightmore Brands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(j)(al)</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+ 5.38%) / (1.50%)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9.97%/0.00%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9/13/2022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9/9/2029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23,675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24,000</w:t>
      </w:r>
    </w:p>
    <w:p>
      <w:pPr>
        <w:sectPr>
          <w:pgSz w:w="11900" w:h="16838" w:orient="portrait"/>
          <w:cols w:equalWidth="0" w:num="1">
            <w:col w:w="9400"/>
          </w:cols>
          <w:pgMar w:left="1260" w:top="129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22</w:t>
      </w:r>
    </w:p>
    <w:p>
      <w:pPr>
        <w:sectPr>
          <w:pgSz w:w="11900" w:h="16838" w:orient="portrait"/>
          <w:cols w:equalWidth="0" w:num="1">
            <w:col w:w="9400"/>
          </w:cols>
          <w:pgMar w:left="1260" w:top="1297" w:right="1246" w:bottom="0" w:gutter="0" w:footer="0" w:header="0"/>
          <w:type w:val="continuous"/>
        </w:sectPr>
      </w:pPr>
    </w:p>
    <w:bookmarkStart w:id="225" w:name="page226"/>
    <w:bookmarkEnd w:id="225"/>
    <w:p>
      <w:pPr>
        <w:spacing w:after="0" w:line="11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9/13/2022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1,856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(371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9/9/2024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25,388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26,588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Cardback Intermediate, LLC (dba Chargeback Gurus)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(j)(ah)</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+ 6.50%) / (0.75%)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11.35%/0.00%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8/10/2021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8/10/2026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8,927</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22</w:t>
      </w:r>
    </w:p>
    <w:p>
      <w:pPr>
        <w:sectPr>
          <w:pgSz w:w="11900" w:h="16838" w:orient="portrait"/>
          <w:cols w:equalWidth="0" w:num="1">
            <w:col w:w="9400"/>
          </w:cols>
          <w:pgMar w:left="1260" w:top="1440" w:right="1246" w:bottom="0" w:gutter="0" w:footer="0" w:header="0"/>
          <w:type w:val="continuous"/>
        </w:sectPr>
      </w:pPr>
    </w:p>
    <w:bookmarkStart w:id="226" w:name="page227"/>
    <w:bookmarkEnd w:id="226"/>
    <w:p>
      <w:pPr>
        <w:spacing w:after="0" w:line="2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8,902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8,927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(495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8/10/2021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(495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8/10/2021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9,152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9,375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Choice Technology Solutions, LLC (dba Choice Merchant Solutions,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22</w:t>
      </w:r>
    </w:p>
    <w:p>
      <w:pPr>
        <w:sectPr>
          <w:pgSz w:w="11900" w:h="16838" w:orient="portrait"/>
          <w:cols w:equalWidth="0" w:num="1">
            <w:col w:w="9400"/>
          </w:cols>
          <w:pgMar w:left="1260" w:top="1440" w:right="1246" w:bottom="0" w:gutter="0" w:footer="0" w:header="0"/>
          <w:type w:val="continuous"/>
        </w:sectPr>
      </w:pPr>
    </w:p>
    <w:bookmarkStart w:id="227" w:name="page228"/>
    <w:bookmarkEnd w:id="227"/>
    <w:p>
      <w:pPr>
        <w:spacing w:after="0"/>
        <w:rPr>
          <w:sz w:val="20"/>
          <w:szCs w:val="20"/>
          <w:color w:val="auto"/>
        </w:rPr>
      </w:pPr>
      <w:r>
        <w:rPr>
          <w:rFonts w:ascii="Arial" w:cs="Arial" w:eastAsia="Arial" w:hAnsi="Arial"/>
          <w:sz w:val="10"/>
          <w:szCs w:val="10"/>
          <w:color w:val="auto"/>
        </w:rPr>
        <w:t>(S + 7.25%)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12.09%/0.00%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10,529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($1,000 unfunded commitment) (i)(j)</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+ 6.25%)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11.09%/0.00%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4/1/2027</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(500,000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8/21/2023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11,029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10,698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CIH Intermediate,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22</w:t>
      </w:r>
    </w:p>
    <w:p>
      <w:pPr>
        <w:sectPr>
          <w:pgSz w:w="11900" w:h="16838" w:orient="portrait"/>
          <w:cols w:equalWidth="0" w:num="1">
            <w:col w:w="9400"/>
          </w:cols>
          <w:pgMar w:left="1260" w:top="1256" w:right="1246" w:bottom="0" w:gutter="0" w:footer="0" w:header="0"/>
          <w:type w:val="continuous"/>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10.00%/1.00%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3/3/2022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3/3/2028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12,666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12,594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12,666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(563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1,935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(563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3/3/2022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13,394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15,596</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22</w:t>
      </w:r>
    </w:p>
    <w:p>
      <w:pPr>
        <w:sectPr>
          <w:pgSz w:w="11900" w:h="16838" w:orient="portrait"/>
          <w:cols w:equalWidth="0" w:num="1">
            <w:col w:w="9400"/>
          </w:cols>
          <w:pgMar w:left="1260" w:top="1440" w:right="1246" w:bottom="0" w:gutter="0" w:footer="0" w:header="0"/>
          <w:type w:val="continuous"/>
        </w:sectPr>
      </w:pPr>
    </w:p>
    <w:bookmarkStart w:id="229" w:name="page230"/>
    <w:bookmarkEnd w:id="229"/>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CRS Solutions Holdings, LLC (dba CRS Texas)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(574,929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6/28/2022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272</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CTM Group, Inc. (dba Venuplus,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+ 4.75%)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9.40%/2.75%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11/30/2026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7,980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7,898</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22</w:t>
      </w:r>
    </w:p>
    <w:p>
      <w:pPr>
        <w:sectPr>
          <w:pgSz w:w="11900" w:h="16838" w:orient="portrait"/>
          <w:cols w:equalWidth="0" w:num="1">
            <w:col w:w="9400"/>
          </w:cols>
          <w:pgMar w:left="1260" w:top="1440" w:right="1246" w:bottom="0" w:gutter="0" w:footer="0" w:header="0"/>
          <w:type w:val="continuous"/>
        </w:sectPr>
      </w:pPr>
    </w:p>
    <w:bookmarkStart w:id="230" w:name="page231"/>
    <w:bookmarkEnd w:id="230"/>
    <w:p>
      <w:pPr>
        <w:jc w:val="right"/>
        <w:spacing w:after="0"/>
        <w:rPr>
          <w:sz w:val="20"/>
          <w:szCs w:val="20"/>
          <w:color w:val="auto"/>
        </w:rPr>
      </w:pPr>
      <w:r>
        <w:rPr>
          <w:rFonts w:ascii="Arial" w:cs="Arial" w:eastAsia="Arial" w:hAnsi="Arial"/>
          <w:sz w:val="10"/>
          <w:szCs w:val="10"/>
          <w:color w:val="auto"/>
        </w:rPr>
        <w:t>7,980</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7.75%/6.50%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11/30/2027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2,251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2,235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(400,000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2/28/2023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10,533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10,034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Dataguise,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11.00%/2.00%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12/30/2022</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22</w:t>
      </w:r>
    </w:p>
    <w:p>
      <w:pPr>
        <w:sectPr>
          <w:pgSz w:w="11900" w:h="16838" w:orient="portrait"/>
          <w:cols w:equalWidth="0" w:num="1">
            <w:col w:w="9400"/>
          </w:cols>
          <w:pgMar w:left="1260" w:top="1256" w:right="1246" w:bottom="0" w:gutter="0" w:footer="0" w:header="0"/>
          <w:type w:val="continuous"/>
        </w:sectPr>
      </w:pPr>
    </w:p>
    <w:bookmarkStart w:id="231" w:name="page232"/>
    <w:bookmarkEnd w:id="231"/>
    <w:p>
      <w:pPr>
        <w:spacing w:after="0"/>
        <w:rPr>
          <w:sz w:val="20"/>
          <w:szCs w:val="20"/>
          <w:color w:val="auto"/>
        </w:rPr>
      </w:pPr>
      <w:r>
        <w:rPr>
          <w:rFonts w:ascii="Arial" w:cs="Arial" w:eastAsia="Arial" w:hAnsi="Arial"/>
          <w:sz w:val="10"/>
          <w:szCs w:val="10"/>
          <w:color w:val="auto"/>
        </w:rPr>
        <w:t>11/23/2027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22,590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22,560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22,590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(909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12/31/2020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24,060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23,866</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Dealerbuilt Acquisition,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(ac)</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(4.00%)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10.36%/1.00%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7/21/2026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13,455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13,404</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22</w:t>
      </w:r>
    </w:p>
    <w:p>
      <w:pPr>
        <w:sectPr>
          <w:pgSz w:w="11900" w:h="16838" w:orient="portrait"/>
          <w:cols w:equalWidth="0" w:num="1">
            <w:col w:w="9400"/>
          </w:cols>
          <w:pgMar w:left="1260" w:top="1256" w:right="1246" w:bottom="0" w:gutter="0" w:footer="0" w:header="0"/>
          <w:type w:val="continuous"/>
        </w:sectPr>
      </w:pPr>
    </w:p>
    <w:bookmarkStart w:id="232" w:name="page233"/>
    <w:bookmarkEnd w:id="232"/>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13,455</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7.50%/7.50%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1/21/2027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11,603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11,556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11,603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(1,000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7/21/2023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25,960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26,058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Detechtion Holdings, LLC</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22</w:t>
      </w:r>
    </w:p>
    <w:p>
      <w:pPr>
        <w:sectPr>
          <w:pgSz w:w="11900" w:h="16838" w:orient="portrait"/>
          <w:cols w:equalWidth="0" w:num="1">
            <w:col w:w="9400"/>
          </w:cols>
          <w:pgMar w:left="1260" w:top="1440" w:right="1246" w:bottom="0" w:gutter="0" w:footer="0" w:header="0"/>
          <w:type w:val="continuous"/>
        </w:sectPr>
      </w:pPr>
    </w:p>
    <w:bookmarkStart w:id="233" w:name="page234"/>
    <w:bookmarkEnd w:id="233"/>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(k)</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(2.25%)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10.34%/2.00%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23,604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23,508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23,604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($1,000 unfunded commitment) (j)(w)</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+ 7.75%) / (2.25%)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12.34%/0.00%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7/12/2024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0.00%/14.00%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6/21/2028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2,477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2,477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(601,532 units) (h)(j)</w:t>
      </w:r>
    </w:p>
    <w:p>
      <w:pPr>
        <w:sectPr>
          <w:pgSz w:w="11900" w:h="16838" w:orient="portrait"/>
          <w:cols w:equalWidth="0" w:num="1">
            <w:col w:w="9400"/>
          </w:cols>
          <w:pgMar w:left="1260" w:top="114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22</w:t>
      </w:r>
    </w:p>
    <w:p>
      <w:pPr>
        <w:sectPr>
          <w:pgSz w:w="11900" w:h="16838" w:orient="portrait"/>
          <w:cols w:equalWidth="0" w:num="1">
            <w:col w:w="9400"/>
          </w:cols>
          <w:pgMar w:left="1260" w:top="1147" w:right="1246" w:bottom="0" w:gutter="0" w:footer="0" w:header="0"/>
          <w:type w:val="continuous"/>
        </w:sectPr>
      </w:pPr>
    </w:p>
    <w:bookmarkStart w:id="234" w:name="page235"/>
    <w:bookmarkEnd w:id="234"/>
    <w:p>
      <w:pPr>
        <w:spacing w:after="0"/>
        <w:rPr>
          <w:sz w:val="20"/>
          <w:szCs w:val="20"/>
          <w:color w:val="auto"/>
        </w:rPr>
      </w:pPr>
      <w:r>
        <w:rPr>
          <w:rFonts w:ascii="Arial" w:cs="Arial" w:eastAsia="Arial" w:hAnsi="Arial"/>
          <w:sz w:val="10"/>
          <w:szCs w:val="10"/>
          <w:color w:val="auto"/>
        </w:rPr>
        <w:t>6/21/2023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602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26,575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26,738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Diversified Search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(j)(r)</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+ 7.50%)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12.09%/0.00%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2/7/2019</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9/30/2025</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24,155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24,124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23,612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(573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2/7/2019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552</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22</w:t>
      </w:r>
    </w:p>
    <w:p>
      <w:pPr>
        <w:sectPr>
          <w:pgSz w:w="11900" w:h="16838" w:orient="portrait"/>
          <w:cols w:equalWidth="0" w:num="1">
            <w:col w:w="9400"/>
          </w:cols>
          <w:pgMar w:left="1260" w:top="1256" w:right="1246" w:bottom="0" w:gutter="0" w:footer="0" w:header="0"/>
          <w:type w:val="continuous"/>
        </w:sectPr>
      </w:pPr>
    </w:p>
    <w:bookmarkStart w:id="235" w:name="page236"/>
    <w:bookmarkEnd w:id="235"/>
    <w:p>
      <w:pPr>
        <w:jc w:val="right"/>
        <w:spacing w:after="0"/>
        <w:rPr>
          <w:sz w:val="20"/>
          <w:szCs w:val="20"/>
          <w:color w:val="auto"/>
        </w:rPr>
      </w:pPr>
      <w:r>
        <w:rPr>
          <w:rFonts w:ascii="Arial" w:cs="Arial" w:eastAsia="Arial" w:hAnsi="Arial"/>
          <w:sz w:val="10"/>
          <w:szCs w:val="10"/>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24,676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23,815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Donovan Food Brokerage,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(ae)</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+ 6.25%)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10.84%/0.00%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2/23/2024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2/23/2029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17,108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17,043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17,108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(598,832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2/23/2024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599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1,125</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22</w:t>
      </w:r>
    </w:p>
    <w:p>
      <w:pPr>
        <w:sectPr>
          <w:pgSz w:w="11900" w:h="16838" w:orient="portrait"/>
          <w:cols w:equalWidth="0" w:num="1">
            <w:col w:w="9400"/>
          </w:cols>
          <w:pgMar w:left="1260" w:top="1406" w:right="1246" w:bottom="0" w:gutter="0" w:footer="0" w:header="0"/>
          <w:type w:val="continuous"/>
        </w:sectPr>
      </w:pPr>
    </w:p>
    <w:bookmarkStart w:id="236" w:name="page237"/>
    <w:bookmarkEnd w:id="236"/>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17,642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18,233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Elements Brands,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Consumer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12.25%/0.00%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12/31/2020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6/30/2025</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2,025</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12.25%/0.00%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12/31/2020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6/30/2025</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3,525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22</w:t>
      </w:r>
    </w:p>
    <w:p>
      <w:pPr>
        <w:sectPr>
          <w:pgSz w:w="11900" w:h="16838" w:orient="portrait"/>
          <w:cols w:equalWidth="0" w:num="1">
            <w:col w:w="9400"/>
          </w:cols>
          <w:pgMar w:left="1260" w:top="1440" w:right="1246" w:bottom="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10"/>
          <w:szCs w:val="10"/>
          <w:color w:val="auto"/>
        </w:rPr>
        <w:t>3,525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Enterprise Asset Management FM Purchaser, Inc. (dba MCIM)</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10.34%/2.00%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5/20/2024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5/20/2029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17,214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17,140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17,214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(551,470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5/20/2024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17,890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18,060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Estex Manufacturing Company,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Component Manufacturing</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22</w:t>
      </w:r>
    </w:p>
    <w:p>
      <w:pPr>
        <w:sectPr>
          <w:pgSz w:w="11900" w:h="16838" w:orient="portrait"/>
          <w:cols w:equalWidth="0" w:num="1">
            <w:col w:w="9400"/>
          </w:cols>
          <w:pgMar w:left="1260" w:top="1406" w:right="1246" w:bottom="0" w:gutter="0" w:footer="0" w:header="0"/>
          <w:type w:val="continuous"/>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(j)(az)</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+ 5.00%)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9.55%/0.00%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10/1/2024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10/1/2029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5,531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5,474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5,474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(75,000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10/1/2024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6,224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6,224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Fishbowl Solutions,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22</w:t>
      </w:r>
    </w:p>
    <w:p>
      <w:pPr>
        <w:sectPr>
          <w:pgSz w:w="11900" w:h="16838" w:orient="portrait"/>
          <w:cols w:equalWidth="0" w:num="1">
            <w:col w:w="9400"/>
          </w:cols>
          <w:pgMar w:left="1260" w:top="1440" w:right="1246" w:bottom="0" w:gutter="0" w:footer="0" w:header="0"/>
          <w:type w:val="continuous"/>
        </w:sectPr>
      </w:pPr>
    </w:p>
    <w:bookmarkStart w:id="239" w:name="page240"/>
    <w:bookmarkEnd w:id="239"/>
    <w:p>
      <w:pPr>
        <w:spacing w:after="0" w:line="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+ 7.75%) / (1.00%)</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3/25/2022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3/25/2027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18,811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18,738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18,811</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+ 7.75%)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12.62%/0.00%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12/27/2024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3/25/2027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10,001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Revolving Loan ($2,223 unfunded commitment) (i)(j)</w:t>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(S + 7.75%)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12.62%/0.00%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12/27/2024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3/25/2027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777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777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29,516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29,589</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22</w:t>
      </w:r>
    </w:p>
    <w:p>
      <w:pPr>
        <w:sectPr>
          <w:pgSz w:w="11900" w:h="16838" w:orient="portrait"/>
          <w:cols w:equalWidth="0" w:num="1">
            <w:col w:w="9400"/>
          </w:cols>
          <w:pgMar w:left="1260" w:top="1440" w:right="1246" w:bottom="0" w:gutter="0" w:footer="0" w:header="0"/>
          <w:type w:val="continuous"/>
        </w:sectPr>
      </w:pPr>
    </w:p>
    <w:bookmarkStart w:id="240" w:name="page241"/>
    <w:bookmarkEnd w:id="240"/>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Fumex,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Industrial Product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(j)(ar)</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+ 4.75%)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9.26%/0.00%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11/27/2024</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11/27/2029</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6,949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6,949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(3,500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11/27/2024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350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22</w:t>
      </w:r>
    </w:p>
    <w:p>
      <w:pPr>
        <w:sectPr>
          <w:pgSz w:w="11900" w:h="16838" w:orient="portrait"/>
          <w:cols w:equalWidth="0" w:num="1">
            <w:col w:w="9400"/>
          </w:cols>
          <w:pgMar w:left="1260" w:top="1440" w:right="1246" w:bottom="0" w:gutter="0" w:footer="0" w:header="0"/>
          <w:type w:val="continuous"/>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1386840</wp:posOffset>
            </wp:positionV>
            <wp:extent cx="5967730" cy="2057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7,299</w:t>
            </w:r>
          </w:p>
        </w:tc>
        <w:tc>
          <w:tcPr>
            <w:tcW w:w="420" w:type="dxa"/>
            <w:vAlign w:val="bottom"/>
          </w:tcPr>
          <w:p>
            <w:pPr>
              <w:jc w:val="right"/>
              <w:spacing w:after="0"/>
              <w:rPr>
                <w:sz w:val="20"/>
                <w:szCs w:val="20"/>
                <w:color w:val="auto"/>
              </w:rPr>
            </w:pPr>
            <w:r>
              <w:rPr>
                <w:rFonts w:ascii="Arial" w:cs="Arial" w:eastAsia="Arial" w:hAnsi="Arial"/>
                <w:sz w:val="10"/>
                <w:szCs w:val="10"/>
                <w:color w:val="auto"/>
              </w:rPr>
              <w:t>7,299</w:t>
            </w:r>
          </w:p>
        </w:tc>
        <w:tc>
          <w:tcPr>
            <w:tcW w:w="0" w:type="dxa"/>
            <w:vAlign w:val="bottom"/>
          </w:tcPr>
          <w:p>
            <w:pPr>
              <w:spacing w:after="0"/>
              <w:rPr>
                <w:sz w:val="1"/>
                <w:szCs w:val="1"/>
                <w:color w:val="auto"/>
              </w:rPr>
            </w:pPr>
          </w:p>
        </w:tc>
      </w:tr>
      <w:tr>
        <w:trPr>
          <w:trHeight w:val="206"/>
        </w:trPr>
        <w:tc>
          <w:tcPr>
            <w:tcW w:w="2200" w:type="dxa"/>
            <w:vAlign w:val="bottom"/>
          </w:tcPr>
          <w:p>
            <w:pPr>
              <w:spacing w:after="0"/>
              <w:rPr>
                <w:sz w:val="20"/>
                <w:szCs w:val="20"/>
                <w:color w:val="auto"/>
              </w:rPr>
            </w:pPr>
            <w:r>
              <w:rPr>
                <w:rFonts w:ascii="Arial" w:cs="Arial" w:eastAsia="Arial" w:hAnsi="Arial"/>
                <w:sz w:val="10"/>
                <w:szCs w:val="10"/>
                <w:i w:val="1"/>
                <w:iCs w:val="1"/>
                <w:color w:val="auto"/>
              </w:rPr>
              <w:t>Global Plasma Solutions, Inc.</w:t>
            </w:r>
          </w:p>
        </w:tc>
        <w:tc>
          <w:tcPr>
            <w:tcW w:w="2780" w:type="dxa"/>
            <w:vAlign w:val="bottom"/>
          </w:tcPr>
          <w:p>
            <w:pPr>
              <w:ind w:left="20"/>
              <w:spacing w:after="0"/>
              <w:rPr>
                <w:sz w:val="20"/>
                <w:szCs w:val="20"/>
                <w:color w:val="auto"/>
              </w:rPr>
            </w:pPr>
            <w:r>
              <w:rPr>
                <w:rFonts w:ascii="Arial" w:cs="Arial" w:eastAsia="Arial" w:hAnsi="Arial"/>
                <w:sz w:val="10"/>
                <w:szCs w:val="10"/>
                <w:color w:val="auto"/>
              </w:rPr>
              <w:t>Component Manufacturing</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(601 shares) (j)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2/1/2024</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162</w:t>
            </w:r>
          </w:p>
        </w:tc>
        <w:tc>
          <w:tcPr>
            <w:tcW w:w="420" w:type="dxa"/>
            <w:vAlign w:val="bottom"/>
          </w:tcPr>
          <w:p>
            <w:pPr>
              <w:jc w:val="right"/>
              <w:spacing w:after="0"/>
              <w:rPr>
                <w:sz w:val="20"/>
                <w:szCs w:val="20"/>
                <w:color w:val="auto"/>
              </w:rPr>
            </w:pPr>
            <w:r>
              <w:rPr>
                <w:rFonts w:ascii="Arial" w:cs="Arial" w:eastAsia="Arial" w:hAnsi="Arial"/>
                <w:sz w:val="10"/>
                <w:szCs w:val="10"/>
                <w:color w:val="auto"/>
              </w:rPr>
              <w:t>261</w:t>
            </w:r>
          </w:p>
        </w:tc>
        <w:tc>
          <w:tcPr>
            <w:tcW w:w="0" w:type="dxa"/>
            <w:vAlign w:val="bottom"/>
          </w:tcPr>
          <w:p>
            <w:pPr>
              <w:spacing w:after="0"/>
              <w:rPr>
                <w:sz w:val="1"/>
                <w:szCs w:val="1"/>
                <w:color w:val="auto"/>
              </w:rPr>
            </w:pPr>
          </w:p>
        </w:tc>
      </w:tr>
      <w:tr>
        <w:trPr>
          <w:trHeight w:val="324"/>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(1,705 shares) (j)</w:t>
            </w: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9/21/2018</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188</w:t>
            </w:r>
          </w:p>
        </w:tc>
        <w:tc>
          <w:tcPr>
            <w:tcW w:w="420" w:type="dxa"/>
            <w:vAlign w:val="bottom"/>
          </w:tcPr>
          <w:p>
            <w:pPr>
              <w:jc w:val="right"/>
              <w:spacing w:after="0"/>
              <w:rPr>
                <w:sz w:val="20"/>
                <w:szCs w:val="20"/>
                <w:color w:val="auto"/>
              </w:rPr>
            </w:pPr>
            <w:r>
              <w:rPr>
                <w:rFonts w:ascii="Arial" w:cs="Arial" w:eastAsia="Arial" w:hAnsi="Arial"/>
                <w:sz w:val="10"/>
                <w:szCs w:val="10"/>
                <w:color w:val="auto"/>
              </w:rPr>
              <w:t>371</w:t>
            </w:r>
          </w:p>
        </w:tc>
        <w:tc>
          <w:tcPr>
            <w:tcW w:w="0" w:type="dxa"/>
            <w:vAlign w:val="bottom"/>
          </w:tcPr>
          <w:p>
            <w:pPr>
              <w:spacing w:after="0"/>
              <w:rPr>
                <w:sz w:val="1"/>
                <w:szCs w:val="1"/>
                <w:color w:val="auto"/>
              </w:rPr>
            </w:pPr>
          </w:p>
        </w:tc>
      </w:tr>
      <w:tr>
        <w:trPr>
          <w:trHeight w:val="314"/>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350</w:t>
            </w:r>
          </w:p>
        </w:tc>
        <w:tc>
          <w:tcPr>
            <w:tcW w:w="420" w:type="dxa"/>
            <w:vAlign w:val="bottom"/>
          </w:tcPr>
          <w:p>
            <w:pPr>
              <w:jc w:val="right"/>
              <w:spacing w:after="0"/>
              <w:rPr>
                <w:sz w:val="20"/>
                <w:szCs w:val="20"/>
                <w:color w:val="auto"/>
              </w:rPr>
            </w:pPr>
            <w:r>
              <w:rPr>
                <w:rFonts w:ascii="Arial" w:cs="Arial" w:eastAsia="Arial" w:hAnsi="Arial"/>
                <w:sz w:val="10"/>
                <w:szCs w:val="10"/>
                <w:color w:val="auto"/>
              </w:rPr>
              <w:t>632</w:t>
            </w:r>
          </w:p>
        </w:tc>
        <w:tc>
          <w:tcPr>
            <w:tcW w:w="0" w:type="dxa"/>
            <w:vAlign w:val="bottom"/>
          </w:tcPr>
          <w:p>
            <w:pPr>
              <w:spacing w:after="0"/>
              <w:rPr>
                <w:sz w:val="1"/>
                <w:szCs w:val="1"/>
                <w:color w:val="auto"/>
              </w:rPr>
            </w:pPr>
          </w:p>
        </w:tc>
      </w:tr>
      <w:tr>
        <w:trPr>
          <w:trHeight w:val="206"/>
        </w:trPr>
        <w:tc>
          <w:tcPr>
            <w:tcW w:w="2200" w:type="dxa"/>
            <w:vAlign w:val="bottom"/>
          </w:tcPr>
          <w:p>
            <w:pPr>
              <w:spacing w:after="0"/>
              <w:rPr>
                <w:sz w:val="20"/>
                <w:szCs w:val="20"/>
                <w:color w:val="auto"/>
              </w:rPr>
            </w:pPr>
            <w:r>
              <w:rPr>
                <w:rFonts w:ascii="Arial" w:cs="Arial" w:eastAsia="Arial" w:hAnsi="Arial"/>
                <w:sz w:val="10"/>
                <w:szCs w:val="10"/>
                <w:i w:val="1"/>
                <w:iCs w:val="1"/>
                <w:color w:val="auto"/>
                <w:w w:val="97"/>
              </w:rPr>
              <w:t>GMP HVAC, LLC (dba McGee Heating &amp; Air, LLC)</w:t>
            </w:r>
          </w:p>
        </w:tc>
        <w:tc>
          <w:tcPr>
            <w:tcW w:w="2780" w:type="dxa"/>
            <w:vAlign w:val="bottom"/>
          </w:tcPr>
          <w:p>
            <w:pPr>
              <w:ind w:left="20"/>
              <w:spacing w:after="0"/>
              <w:rPr>
                <w:sz w:val="20"/>
                <w:szCs w:val="20"/>
                <w:color w:val="auto"/>
              </w:rPr>
            </w:pPr>
            <w:r>
              <w:rPr>
                <w:rFonts w:ascii="Arial" w:cs="Arial" w:eastAsia="Arial" w:hAnsi="Arial"/>
                <w:sz w:val="10"/>
                <w:szCs w:val="10"/>
                <w:color w:val="auto"/>
              </w:rPr>
              <w:t>Utilities: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200" w:type="dxa"/>
            <w:vAlign w:val="bottom"/>
            <w:vMerge w:val="restart"/>
          </w:tcPr>
          <w:p>
            <w:pPr>
              <w:ind w:left="20"/>
              <w:spacing w:after="0"/>
              <w:rPr>
                <w:sz w:val="20"/>
                <w:szCs w:val="20"/>
                <w:color w:val="auto"/>
              </w:rPr>
            </w:pPr>
            <w:r>
              <w:rPr>
                <w:rFonts w:ascii="Arial" w:cs="Arial" w:eastAsia="Arial" w:hAnsi="Arial"/>
                <w:sz w:val="10"/>
                <w:szCs w:val="10"/>
                <w:color w:val="auto"/>
              </w:rPr>
              <w:t>First Lien Debt (j)</w:t>
            </w:r>
          </w:p>
        </w:tc>
        <w:tc>
          <w:tcPr>
            <w:tcW w:w="2780" w:type="dxa"/>
            <w:vAlign w:val="bottom"/>
          </w:tcPr>
          <w:p>
            <w:pPr>
              <w:ind w:left="1840"/>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11.59%/0.00%</w:t>
            </w:r>
          </w:p>
        </w:tc>
        <w:tc>
          <w:tcPr>
            <w:tcW w:w="640" w:type="dxa"/>
            <w:vAlign w:val="bottom"/>
          </w:tcPr>
          <w:p>
            <w:pPr>
              <w:ind w:left="100"/>
              <w:spacing w:after="0"/>
              <w:rPr>
                <w:sz w:val="20"/>
                <w:szCs w:val="20"/>
                <w:color w:val="auto"/>
              </w:rPr>
            </w:pPr>
            <w:r>
              <w:rPr>
                <w:rFonts w:ascii="Arial" w:cs="Arial" w:eastAsia="Arial" w:hAnsi="Arial"/>
                <w:sz w:val="10"/>
                <w:szCs w:val="10"/>
                <w:color w:val="auto"/>
              </w:rPr>
              <w:t>12/8/2023</w:t>
            </w:r>
          </w:p>
        </w:tc>
        <w:tc>
          <w:tcPr>
            <w:tcW w:w="680" w:type="dxa"/>
            <w:vAlign w:val="bottom"/>
          </w:tcPr>
          <w:p>
            <w:pPr>
              <w:ind w:left="100"/>
              <w:spacing w:after="0"/>
              <w:rPr>
                <w:sz w:val="20"/>
                <w:szCs w:val="20"/>
                <w:color w:val="auto"/>
              </w:rPr>
            </w:pPr>
            <w:r>
              <w:rPr>
                <w:rFonts w:ascii="Arial" w:cs="Arial" w:eastAsia="Arial" w:hAnsi="Arial"/>
                <w:sz w:val="10"/>
                <w:szCs w:val="10"/>
                <w:color w:val="auto"/>
              </w:rPr>
              <w:t>12/8/2028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20,596</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20,497</w:t>
            </w:r>
          </w:p>
        </w:tc>
        <w:tc>
          <w:tcPr>
            <w:tcW w:w="420" w:type="dxa"/>
            <w:vAlign w:val="bottom"/>
          </w:tcPr>
          <w:p>
            <w:pPr>
              <w:jc w:val="right"/>
              <w:spacing w:after="0"/>
              <w:rPr>
                <w:sz w:val="20"/>
                <w:szCs w:val="20"/>
                <w:color w:val="auto"/>
              </w:rPr>
            </w:pPr>
            <w:r>
              <w:rPr>
                <w:rFonts w:ascii="Arial" w:cs="Arial" w:eastAsia="Arial" w:hAnsi="Arial"/>
                <w:sz w:val="10"/>
                <w:szCs w:val="10"/>
                <w:color w:val="auto"/>
              </w:rPr>
              <w:t>20,596</w:t>
            </w:r>
          </w:p>
        </w:tc>
        <w:tc>
          <w:tcPr>
            <w:tcW w:w="0" w:type="dxa"/>
            <w:vAlign w:val="bottom"/>
          </w:tcPr>
          <w:p>
            <w:pPr>
              <w:spacing w:after="0"/>
              <w:rPr>
                <w:sz w:val="1"/>
                <w:szCs w:val="1"/>
                <w:color w:val="auto"/>
              </w:rPr>
            </w:pPr>
          </w:p>
        </w:tc>
      </w:tr>
      <w:tr>
        <w:trPr>
          <w:trHeight w:val="41"/>
        </w:trPr>
        <w:tc>
          <w:tcPr>
            <w:tcW w:w="2200" w:type="dxa"/>
            <w:vAlign w:val="bottom"/>
            <w:vMerge w:val="continue"/>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200" w:type="dxa"/>
            <w:vAlign w:val="bottom"/>
          </w:tcPr>
          <w:p>
            <w:pPr>
              <w:ind w:left="20"/>
              <w:spacing w:after="0"/>
              <w:rPr>
                <w:sz w:val="20"/>
                <w:szCs w:val="20"/>
                <w:color w:val="auto"/>
              </w:rPr>
            </w:pPr>
            <w:r>
              <w:rPr>
                <w:rFonts w:ascii="Arial" w:cs="Arial" w:eastAsia="Arial" w:hAnsi="Arial"/>
                <w:sz w:val="10"/>
                <w:szCs w:val="10"/>
                <w:color w:val="auto"/>
                <w:w w:val="93"/>
              </w:rPr>
              <w:t>Revolving Loan ($1,500 unfunded commitment) (i)(j)</w:t>
            </w:r>
          </w:p>
        </w:tc>
        <w:tc>
          <w:tcPr>
            <w:tcW w:w="2780" w:type="dxa"/>
            <w:vAlign w:val="bottom"/>
          </w:tcPr>
          <w:p>
            <w:pPr>
              <w:ind w:left="1840"/>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11.59%/0.00%</w:t>
            </w:r>
          </w:p>
        </w:tc>
        <w:tc>
          <w:tcPr>
            <w:tcW w:w="640" w:type="dxa"/>
            <w:vAlign w:val="bottom"/>
          </w:tcPr>
          <w:p>
            <w:pPr>
              <w:ind w:left="100"/>
              <w:spacing w:after="0"/>
              <w:rPr>
                <w:sz w:val="20"/>
                <w:szCs w:val="20"/>
                <w:color w:val="auto"/>
              </w:rPr>
            </w:pPr>
            <w:r>
              <w:rPr>
                <w:rFonts w:ascii="Arial" w:cs="Arial" w:eastAsia="Arial" w:hAnsi="Arial"/>
                <w:sz w:val="10"/>
                <w:szCs w:val="10"/>
                <w:color w:val="auto"/>
              </w:rPr>
              <w:t>12/8/2023</w:t>
            </w:r>
          </w:p>
        </w:tc>
        <w:tc>
          <w:tcPr>
            <w:tcW w:w="680" w:type="dxa"/>
            <w:vAlign w:val="bottom"/>
          </w:tcPr>
          <w:p>
            <w:pPr>
              <w:ind w:left="100"/>
              <w:spacing w:after="0"/>
              <w:rPr>
                <w:sz w:val="20"/>
                <w:szCs w:val="20"/>
                <w:color w:val="auto"/>
              </w:rPr>
            </w:pPr>
            <w:r>
              <w:rPr>
                <w:rFonts w:ascii="Arial" w:cs="Arial" w:eastAsia="Arial" w:hAnsi="Arial"/>
                <w:sz w:val="10"/>
                <w:szCs w:val="10"/>
                <w:color w:val="auto"/>
              </w:rPr>
              <w:t>12/8/2028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90"/>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9"/>
                <w:szCs w:val="19"/>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3"/>
        </w:trPr>
        <w:tc>
          <w:tcPr>
            <w:tcW w:w="2200" w:type="dxa"/>
            <w:vAlign w:val="bottom"/>
          </w:tcPr>
          <w:p>
            <w:pPr>
              <w:ind w:left="20"/>
              <w:spacing w:after="0"/>
              <w:rPr>
                <w:sz w:val="20"/>
                <w:szCs w:val="20"/>
                <w:color w:val="auto"/>
              </w:rPr>
            </w:pPr>
            <w:r>
              <w:rPr>
                <w:rFonts w:ascii="Arial" w:cs="Arial" w:eastAsia="Arial" w:hAnsi="Arial"/>
                <w:sz w:val="10"/>
                <w:szCs w:val="10"/>
                <w:color w:val="auto"/>
              </w:rPr>
              <w:t>Preferred Equity (1,394 units) (h)(j)</w:t>
            </w: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12/8/2023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1,406</w:t>
            </w:r>
          </w:p>
        </w:tc>
        <w:tc>
          <w:tcPr>
            <w:tcW w:w="420" w:type="dxa"/>
            <w:vAlign w:val="bottom"/>
          </w:tcPr>
          <w:p>
            <w:pPr>
              <w:jc w:val="right"/>
              <w:spacing w:after="0"/>
              <w:rPr>
                <w:sz w:val="20"/>
                <w:szCs w:val="20"/>
                <w:color w:val="auto"/>
              </w:rPr>
            </w:pPr>
            <w:r>
              <w:rPr>
                <w:rFonts w:ascii="Arial" w:cs="Arial" w:eastAsia="Arial" w:hAnsi="Arial"/>
                <w:sz w:val="10"/>
                <w:szCs w:val="10"/>
                <w:color w:val="auto"/>
              </w:rPr>
              <w:t>1,594</w:t>
            </w:r>
          </w:p>
        </w:tc>
        <w:tc>
          <w:tcPr>
            <w:tcW w:w="0" w:type="dxa"/>
            <w:vAlign w:val="bottom"/>
          </w:tcPr>
          <w:p>
            <w:pPr>
              <w:spacing w:after="0"/>
              <w:rPr>
                <w:sz w:val="1"/>
                <w:szCs w:val="1"/>
                <w:color w:val="auto"/>
              </w:rPr>
            </w:pPr>
          </w:p>
        </w:tc>
      </w:tr>
      <w:tr>
        <w:trPr>
          <w:trHeight w:val="314"/>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21,896</w:t>
            </w:r>
          </w:p>
        </w:tc>
        <w:tc>
          <w:tcPr>
            <w:tcW w:w="420" w:type="dxa"/>
            <w:vAlign w:val="bottom"/>
          </w:tcPr>
          <w:p>
            <w:pPr>
              <w:jc w:val="right"/>
              <w:spacing w:after="0"/>
              <w:rPr>
                <w:sz w:val="20"/>
                <w:szCs w:val="20"/>
                <w:color w:val="auto"/>
              </w:rPr>
            </w:pPr>
            <w:r>
              <w:rPr>
                <w:rFonts w:ascii="Arial" w:cs="Arial" w:eastAsia="Arial" w:hAnsi="Arial"/>
                <w:sz w:val="10"/>
                <w:szCs w:val="10"/>
                <w:color w:val="auto"/>
              </w:rPr>
              <w:t>22,190</w:t>
            </w:r>
          </w:p>
        </w:tc>
        <w:tc>
          <w:tcPr>
            <w:tcW w:w="0" w:type="dxa"/>
            <w:vAlign w:val="bottom"/>
          </w:tcPr>
          <w:p>
            <w:pPr>
              <w:spacing w:after="0"/>
              <w:rPr>
                <w:sz w:val="1"/>
                <w:szCs w:val="1"/>
                <w:color w:val="auto"/>
              </w:rPr>
            </w:pPr>
          </w:p>
        </w:tc>
      </w:tr>
      <w:tr>
        <w:trPr>
          <w:trHeight w:val="206"/>
        </w:trPr>
        <w:tc>
          <w:tcPr>
            <w:tcW w:w="2200" w:type="dxa"/>
            <w:vAlign w:val="bottom"/>
          </w:tcPr>
          <w:p>
            <w:pPr>
              <w:spacing w:after="0"/>
              <w:rPr>
                <w:sz w:val="20"/>
                <w:szCs w:val="20"/>
                <w:color w:val="auto"/>
              </w:rPr>
            </w:pPr>
            <w:r>
              <w:rPr>
                <w:rFonts w:ascii="Arial" w:cs="Arial" w:eastAsia="Arial" w:hAnsi="Arial"/>
                <w:sz w:val="10"/>
                <w:szCs w:val="10"/>
                <w:i w:val="1"/>
                <w:iCs w:val="1"/>
                <w:color w:val="auto"/>
                <w:w w:val="99"/>
              </w:rPr>
              <w:t>GP&amp;C Operations, LLC (dba Garlock Printing and</w:t>
            </w:r>
          </w:p>
        </w:tc>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20"/>
                <w:szCs w:val="20"/>
                <w:color w:val="auto"/>
              </w:rPr>
            </w:pPr>
            <w:r>
              <w:rPr>
                <w:rFonts w:ascii="Arial" w:cs="Arial" w:eastAsia="Arial" w:hAnsi="Arial"/>
                <w:sz w:val="10"/>
                <w:szCs w:val="10"/>
                <w:i w:val="1"/>
                <w:iCs w:val="1"/>
                <w:color w:val="auto"/>
              </w:rPr>
              <w:t>Converting)</w:t>
            </w:r>
          </w:p>
        </w:tc>
        <w:tc>
          <w:tcPr>
            <w:tcW w:w="2780" w:type="dxa"/>
            <w:vAlign w:val="bottom"/>
          </w:tcPr>
          <w:p>
            <w:pPr>
              <w:ind w:left="20"/>
              <w:spacing w:after="0"/>
              <w:rPr>
                <w:sz w:val="20"/>
                <w:szCs w:val="20"/>
                <w:color w:val="auto"/>
              </w:rPr>
            </w:pPr>
            <w:r>
              <w:rPr>
                <w:rFonts w:ascii="Arial" w:cs="Arial" w:eastAsia="Arial" w:hAnsi="Arial"/>
                <w:sz w:val="10"/>
                <w:szCs w:val="10"/>
                <w:color w:val="auto"/>
              </w:rPr>
              <w:t>Component Manufacturing</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(515,625 units) (h)(j)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1/22/2021</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516</w:t>
            </w:r>
          </w:p>
        </w:tc>
        <w:tc>
          <w:tcPr>
            <w:tcW w:w="420" w:type="dxa"/>
            <w:vAlign w:val="bottom"/>
          </w:tcPr>
          <w:p>
            <w:pPr>
              <w:jc w:val="right"/>
              <w:spacing w:after="0"/>
              <w:rPr>
                <w:sz w:val="20"/>
                <w:szCs w:val="20"/>
                <w:color w:val="auto"/>
              </w:rPr>
            </w:pPr>
            <w:r>
              <w:rPr>
                <w:rFonts w:ascii="Arial" w:cs="Arial" w:eastAsia="Arial" w:hAnsi="Arial"/>
                <w:sz w:val="10"/>
                <w:szCs w:val="10"/>
                <w:color w:val="auto"/>
              </w:rPr>
              <w:t>913</w:t>
            </w:r>
          </w:p>
        </w:tc>
        <w:tc>
          <w:tcPr>
            <w:tcW w:w="0" w:type="dxa"/>
            <w:vAlign w:val="bottom"/>
          </w:tcPr>
          <w:p>
            <w:pPr>
              <w:spacing w:after="0"/>
              <w:rPr>
                <w:sz w:val="1"/>
                <w:szCs w:val="1"/>
                <w:color w:val="auto"/>
              </w:rPr>
            </w:pPr>
          </w:p>
        </w:tc>
      </w:tr>
      <w:tr>
        <w:trPr>
          <w:trHeight w:val="370"/>
        </w:trPr>
        <w:tc>
          <w:tcPr>
            <w:tcW w:w="2200" w:type="dxa"/>
            <w:vAlign w:val="bottom"/>
          </w:tcPr>
          <w:p>
            <w:pPr>
              <w:spacing w:after="0"/>
              <w:rPr>
                <w:sz w:val="20"/>
                <w:szCs w:val="20"/>
                <w:color w:val="auto"/>
              </w:rPr>
            </w:pPr>
            <w:r>
              <w:rPr>
                <w:rFonts w:ascii="Arial" w:cs="Arial" w:eastAsia="Arial" w:hAnsi="Arial"/>
                <w:sz w:val="10"/>
                <w:szCs w:val="10"/>
                <w:i w:val="1"/>
                <w:iCs w:val="1"/>
                <w:color w:val="auto"/>
                <w:w w:val="96"/>
              </w:rPr>
              <w:t>Green Cubes Technology, LLC (dba Green Cubes)</w:t>
            </w:r>
          </w:p>
        </w:tc>
        <w:tc>
          <w:tcPr>
            <w:tcW w:w="2780" w:type="dxa"/>
            <w:vAlign w:val="bottom"/>
          </w:tcPr>
          <w:p>
            <w:pPr>
              <w:ind w:left="20"/>
              <w:spacing w:after="0"/>
              <w:rPr>
                <w:sz w:val="20"/>
                <w:szCs w:val="20"/>
                <w:color w:val="auto"/>
              </w:rPr>
            </w:pPr>
            <w:r>
              <w:rPr>
                <w:rFonts w:ascii="Arial" w:cs="Arial" w:eastAsia="Arial" w:hAnsi="Arial"/>
                <w:sz w:val="10"/>
                <w:szCs w:val="10"/>
                <w:color w:val="auto"/>
              </w:rPr>
              <w:t>Information Technology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vMerge w:val="restart"/>
          </w:tcPr>
          <w:p>
            <w:pPr>
              <w:ind w:left="20"/>
              <w:spacing w:after="0"/>
              <w:rPr>
                <w:sz w:val="20"/>
                <w:szCs w:val="20"/>
                <w:color w:val="auto"/>
              </w:rPr>
            </w:pPr>
            <w:r>
              <w:rPr>
                <w:rFonts w:ascii="Arial" w:cs="Arial" w:eastAsia="Arial" w:hAnsi="Arial"/>
                <w:sz w:val="10"/>
                <w:szCs w:val="10"/>
                <w:color w:val="auto"/>
              </w:rPr>
              <w:t>First Lien Debt (j)(ax)</w:t>
            </w:r>
          </w:p>
        </w:tc>
        <w:tc>
          <w:tcPr>
            <w:tcW w:w="2780" w:type="dxa"/>
            <w:vAlign w:val="bottom"/>
          </w:tcPr>
          <w:p>
            <w:pPr>
              <w:ind w:left="1840"/>
              <w:spacing w:after="0"/>
              <w:rPr>
                <w:sz w:val="20"/>
                <w:szCs w:val="20"/>
                <w:color w:val="auto"/>
              </w:rPr>
            </w:pPr>
            <w:r>
              <w:rPr>
                <w:rFonts w:ascii="Arial" w:cs="Arial" w:eastAsia="Arial" w:hAnsi="Arial"/>
                <w:sz w:val="10"/>
                <w:szCs w:val="10"/>
                <w:color w:val="auto"/>
                <w:w w:val="95"/>
              </w:rPr>
              <w:t>(S + 7.50%)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12.13%/0.00%</w:t>
            </w:r>
          </w:p>
        </w:tc>
        <w:tc>
          <w:tcPr>
            <w:tcW w:w="640" w:type="dxa"/>
            <w:vAlign w:val="bottom"/>
          </w:tcPr>
          <w:p>
            <w:pPr>
              <w:ind w:left="100"/>
              <w:spacing w:after="0"/>
              <w:rPr>
                <w:sz w:val="20"/>
                <w:szCs w:val="20"/>
                <w:color w:val="auto"/>
              </w:rPr>
            </w:pPr>
            <w:r>
              <w:rPr>
                <w:rFonts w:ascii="Arial" w:cs="Arial" w:eastAsia="Arial" w:hAnsi="Arial"/>
                <w:sz w:val="10"/>
                <w:szCs w:val="10"/>
                <w:color w:val="auto"/>
              </w:rPr>
              <w:t>10/16/2024</w:t>
            </w:r>
          </w:p>
        </w:tc>
        <w:tc>
          <w:tcPr>
            <w:tcW w:w="680" w:type="dxa"/>
            <w:vAlign w:val="bottom"/>
          </w:tcPr>
          <w:p>
            <w:pPr>
              <w:ind w:left="100"/>
              <w:spacing w:after="0"/>
              <w:rPr>
                <w:sz w:val="20"/>
                <w:szCs w:val="20"/>
                <w:color w:val="auto"/>
              </w:rPr>
            </w:pPr>
            <w:r>
              <w:rPr>
                <w:rFonts w:ascii="Arial" w:cs="Arial" w:eastAsia="Arial" w:hAnsi="Arial"/>
                <w:sz w:val="10"/>
                <w:szCs w:val="10"/>
                <w:color w:val="auto"/>
              </w:rPr>
              <w:t>10/16/2029</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22,500</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22,235</w:t>
            </w:r>
          </w:p>
        </w:tc>
        <w:tc>
          <w:tcPr>
            <w:tcW w:w="420" w:type="dxa"/>
            <w:vAlign w:val="bottom"/>
          </w:tcPr>
          <w:p>
            <w:pPr>
              <w:jc w:val="right"/>
              <w:spacing w:after="0"/>
              <w:rPr>
                <w:sz w:val="20"/>
                <w:szCs w:val="20"/>
                <w:color w:val="auto"/>
              </w:rPr>
            </w:pPr>
            <w:r>
              <w:rPr>
                <w:rFonts w:ascii="Arial" w:cs="Arial" w:eastAsia="Arial" w:hAnsi="Arial"/>
                <w:sz w:val="10"/>
                <w:szCs w:val="10"/>
                <w:color w:val="auto"/>
              </w:rPr>
              <w:t>22,234</w:t>
            </w:r>
          </w:p>
        </w:tc>
        <w:tc>
          <w:tcPr>
            <w:tcW w:w="0" w:type="dxa"/>
            <w:vAlign w:val="bottom"/>
          </w:tcPr>
          <w:p>
            <w:pPr>
              <w:spacing w:after="0"/>
              <w:rPr>
                <w:sz w:val="1"/>
                <w:szCs w:val="1"/>
                <w:color w:val="auto"/>
              </w:rPr>
            </w:pPr>
          </w:p>
        </w:tc>
      </w:tr>
      <w:tr>
        <w:trPr>
          <w:trHeight w:val="41"/>
        </w:trPr>
        <w:tc>
          <w:tcPr>
            <w:tcW w:w="2200" w:type="dxa"/>
            <w:vAlign w:val="bottom"/>
            <w:vMerge w:val="continue"/>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200" w:type="dxa"/>
            <w:vAlign w:val="bottom"/>
          </w:tcPr>
          <w:p>
            <w:pPr>
              <w:spacing w:after="0"/>
              <w:rPr>
                <w:sz w:val="20"/>
                <w:szCs w:val="20"/>
                <w:color w:val="auto"/>
              </w:rPr>
            </w:pPr>
            <w:r>
              <w:rPr>
                <w:rFonts w:ascii="Arial" w:cs="Arial" w:eastAsia="Arial" w:hAnsi="Arial"/>
                <w:sz w:val="10"/>
                <w:szCs w:val="10"/>
                <w:i w:val="1"/>
                <w:iCs w:val="1"/>
                <w:color w:val="auto"/>
              </w:rPr>
              <w:t>Haematologic Technologies, Inc.</w:t>
            </w:r>
          </w:p>
        </w:tc>
        <w:tc>
          <w:tcPr>
            <w:tcW w:w="2780" w:type="dxa"/>
            <w:vAlign w:val="bottom"/>
          </w:tcPr>
          <w:p>
            <w:pPr>
              <w:ind w:left="2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2780" w:type="dxa"/>
            <w:vAlign w:val="bottom"/>
          </w:tcPr>
          <w:p>
            <w:pPr>
              <w:ind w:left="1840"/>
              <w:spacing w:after="0"/>
              <w:rPr>
                <w:sz w:val="20"/>
                <w:szCs w:val="20"/>
                <w:color w:val="auto"/>
              </w:rPr>
            </w:pPr>
            <w:r>
              <w:rPr>
                <w:rFonts w:ascii="Arial" w:cs="Arial" w:eastAsia="Arial" w:hAnsi="Arial"/>
                <w:sz w:val="10"/>
                <w:szCs w:val="10"/>
                <w:color w:val="auto"/>
                <w:w w:val="95"/>
              </w:rPr>
              <w:t>(S + 5.25%) / (3.00%)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10.11%/3.00%</w:t>
            </w:r>
          </w:p>
        </w:tc>
        <w:tc>
          <w:tcPr>
            <w:tcW w:w="640" w:type="dxa"/>
            <w:vAlign w:val="bottom"/>
          </w:tcPr>
          <w:p>
            <w:pPr>
              <w:ind w:left="100"/>
              <w:spacing w:after="0"/>
              <w:rPr>
                <w:sz w:val="20"/>
                <w:szCs w:val="20"/>
                <w:color w:val="auto"/>
              </w:rPr>
            </w:pPr>
            <w:r>
              <w:rPr>
                <w:rFonts w:ascii="Arial" w:cs="Arial" w:eastAsia="Arial" w:hAnsi="Arial"/>
                <w:sz w:val="10"/>
                <w:szCs w:val="10"/>
                <w:color w:val="auto"/>
              </w:rPr>
              <w:t>10/11/2019</w:t>
            </w:r>
          </w:p>
        </w:tc>
        <w:tc>
          <w:tcPr>
            <w:tcW w:w="680" w:type="dxa"/>
            <w:vAlign w:val="bottom"/>
          </w:tcPr>
          <w:p>
            <w:pPr>
              <w:ind w:left="100"/>
              <w:spacing w:after="0"/>
              <w:rPr>
                <w:sz w:val="20"/>
                <w:szCs w:val="20"/>
                <w:color w:val="auto"/>
              </w:rPr>
            </w:pPr>
            <w:r>
              <w:rPr>
                <w:rFonts w:ascii="Arial" w:cs="Arial" w:eastAsia="Arial" w:hAnsi="Arial"/>
                <w:sz w:val="10"/>
                <w:szCs w:val="10"/>
                <w:color w:val="auto"/>
              </w:rPr>
              <w:t>6/30/2026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6,422</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6,422</w:t>
            </w:r>
          </w:p>
        </w:tc>
        <w:tc>
          <w:tcPr>
            <w:tcW w:w="420" w:type="dxa"/>
            <w:vAlign w:val="bottom"/>
          </w:tcPr>
          <w:p>
            <w:pPr>
              <w:jc w:val="right"/>
              <w:spacing w:after="0"/>
              <w:rPr>
                <w:sz w:val="20"/>
                <w:szCs w:val="20"/>
                <w:color w:val="auto"/>
              </w:rPr>
            </w:pPr>
            <w:r>
              <w:rPr>
                <w:rFonts w:ascii="Arial" w:cs="Arial" w:eastAsia="Arial" w:hAnsi="Arial"/>
                <w:sz w:val="10"/>
                <w:szCs w:val="10"/>
                <w:color w:val="auto"/>
              </w:rPr>
              <w:t>6,422</w:t>
            </w:r>
          </w:p>
        </w:tc>
        <w:tc>
          <w:tcPr>
            <w:tcW w:w="0" w:type="dxa"/>
            <w:vAlign w:val="bottom"/>
          </w:tcPr>
          <w:p>
            <w:pPr>
              <w:spacing w:after="0"/>
              <w:rPr>
                <w:sz w:val="1"/>
                <w:szCs w:val="1"/>
                <w:color w:val="auto"/>
              </w:rPr>
            </w:pPr>
          </w:p>
        </w:tc>
      </w:tr>
      <w:tr>
        <w:trPr>
          <w:trHeight w:val="41"/>
        </w:trPr>
        <w:tc>
          <w:tcPr>
            <w:tcW w:w="2200" w:type="dxa"/>
            <w:vAlign w:val="bottom"/>
            <w:vMerge w:val="continue"/>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(630 units) (h)(j)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10/11/2019</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630</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22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(169 units) (h)(j)</w:t>
            </w: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6/26/2023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169</w:t>
            </w:r>
          </w:p>
        </w:tc>
        <w:tc>
          <w:tcPr>
            <w:tcW w:w="420" w:type="dxa"/>
            <w:vAlign w:val="bottom"/>
          </w:tcPr>
          <w:p>
            <w:pPr>
              <w:jc w:val="right"/>
              <w:spacing w:after="0"/>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314"/>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7,221</w:t>
            </w:r>
          </w:p>
        </w:tc>
        <w:tc>
          <w:tcPr>
            <w:tcW w:w="420" w:type="dxa"/>
            <w:vAlign w:val="bottom"/>
          </w:tcPr>
          <w:p>
            <w:pPr>
              <w:jc w:val="right"/>
              <w:spacing w:after="0"/>
              <w:rPr>
                <w:sz w:val="20"/>
                <w:szCs w:val="20"/>
                <w:color w:val="auto"/>
              </w:rPr>
            </w:pPr>
            <w:r>
              <w:rPr>
                <w:rFonts w:ascii="Arial" w:cs="Arial" w:eastAsia="Arial" w:hAnsi="Arial"/>
                <w:sz w:val="10"/>
                <w:szCs w:val="10"/>
                <w:color w:val="auto"/>
              </w:rPr>
              <w:t>6,636</w:t>
            </w:r>
          </w:p>
        </w:tc>
        <w:tc>
          <w:tcPr>
            <w:tcW w:w="0" w:type="dxa"/>
            <w:vAlign w:val="bottom"/>
          </w:tcPr>
          <w:p>
            <w:pPr>
              <w:spacing w:after="0"/>
              <w:rPr>
                <w:sz w:val="1"/>
                <w:szCs w:val="1"/>
                <w:color w:val="auto"/>
              </w:rPr>
            </w:pPr>
          </w:p>
        </w:tc>
      </w:tr>
      <w:tr>
        <w:trPr>
          <w:trHeight w:val="206"/>
        </w:trPr>
        <w:tc>
          <w:tcPr>
            <w:tcW w:w="2200" w:type="dxa"/>
            <w:vAlign w:val="bottom"/>
          </w:tcPr>
          <w:p>
            <w:pPr>
              <w:spacing w:after="0"/>
              <w:rPr>
                <w:sz w:val="20"/>
                <w:szCs w:val="20"/>
                <w:color w:val="auto"/>
              </w:rPr>
            </w:pPr>
            <w:r>
              <w:rPr>
                <w:rFonts w:ascii="Arial" w:cs="Arial" w:eastAsia="Arial" w:hAnsi="Arial"/>
                <w:sz w:val="10"/>
                <w:szCs w:val="10"/>
                <w:i w:val="1"/>
                <w:iCs w:val="1"/>
                <w:color w:val="auto"/>
              </w:rPr>
              <w:t>Hallmark Health Care Solutions, Inc.</w:t>
            </w:r>
          </w:p>
        </w:tc>
        <w:tc>
          <w:tcPr>
            <w:tcW w:w="2780" w:type="dxa"/>
            <w:vAlign w:val="bottom"/>
          </w:tcPr>
          <w:p>
            <w:pPr>
              <w:ind w:left="2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(3,645,752 units) (j)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9/18/2023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3,646</w:t>
            </w:r>
          </w:p>
        </w:tc>
        <w:tc>
          <w:tcPr>
            <w:tcW w:w="420" w:type="dxa"/>
            <w:vAlign w:val="bottom"/>
          </w:tcPr>
          <w:p>
            <w:pPr>
              <w:jc w:val="right"/>
              <w:spacing w:after="0"/>
              <w:rPr>
                <w:sz w:val="20"/>
                <w:szCs w:val="20"/>
                <w:color w:val="auto"/>
              </w:rPr>
            </w:pPr>
            <w:r>
              <w:rPr>
                <w:rFonts w:ascii="Arial" w:cs="Arial" w:eastAsia="Arial" w:hAnsi="Arial"/>
                <w:sz w:val="10"/>
                <w:szCs w:val="10"/>
                <w:color w:val="auto"/>
              </w:rPr>
              <w:t>3,743</w:t>
            </w:r>
          </w:p>
        </w:tc>
        <w:tc>
          <w:tcPr>
            <w:tcW w:w="0" w:type="dxa"/>
            <w:vAlign w:val="bottom"/>
          </w:tcPr>
          <w:p>
            <w:pPr>
              <w:spacing w:after="0"/>
              <w:rPr>
                <w:sz w:val="1"/>
                <w:szCs w:val="1"/>
                <w:color w:val="auto"/>
              </w:rPr>
            </w:pPr>
          </w:p>
        </w:tc>
      </w:tr>
      <w:tr>
        <w:trPr>
          <w:trHeight w:val="370"/>
        </w:trPr>
        <w:tc>
          <w:tcPr>
            <w:tcW w:w="2200" w:type="dxa"/>
            <w:vAlign w:val="bottom"/>
          </w:tcPr>
          <w:p>
            <w:pPr>
              <w:spacing w:after="0"/>
              <w:rPr>
                <w:sz w:val="20"/>
                <w:szCs w:val="20"/>
                <w:color w:val="auto"/>
              </w:rPr>
            </w:pPr>
            <w:r>
              <w:rPr>
                <w:rFonts w:ascii="Arial" w:cs="Arial" w:eastAsia="Arial" w:hAnsi="Arial"/>
                <w:sz w:val="10"/>
                <w:szCs w:val="10"/>
                <w:i w:val="1"/>
                <w:iCs w:val="1"/>
                <w:color w:val="auto"/>
              </w:rPr>
              <w:t>Healthfuse, LLC</w:t>
            </w:r>
          </w:p>
        </w:tc>
        <w:tc>
          <w:tcPr>
            <w:tcW w:w="2780" w:type="dxa"/>
            <w:vAlign w:val="bottom"/>
          </w:tcPr>
          <w:p>
            <w:pPr>
              <w:ind w:left="20"/>
              <w:spacing w:after="0"/>
              <w:rPr>
                <w:sz w:val="20"/>
                <w:szCs w:val="20"/>
                <w:color w:val="auto"/>
              </w:rPr>
            </w:pPr>
            <w:r>
              <w:rPr>
                <w:rFonts w:ascii="Arial" w:cs="Arial" w:eastAsia="Arial" w:hAnsi="Arial"/>
                <w:sz w:val="10"/>
                <w:szCs w:val="10"/>
                <w:color w:val="auto"/>
              </w:rPr>
              <w:t>Healthcare Services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Preferred Equity (197,980 units)</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11/13/2020</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739</w:t>
            </w:r>
          </w:p>
        </w:tc>
        <w:tc>
          <w:tcPr>
            <w:tcW w:w="420" w:type="dxa"/>
            <w:vAlign w:val="bottom"/>
          </w:tcPr>
          <w:p>
            <w:pPr>
              <w:jc w:val="right"/>
              <w:spacing w:after="0"/>
              <w:rPr>
                <w:sz w:val="20"/>
                <w:szCs w:val="20"/>
                <w:color w:val="auto"/>
              </w:rPr>
            </w:pPr>
            <w:r>
              <w:rPr>
                <w:rFonts w:ascii="Arial" w:cs="Arial" w:eastAsia="Arial" w:hAnsi="Arial"/>
                <w:sz w:val="10"/>
                <w:szCs w:val="10"/>
                <w:color w:val="auto"/>
              </w:rPr>
              <w:t>4,038</w:t>
            </w:r>
          </w:p>
        </w:tc>
        <w:tc>
          <w:tcPr>
            <w:tcW w:w="0" w:type="dxa"/>
            <w:vAlign w:val="bottom"/>
          </w:tcPr>
          <w:p>
            <w:pPr>
              <w:spacing w:after="0"/>
              <w:rPr>
                <w:sz w:val="1"/>
                <w:szCs w:val="1"/>
                <w:color w:val="auto"/>
              </w:rPr>
            </w:pPr>
          </w:p>
        </w:tc>
      </w:tr>
      <w:tr>
        <w:trPr>
          <w:trHeight w:val="370"/>
        </w:trPr>
        <w:tc>
          <w:tcPr>
            <w:tcW w:w="2200" w:type="dxa"/>
            <w:vAlign w:val="bottom"/>
          </w:tcPr>
          <w:p>
            <w:pPr>
              <w:spacing w:after="0"/>
              <w:rPr>
                <w:sz w:val="20"/>
                <w:szCs w:val="20"/>
                <w:color w:val="auto"/>
              </w:rPr>
            </w:pPr>
            <w:r>
              <w:rPr>
                <w:rFonts w:ascii="Arial" w:cs="Arial" w:eastAsia="Arial" w:hAnsi="Arial"/>
                <w:sz w:val="10"/>
                <w:szCs w:val="10"/>
                <w:i w:val="1"/>
                <w:iCs w:val="1"/>
                <w:color w:val="auto"/>
              </w:rPr>
              <w:t>Hub Acquisition Sub, LLC (dba Hub Pen)</w:t>
            </w:r>
          </w:p>
        </w:tc>
        <w:tc>
          <w:tcPr>
            <w:tcW w:w="2780" w:type="dxa"/>
            <w:vAlign w:val="bottom"/>
          </w:tcPr>
          <w:p>
            <w:pPr>
              <w:ind w:left="20"/>
              <w:spacing w:after="0"/>
              <w:rPr>
                <w:sz w:val="20"/>
                <w:szCs w:val="20"/>
                <w:color w:val="auto"/>
              </w:rPr>
            </w:pPr>
            <w:r>
              <w:rPr>
                <w:rFonts w:ascii="Arial" w:cs="Arial" w:eastAsia="Arial" w:hAnsi="Arial"/>
                <w:sz w:val="10"/>
                <w:szCs w:val="10"/>
                <w:color w:val="auto"/>
              </w:rPr>
              <w:t>Promotional products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vMerge w:val="restart"/>
          </w:tcPr>
          <w:p>
            <w:pPr>
              <w:ind w:left="20"/>
              <w:spacing w:after="0"/>
              <w:rPr>
                <w:sz w:val="20"/>
                <w:szCs w:val="20"/>
                <w:color w:val="auto"/>
              </w:rPr>
            </w:pPr>
            <w:r>
              <w:rPr>
                <w:rFonts w:ascii="Arial" w:cs="Arial" w:eastAsia="Arial" w:hAnsi="Arial"/>
                <w:sz w:val="10"/>
                <w:szCs w:val="10"/>
                <w:color w:val="auto"/>
              </w:rPr>
              <w:t>Second Lien Debt (j)</w:t>
            </w:r>
          </w:p>
        </w:tc>
        <w:tc>
          <w:tcPr>
            <w:tcW w:w="27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11.50%/1.25%</w:t>
            </w:r>
          </w:p>
        </w:tc>
        <w:tc>
          <w:tcPr>
            <w:tcW w:w="640" w:type="dxa"/>
            <w:vAlign w:val="bottom"/>
          </w:tcPr>
          <w:p>
            <w:pPr>
              <w:ind w:left="100"/>
              <w:spacing w:after="0"/>
              <w:rPr>
                <w:sz w:val="20"/>
                <w:szCs w:val="20"/>
                <w:color w:val="auto"/>
              </w:rPr>
            </w:pPr>
            <w:r>
              <w:rPr>
                <w:rFonts w:ascii="Arial" w:cs="Arial" w:eastAsia="Arial" w:hAnsi="Arial"/>
                <w:sz w:val="10"/>
                <w:szCs w:val="10"/>
                <w:color w:val="auto"/>
              </w:rPr>
              <w:t>4/25/2023</w:t>
            </w:r>
          </w:p>
        </w:tc>
        <w:tc>
          <w:tcPr>
            <w:tcW w:w="680" w:type="dxa"/>
            <w:vAlign w:val="bottom"/>
          </w:tcPr>
          <w:p>
            <w:pPr>
              <w:ind w:left="100"/>
              <w:spacing w:after="0"/>
              <w:rPr>
                <w:sz w:val="20"/>
                <w:szCs w:val="20"/>
                <w:color w:val="auto"/>
              </w:rPr>
            </w:pPr>
            <w:r>
              <w:rPr>
                <w:rFonts w:ascii="Arial" w:cs="Arial" w:eastAsia="Arial" w:hAnsi="Arial"/>
                <w:sz w:val="10"/>
                <w:szCs w:val="10"/>
                <w:color w:val="auto"/>
              </w:rPr>
              <w:t>6/30/2028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24,804</w:t>
            </w: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24,562</w:t>
            </w:r>
          </w:p>
        </w:tc>
        <w:tc>
          <w:tcPr>
            <w:tcW w:w="420" w:type="dxa"/>
            <w:vAlign w:val="bottom"/>
          </w:tcPr>
          <w:p>
            <w:pPr>
              <w:jc w:val="right"/>
              <w:spacing w:after="0"/>
              <w:rPr>
                <w:sz w:val="20"/>
                <w:szCs w:val="20"/>
                <w:color w:val="auto"/>
              </w:rPr>
            </w:pPr>
            <w:r>
              <w:rPr>
                <w:rFonts w:ascii="Arial" w:cs="Arial" w:eastAsia="Arial" w:hAnsi="Arial"/>
                <w:sz w:val="10"/>
                <w:szCs w:val="10"/>
                <w:color w:val="auto"/>
              </w:rPr>
              <w:t>24,804</w:t>
            </w:r>
          </w:p>
        </w:tc>
        <w:tc>
          <w:tcPr>
            <w:tcW w:w="0" w:type="dxa"/>
            <w:vAlign w:val="bottom"/>
          </w:tcPr>
          <w:p>
            <w:pPr>
              <w:spacing w:after="0"/>
              <w:rPr>
                <w:sz w:val="1"/>
                <w:szCs w:val="1"/>
                <w:color w:val="auto"/>
              </w:rPr>
            </w:pPr>
          </w:p>
        </w:tc>
      </w:tr>
      <w:tr>
        <w:trPr>
          <w:trHeight w:val="41"/>
        </w:trPr>
        <w:tc>
          <w:tcPr>
            <w:tcW w:w="2200" w:type="dxa"/>
            <w:vAlign w:val="bottom"/>
            <w:vMerge w:val="continue"/>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(5,837 units) (j)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3/23/2016</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1,350</w:t>
            </w:r>
          </w:p>
        </w:tc>
        <w:tc>
          <w:tcPr>
            <w:tcW w:w="0" w:type="dxa"/>
            <w:vAlign w:val="bottom"/>
          </w:tcPr>
          <w:p>
            <w:pPr>
              <w:spacing w:after="0"/>
              <w:rPr>
                <w:sz w:val="1"/>
                <w:szCs w:val="1"/>
                <w:color w:val="auto"/>
              </w:rPr>
            </w:pPr>
          </w:p>
        </w:tc>
      </w:tr>
      <w:tr>
        <w:trPr>
          <w:trHeight w:val="41"/>
        </w:trPr>
        <w:tc>
          <w:tcPr>
            <w:tcW w:w="22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20"/>
              <w:spacing w:after="0"/>
              <w:rPr>
                <w:sz w:val="20"/>
                <w:szCs w:val="20"/>
                <w:color w:val="auto"/>
              </w:rPr>
            </w:pPr>
            <w:r>
              <w:rPr>
                <w:rFonts w:ascii="Arial" w:cs="Arial" w:eastAsia="Arial" w:hAnsi="Arial"/>
                <w:sz w:val="10"/>
                <w:szCs w:val="10"/>
                <w:color w:val="auto"/>
              </w:rPr>
              <w:t>Common Equity (637 units) (j)</w:t>
            </w:r>
          </w:p>
        </w:tc>
        <w:tc>
          <w:tcPr>
            <w:tcW w:w="2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8/7/2023</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24</w:t>
            </w:r>
          </w:p>
        </w:tc>
        <w:tc>
          <w:tcPr>
            <w:tcW w:w="420" w:type="dxa"/>
            <w:vAlign w:val="bottom"/>
          </w:tcPr>
          <w:p>
            <w:pPr>
              <w:jc w:val="right"/>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324"/>
        </w:trPr>
        <w:tc>
          <w:tcPr>
            <w:tcW w:w="2200" w:type="dxa"/>
            <w:vAlign w:val="bottom"/>
          </w:tcPr>
          <w:p>
            <w:pPr>
              <w:ind w:left="20"/>
              <w:spacing w:after="0"/>
              <w:rPr>
                <w:sz w:val="20"/>
                <w:szCs w:val="20"/>
                <w:color w:val="auto"/>
              </w:rPr>
            </w:pPr>
            <w:r>
              <w:rPr>
                <w:rFonts w:ascii="Arial" w:cs="Arial" w:eastAsia="Arial" w:hAnsi="Arial"/>
                <w:sz w:val="10"/>
                <w:szCs w:val="10"/>
                <w:color w:val="auto"/>
              </w:rPr>
              <w:t>Preferred Equity (868 units) (j)</w:t>
            </w: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0"/>
                <w:szCs w:val="10"/>
                <w:color w:val="auto"/>
              </w:rPr>
              <w:t>10/16/2020</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154</w:t>
            </w:r>
          </w:p>
        </w:tc>
        <w:tc>
          <w:tcPr>
            <w:tcW w:w="420" w:type="dxa"/>
            <w:vAlign w:val="bottom"/>
          </w:tcPr>
          <w:p>
            <w:pPr>
              <w:jc w:val="right"/>
              <w:spacing w:after="0"/>
              <w:rPr>
                <w:sz w:val="20"/>
                <w:szCs w:val="20"/>
                <w:color w:val="auto"/>
              </w:rPr>
            </w:pPr>
            <w:r>
              <w:rPr>
                <w:rFonts w:ascii="Arial" w:cs="Arial" w:eastAsia="Arial" w:hAnsi="Arial"/>
                <w:sz w:val="10"/>
                <w:szCs w:val="10"/>
                <w:color w:val="auto"/>
              </w:rPr>
              <w:t>341</w:t>
            </w:r>
          </w:p>
        </w:tc>
        <w:tc>
          <w:tcPr>
            <w:tcW w:w="0" w:type="dxa"/>
            <w:vAlign w:val="bottom"/>
          </w:tcPr>
          <w:p>
            <w:pPr>
              <w:spacing w:after="0"/>
              <w:rPr>
                <w:sz w:val="1"/>
                <w:szCs w:val="1"/>
                <w:color w:val="auto"/>
              </w:rPr>
            </w:pPr>
          </w:p>
        </w:tc>
      </w:tr>
      <w:tr>
        <w:trPr>
          <w:trHeight w:val="314"/>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0"/>
                <w:szCs w:val="10"/>
                <w:color w:val="auto"/>
              </w:rPr>
              <w:t>24,740</w:t>
            </w:r>
          </w:p>
        </w:tc>
        <w:tc>
          <w:tcPr>
            <w:tcW w:w="420" w:type="dxa"/>
            <w:vAlign w:val="bottom"/>
          </w:tcPr>
          <w:p>
            <w:pPr>
              <w:jc w:val="right"/>
              <w:spacing w:after="0"/>
              <w:rPr>
                <w:sz w:val="20"/>
                <w:szCs w:val="20"/>
                <w:color w:val="auto"/>
              </w:rPr>
            </w:pPr>
            <w:r>
              <w:rPr>
                <w:rFonts w:ascii="Arial" w:cs="Arial" w:eastAsia="Arial" w:hAnsi="Arial"/>
                <w:sz w:val="10"/>
                <w:szCs w:val="10"/>
                <w:color w:val="auto"/>
              </w:rPr>
              <w:t>26,642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-5221605</wp:posOffset>
            </wp:positionV>
            <wp:extent cx="5967730" cy="1993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-4822190</wp:posOffset>
            </wp:positionV>
            <wp:extent cx="5967730" cy="4862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7730" cy="4862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hanging="70"/>
        <w:spacing w:after="0"/>
        <w:tabs>
          <w:tab w:leader="none" w:pos="80" w:val="left"/>
        </w:tabs>
        <w:numPr>
          <w:ilvl w:val="0"/>
          <w:numId w:val="114"/>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0"/>
        <w:spacing w:after="0"/>
        <w:tabs>
          <w:tab w:leader="none" w:pos="80" w:val="left"/>
        </w:tabs>
        <w:numPr>
          <w:ilvl w:val="0"/>
          <w:numId w:val="115"/>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7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rFonts w:ascii="Arial" w:cs="Arial" w:eastAsia="Arial" w:hAnsi="Arial"/>
          <w:sz w:val="7"/>
          <w:szCs w:val="7"/>
          <w:color w:val="auto"/>
        </w:rPr>
      </w:pPr>
    </w:p>
    <w:p>
      <w:pPr>
        <w:spacing w:after="0" w:line="270" w:lineRule="exact"/>
        <w:rPr>
          <w:rFonts w:ascii="Arial" w:cs="Arial" w:eastAsia="Arial" w:hAnsi="Arial"/>
          <w:sz w:val="7"/>
          <w:szCs w:val="7"/>
          <w:color w:val="auto"/>
        </w:rPr>
      </w:pPr>
    </w:p>
    <w:p>
      <w:pPr>
        <w:ind w:left="80" w:hanging="70"/>
        <w:spacing w:after="0"/>
        <w:tabs>
          <w:tab w:leader="none" w:pos="80" w:val="left"/>
        </w:tabs>
        <w:numPr>
          <w:ilvl w:val="0"/>
          <w:numId w:val="115"/>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hanging="70"/>
        <w:spacing w:after="0"/>
        <w:tabs>
          <w:tab w:leader="none" w:pos="80" w:val="left"/>
        </w:tabs>
        <w:numPr>
          <w:ilvl w:val="0"/>
          <w:numId w:val="116"/>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116"/>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93" w:lineRule="exact"/>
        <w:rPr>
          <w:rFonts w:ascii="Arial" w:cs="Arial" w:eastAsia="Arial" w:hAnsi="Arial"/>
          <w:sz w:val="7"/>
          <w:szCs w:val="7"/>
          <w:color w:val="auto"/>
        </w:rPr>
      </w:pPr>
    </w:p>
    <w:p>
      <w:pPr>
        <w:ind w:left="80" w:hanging="70"/>
        <w:spacing w:after="0"/>
        <w:tabs>
          <w:tab w:leader="none" w:pos="80" w:val="left"/>
        </w:tabs>
        <w:numPr>
          <w:ilvl w:val="0"/>
          <w:numId w:val="116"/>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4 </w:t>
      </w:r>
      <w:r>
        <w:rPr>
          <w:rFonts w:ascii="Arial" w:cs="Arial" w:eastAsia="Arial" w:hAnsi="Arial"/>
          <w:sz w:val="15"/>
          <w:szCs w:val="15"/>
          <w:color w:val="auto"/>
          <w:vertAlign w:val="subscript"/>
        </w:rPr>
        <w:t>%</w:t>
      </w:r>
    </w:p>
    <w:p>
      <w:pPr>
        <w:spacing w:after="0" w:line="119" w:lineRule="exact"/>
        <w:rPr>
          <w:sz w:val="20"/>
          <w:szCs w:val="20"/>
          <w:color w:val="auto"/>
        </w:rPr>
      </w:pPr>
    </w:p>
    <w:p>
      <w:pPr>
        <w:sectPr>
          <w:pgSz w:w="11900" w:h="16838" w:orient="portrait"/>
          <w:cols w:equalWidth="0" w:num="2">
            <w:col w:w="8660" w:space="560"/>
            <w:col w:w="160"/>
          </w:cols>
          <w:pgMar w:left="1260" w:top="1440" w:right="1266" w:bottom="0" w:gutter="0" w:footer="0" w:header="0"/>
        </w:sectPr>
      </w:pPr>
    </w:p>
    <w:p>
      <w:pPr>
        <w:spacing w:after="0"/>
        <w:tabs>
          <w:tab w:leader="none" w:pos="2200" w:val="left"/>
        </w:tabs>
        <w:rPr>
          <w:sz w:val="20"/>
          <w:szCs w:val="20"/>
          <w:color w:val="auto"/>
        </w:rPr>
      </w:pPr>
      <w:r>
        <w:rPr>
          <w:rFonts w:ascii="Arial" w:cs="Arial" w:eastAsia="Arial" w:hAnsi="Arial"/>
          <w:sz w:val="10"/>
          <w:szCs w:val="10"/>
          <w:i w:val="1"/>
          <w:iCs w:val="1"/>
          <w:color w:val="auto"/>
        </w:rPr>
        <w:t>IBH Holdings, LLC (fka Inflexxion, Inc.)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(150,000 units) (j)</w:t>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0"/>
          <w:szCs w:val="10"/>
          <w:i w:val="1"/>
          <w:iCs w:val="1"/>
          <w:color w:val="auto"/>
        </w:rPr>
        <w:t>InductiveHealth Informatics, LLC</w:t>
      </w:r>
      <w:r>
        <w:rPr>
          <w:sz w:val="20"/>
          <w:szCs w:val="20"/>
          <w:color w:val="auto"/>
        </w:rPr>
        <w:tab/>
      </w:r>
      <w:r>
        <w:rPr>
          <w:rFonts w:ascii="Arial" w:cs="Arial" w:eastAsia="Arial" w:hAnsi="Arial"/>
          <w:sz w:val="7"/>
          <w:szCs w:val="7"/>
          <w:color w:val="auto"/>
        </w:rPr>
        <w:t>Healthcare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(367 units) (j)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(1,361 units) (j)</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Informatics Holdings, Inc. (dba Wasp Barcode</w:t>
      </w:r>
    </w:p>
    <w:p>
      <w:pPr>
        <w:spacing w:after="0" w:line="41" w:lineRule="exact"/>
        <w:rPr>
          <w:sz w:val="20"/>
          <w:szCs w:val="20"/>
          <w:color w:val="auto"/>
        </w:rPr>
      </w:pPr>
    </w:p>
    <w:p>
      <w:pPr>
        <w:spacing w:after="0"/>
        <w:tabs>
          <w:tab w:leader="none" w:pos="2200" w:val="left"/>
        </w:tabs>
        <w:rPr>
          <w:sz w:val="20"/>
          <w:szCs w:val="20"/>
          <w:color w:val="auto"/>
        </w:rPr>
      </w:pPr>
      <w:r>
        <w:rPr>
          <w:rFonts w:ascii="Arial" w:cs="Arial" w:eastAsia="Arial" w:hAnsi="Arial"/>
          <w:sz w:val="9"/>
          <w:szCs w:val="9"/>
          <w:i w:val="1"/>
          <w:iCs w:val="1"/>
          <w:color w:val="auto"/>
        </w:rPr>
        <w:t>Technologies)</w:t>
      </w:r>
      <w:r>
        <w:rPr>
          <w:sz w:val="20"/>
          <w:szCs w:val="20"/>
          <w:color w:val="auto"/>
        </w:rPr>
        <w:tab/>
      </w:r>
      <w:r>
        <w:rPr>
          <w:rFonts w:ascii="Arial" w:cs="Arial" w:eastAsia="Arial" w:hAnsi="Arial"/>
          <w:sz w:val="9"/>
          <w:szCs w:val="9"/>
          <w:color w:val="auto"/>
        </w:rPr>
        <w:t>Information Technology Services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(j)(v)</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(1,000,000 units) (j)</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ISI PSG Holdings, LLC (dba Incentive Solutions, Inc.) </w:t>
      </w:r>
      <w:r>
        <w:rPr>
          <w:rFonts w:ascii="Arial" w:cs="Arial" w:eastAsia="Arial" w:hAnsi="Arial"/>
          <w:sz w:val="10"/>
          <w:szCs w:val="10"/>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(256,964 units) (h)(j)</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6/20/2018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0"/>
                <w:szCs w:val="20"/>
                <w:color w:val="auto"/>
              </w:rPr>
            </w:pPr>
            <w:r>
              <w:rPr>
                <w:rFonts w:ascii="Arial" w:cs="Arial" w:eastAsia="Arial" w:hAnsi="Arial"/>
                <w:sz w:val="10"/>
                <w:szCs w:val="10"/>
                <w:color w:val="auto"/>
                <w:w w:val="95"/>
              </w:rPr>
              <w:t>(S + 7.75%) / (2.00%)</w:t>
            </w:r>
          </w:p>
        </w:tc>
        <w:tc>
          <w:tcPr>
            <w:tcW w:w="720" w:type="dxa"/>
            <w:vAlign w:val="bottom"/>
          </w:tcPr>
          <w:p>
            <w:pPr>
              <w:ind w:left="40"/>
              <w:spacing w:after="0"/>
              <w:rPr>
                <w:sz w:val="20"/>
                <w:szCs w:val="20"/>
                <w:color w:val="auto"/>
              </w:rPr>
            </w:pPr>
            <w:r>
              <w:rPr>
                <w:rFonts w:ascii="Arial" w:cs="Arial" w:eastAsia="Arial" w:hAnsi="Arial"/>
                <w:sz w:val="10"/>
                <w:szCs w:val="10"/>
                <w:color w:val="auto"/>
              </w:rPr>
              <w:t>12.44%/0.50%</w:t>
            </w:r>
          </w:p>
        </w:tc>
        <w:tc>
          <w:tcPr>
            <w:tcW w:w="62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ind w:left="120"/>
              <w:spacing w:after="0"/>
              <w:rPr>
                <w:sz w:val="20"/>
                <w:szCs w:val="20"/>
                <w:color w:val="auto"/>
              </w:rPr>
            </w:pPr>
            <w:r>
              <w:rPr>
                <w:rFonts w:ascii="Arial" w:cs="Arial" w:eastAsia="Arial" w:hAnsi="Arial"/>
                <w:sz w:val="10"/>
                <w:szCs w:val="10"/>
                <w:color w:val="auto"/>
              </w:rPr>
              <w:t>9/20/2028</w:t>
            </w:r>
          </w:p>
        </w:tc>
        <w:tc>
          <w:tcPr>
            <w:tcW w:w="600" w:type="dxa"/>
            <w:vAlign w:val="bottom"/>
          </w:tcPr>
          <w:p>
            <w:pPr>
              <w:jc w:val="right"/>
              <w:ind w:right="130"/>
              <w:spacing w:after="0"/>
              <w:rPr>
                <w:sz w:val="20"/>
                <w:szCs w:val="20"/>
                <w:color w:val="auto"/>
              </w:rPr>
            </w:pPr>
            <w:r>
              <w:rPr>
                <w:rFonts w:ascii="Arial" w:cs="Arial" w:eastAsia="Arial" w:hAnsi="Arial"/>
                <w:sz w:val="10"/>
                <w:szCs w:val="10"/>
                <w:color w:val="auto"/>
              </w:rPr>
              <w:t>20,029</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19,819</w:t>
            </w:r>
          </w:p>
        </w:tc>
        <w:tc>
          <w:tcPr>
            <w:tcW w:w="440" w:type="dxa"/>
            <w:vAlign w:val="bottom"/>
          </w:tcPr>
          <w:p>
            <w:pPr>
              <w:jc w:val="right"/>
              <w:spacing w:after="0"/>
              <w:rPr>
                <w:sz w:val="20"/>
                <w:szCs w:val="20"/>
                <w:color w:val="auto"/>
              </w:rPr>
            </w:pPr>
            <w:r>
              <w:rPr>
                <w:rFonts w:ascii="Arial" w:cs="Arial" w:eastAsia="Arial" w:hAnsi="Arial"/>
                <w:sz w:val="10"/>
                <w:szCs w:val="10"/>
                <w:color w:val="auto"/>
              </w:rPr>
              <w:t>19,819</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367</w:t>
            </w:r>
          </w:p>
        </w:tc>
        <w:tc>
          <w:tcPr>
            <w:tcW w:w="440" w:type="dxa"/>
            <w:vAlign w:val="bottom"/>
          </w:tcPr>
          <w:p>
            <w:pPr>
              <w:jc w:val="right"/>
              <w:spacing w:after="0"/>
              <w:rPr>
                <w:sz w:val="20"/>
                <w:szCs w:val="20"/>
                <w:color w:val="auto"/>
              </w:rPr>
            </w:pPr>
            <w:r>
              <w:rPr>
                <w:rFonts w:ascii="Arial" w:cs="Arial" w:eastAsia="Arial" w:hAnsi="Arial"/>
                <w:sz w:val="10"/>
                <w:szCs w:val="10"/>
                <w:color w:val="auto"/>
              </w:rPr>
              <w:t>367</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9/20/2024</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20,186</w:t>
            </w:r>
          </w:p>
        </w:tc>
        <w:tc>
          <w:tcPr>
            <w:tcW w:w="440" w:type="dxa"/>
            <w:vAlign w:val="bottom"/>
          </w:tcPr>
          <w:p>
            <w:pPr>
              <w:jc w:val="right"/>
              <w:spacing w:after="0"/>
              <w:rPr>
                <w:sz w:val="20"/>
                <w:szCs w:val="20"/>
                <w:color w:val="auto"/>
              </w:rPr>
            </w:pPr>
            <w:r>
              <w:rPr>
                <w:rFonts w:ascii="Arial" w:cs="Arial" w:eastAsia="Arial" w:hAnsi="Arial"/>
                <w:sz w:val="10"/>
                <w:szCs w:val="10"/>
                <w:color w:val="auto"/>
              </w:rPr>
              <w:t>20,186</w:t>
            </w:r>
          </w:p>
        </w:tc>
        <w:tc>
          <w:tcPr>
            <w:tcW w:w="0" w:type="dxa"/>
            <w:vAlign w:val="bottom"/>
          </w:tcPr>
          <w:p>
            <w:pPr>
              <w:spacing w:after="0"/>
              <w:rPr>
                <w:sz w:val="1"/>
                <w:szCs w:val="1"/>
                <w:color w:val="auto"/>
              </w:rPr>
            </w:pPr>
          </w:p>
        </w:tc>
      </w:tr>
      <w:tr>
        <w:trPr>
          <w:trHeight w:val="629"/>
        </w:trPr>
        <w:tc>
          <w:tcPr>
            <w:tcW w:w="940" w:type="dxa"/>
            <w:vAlign w:val="bottom"/>
          </w:tcPr>
          <w:p>
            <w:pPr>
              <w:spacing w:after="0"/>
              <w:rPr>
                <w:sz w:val="20"/>
                <w:szCs w:val="20"/>
                <w:color w:val="auto"/>
              </w:rPr>
            </w:pPr>
            <w:r>
              <w:rPr>
                <w:rFonts w:ascii="Arial" w:cs="Arial" w:eastAsia="Arial" w:hAnsi="Arial"/>
                <w:sz w:val="10"/>
                <w:szCs w:val="10"/>
                <w:color w:val="auto"/>
                <w:w w:val="95"/>
              </w:rPr>
              <w:t>(S + 6.50%) / (2.50%)</w:t>
            </w:r>
          </w:p>
        </w:tc>
        <w:tc>
          <w:tcPr>
            <w:tcW w:w="720" w:type="dxa"/>
            <w:vAlign w:val="bottom"/>
          </w:tcPr>
          <w:p>
            <w:pPr>
              <w:ind w:left="40"/>
              <w:spacing w:after="0"/>
              <w:rPr>
                <w:sz w:val="20"/>
                <w:szCs w:val="20"/>
                <w:color w:val="auto"/>
              </w:rPr>
            </w:pPr>
            <w:r>
              <w:rPr>
                <w:rFonts w:ascii="Arial" w:cs="Arial" w:eastAsia="Arial" w:hAnsi="Arial"/>
                <w:sz w:val="10"/>
                <w:szCs w:val="10"/>
                <w:color w:val="auto"/>
              </w:rPr>
              <w:t>11.09%/0.00%</w:t>
            </w:r>
          </w:p>
        </w:tc>
        <w:tc>
          <w:tcPr>
            <w:tcW w:w="620" w:type="dxa"/>
            <w:vAlign w:val="bottom"/>
          </w:tcPr>
          <w:p>
            <w:pPr>
              <w:ind w:left="100"/>
              <w:spacing w:after="0"/>
              <w:rPr>
                <w:sz w:val="20"/>
                <w:szCs w:val="20"/>
                <w:color w:val="auto"/>
              </w:rPr>
            </w:pPr>
            <w:r>
              <w:rPr>
                <w:rFonts w:ascii="Arial" w:cs="Arial" w:eastAsia="Arial" w:hAnsi="Arial"/>
                <w:sz w:val="10"/>
                <w:szCs w:val="10"/>
                <w:color w:val="auto"/>
              </w:rPr>
              <w:t>5/1/2024</w:t>
            </w:r>
          </w:p>
        </w:tc>
        <w:tc>
          <w:tcPr>
            <w:tcW w:w="680" w:type="dxa"/>
            <w:vAlign w:val="bottom"/>
          </w:tcPr>
          <w:p>
            <w:pPr>
              <w:ind w:left="120"/>
              <w:spacing w:after="0"/>
              <w:rPr>
                <w:sz w:val="20"/>
                <w:szCs w:val="20"/>
                <w:color w:val="auto"/>
              </w:rPr>
            </w:pPr>
            <w:r>
              <w:rPr>
                <w:rFonts w:ascii="Arial" w:cs="Arial" w:eastAsia="Arial" w:hAnsi="Arial"/>
                <w:sz w:val="10"/>
                <w:szCs w:val="10"/>
                <w:color w:val="auto"/>
              </w:rPr>
              <w:t>3/7/2029</w:t>
            </w:r>
          </w:p>
        </w:tc>
        <w:tc>
          <w:tcPr>
            <w:tcW w:w="600" w:type="dxa"/>
            <w:vAlign w:val="bottom"/>
          </w:tcPr>
          <w:p>
            <w:pPr>
              <w:jc w:val="right"/>
              <w:ind w:right="130"/>
              <w:spacing w:after="0"/>
              <w:rPr>
                <w:sz w:val="20"/>
                <w:szCs w:val="20"/>
                <w:color w:val="auto"/>
              </w:rPr>
            </w:pPr>
            <w:r>
              <w:rPr>
                <w:rFonts w:ascii="Arial" w:cs="Arial" w:eastAsia="Arial" w:hAnsi="Arial"/>
                <w:sz w:val="10"/>
                <w:szCs w:val="10"/>
                <w:color w:val="auto"/>
              </w:rPr>
              <w:t>9,000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8,985</w:t>
            </w:r>
          </w:p>
        </w:tc>
        <w:tc>
          <w:tcPr>
            <w:tcW w:w="440" w:type="dxa"/>
            <w:vAlign w:val="bottom"/>
          </w:tcPr>
          <w:p>
            <w:pPr>
              <w:jc w:val="right"/>
              <w:spacing w:after="0"/>
              <w:rPr>
                <w:sz w:val="20"/>
                <w:szCs w:val="20"/>
                <w:color w:val="auto"/>
              </w:rPr>
            </w:pPr>
            <w:r>
              <w:rPr>
                <w:rFonts w:ascii="Arial" w:cs="Arial" w:eastAsia="Arial" w:hAnsi="Arial"/>
                <w:sz w:val="10"/>
                <w:szCs w:val="10"/>
                <w:color w:val="auto"/>
              </w:rPr>
              <w:t>9,000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3/7/2024</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1,000</w:t>
            </w:r>
          </w:p>
        </w:tc>
        <w:tc>
          <w:tcPr>
            <w:tcW w:w="44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9,985</w:t>
            </w:r>
          </w:p>
        </w:tc>
        <w:tc>
          <w:tcPr>
            <w:tcW w:w="440" w:type="dxa"/>
            <w:vAlign w:val="bottom"/>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+ 7.50%) / (0.50%)</w:t>
            </w:r>
          </w:p>
        </w:tc>
        <w:tc>
          <w:tcPr>
            <w:tcW w:w="720" w:type="dxa"/>
            <w:vAlign w:val="bottom"/>
          </w:tcPr>
          <w:p>
            <w:pPr>
              <w:ind w:left="40"/>
              <w:spacing w:after="0"/>
              <w:rPr>
                <w:sz w:val="20"/>
                <w:szCs w:val="20"/>
                <w:color w:val="auto"/>
              </w:rPr>
            </w:pPr>
            <w:r>
              <w:rPr>
                <w:rFonts w:ascii="Arial" w:cs="Arial" w:eastAsia="Arial" w:hAnsi="Arial"/>
                <w:sz w:val="10"/>
                <w:szCs w:val="10"/>
                <w:color w:val="auto"/>
              </w:rPr>
              <w:t>11.98%/0.00%</w:t>
            </w:r>
          </w:p>
        </w:tc>
        <w:tc>
          <w:tcPr>
            <w:tcW w:w="620" w:type="dxa"/>
            <w:vAlign w:val="bottom"/>
          </w:tcPr>
          <w:p>
            <w:pPr>
              <w:ind w:left="100"/>
              <w:spacing w:after="0"/>
              <w:rPr>
                <w:sz w:val="20"/>
                <w:szCs w:val="20"/>
                <w:color w:val="auto"/>
              </w:rPr>
            </w:pPr>
            <w:r>
              <w:rPr>
                <w:rFonts w:ascii="Arial" w:cs="Arial" w:eastAsia="Arial" w:hAnsi="Arial"/>
                <w:sz w:val="10"/>
                <w:szCs w:val="10"/>
                <w:color w:val="auto"/>
              </w:rPr>
              <w:t>4/5/2021</w:t>
            </w:r>
          </w:p>
        </w:tc>
        <w:tc>
          <w:tcPr>
            <w:tcW w:w="680" w:type="dxa"/>
            <w:vAlign w:val="bottom"/>
          </w:tcPr>
          <w:p>
            <w:pPr>
              <w:ind w:left="120"/>
              <w:spacing w:after="0"/>
              <w:rPr>
                <w:sz w:val="20"/>
                <w:szCs w:val="20"/>
                <w:color w:val="auto"/>
              </w:rPr>
            </w:pPr>
            <w:r>
              <w:rPr>
                <w:rFonts w:ascii="Arial" w:cs="Arial" w:eastAsia="Arial" w:hAnsi="Arial"/>
                <w:sz w:val="10"/>
                <w:szCs w:val="10"/>
                <w:color w:val="auto"/>
              </w:rPr>
              <w:t>4/5/2026</w:t>
            </w:r>
          </w:p>
        </w:tc>
        <w:tc>
          <w:tcPr>
            <w:tcW w:w="600" w:type="dxa"/>
            <w:vAlign w:val="bottom"/>
          </w:tcPr>
          <w:p>
            <w:pPr>
              <w:jc w:val="right"/>
              <w:ind w:right="130"/>
              <w:spacing w:after="0"/>
              <w:rPr>
                <w:sz w:val="20"/>
                <w:szCs w:val="20"/>
                <w:color w:val="auto"/>
              </w:rPr>
            </w:pPr>
            <w:r>
              <w:rPr>
                <w:rFonts w:ascii="Arial" w:cs="Arial" w:eastAsia="Arial" w:hAnsi="Arial"/>
                <w:sz w:val="10"/>
                <w:szCs w:val="10"/>
                <w:color w:val="auto"/>
              </w:rPr>
              <w:t>10,649</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10,623</w:t>
            </w:r>
          </w:p>
        </w:tc>
        <w:tc>
          <w:tcPr>
            <w:tcW w:w="440" w:type="dxa"/>
            <w:vAlign w:val="bottom"/>
          </w:tcPr>
          <w:p>
            <w:pPr>
              <w:jc w:val="right"/>
              <w:spacing w:after="0"/>
              <w:rPr>
                <w:sz w:val="20"/>
                <w:szCs w:val="20"/>
                <w:color w:val="auto"/>
              </w:rPr>
            </w:pPr>
            <w:r>
              <w:rPr>
                <w:rFonts w:ascii="Arial" w:cs="Arial" w:eastAsia="Arial" w:hAnsi="Arial"/>
                <w:sz w:val="10"/>
                <w:szCs w:val="10"/>
                <w:color w:val="auto"/>
              </w:rPr>
              <w:t>10,886</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0"/>
                <w:szCs w:val="10"/>
                <w:color w:val="auto"/>
                <w:w w:val="95"/>
              </w:rPr>
              <w:t>(S + 7.50%) / (0.50%)</w:t>
            </w:r>
          </w:p>
        </w:tc>
        <w:tc>
          <w:tcPr>
            <w:tcW w:w="720" w:type="dxa"/>
            <w:vAlign w:val="bottom"/>
          </w:tcPr>
          <w:p>
            <w:pPr>
              <w:ind w:left="40"/>
              <w:spacing w:after="0"/>
              <w:rPr>
                <w:sz w:val="20"/>
                <w:szCs w:val="20"/>
                <w:color w:val="auto"/>
              </w:rPr>
            </w:pPr>
            <w:r>
              <w:rPr>
                <w:rFonts w:ascii="Arial" w:cs="Arial" w:eastAsia="Arial" w:hAnsi="Arial"/>
                <w:sz w:val="10"/>
                <w:szCs w:val="10"/>
                <w:color w:val="auto"/>
              </w:rPr>
              <w:t>8.48%/0.00%</w:t>
            </w:r>
          </w:p>
        </w:tc>
        <w:tc>
          <w:tcPr>
            <w:tcW w:w="620" w:type="dxa"/>
            <w:vAlign w:val="bottom"/>
          </w:tcPr>
          <w:p>
            <w:pPr>
              <w:ind w:left="100"/>
              <w:spacing w:after="0"/>
              <w:rPr>
                <w:sz w:val="20"/>
                <w:szCs w:val="20"/>
                <w:color w:val="auto"/>
              </w:rPr>
            </w:pPr>
            <w:r>
              <w:rPr>
                <w:rFonts w:ascii="Arial" w:cs="Arial" w:eastAsia="Arial" w:hAnsi="Arial"/>
                <w:sz w:val="10"/>
                <w:szCs w:val="10"/>
                <w:color w:val="auto"/>
              </w:rPr>
              <w:t>6/30/2021</w:t>
            </w:r>
          </w:p>
        </w:tc>
        <w:tc>
          <w:tcPr>
            <w:tcW w:w="680" w:type="dxa"/>
            <w:vAlign w:val="bottom"/>
          </w:tcPr>
          <w:p>
            <w:pPr>
              <w:ind w:left="120"/>
              <w:spacing w:after="0"/>
              <w:rPr>
                <w:sz w:val="20"/>
                <w:szCs w:val="20"/>
                <w:color w:val="auto"/>
              </w:rPr>
            </w:pPr>
            <w:r>
              <w:rPr>
                <w:rFonts w:ascii="Arial" w:cs="Arial" w:eastAsia="Arial" w:hAnsi="Arial"/>
                <w:sz w:val="10"/>
                <w:szCs w:val="10"/>
                <w:color w:val="auto"/>
              </w:rPr>
              <w:t>4/5/2026</w:t>
            </w:r>
          </w:p>
        </w:tc>
        <w:tc>
          <w:tcPr>
            <w:tcW w:w="600" w:type="dxa"/>
            <w:vAlign w:val="bottom"/>
          </w:tcPr>
          <w:p>
            <w:pPr>
              <w:jc w:val="right"/>
              <w:ind w:right="130"/>
              <w:spacing w:after="0"/>
              <w:rPr>
                <w:sz w:val="20"/>
                <w:szCs w:val="20"/>
                <w:color w:val="auto"/>
              </w:rPr>
            </w:pPr>
            <w:r>
              <w:rPr>
                <w:rFonts w:ascii="Arial" w:cs="Arial" w:eastAsia="Arial" w:hAnsi="Arial"/>
                <w:sz w:val="10"/>
                <w:szCs w:val="10"/>
                <w:color w:val="auto"/>
              </w:rPr>
              <w:t>11,203</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11,203</w:t>
            </w:r>
          </w:p>
        </w:tc>
        <w:tc>
          <w:tcPr>
            <w:tcW w:w="440" w:type="dxa"/>
            <w:vAlign w:val="bottom"/>
          </w:tcPr>
          <w:p>
            <w:pPr>
              <w:jc w:val="right"/>
              <w:spacing w:after="0"/>
              <w:rPr>
                <w:sz w:val="20"/>
                <w:szCs w:val="20"/>
                <w:color w:val="auto"/>
              </w:rPr>
            </w:pPr>
            <w:r>
              <w:rPr>
                <w:rFonts w:ascii="Arial" w:cs="Arial" w:eastAsia="Arial" w:hAnsi="Arial"/>
                <w:sz w:val="10"/>
                <w:szCs w:val="10"/>
                <w:color w:val="auto"/>
              </w:rPr>
              <w:t>11,036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4/5/2021</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500</w:t>
            </w:r>
          </w:p>
        </w:tc>
        <w:tc>
          <w:tcPr>
            <w:tcW w:w="440" w:type="dxa"/>
            <w:vAlign w:val="bottom"/>
          </w:tcPr>
          <w:p>
            <w:pPr>
              <w:jc w:val="right"/>
              <w:spacing w:after="0"/>
              <w:rPr>
                <w:sz w:val="20"/>
                <w:szCs w:val="20"/>
                <w:color w:val="auto"/>
              </w:rPr>
            </w:pPr>
            <w:r>
              <w:rPr>
                <w:rFonts w:ascii="Arial" w:cs="Arial" w:eastAsia="Arial" w:hAnsi="Arial"/>
                <w:sz w:val="10"/>
                <w:szCs w:val="10"/>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-2680970</wp:posOffset>
            </wp:positionV>
            <wp:extent cx="5967730" cy="1993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-2377440</wp:posOffset>
            </wp:positionV>
            <wp:extent cx="5967730" cy="1041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-2073275</wp:posOffset>
            </wp:positionV>
            <wp:extent cx="5967730" cy="1993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-1680210</wp:posOffset>
            </wp:positionV>
            <wp:extent cx="5967730" cy="13150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7730" cy="131508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-165735</wp:posOffset>
            </wp:positionV>
            <wp:extent cx="5967730" cy="2057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hanging="70"/>
        <w:spacing w:after="0"/>
        <w:tabs>
          <w:tab w:leader="none" w:pos="80" w:val="left"/>
        </w:tabs>
        <w:numPr>
          <w:ilvl w:val="0"/>
          <w:numId w:val="117"/>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1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1346" w:lineRule="exact"/>
        <w:rPr>
          <w:sz w:val="20"/>
          <w:szCs w:val="20"/>
          <w:color w:val="auto"/>
        </w:rPr>
      </w:pPr>
    </w:p>
    <w:p>
      <w:pPr>
        <w:sectPr>
          <w:pgSz w:w="11900" w:h="16838" w:orient="portrait"/>
          <w:cols w:equalWidth="0" w:num="3">
            <w:col w:w="3580" w:space="460"/>
            <w:col w:w="4620" w:space="560"/>
            <w:col w:w="160"/>
          </w:cols>
          <w:pgMar w:left="1260" w:top="1440" w:right="12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22</w:t>
      </w:r>
    </w:p>
    <w:p>
      <w:pPr>
        <w:sectPr>
          <w:pgSz w:w="11900" w:h="16838" w:orient="portrait"/>
          <w:cols w:equalWidth="0" w:num="1">
            <w:col w:w="9380"/>
          </w:cols>
          <w:pgMar w:left="1260" w:top="1440" w:right="1266" w:bottom="0" w:gutter="0" w:footer="0" w:header="0"/>
          <w:type w:val="continuous"/>
        </w:sectPr>
      </w:pPr>
    </w:p>
    <w:bookmarkStart w:id="242" w:name="page243"/>
    <w:bookmarkEnd w:id="242"/>
    <w:tbl>
      <w:tblPr>
        <w:tblLayout w:type="fixed"/>
        <w:tblInd w:w="0" w:type="dxa"/>
        <w:tblCellMar>
          <w:top w:w="0" w:type="dxa"/>
          <w:left w:w="0" w:type="dxa"/>
          <w:bottom w:w="0" w:type="dxa"/>
          <w:right w:w="0" w:type="dxa"/>
        </w:tblCellMar>
      </w:tblPr>
      <w:tr>
        <w:trPr>
          <w:trHeight w:val="243"/>
        </w:trPr>
        <w:tc>
          <w:tcPr>
            <w:tcW w:w="21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22,326</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22,410</w:t>
            </w:r>
          </w:p>
        </w:tc>
        <w:tc>
          <w:tcPr>
            <w:tcW w:w="640" w:type="dxa"/>
            <w:vAlign w:val="bottom"/>
          </w:tcPr>
          <w:p>
            <w:pPr>
              <w:jc w:val="right"/>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0"/>
                <w:szCs w:val="10"/>
                <w:i w:val="1"/>
                <w:iCs w:val="1"/>
                <w:color w:val="auto"/>
              </w:rPr>
              <w:t>Janus Health Technologies, Inc.</w:t>
            </w:r>
          </w:p>
        </w:tc>
        <w:tc>
          <w:tcPr>
            <w:tcW w:w="3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0"/>
                <w:szCs w:val="10"/>
                <w:color w:val="auto"/>
              </w:rPr>
              <w:t>Information Technology Services</w:t>
            </w:r>
          </w:p>
        </w:tc>
        <w:tc>
          <w:tcPr>
            <w:tcW w:w="6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100" w:type="dxa"/>
            <w:vAlign w:val="bottom"/>
            <w:vMerge w:val="restart"/>
          </w:tcPr>
          <w:p>
            <w:pPr>
              <w:ind w:left="20"/>
              <w:spacing w:after="0"/>
              <w:rPr>
                <w:sz w:val="20"/>
                <w:szCs w:val="20"/>
                <w:color w:val="auto"/>
              </w:rPr>
            </w:pPr>
            <w:r>
              <w:rPr>
                <w:rFonts w:ascii="Arial" w:cs="Arial" w:eastAsia="Arial" w:hAnsi="Arial"/>
                <w:sz w:val="10"/>
                <w:szCs w:val="10"/>
                <w:color w:val="auto"/>
              </w:rPr>
              <w:t>First Lien Debt</w:t>
            </w:r>
          </w:p>
        </w:tc>
        <w:tc>
          <w:tcPr>
            <w:tcW w:w="3600" w:type="dxa"/>
            <w:vAlign w:val="bottom"/>
          </w:tcPr>
          <w:p>
            <w:pPr>
              <w:jc w:val="right"/>
              <w:ind w:right="30"/>
              <w:spacing w:after="0"/>
              <w:rPr>
                <w:sz w:val="20"/>
                <w:szCs w:val="20"/>
                <w:color w:val="auto"/>
              </w:rPr>
            </w:pPr>
            <w:r>
              <w:rPr>
                <w:rFonts w:ascii="Arial" w:cs="Arial" w:eastAsia="Arial" w:hAnsi="Arial"/>
                <w:sz w:val="10"/>
                <w:szCs w:val="10"/>
                <w:color w:val="auto"/>
              </w:rPr>
              <w:t>12.00%/0.00%</w:t>
            </w:r>
          </w:p>
        </w:tc>
        <w:tc>
          <w:tcPr>
            <w:tcW w:w="620" w:type="dxa"/>
            <w:vAlign w:val="bottom"/>
          </w:tcPr>
          <w:p>
            <w:pPr>
              <w:ind w:left="100"/>
              <w:spacing w:after="0"/>
              <w:rPr>
                <w:sz w:val="20"/>
                <w:szCs w:val="20"/>
                <w:color w:val="auto"/>
              </w:rPr>
            </w:pPr>
            <w:r>
              <w:rPr>
                <w:rFonts w:ascii="Arial" w:cs="Arial" w:eastAsia="Arial" w:hAnsi="Arial"/>
                <w:sz w:val="10"/>
                <w:szCs w:val="10"/>
                <w:color w:val="auto"/>
              </w:rPr>
              <w:t>1/3/2024</w:t>
            </w:r>
          </w:p>
        </w:tc>
        <w:tc>
          <w:tcPr>
            <w:tcW w:w="700" w:type="dxa"/>
            <w:vAlign w:val="bottom"/>
          </w:tcPr>
          <w:p>
            <w:pPr>
              <w:ind w:left="120"/>
              <w:spacing w:after="0"/>
              <w:rPr>
                <w:sz w:val="20"/>
                <w:szCs w:val="20"/>
                <w:color w:val="auto"/>
              </w:rPr>
            </w:pPr>
            <w:r>
              <w:rPr>
                <w:rFonts w:ascii="Arial" w:cs="Arial" w:eastAsia="Arial" w:hAnsi="Arial"/>
                <w:sz w:val="10"/>
                <w:szCs w:val="10"/>
                <w:color w:val="auto"/>
              </w:rPr>
              <w:t>1/3/2028</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5,000</w:t>
            </w: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4,983</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5,000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10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0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rPr>
              <w:t>First Lien Debt (j)</w:t>
            </w:r>
          </w:p>
        </w:tc>
        <w:tc>
          <w:tcPr>
            <w:tcW w:w="360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rPr>
              <w:t>12.00%/0.00%</w:t>
            </w:r>
          </w:p>
        </w:tc>
        <w:tc>
          <w:tcPr>
            <w:tcW w:w="620" w:type="dxa"/>
            <w:vAlign w:val="bottom"/>
            <w:shd w:val="clear" w:color="auto" w:fill="CFF0FC"/>
          </w:tcPr>
          <w:p>
            <w:pPr>
              <w:ind w:left="100"/>
              <w:spacing w:after="0"/>
              <w:rPr>
                <w:sz w:val="20"/>
                <w:szCs w:val="20"/>
                <w:color w:val="auto"/>
              </w:rPr>
            </w:pPr>
            <w:r>
              <w:rPr>
                <w:rFonts w:ascii="Arial" w:cs="Arial" w:eastAsia="Arial" w:hAnsi="Arial"/>
                <w:sz w:val="10"/>
                <w:szCs w:val="10"/>
                <w:color w:val="auto"/>
              </w:rPr>
              <w:t>1/3/2024</w:t>
            </w:r>
          </w:p>
        </w:tc>
        <w:tc>
          <w:tcPr>
            <w:tcW w:w="700" w:type="dxa"/>
            <w:vAlign w:val="bottom"/>
            <w:shd w:val="clear" w:color="auto" w:fill="CFF0FC"/>
          </w:tcPr>
          <w:p>
            <w:pPr>
              <w:ind w:left="120"/>
              <w:spacing w:after="0"/>
              <w:rPr>
                <w:sz w:val="20"/>
                <w:szCs w:val="20"/>
                <w:color w:val="auto"/>
              </w:rPr>
            </w:pPr>
            <w:r>
              <w:rPr>
                <w:rFonts w:ascii="Arial" w:cs="Arial" w:eastAsia="Arial" w:hAnsi="Arial"/>
                <w:sz w:val="10"/>
                <w:szCs w:val="10"/>
                <w:color w:val="auto"/>
              </w:rPr>
              <w:t>6/3/2025</w:t>
            </w:r>
          </w:p>
        </w:tc>
        <w:tc>
          <w:tcPr>
            <w:tcW w:w="58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2,500</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2,497</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rPr>
              <w:t>2,500</w:t>
            </w:r>
          </w:p>
        </w:tc>
        <w:tc>
          <w:tcPr>
            <w:tcW w:w="6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CFF0FC"/>
            </w:tcBorders>
            <w:vMerge w:val="continue"/>
            <w:shd w:val="clear" w:color="auto" w:fill="CFF0FC"/>
          </w:tcPr>
          <w:p>
            <w:pPr>
              <w:spacing w:after="0"/>
              <w:rPr>
                <w:sz w:val="3"/>
                <w:szCs w:val="3"/>
                <w:color w:val="auto"/>
              </w:rPr>
            </w:pPr>
          </w:p>
        </w:tc>
        <w:tc>
          <w:tcPr>
            <w:tcW w:w="3600" w:type="dxa"/>
            <w:vAlign w:val="bottom"/>
            <w:tcBorders>
              <w:bottom w:val="single" w:sz="8" w:color="CFF0FC"/>
            </w:tcBorders>
            <w:shd w:val="clear" w:color="auto" w:fill="CFF0FC"/>
          </w:tcPr>
          <w:p>
            <w:pPr>
              <w:spacing w:after="0"/>
              <w:rPr>
                <w:sz w:val="3"/>
                <w:szCs w:val="3"/>
                <w:color w:val="auto"/>
              </w:rPr>
            </w:pPr>
          </w:p>
        </w:tc>
        <w:tc>
          <w:tcPr>
            <w:tcW w:w="620" w:type="dxa"/>
            <w:vAlign w:val="bottom"/>
            <w:tcBorders>
              <w:bottom w:val="single" w:sz="8" w:color="CFF0FC"/>
            </w:tcBorders>
            <w:shd w:val="clear" w:color="auto" w:fill="CFF0FC"/>
          </w:tcPr>
          <w:p>
            <w:pPr>
              <w:spacing w:after="0"/>
              <w:rPr>
                <w:sz w:val="3"/>
                <w:szCs w:val="3"/>
                <w:color w:val="auto"/>
              </w:rPr>
            </w:pPr>
          </w:p>
        </w:tc>
        <w:tc>
          <w:tcPr>
            <w:tcW w:w="700" w:type="dxa"/>
            <w:vAlign w:val="bottom"/>
            <w:tcBorders>
              <w:bottom w:val="single" w:sz="8" w:color="CFF0FC"/>
            </w:tcBorders>
            <w:shd w:val="clear" w:color="auto" w:fill="CFF0FC"/>
          </w:tcPr>
          <w:p>
            <w:pPr>
              <w:spacing w:after="0"/>
              <w:rPr>
                <w:sz w:val="3"/>
                <w:szCs w:val="3"/>
                <w:color w:val="auto"/>
              </w:rPr>
            </w:pPr>
          </w:p>
        </w:tc>
        <w:tc>
          <w:tcPr>
            <w:tcW w:w="580" w:type="dxa"/>
            <w:vAlign w:val="bottom"/>
            <w:tcBorders>
              <w:bottom w:val="single" w:sz="8" w:color="CFF0FC"/>
            </w:tcBorders>
            <w:shd w:val="clear" w:color="auto" w:fill="CFF0FC"/>
          </w:tcPr>
          <w:p>
            <w:pPr>
              <w:spacing w:after="0"/>
              <w:rPr>
                <w:sz w:val="3"/>
                <w:szCs w:val="3"/>
                <w:color w:val="auto"/>
              </w:rPr>
            </w:pPr>
          </w:p>
        </w:tc>
        <w:tc>
          <w:tcPr>
            <w:tcW w:w="620" w:type="dxa"/>
            <w:vAlign w:val="bottom"/>
            <w:tcBorders>
              <w:bottom w:val="single" w:sz="8" w:color="CFF0FC"/>
            </w:tcBorders>
            <w:shd w:val="clear" w:color="auto" w:fill="CFF0FC"/>
          </w:tcPr>
          <w:p>
            <w:pPr>
              <w:spacing w:after="0"/>
              <w:rPr>
                <w:sz w:val="3"/>
                <w:szCs w:val="3"/>
                <w:color w:val="auto"/>
              </w:rPr>
            </w:pPr>
          </w:p>
        </w:tc>
        <w:tc>
          <w:tcPr>
            <w:tcW w:w="540" w:type="dxa"/>
            <w:vAlign w:val="bottom"/>
            <w:tcBorders>
              <w:bottom w:val="single" w:sz="8" w:color="CFF0FC"/>
            </w:tcBorders>
            <w:shd w:val="clear" w:color="auto" w:fill="CFF0FC"/>
          </w:tcPr>
          <w:p>
            <w:pPr>
              <w:spacing w:after="0"/>
              <w:rPr>
                <w:sz w:val="3"/>
                <w:szCs w:val="3"/>
                <w:color w:val="auto"/>
              </w:rPr>
            </w:pPr>
          </w:p>
        </w:tc>
        <w:tc>
          <w:tcPr>
            <w:tcW w:w="640" w:type="dxa"/>
            <w:vAlign w:val="bottom"/>
            <w:tcBorders>
              <w:bottom w:val="single" w:sz="8" w:color="CFF0FC"/>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Arial" w:cs="Arial" w:eastAsia="Arial" w:hAnsi="Arial"/>
                <w:sz w:val="10"/>
                <w:szCs w:val="10"/>
                <w:color w:val="auto"/>
              </w:rPr>
              <w:t>Preferred Equity (68,361 units)</w:t>
            </w:r>
          </w:p>
        </w:tc>
        <w:tc>
          <w:tcPr>
            <w:tcW w:w="3600" w:type="dxa"/>
            <w:vAlign w:val="bottom"/>
          </w:tcPr>
          <w:p>
            <w:pPr>
              <w:spacing w:after="0"/>
              <w:rPr>
                <w:sz w:val="22"/>
                <w:szCs w:val="22"/>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1/3/2024</w:t>
            </w: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1,500</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1,472</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1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100" w:type="dxa"/>
            <w:vAlign w:val="bottom"/>
            <w:tcBorders>
              <w:bottom w:val="single" w:sz="8" w:color="CFF0FC"/>
            </w:tcBorders>
            <w:shd w:val="clear" w:color="auto" w:fill="CFF0FC"/>
          </w:tcPr>
          <w:p>
            <w:pPr>
              <w:spacing w:after="0"/>
              <w:rPr>
                <w:sz w:val="24"/>
                <w:szCs w:val="24"/>
                <w:color w:val="auto"/>
              </w:rPr>
            </w:pPr>
          </w:p>
        </w:tc>
        <w:tc>
          <w:tcPr>
            <w:tcW w:w="36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0"/>
                <w:szCs w:val="10"/>
                <w:color w:val="auto"/>
              </w:rPr>
              <w:t>8,980</w:t>
            </w:r>
          </w:p>
        </w:tc>
        <w:tc>
          <w:tcPr>
            <w:tcW w:w="5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0"/>
                <w:szCs w:val="10"/>
                <w:color w:val="auto"/>
              </w:rPr>
              <w:t>8,972</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43"/>
        </w:trPr>
        <w:tc>
          <w:tcPr>
            <w:tcW w:w="2100" w:type="dxa"/>
            <w:vAlign w:val="bottom"/>
          </w:tcPr>
          <w:p>
            <w:pPr>
              <w:spacing w:after="0"/>
              <w:rPr>
                <w:sz w:val="20"/>
                <w:szCs w:val="20"/>
                <w:color w:val="auto"/>
              </w:rPr>
            </w:pPr>
            <w:r>
              <w:rPr>
                <w:rFonts w:ascii="Arial" w:cs="Arial" w:eastAsia="Arial" w:hAnsi="Arial"/>
                <w:sz w:val="10"/>
                <w:szCs w:val="10"/>
                <w:i w:val="1"/>
                <w:iCs w:val="1"/>
                <w:color w:val="auto"/>
              </w:rPr>
              <w:t>Jumo Health, Inc.</w:t>
            </w:r>
          </w:p>
        </w:tc>
        <w:tc>
          <w:tcPr>
            <w:tcW w:w="3600" w:type="dxa"/>
            <w:vAlign w:val="bottom"/>
          </w:tcPr>
          <w:p>
            <w:pPr>
              <w:ind w:left="120"/>
              <w:spacing w:after="0"/>
              <w:rPr>
                <w:sz w:val="20"/>
                <w:szCs w:val="20"/>
                <w:color w:val="auto"/>
              </w:rPr>
            </w:pPr>
            <w:r>
              <w:rPr>
                <w:rFonts w:ascii="Arial" w:cs="Arial" w:eastAsia="Arial" w:hAnsi="Arial"/>
                <w:sz w:val="10"/>
                <w:szCs w:val="10"/>
                <w:color w:val="auto"/>
              </w:rPr>
              <w:t>Healthcare Services</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00" w:type="dxa"/>
            <w:vAlign w:val="bottom"/>
            <w:vMerge w:val="restart"/>
            <w:shd w:val="clear" w:color="auto" w:fill="CFF0FC"/>
          </w:tcPr>
          <w:p>
            <w:pPr>
              <w:ind w:left="20"/>
              <w:spacing w:after="0"/>
              <w:rPr>
                <w:sz w:val="20"/>
                <w:szCs w:val="20"/>
                <w:color w:val="auto"/>
              </w:rPr>
            </w:pPr>
            <w:r>
              <w:rPr>
                <w:rFonts w:ascii="Arial" w:cs="Arial" w:eastAsia="Arial" w:hAnsi="Arial"/>
                <w:sz w:val="10"/>
                <w:szCs w:val="10"/>
                <w:color w:val="auto"/>
              </w:rPr>
              <w:t>First Lien Debt (j)(aw)</w:t>
            </w:r>
          </w:p>
        </w:tc>
        <w:tc>
          <w:tcPr>
            <w:tcW w:w="360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rPr>
              <w:t>(S + 5.50%) / (2.00%)  10.11%/0.00%</w:t>
            </w:r>
          </w:p>
        </w:tc>
        <w:tc>
          <w:tcPr>
            <w:tcW w:w="620" w:type="dxa"/>
            <w:vAlign w:val="bottom"/>
            <w:shd w:val="clear" w:color="auto" w:fill="CFF0FC"/>
          </w:tcPr>
          <w:p>
            <w:pPr>
              <w:ind w:left="100"/>
              <w:spacing w:after="0"/>
              <w:rPr>
                <w:sz w:val="20"/>
                <w:szCs w:val="20"/>
                <w:color w:val="auto"/>
              </w:rPr>
            </w:pPr>
            <w:r>
              <w:rPr>
                <w:rFonts w:ascii="Arial" w:cs="Arial" w:eastAsia="Arial" w:hAnsi="Arial"/>
                <w:sz w:val="10"/>
                <w:szCs w:val="10"/>
                <w:color w:val="auto"/>
              </w:rPr>
              <w:t>8/16/2024</w:t>
            </w:r>
          </w:p>
        </w:tc>
        <w:tc>
          <w:tcPr>
            <w:tcW w:w="700" w:type="dxa"/>
            <w:vAlign w:val="bottom"/>
            <w:shd w:val="clear" w:color="auto" w:fill="CFF0FC"/>
          </w:tcPr>
          <w:p>
            <w:pPr>
              <w:ind w:left="120"/>
              <w:spacing w:after="0"/>
              <w:rPr>
                <w:sz w:val="20"/>
                <w:szCs w:val="20"/>
                <w:color w:val="auto"/>
              </w:rPr>
            </w:pPr>
            <w:r>
              <w:rPr>
                <w:rFonts w:ascii="Arial" w:cs="Arial" w:eastAsia="Arial" w:hAnsi="Arial"/>
                <w:sz w:val="10"/>
                <w:szCs w:val="10"/>
                <w:color w:val="auto"/>
              </w:rPr>
              <w:t>8/16/2029</w:t>
            </w:r>
          </w:p>
        </w:tc>
        <w:tc>
          <w:tcPr>
            <w:tcW w:w="58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6,000</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5,934</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rPr>
              <w:t>5,934</w:t>
            </w:r>
          </w:p>
        </w:tc>
        <w:tc>
          <w:tcPr>
            <w:tcW w:w="6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CFF0FC"/>
            </w:tcBorders>
            <w:vMerge w:val="continue"/>
            <w:shd w:val="clear" w:color="auto" w:fill="CFF0FC"/>
          </w:tcPr>
          <w:p>
            <w:pPr>
              <w:spacing w:after="0"/>
              <w:rPr>
                <w:sz w:val="3"/>
                <w:szCs w:val="3"/>
                <w:color w:val="auto"/>
              </w:rPr>
            </w:pPr>
          </w:p>
        </w:tc>
        <w:tc>
          <w:tcPr>
            <w:tcW w:w="3600" w:type="dxa"/>
            <w:vAlign w:val="bottom"/>
            <w:tcBorders>
              <w:bottom w:val="single" w:sz="8" w:color="CFF0FC"/>
            </w:tcBorders>
            <w:shd w:val="clear" w:color="auto" w:fill="CFF0FC"/>
          </w:tcPr>
          <w:p>
            <w:pPr>
              <w:spacing w:after="0"/>
              <w:rPr>
                <w:sz w:val="3"/>
                <w:szCs w:val="3"/>
                <w:color w:val="auto"/>
              </w:rPr>
            </w:pPr>
          </w:p>
        </w:tc>
        <w:tc>
          <w:tcPr>
            <w:tcW w:w="620" w:type="dxa"/>
            <w:vAlign w:val="bottom"/>
            <w:tcBorders>
              <w:bottom w:val="single" w:sz="8" w:color="CFF0FC"/>
            </w:tcBorders>
            <w:shd w:val="clear" w:color="auto" w:fill="CFF0FC"/>
          </w:tcPr>
          <w:p>
            <w:pPr>
              <w:spacing w:after="0"/>
              <w:rPr>
                <w:sz w:val="3"/>
                <w:szCs w:val="3"/>
                <w:color w:val="auto"/>
              </w:rPr>
            </w:pPr>
          </w:p>
        </w:tc>
        <w:tc>
          <w:tcPr>
            <w:tcW w:w="700" w:type="dxa"/>
            <w:vAlign w:val="bottom"/>
            <w:tcBorders>
              <w:bottom w:val="single" w:sz="8" w:color="CFF0FC"/>
            </w:tcBorders>
            <w:shd w:val="clear" w:color="auto" w:fill="CFF0FC"/>
          </w:tcPr>
          <w:p>
            <w:pPr>
              <w:spacing w:after="0"/>
              <w:rPr>
                <w:sz w:val="3"/>
                <w:szCs w:val="3"/>
                <w:color w:val="auto"/>
              </w:rPr>
            </w:pPr>
          </w:p>
        </w:tc>
        <w:tc>
          <w:tcPr>
            <w:tcW w:w="580" w:type="dxa"/>
            <w:vAlign w:val="bottom"/>
            <w:tcBorders>
              <w:bottom w:val="single" w:sz="8" w:color="CFF0FC"/>
            </w:tcBorders>
            <w:shd w:val="clear" w:color="auto" w:fill="CFF0FC"/>
          </w:tcPr>
          <w:p>
            <w:pPr>
              <w:spacing w:after="0"/>
              <w:rPr>
                <w:sz w:val="3"/>
                <w:szCs w:val="3"/>
                <w:color w:val="auto"/>
              </w:rPr>
            </w:pPr>
          </w:p>
        </w:tc>
        <w:tc>
          <w:tcPr>
            <w:tcW w:w="620" w:type="dxa"/>
            <w:vAlign w:val="bottom"/>
            <w:tcBorders>
              <w:bottom w:val="single" w:sz="8" w:color="CFF0FC"/>
            </w:tcBorders>
            <w:shd w:val="clear" w:color="auto" w:fill="CFF0FC"/>
          </w:tcPr>
          <w:p>
            <w:pPr>
              <w:spacing w:after="0"/>
              <w:rPr>
                <w:sz w:val="3"/>
                <w:szCs w:val="3"/>
                <w:color w:val="auto"/>
              </w:rPr>
            </w:pPr>
          </w:p>
        </w:tc>
        <w:tc>
          <w:tcPr>
            <w:tcW w:w="540" w:type="dxa"/>
            <w:vAlign w:val="bottom"/>
            <w:tcBorders>
              <w:bottom w:val="single" w:sz="8" w:color="CFF0FC"/>
            </w:tcBorders>
            <w:shd w:val="clear" w:color="auto" w:fill="CFF0FC"/>
          </w:tcPr>
          <w:p>
            <w:pPr>
              <w:spacing w:after="0"/>
              <w:rPr>
                <w:sz w:val="3"/>
                <w:szCs w:val="3"/>
                <w:color w:val="auto"/>
              </w:rPr>
            </w:pPr>
          </w:p>
        </w:tc>
        <w:tc>
          <w:tcPr>
            <w:tcW w:w="640" w:type="dxa"/>
            <w:vAlign w:val="bottom"/>
            <w:tcBorders>
              <w:bottom w:val="single" w:sz="8" w:color="CFF0FC"/>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20"/>
              <w:spacing w:after="0"/>
              <w:rPr>
                <w:sz w:val="20"/>
                <w:szCs w:val="20"/>
                <w:color w:val="auto"/>
              </w:rPr>
            </w:pPr>
            <w:r>
              <w:rPr>
                <w:rFonts w:ascii="Arial" w:cs="Arial" w:eastAsia="Arial" w:hAnsi="Arial"/>
                <w:sz w:val="10"/>
                <w:szCs w:val="10"/>
                <w:color w:val="auto"/>
              </w:rPr>
              <w:t>Common Equity (1,359 shares) (j)</w:t>
            </w:r>
          </w:p>
        </w:tc>
        <w:tc>
          <w:tcPr>
            <w:tcW w:w="360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0"/>
                <w:szCs w:val="10"/>
                <w:color w:val="auto"/>
              </w:rPr>
              <w:t>8/16/2024</w:t>
            </w: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right"/>
              <w:ind w:right="13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100" w:type="dxa"/>
            <w:vAlign w:val="bottom"/>
            <w:shd w:val="clear" w:color="auto" w:fill="CFF0FC"/>
          </w:tcPr>
          <w:p>
            <w:pPr>
              <w:ind w:left="20"/>
              <w:spacing w:after="0"/>
              <w:rPr>
                <w:sz w:val="20"/>
                <w:szCs w:val="20"/>
                <w:color w:val="auto"/>
              </w:rPr>
            </w:pPr>
            <w:r>
              <w:rPr>
                <w:rFonts w:ascii="Arial" w:cs="Arial" w:eastAsia="Arial" w:hAnsi="Arial"/>
                <w:sz w:val="10"/>
                <w:szCs w:val="10"/>
                <w:color w:val="auto"/>
              </w:rPr>
              <w:t>Preferred Equity (1,359 shares) (j)</w:t>
            </w:r>
          </w:p>
        </w:tc>
        <w:tc>
          <w:tcPr>
            <w:tcW w:w="3600" w:type="dxa"/>
            <w:vAlign w:val="bottom"/>
            <w:shd w:val="clear" w:color="auto" w:fill="CFF0FC"/>
          </w:tcPr>
          <w:p>
            <w:pPr>
              <w:spacing w:after="0"/>
              <w:rPr>
                <w:sz w:val="22"/>
                <w:szCs w:val="22"/>
                <w:color w:val="auto"/>
              </w:rPr>
            </w:pPr>
          </w:p>
        </w:tc>
        <w:tc>
          <w:tcPr>
            <w:tcW w:w="620" w:type="dxa"/>
            <w:vAlign w:val="bottom"/>
            <w:shd w:val="clear" w:color="auto" w:fill="CFF0FC"/>
          </w:tcPr>
          <w:p>
            <w:pPr>
              <w:ind w:left="100"/>
              <w:spacing w:after="0"/>
              <w:rPr>
                <w:sz w:val="20"/>
                <w:szCs w:val="20"/>
                <w:color w:val="auto"/>
              </w:rPr>
            </w:pPr>
            <w:r>
              <w:rPr>
                <w:rFonts w:ascii="Arial" w:cs="Arial" w:eastAsia="Arial" w:hAnsi="Arial"/>
                <w:sz w:val="10"/>
                <w:szCs w:val="10"/>
                <w:color w:val="auto"/>
              </w:rPr>
              <w:t>8/16/2024</w:t>
            </w:r>
          </w:p>
        </w:tc>
        <w:tc>
          <w:tcPr>
            <w:tcW w:w="7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rPr>
              <w:t>750</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rPr>
              <w:t>750</w:t>
            </w:r>
          </w:p>
        </w:tc>
        <w:tc>
          <w:tcPr>
            <w:tcW w:w="6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100" w:type="dxa"/>
            <w:vAlign w:val="bottom"/>
            <w:shd w:val="clear" w:color="auto" w:fill="CFF0FC"/>
          </w:tcPr>
          <w:p>
            <w:pPr>
              <w:spacing w:after="0"/>
              <w:rPr>
                <w:sz w:val="5"/>
                <w:szCs w:val="5"/>
                <w:color w:val="auto"/>
              </w:rPr>
            </w:pPr>
          </w:p>
        </w:tc>
        <w:tc>
          <w:tcPr>
            <w:tcW w:w="36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color w:val="auto"/>
              </w:rPr>
              <w:t>6,684</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6,684</w:t>
            </w:r>
          </w:p>
        </w:tc>
        <w:tc>
          <w:tcPr>
            <w:tcW w:w="640" w:type="dxa"/>
            <w:vAlign w:val="bottom"/>
          </w:tcPr>
          <w:p>
            <w:pPr>
              <w:jc w:val="right"/>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00" w:type="dxa"/>
            <w:vAlign w:val="bottom"/>
            <w:shd w:val="clear" w:color="auto" w:fill="CFF0FC"/>
          </w:tcPr>
          <w:p>
            <w:pPr>
              <w:spacing w:after="0"/>
              <w:rPr>
                <w:sz w:val="20"/>
                <w:szCs w:val="20"/>
                <w:color w:val="auto"/>
              </w:rPr>
            </w:pPr>
            <w:r>
              <w:rPr>
                <w:rFonts w:ascii="Arial" w:cs="Arial" w:eastAsia="Arial" w:hAnsi="Arial"/>
                <w:sz w:val="10"/>
                <w:szCs w:val="10"/>
                <w:i w:val="1"/>
                <w:iCs w:val="1"/>
                <w:color w:val="auto"/>
                <w:w w:val="97"/>
              </w:rPr>
              <w:t>The Kyjen Company, LLC (dba Outward Hound)</w:t>
            </w:r>
          </w:p>
        </w:tc>
        <w:tc>
          <w:tcPr>
            <w:tcW w:w="3600" w:type="dxa"/>
            <w:vAlign w:val="bottom"/>
            <w:shd w:val="clear" w:color="auto" w:fill="CFF0FC"/>
          </w:tcPr>
          <w:p>
            <w:pPr>
              <w:ind w:left="120"/>
              <w:spacing w:after="0"/>
              <w:rPr>
                <w:sz w:val="20"/>
                <w:szCs w:val="20"/>
                <w:color w:val="auto"/>
              </w:rPr>
            </w:pPr>
            <w:r>
              <w:rPr>
                <w:rFonts w:ascii="Arial" w:cs="Arial" w:eastAsia="Arial" w:hAnsi="Arial"/>
                <w:sz w:val="10"/>
                <w:szCs w:val="10"/>
                <w:color w:val="auto"/>
              </w:rPr>
              <w:t>Consumer Products</w:t>
            </w:r>
          </w:p>
        </w:tc>
        <w:tc>
          <w:tcPr>
            <w:tcW w:w="6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100" w:type="dxa"/>
            <w:vAlign w:val="bottom"/>
            <w:shd w:val="clear" w:color="auto" w:fill="CFF0FC"/>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-1219200</wp:posOffset>
            </wp:positionV>
            <wp:extent cx="27305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3050" cy="635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-1219200</wp:posOffset>
            </wp:positionV>
            <wp:extent cx="26860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8605" cy="6350"/>
                    </a:xfrm>
                    <a:prstGeom prst="rect">
                      <a:avLst/>
                    </a:prstGeom>
                    <a:noFill/>
                  </pic:spPr>
                </pic:pic>
              </a:graphicData>
            </a:graphic>
          </wp:anchor>
        </w:drawing>
        <w:drawing>
          <wp:anchor simplePos="0" relativeHeight="251657728" behindDoc="1" locked="0" layoutInCell="0" allowOverlap="1">
            <wp:simplePos x="0" y="0"/>
            <wp:positionH relativeFrom="column">
              <wp:posOffset>4843780</wp:posOffset>
            </wp:positionH>
            <wp:positionV relativeFrom="paragraph">
              <wp:posOffset>-309880</wp:posOffset>
            </wp:positionV>
            <wp:extent cx="72072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725" cy="6350"/>
                    </a:xfrm>
                    <a:prstGeom prst="rect">
                      <a:avLst/>
                    </a:prstGeom>
                    <a:noFill/>
                  </pic:spPr>
                </pic:pic>
              </a:graphicData>
            </a:graphic>
          </wp:anchor>
        </w:drawing>
      </w:r>
    </w:p>
    <w:p>
      <w:pPr>
        <w:sectPr>
          <w:pgSz w:w="11900" w:h="16838" w:orient="portrait"/>
          <w:cols w:equalWidth="0" w:num="1">
            <w:col w:w="9400"/>
          </w:cols>
          <w:pgMar w:left="1260" w:top="118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22</w:t>
      </w:r>
    </w:p>
    <w:p>
      <w:pPr>
        <w:sectPr>
          <w:pgSz w:w="11900" w:h="16838" w:orient="portrait"/>
          <w:cols w:equalWidth="0" w:num="1">
            <w:col w:w="9400"/>
          </w:cols>
          <w:pgMar w:left="1260" w:top="1184" w:right="1246" w:bottom="0" w:gutter="0" w:footer="0" w:header="0"/>
          <w:type w:val="continuous"/>
        </w:sectPr>
      </w:pPr>
    </w:p>
    <w:bookmarkStart w:id="243" w:name="page244"/>
    <w:bookmarkEnd w:id="243"/>
    <w:p>
      <w:pPr>
        <w:spacing w:after="0" w:line="2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(855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12/8/2017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Level Education Group, LLC (dba CE4Less)</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(ak)</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+ 5.75%)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10.62%/0.00%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4/1/2026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2,315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(1,000,000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4/1/2021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400"/>
          </w:cols>
          <w:pgMar w:left="1260" w:top="1440" w:right="1246" w:bottom="0" w:gutter="0" w:footer="0" w:header="0"/>
          <w:type w:val="continuous"/>
        </w:sectPr>
      </w:pPr>
    </w:p>
    <w:bookmarkStart w:id="244" w:name="page245"/>
    <w:bookmarkEnd w:id="244"/>
    <w:p>
      <w:pPr>
        <w:jc w:val="right"/>
        <w:spacing w:after="0"/>
        <w:rPr>
          <w:sz w:val="20"/>
          <w:szCs w:val="20"/>
          <w:color w:val="auto"/>
        </w:rPr>
      </w:pPr>
      <w:r>
        <w:rPr>
          <w:rFonts w:ascii="Arial" w:cs="Arial" w:eastAsia="Arial" w:hAnsi="Arial"/>
          <w:sz w:val="10"/>
          <w:szCs w:val="10"/>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3,305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4,010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LifeSpan Biosciences,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Healthcare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11.50%/0.00%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3/19/2021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4/7/2028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15,972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(108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595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518</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400"/>
          </w:cols>
          <w:pgMar w:left="1260" w:top="1256" w:right="1246" w:bottom="0" w:gutter="0" w:footer="0" w:header="0"/>
          <w:type w:val="continuous"/>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16,567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16,518</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MBS Opco, LLC (dba Marketron)</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+ 8.50%) / (1.50%)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13.35%/0.00%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9/29/2022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9/28/2026</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26,941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27,000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MDME Holding Corp.</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Healthcare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440" w:right="1246" w:bottom="0" w:gutter="0" w:footer="0" w:header="0"/>
          <w:type w:val="continuous"/>
        </w:sectPr>
      </w:pPr>
    </w:p>
    <w:bookmarkStart w:id="246" w:name="page247"/>
    <w:bookmarkEnd w:id="246"/>
    <w:p>
      <w:pPr>
        <w:spacing w:after="0"/>
        <w:rPr>
          <w:sz w:val="20"/>
          <w:szCs w:val="20"/>
          <w:color w:val="auto"/>
        </w:rPr>
      </w:pPr>
      <w:r>
        <w:rPr>
          <w:rFonts w:ascii="Arial" w:cs="Arial" w:eastAsia="Arial" w:hAnsi="Arial"/>
          <w:sz w:val="10"/>
          <w:szCs w:val="10"/>
          <w:color w:val="auto"/>
        </w:rPr>
        <w:t>(S + 6.25%) / (1.00%)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10.73%/0.00%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8/31/2023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8/3/2027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11,774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11,711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11,610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(4,735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9/18/2023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(12,500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9/18/2023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1,250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12,961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12,137</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Micronics Filtration Holdings, Inc. (dba Micronics Engineered Filtration Group,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Component Manufacturing</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400"/>
          </w:cols>
          <w:pgMar w:left="1260" w:top="1406" w:right="1246" w:bottom="0" w:gutter="0" w:footer="0" w:header="0"/>
          <w:type w:val="continuous"/>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(k)(as)</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+ 5.25%) / (0.50%)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10.10%/0.00%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2/17/2022</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2/17/2027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30,000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29,445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30,000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(14,400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2/17/2022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1,440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30,885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36,933</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Netbase Solutions, Inc. (dba Netbase Quid)</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(k)(ap)</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400"/>
          </w:cols>
          <w:pgMar w:left="1260" w:top="1440" w:right="1246" w:bottom="0" w:gutter="0" w:footer="0" w:header="0"/>
          <w:type w:val="continuous"/>
        </w:sectPr>
      </w:pPr>
    </w:p>
    <w:bookmarkStart w:id="248" w:name="page249"/>
    <w:bookmarkEnd w:id="248"/>
    <w:p>
      <w:pPr>
        <w:spacing w:after="0"/>
        <w:rPr>
          <w:sz w:val="20"/>
          <w:szCs w:val="20"/>
          <w:color w:val="auto"/>
        </w:rPr>
      </w:pPr>
      <w:r>
        <w:rPr>
          <w:rFonts w:ascii="Arial" w:cs="Arial" w:eastAsia="Arial" w:hAnsi="Arial"/>
          <w:sz w:val="10"/>
          <w:szCs w:val="10"/>
          <w:color w:val="auto"/>
        </w:rPr>
        <w:t>(P + 4.00%) / (3.25%)</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11.50%/0.00%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11/18/2021</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11/18/2025</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15,869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15,841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15,711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NWS Technologies,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Utilities: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(u)</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+ 8.00%) / (2.50%)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12.59%/0.00%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6/20/2023</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6/16/2028</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16,823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(1 unit)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6/20/2023</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400"/>
          </w:cols>
          <w:pgMar w:left="1260" w:top="1256" w:right="1246" w:bottom="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0"/>
          <w:szCs w:val="10"/>
          <w:color w:val="auto"/>
        </w:rPr>
        <w:t>1,110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843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Preferred Equity (0.375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6/20/2023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370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18,303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18,252</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OnePath Systems,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Information Technology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(732,542 shares)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9/30/2022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400"/>
          </w:cols>
          <w:pgMar w:left="1260" w:top="1256" w:right="1246" w:bottom="0" w:gutter="0" w:footer="0" w:header="0"/>
          <w:type w:val="continuous"/>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790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Palmetto Moon,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(499 units) (j)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11/3/2016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265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1,274</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Pinnergy, Ltd.</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Oil &amp; Gas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Subordinated Debt (j)</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auto"/>
        </w:rPr>
        <w:t>10.00%/0.00%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6/30/2022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440" w:right="1246" w:bottom="0" w:gutter="0" w:footer="0" w:header="0"/>
          <w:type w:val="continuous"/>
        </w:sectPr>
      </w:pPr>
    </w:p>
    <w:bookmarkStart w:id="251" w:name="page252"/>
    <w:bookmarkEnd w:id="251"/>
    <w:p>
      <w:pPr>
        <w:spacing w:after="0"/>
        <w:rPr>
          <w:sz w:val="20"/>
          <w:szCs w:val="20"/>
          <w:color w:val="auto"/>
        </w:rPr>
      </w:pPr>
      <w:r>
        <w:rPr>
          <w:rFonts w:ascii="Arial" w:cs="Arial" w:eastAsia="Arial" w:hAnsi="Arial"/>
          <w:sz w:val="10"/>
          <w:szCs w:val="10"/>
          <w:color w:val="auto"/>
        </w:rPr>
        <w:t>6/30/2027</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10,200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10,163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10,200</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PowerGrid Services Acquisition, LLC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Utilities: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Common Equity (5,461 units) (h)(j)</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auto"/>
        </w:rPr>
        <w:t>9/21/2021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494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1,231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0</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Prime AE Group, Inc.</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Business Services</w:t>
      </w:r>
    </w:p>
    <w:p>
      <w:pPr>
        <w:sectPr>
          <w:pgSz w:w="11900" w:h="16838" w:orient="portrait"/>
          <w:cols w:equalWidth="0" w:num="1">
            <w:col w:w="9400"/>
          </w:cols>
          <w:pgMar w:left="1260" w:top="125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400"/>
          </w:cols>
          <w:pgMar w:left="1260" w:top="1256" w:right="1246" w:bottom="0" w:gutter="0" w:footer="0" w:header="0"/>
          <w:type w:val="continuous"/>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First Lien Debt (j)(ab)</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 + 8.75%) / (2.00%)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13.21%/0.00%</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11/25/2019</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11/22/2025</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5,488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5,500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440" w:right="1246" w:bottom="0" w:gutter="0" w:footer="0" w:header="0"/>
          <w:type w:val="continuous"/>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(900,000 shares) (j)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Puget Collision, LLC</w:t>
      </w:r>
      <w:r>
        <w:rPr>
          <w:sz w:val="20"/>
          <w:szCs w:val="20"/>
          <w:color w:val="auto"/>
        </w:rPr>
        <w:tab/>
      </w:r>
      <w:r>
        <w:rPr>
          <w:rFonts w:ascii="Arial" w:cs="Arial" w:eastAsia="Arial" w:hAnsi="Arial"/>
          <w:sz w:val="9"/>
          <w:szCs w:val="9"/>
          <w:color w:val="auto"/>
        </w:rPr>
        <w:t>Retail</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(j)(av)</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(h)(j)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(h)(j)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(310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QED Technologies International, Inc.</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(q)</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(140 shares) (j)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Quantum IR Technologies, LLC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(12,183 shares) (j)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Quest Software US Holdings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(j)</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R1 Holdings, LLC (dba RoadOne IntermodaLogistics) </w:t>
      </w:r>
      <w:r>
        <w:rPr>
          <w:rFonts w:ascii="Arial" w:cs="Arial" w:eastAsia="Arial" w:hAnsi="Arial"/>
          <w:sz w:val="10"/>
          <w:szCs w:val="10"/>
          <w:color w:val="auto"/>
        </w:rPr>
        <w:t>Transportation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(280,000 units) (j)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R.F. Fager Company LLC</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(12,500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Rhino Assembly Company, LLC (n)</w:t>
      </w:r>
      <w:r>
        <w:rPr>
          <w:sz w:val="20"/>
          <w:szCs w:val="20"/>
          <w:color w:val="auto"/>
        </w:rPr>
        <w:tab/>
      </w:r>
      <w:r>
        <w:rPr>
          <w:rFonts w:ascii="Arial" w:cs="Arial" w:eastAsia="Arial" w:hAnsi="Arial"/>
          <w:sz w:val="9"/>
          <w:szCs w:val="9"/>
          <w:color w:val="auto"/>
        </w:rPr>
        <w:t>Specialty Distribution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(Class A Units) (10,915 units) (h)(j)</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(Units N/A) (h)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(Class F Units) (710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ServicePower, Inc.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(k)</w:t>
      </w:r>
    </w:p>
    <w:p>
      <w:pPr>
        <w:spacing w:after="0" w:line="21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SES Investors, LLC (dba SES Foam) (n)</w:t>
      </w:r>
      <w:r>
        <w:rPr>
          <w:sz w:val="20"/>
          <w:szCs w:val="20"/>
          <w:color w:val="auto"/>
        </w:rPr>
        <w:tab/>
      </w:r>
      <w:r>
        <w:rPr>
          <w:rFonts w:ascii="Arial" w:cs="Arial" w:eastAsia="Arial" w:hAnsi="Arial"/>
          <w:sz w:val="9"/>
          <w:szCs w:val="9"/>
          <w:color w:val="auto"/>
        </w:rPr>
        <w:t>Building Products Manufacturing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(6,000 units) (h)(j)</w:t>
      </w:r>
    </w:p>
    <w:p>
      <w:pPr>
        <w:spacing w:after="0" w:line="25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Suited Connector LLC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(j)(y)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(97,808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Tedia Company, LLC</w:t>
      </w:r>
      <w:r>
        <w:rPr>
          <w:sz w:val="20"/>
          <w:szCs w:val="20"/>
          <w:color w:val="auto"/>
        </w:rPr>
        <w:tab/>
      </w:r>
      <w:r>
        <w:rPr>
          <w:rFonts w:ascii="Arial" w:cs="Arial" w:eastAsia="Arial" w:hAnsi="Arial"/>
          <w:sz w:val="7"/>
          <w:szCs w:val="7"/>
          <w:color w:val="auto"/>
        </w:rPr>
        <w:t>Healthcare Products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Revolving Loan ($2,250 unfunded commitment) (i)</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(j)</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 units) (h)(j)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11/25/2019</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900</w:t>
            </w:r>
          </w:p>
        </w:tc>
        <w:tc>
          <w:tcPr>
            <w:tcW w:w="420" w:type="dxa"/>
            <w:vAlign w:val="bottom"/>
          </w:tcPr>
          <w:p>
            <w:pPr>
              <w:jc w:val="right"/>
              <w:spacing w:after="0"/>
              <w:rPr>
                <w:sz w:val="20"/>
                <w:szCs w:val="20"/>
                <w:color w:val="auto"/>
              </w:rPr>
            </w:pPr>
            <w:r>
              <w:rPr>
                <w:rFonts w:ascii="Arial" w:cs="Arial" w:eastAsia="Arial" w:hAnsi="Arial"/>
                <w:sz w:val="10"/>
                <w:szCs w:val="10"/>
                <w:color w:val="auto"/>
              </w:rPr>
              <w:t>364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6,388</w:t>
            </w:r>
          </w:p>
        </w:tc>
        <w:tc>
          <w:tcPr>
            <w:tcW w:w="420" w:type="dxa"/>
            <w:vAlign w:val="bottom"/>
          </w:tcPr>
          <w:p>
            <w:pPr>
              <w:jc w:val="right"/>
              <w:spacing w:after="0"/>
              <w:rPr>
                <w:sz w:val="20"/>
                <w:szCs w:val="20"/>
                <w:color w:val="auto"/>
              </w:rPr>
            </w:pPr>
            <w:r>
              <w:rPr>
                <w:rFonts w:ascii="Arial" w:cs="Arial" w:eastAsia="Arial" w:hAnsi="Arial"/>
                <w:sz w:val="10"/>
                <w:szCs w:val="10"/>
                <w:color w:val="auto"/>
              </w:rPr>
              <w:t>5,864</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+ 7.00%) / (2.00%)</w:t>
            </w:r>
          </w:p>
        </w:tc>
        <w:tc>
          <w:tcPr>
            <w:tcW w:w="720" w:type="dxa"/>
            <w:vAlign w:val="bottom"/>
          </w:tcPr>
          <w:p>
            <w:pPr>
              <w:ind w:left="40"/>
              <w:spacing w:after="0"/>
              <w:rPr>
                <w:sz w:val="20"/>
                <w:szCs w:val="20"/>
                <w:color w:val="auto"/>
              </w:rPr>
            </w:pPr>
            <w:r>
              <w:rPr>
                <w:rFonts w:ascii="Arial" w:cs="Arial" w:eastAsia="Arial" w:hAnsi="Arial"/>
                <w:sz w:val="10"/>
                <w:szCs w:val="10"/>
                <w:color w:val="auto"/>
              </w:rPr>
              <w:t>11.59%/0.00%</w:t>
            </w:r>
          </w:p>
        </w:tc>
        <w:tc>
          <w:tcPr>
            <w:tcW w:w="640" w:type="dxa"/>
            <w:vAlign w:val="bottom"/>
          </w:tcPr>
          <w:p>
            <w:pPr>
              <w:ind w:left="80"/>
              <w:spacing w:after="0"/>
              <w:rPr>
                <w:sz w:val="20"/>
                <w:szCs w:val="20"/>
                <w:color w:val="auto"/>
              </w:rPr>
            </w:pPr>
            <w:r>
              <w:rPr>
                <w:rFonts w:ascii="Arial" w:cs="Arial" w:eastAsia="Arial" w:hAnsi="Arial"/>
                <w:sz w:val="10"/>
                <w:szCs w:val="10"/>
                <w:color w:val="auto"/>
              </w:rPr>
              <w:t>1/4/2024</w:t>
            </w:r>
          </w:p>
        </w:tc>
        <w:tc>
          <w:tcPr>
            <w:tcW w:w="660" w:type="dxa"/>
            <w:vAlign w:val="bottom"/>
          </w:tcPr>
          <w:p>
            <w:pPr>
              <w:ind w:left="80"/>
              <w:spacing w:after="0"/>
              <w:rPr>
                <w:sz w:val="20"/>
                <w:szCs w:val="20"/>
                <w:color w:val="auto"/>
              </w:rPr>
            </w:pPr>
            <w:r>
              <w:rPr>
                <w:rFonts w:ascii="Arial" w:cs="Arial" w:eastAsia="Arial" w:hAnsi="Arial"/>
                <w:sz w:val="10"/>
                <w:szCs w:val="10"/>
                <w:color w:val="auto"/>
              </w:rPr>
              <w:t>1/4/2029</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22,232</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22,016</w:t>
            </w:r>
          </w:p>
        </w:tc>
        <w:tc>
          <w:tcPr>
            <w:tcW w:w="420" w:type="dxa"/>
            <w:vAlign w:val="bottom"/>
          </w:tcPr>
          <w:p>
            <w:pPr>
              <w:jc w:val="right"/>
              <w:spacing w:after="0"/>
              <w:rPr>
                <w:sz w:val="20"/>
                <w:szCs w:val="20"/>
                <w:color w:val="auto"/>
              </w:rPr>
            </w:pPr>
            <w:r>
              <w:rPr>
                <w:rFonts w:ascii="Arial" w:cs="Arial" w:eastAsia="Arial" w:hAnsi="Arial"/>
                <w:sz w:val="10"/>
                <w:szCs w:val="10"/>
                <w:color w:val="auto"/>
              </w:rPr>
              <w:t>22,232</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0.00%/10.00%</w:t>
            </w:r>
          </w:p>
        </w:tc>
        <w:tc>
          <w:tcPr>
            <w:tcW w:w="640" w:type="dxa"/>
            <w:vAlign w:val="bottom"/>
          </w:tcPr>
          <w:p>
            <w:pPr>
              <w:ind w:left="80"/>
              <w:spacing w:after="0"/>
              <w:rPr>
                <w:sz w:val="20"/>
                <w:szCs w:val="20"/>
                <w:color w:val="auto"/>
              </w:rPr>
            </w:pPr>
            <w:r>
              <w:rPr>
                <w:rFonts w:ascii="Arial" w:cs="Arial" w:eastAsia="Arial" w:hAnsi="Arial"/>
                <w:sz w:val="10"/>
                <w:szCs w:val="10"/>
                <w:color w:val="auto"/>
              </w:rPr>
              <w:t>11/22/2024</w:t>
            </w:r>
          </w:p>
        </w:tc>
        <w:tc>
          <w:tcPr>
            <w:tcW w:w="660" w:type="dxa"/>
            <w:vAlign w:val="bottom"/>
          </w:tcPr>
          <w:p>
            <w:pPr>
              <w:ind w:left="80"/>
              <w:spacing w:after="0"/>
              <w:rPr>
                <w:sz w:val="20"/>
                <w:szCs w:val="20"/>
                <w:color w:val="auto"/>
              </w:rPr>
            </w:pPr>
            <w:r>
              <w:rPr>
                <w:rFonts w:ascii="Arial" w:cs="Arial" w:eastAsia="Arial" w:hAnsi="Arial"/>
                <w:sz w:val="10"/>
                <w:szCs w:val="10"/>
                <w:color w:val="auto"/>
              </w:rPr>
              <w:t>5/22/2026</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60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59</w:t>
            </w:r>
          </w:p>
        </w:tc>
        <w:tc>
          <w:tcPr>
            <w:tcW w:w="420" w:type="dxa"/>
            <w:vAlign w:val="bottom"/>
          </w:tcPr>
          <w:p>
            <w:pPr>
              <w:jc w:val="right"/>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0.00%/10.00%</w:t>
            </w:r>
          </w:p>
        </w:tc>
        <w:tc>
          <w:tcPr>
            <w:tcW w:w="640" w:type="dxa"/>
            <w:vAlign w:val="bottom"/>
          </w:tcPr>
          <w:p>
            <w:pPr>
              <w:ind w:left="80"/>
              <w:spacing w:after="0"/>
              <w:rPr>
                <w:sz w:val="20"/>
                <w:szCs w:val="20"/>
                <w:color w:val="auto"/>
              </w:rPr>
            </w:pPr>
            <w:r>
              <w:rPr>
                <w:rFonts w:ascii="Arial" w:cs="Arial" w:eastAsia="Arial" w:hAnsi="Arial"/>
                <w:sz w:val="10"/>
                <w:szCs w:val="10"/>
                <w:color w:val="auto"/>
              </w:rPr>
              <w:t>12/20/2024</w:t>
            </w:r>
          </w:p>
        </w:tc>
        <w:tc>
          <w:tcPr>
            <w:tcW w:w="660" w:type="dxa"/>
            <w:vAlign w:val="bottom"/>
          </w:tcPr>
          <w:p>
            <w:pPr>
              <w:ind w:left="80"/>
              <w:spacing w:after="0"/>
              <w:rPr>
                <w:sz w:val="20"/>
                <w:szCs w:val="20"/>
                <w:color w:val="auto"/>
              </w:rPr>
            </w:pPr>
            <w:r>
              <w:rPr>
                <w:rFonts w:ascii="Arial" w:cs="Arial" w:eastAsia="Arial" w:hAnsi="Arial"/>
                <w:sz w:val="10"/>
                <w:szCs w:val="10"/>
                <w:color w:val="auto"/>
              </w:rPr>
              <w:t>6/20/2026</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37</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37</w:t>
            </w:r>
          </w:p>
        </w:tc>
        <w:tc>
          <w:tcPr>
            <w:tcW w:w="420" w:type="dxa"/>
            <w:vAlign w:val="bottom"/>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1/4/2024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810</w:t>
            </w:r>
          </w:p>
        </w:tc>
        <w:tc>
          <w:tcPr>
            <w:tcW w:w="420" w:type="dxa"/>
            <w:vAlign w:val="bottom"/>
          </w:tcPr>
          <w:p>
            <w:pPr>
              <w:jc w:val="right"/>
              <w:spacing w:after="0"/>
              <w:rPr>
                <w:sz w:val="20"/>
                <w:szCs w:val="20"/>
                <w:color w:val="auto"/>
              </w:rPr>
            </w:pPr>
            <w:r>
              <w:rPr>
                <w:rFonts w:ascii="Arial" w:cs="Arial" w:eastAsia="Arial" w:hAnsi="Arial"/>
                <w:sz w:val="10"/>
                <w:szCs w:val="10"/>
                <w:color w:val="auto"/>
              </w:rPr>
              <w:t>1,284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22,922</w:t>
            </w:r>
          </w:p>
        </w:tc>
        <w:tc>
          <w:tcPr>
            <w:tcW w:w="420" w:type="dxa"/>
            <w:vAlign w:val="bottom"/>
          </w:tcPr>
          <w:p>
            <w:pPr>
              <w:jc w:val="right"/>
              <w:spacing w:after="0"/>
              <w:rPr>
                <w:sz w:val="20"/>
                <w:szCs w:val="20"/>
                <w:color w:val="auto"/>
              </w:rPr>
            </w:pPr>
            <w:r>
              <w:rPr>
                <w:rFonts w:ascii="Arial" w:cs="Arial" w:eastAsia="Arial" w:hAnsi="Arial"/>
                <w:sz w:val="10"/>
                <w:szCs w:val="10"/>
                <w:color w:val="auto"/>
              </w:rPr>
              <w:t>23,613</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+ 5.25%) / (1.50%)</w:t>
            </w:r>
          </w:p>
        </w:tc>
        <w:tc>
          <w:tcPr>
            <w:tcW w:w="720" w:type="dxa"/>
            <w:vAlign w:val="bottom"/>
          </w:tcPr>
          <w:p>
            <w:pPr>
              <w:ind w:left="40"/>
              <w:spacing w:after="0"/>
              <w:rPr>
                <w:sz w:val="20"/>
                <w:szCs w:val="20"/>
                <w:color w:val="auto"/>
              </w:rPr>
            </w:pPr>
            <w:r>
              <w:rPr>
                <w:rFonts w:ascii="Arial" w:cs="Arial" w:eastAsia="Arial" w:hAnsi="Arial"/>
                <w:sz w:val="10"/>
                <w:szCs w:val="10"/>
                <w:color w:val="auto"/>
              </w:rPr>
              <w:t>9.84%/0.50%</w:t>
            </w:r>
          </w:p>
        </w:tc>
        <w:tc>
          <w:tcPr>
            <w:tcW w:w="640" w:type="dxa"/>
            <w:vAlign w:val="bottom"/>
          </w:tcPr>
          <w:p>
            <w:pPr>
              <w:ind w:left="80"/>
              <w:spacing w:after="0"/>
              <w:rPr>
                <w:sz w:val="20"/>
                <w:szCs w:val="20"/>
                <w:color w:val="auto"/>
              </w:rPr>
            </w:pPr>
            <w:r>
              <w:rPr>
                <w:rFonts w:ascii="Arial" w:cs="Arial" w:eastAsia="Arial" w:hAnsi="Arial"/>
                <w:sz w:val="10"/>
                <w:szCs w:val="10"/>
                <w:color w:val="auto"/>
              </w:rPr>
              <w:t>3/1/2023</w:t>
            </w:r>
          </w:p>
        </w:tc>
        <w:tc>
          <w:tcPr>
            <w:tcW w:w="660" w:type="dxa"/>
            <w:vAlign w:val="bottom"/>
          </w:tcPr>
          <w:p>
            <w:pPr>
              <w:ind w:left="80"/>
              <w:spacing w:after="0"/>
              <w:rPr>
                <w:sz w:val="20"/>
                <w:szCs w:val="20"/>
                <w:color w:val="auto"/>
              </w:rPr>
            </w:pPr>
            <w:r>
              <w:rPr>
                <w:rFonts w:ascii="Arial" w:cs="Arial" w:eastAsia="Arial" w:hAnsi="Arial"/>
                <w:sz w:val="10"/>
                <w:szCs w:val="10"/>
                <w:color w:val="auto"/>
              </w:rPr>
              <w:t>3/1/2028</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15,551</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15,468</w:t>
            </w:r>
          </w:p>
        </w:tc>
        <w:tc>
          <w:tcPr>
            <w:tcW w:w="420" w:type="dxa"/>
            <w:vAlign w:val="bottom"/>
          </w:tcPr>
          <w:p>
            <w:pPr>
              <w:jc w:val="right"/>
              <w:spacing w:after="0"/>
              <w:rPr>
                <w:sz w:val="20"/>
                <w:szCs w:val="20"/>
                <w:color w:val="auto"/>
              </w:rPr>
            </w:pPr>
            <w:r>
              <w:rPr>
                <w:rFonts w:ascii="Arial" w:cs="Arial" w:eastAsia="Arial" w:hAnsi="Arial"/>
                <w:sz w:val="10"/>
                <w:szCs w:val="10"/>
                <w:color w:val="auto"/>
              </w:rPr>
              <w:t>15,551</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2/28/2023</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1,402</w:t>
            </w:r>
          </w:p>
        </w:tc>
        <w:tc>
          <w:tcPr>
            <w:tcW w:w="420" w:type="dxa"/>
            <w:vAlign w:val="bottom"/>
          </w:tcPr>
          <w:p>
            <w:pPr>
              <w:jc w:val="right"/>
              <w:spacing w:after="0"/>
              <w:rPr>
                <w:sz w:val="20"/>
                <w:szCs w:val="20"/>
                <w:color w:val="auto"/>
              </w:rPr>
            </w:pPr>
            <w:r>
              <w:rPr>
                <w:rFonts w:ascii="Arial" w:cs="Arial" w:eastAsia="Arial" w:hAnsi="Arial"/>
                <w:sz w:val="10"/>
                <w:szCs w:val="10"/>
                <w:color w:val="auto"/>
              </w:rPr>
              <w:t>3,574</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16,870</w:t>
            </w:r>
          </w:p>
        </w:tc>
        <w:tc>
          <w:tcPr>
            <w:tcW w:w="420" w:type="dxa"/>
            <w:vAlign w:val="bottom"/>
          </w:tcPr>
          <w:p>
            <w:pPr>
              <w:jc w:val="right"/>
              <w:spacing w:after="0"/>
              <w:rPr>
                <w:sz w:val="20"/>
                <w:szCs w:val="20"/>
                <w:color w:val="auto"/>
              </w:rPr>
            </w:pPr>
            <w:r>
              <w:rPr>
                <w:rFonts w:ascii="Arial" w:cs="Arial" w:eastAsia="Arial" w:hAnsi="Arial"/>
                <w:sz w:val="10"/>
                <w:szCs w:val="10"/>
                <w:color w:val="auto"/>
              </w:rPr>
              <w:t>19,125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14.00%/0.00%</w:t>
            </w:r>
          </w:p>
        </w:tc>
        <w:tc>
          <w:tcPr>
            <w:tcW w:w="640" w:type="dxa"/>
            <w:vAlign w:val="bottom"/>
          </w:tcPr>
          <w:p>
            <w:pPr>
              <w:ind w:left="80"/>
              <w:spacing w:after="0"/>
              <w:rPr>
                <w:sz w:val="20"/>
                <w:szCs w:val="20"/>
                <w:color w:val="auto"/>
              </w:rPr>
            </w:pPr>
            <w:r>
              <w:rPr>
                <w:rFonts w:ascii="Arial" w:cs="Arial" w:eastAsia="Arial" w:hAnsi="Arial"/>
                <w:sz w:val="10"/>
                <w:szCs w:val="10"/>
                <w:color w:val="auto"/>
              </w:rPr>
              <w:t>3/19/2024</w:t>
            </w:r>
          </w:p>
        </w:tc>
        <w:tc>
          <w:tcPr>
            <w:tcW w:w="660" w:type="dxa"/>
            <w:vAlign w:val="bottom"/>
          </w:tcPr>
          <w:p>
            <w:pPr>
              <w:ind w:left="80"/>
              <w:spacing w:after="0"/>
              <w:rPr>
                <w:sz w:val="20"/>
                <w:szCs w:val="20"/>
                <w:color w:val="auto"/>
              </w:rPr>
            </w:pPr>
            <w:r>
              <w:rPr>
                <w:rFonts w:ascii="Arial" w:cs="Arial" w:eastAsia="Arial" w:hAnsi="Arial"/>
                <w:sz w:val="10"/>
                <w:szCs w:val="10"/>
                <w:color w:val="auto"/>
              </w:rPr>
              <w:t>12/20/2026</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12,000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11,964</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3/19/2024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2,400</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14,364</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0"/>
                <w:szCs w:val="10"/>
                <w:color w:val="auto"/>
                <w:w w:val="95"/>
              </w:rPr>
              <w:t>(S + 7.50%) / (0.50%)</w:t>
            </w:r>
          </w:p>
        </w:tc>
        <w:tc>
          <w:tcPr>
            <w:tcW w:w="720" w:type="dxa"/>
            <w:vAlign w:val="bottom"/>
          </w:tcPr>
          <w:p>
            <w:pPr>
              <w:ind w:left="40"/>
              <w:spacing w:after="0"/>
              <w:rPr>
                <w:sz w:val="20"/>
                <w:szCs w:val="20"/>
                <w:color w:val="auto"/>
              </w:rPr>
            </w:pPr>
            <w:r>
              <w:rPr>
                <w:rFonts w:ascii="Arial" w:cs="Arial" w:eastAsia="Arial" w:hAnsi="Arial"/>
                <w:sz w:val="10"/>
                <w:szCs w:val="10"/>
                <w:color w:val="auto"/>
              </w:rPr>
              <w:t>12.24%/0.00%</w:t>
            </w:r>
          </w:p>
        </w:tc>
        <w:tc>
          <w:tcPr>
            <w:tcW w:w="640" w:type="dxa"/>
            <w:vAlign w:val="bottom"/>
          </w:tcPr>
          <w:p>
            <w:pPr>
              <w:ind w:left="80"/>
              <w:spacing w:after="0"/>
              <w:rPr>
                <w:sz w:val="20"/>
                <w:szCs w:val="20"/>
                <w:color w:val="auto"/>
              </w:rPr>
            </w:pPr>
            <w:r>
              <w:rPr>
                <w:rFonts w:ascii="Arial" w:cs="Arial" w:eastAsia="Arial" w:hAnsi="Arial"/>
                <w:sz w:val="10"/>
                <w:szCs w:val="10"/>
                <w:color w:val="auto"/>
              </w:rPr>
              <w:t>3/1/2022</w:t>
            </w:r>
          </w:p>
        </w:tc>
        <w:tc>
          <w:tcPr>
            <w:tcW w:w="660" w:type="dxa"/>
            <w:vAlign w:val="bottom"/>
          </w:tcPr>
          <w:p>
            <w:pPr>
              <w:ind w:left="80"/>
              <w:spacing w:after="0"/>
              <w:rPr>
                <w:sz w:val="20"/>
                <w:szCs w:val="20"/>
                <w:color w:val="auto"/>
              </w:rPr>
            </w:pPr>
            <w:r>
              <w:rPr>
                <w:rFonts w:ascii="Arial" w:cs="Arial" w:eastAsia="Arial" w:hAnsi="Arial"/>
                <w:sz w:val="10"/>
                <w:szCs w:val="10"/>
                <w:color w:val="auto"/>
              </w:rPr>
              <w:t>2/1/2030</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20,000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19,540</w:t>
            </w:r>
          </w:p>
        </w:tc>
        <w:tc>
          <w:tcPr>
            <w:tcW w:w="420" w:type="dxa"/>
            <w:vAlign w:val="bottom"/>
          </w:tcPr>
          <w:p>
            <w:pPr>
              <w:jc w:val="right"/>
              <w:spacing w:after="0"/>
              <w:rPr>
                <w:sz w:val="20"/>
                <w:szCs w:val="20"/>
                <w:color w:val="auto"/>
              </w:rPr>
            </w:pPr>
            <w:r>
              <w:rPr>
                <w:rFonts w:ascii="Arial" w:cs="Arial" w:eastAsia="Arial" w:hAnsi="Arial"/>
                <w:sz w:val="10"/>
                <w:szCs w:val="10"/>
                <w:color w:val="auto"/>
              </w:rPr>
              <w:t>9,645</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+ 6.25%) / (1.00%)</w:t>
            </w:r>
          </w:p>
        </w:tc>
        <w:tc>
          <w:tcPr>
            <w:tcW w:w="720" w:type="dxa"/>
            <w:vAlign w:val="bottom"/>
          </w:tcPr>
          <w:p>
            <w:pPr>
              <w:ind w:left="40"/>
              <w:spacing w:after="0"/>
              <w:rPr>
                <w:sz w:val="20"/>
                <w:szCs w:val="20"/>
                <w:color w:val="auto"/>
              </w:rPr>
            </w:pPr>
            <w:r>
              <w:rPr>
                <w:rFonts w:ascii="Arial" w:cs="Arial" w:eastAsia="Arial" w:hAnsi="Arial"/>
                <w:sz w:val="10"/>
                <w:szCs w:val="10"/>
                <w:color w:val="auto"/>
              </w:rPr>
              <w:t>10.84%/0.00%</w:t>
            </w:r>
          </w:p>
        </w:tc>
        <w:tc>
          <w:tcPr>
            <w:tcW w:w="640" w:type="dxa"/>
            <w:vAlign w:val="bottom"/>
          </w:tcPr>
          <w:p>
            <w:pPr>
              <w:ind w:left="80"/>
              <w:spacing w:after="0"/>
              <w:rPr>
                <w:sz w:val="20"/>
                <w:szCs w:val="20"/>
                <w:color w:val="auto"/>
              </w:rPr>
            </w:pPr>
            <w:r>
              <w:rPr>
                <w:rFonts w:ascii="Arial" w:cs="Arial" w:eastAsia="Arial" w:hAnsi="Arial"/>
                <w:sz w:val="10"/>
                <w:szCs w:val="10"/>
                <w:color w:val="auto"/>
              </w:rPr>
              <w:t>12/30/2022</w:t>
            </w:r>
          </w:p>
        </w:tc>
        <w:tc>
          <w:tcPr>
            <w:tcW w:w="660" w:type="dxa"/>
            <w:vAlign w:val="bottom"/>
          </w:tcPr>
          <w:p>
            <w:pPr>
              <w:ind w:left="80"/>
              <w:spacing w:after="0"/>
              <w:rPr>
                <w:sz w:val="20"/>
                <w:szCs w:val="20"/>
                <w:color w:val="auto"/>
              </w:rPr>
            </w:pPr>
            <w:r>
              <w:rPr>
                <w:rFonts w:ascii="Arial" w:cs="Arial" w:eastAsia="Arial" w:hAnsi="Arial"/>
                <w:sz w:val="10"/>
                <w:szCs w:val="10"/>
                <w:color w:val="auto"/>
              </w:rPr>
              <w:t>12/30/2028</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6,279</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6,110</w:t>
            </w:r>
          </w:p>
        </w:tc>
        <w:tc>
          <w:tcPr>
            <w:tcW w:w="420" w:type="dxa"/>
            <w:vAlign w:val="bottom"/>
          </w:tcPr>
          <w:p>
            <w:pPr>
              <w:jc w:val="right"/>
              <w:spacing w:after="0"/>
              <w:rPr>
                <w:sz w:val="20"/>
                <w:szCs w:val="20"/>
                <w:color w:val="auto"/>
              </w:rPr>
            </w:pPr>
            <w:r>
              <w:rPr>
                <w:rFonts w:ascii="Arial" w:cs="Arial" w:eastAsia="Arial" w:hAnsi="Arial"/>
                <w:sz w:val="10"/>
                <w:szCs w:val="10"/>
                <w:color w:val="auto"/>
              </w:rPr>
              <w:t>6,303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8.75%/5.00%</w:t>
            </w:r>
          </w:p>
        </w:tc>
        <w:tc>
          <w:tcPr>
            <w:tcW w:w="640" w:type="dxa"/>
            <w:vAlign w:val="bottom"/>
          </w:tcPr>
          <w:p>
            <w:pPr>
              <w:ind w:left="80"/>
              <w:spacing w:after="0"/>
              <w:rPr>
                <w:sz w:val="20"/>
                <w:szCs w:val="20"/>
                <w:color w:val="auto"/>
              </w:rPr>
            </w:pPr>
            <w:r>
              <w:rPr>
                <w:rFonts w:ascii="Arial" w:cs="Arial" w:eastAsia="Arial" w:hAnsi="Arial"/>
                <w:sz w:val="10"/>
                <w:szCs w:val="10"/>
                <w:color w:val="auto"/>
              </w:rPr>
              <w:t>12/30/2022</w:t>
            </w:r>
          </w:p>
        </w:tc>
        <w:tc>
          <w:tcPr>
            <w:tcW w:w="660" w:type="dxa"/>
            <w:vAlign w:val="bottom"/>
          </w:tcPr>
          <w:p>
            <w:pPr>
              <w:ind w:left="80"/>
              <w:spacing w:after="0"/>
              <w:rPr>
                <w:sz w:val="20"/>
                <w:szCs w:val="20"/>
                <w:color w:val="auto"/>
              </w:rPr>
            </w:pPr>
            <w:r>
              <w:rPr>
                <w:rFonts w:ascii="Arial" w:cs="Arial" w:eastAsia="Arial" w:hAnsi="Arial"/>
                <w:sz w:val="10"/>
                <w:szCs w:val="10"/>
                <w:color w:val="auto"/>
              </w:rPr>
              <w:t>6/30/2029</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1,475</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1,443</w:t>
            </w:r>
          </w:p>
        </w:tc>
        <w:tc>
          <w:tcPr>
            <w:tcW w:w="420" w:type="dxa"/>
            <w:vAlign w:val="bottom"/>
          </w:tcPr>
          <w:p>
            <w:pPr>
              <w:jc w:val="right"/>
              <w:spacing w:after="0"/>
              <w:rPr>
                <w:sz w:val="20"/>
                <w:szCs w:val="20"/>
                <w:color w:val="auto"/>
              </w:rPr>
            </w:pPr>
            <w:r>
              <w:rPr>
                <w:rFonts w:ascii="Arial" w:cs="Arial" w:eastAsia="Arial" w:hAnsi="Arial"/>
                <w:sz w:val="10"/>
                <w:szCs w:val="10"/>
                <w:color w:val="auto"/>
              </w:rPr>
              <w:t>1,475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12/30/2022</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280</w:t>
            </w:r>
          </w:p>
        </w:tc>
        <w:tc>
          <w:tcPr>
            <w:tcW w:w="420" w:type="dxa"/>
            <w:vAlign w:val="bottom"/>
          </w:tcPr>
          <w:p>
            <w:pPr>
              <w:jc w:val="right"/>
              <w:spacing w:after="0"/>
              <w:rPr>
                <w:sz w:val="20"/>
                <w:szCs w:val="20"/>
                <w:color w:val="auto"/>
              </w:rPr>
            </w:pPr>
            <w:r>
              <w:rPr>
                <w:rFonts w:ascii="Arial" w:cs="Arial" w:eastAsia="Arial" w:hAnsi="Arial"/>
                <w:sz w:val="10"/>
                <w:szCs w:val="10"/>
                <w:color w:val="auto"/>
              </w:rPr>
              <w:t>238</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7,833</w:t>
            </w:r>
          </w:p>
        </w:tc>
        <w:tc>
          <w:tcPr>
            <w:tcW w:w="420" w:type="dxa"/>
            <w:vAlign w:val="bottom"/>
          </w:tcPr>
          <w:p>
            <w:pPr>
              <w:jc w:val="right"/>
              <w:spacing w:after="0"/>
              <w:rPr>
                <w:sz w:val="20"/>
                <w:szCs w:val="20"/>
                <w:color w:val="auto"/>
              </w:rPr>
            </w:pPr>
            <w:r>
              <w:rPr>
                <w:rFonts w:ascii="Arial" w:cs="Arial" w:eastAsia="Arial" w:hAnsi="Arial"/>
                <w:sz w:val="10"/>
                <w:szCs w:val="10"/>
                <w:color w:val="auto"/>
              </w:rPr>
              <w:t>8,016</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12.75%/0.00%</w:t>
            </w:r>
          </w:p>
        </w:tc>
        <w:tc>
          <w:tcPr>
            <w:tcW w:w="640" w:type="dxa"/>
            <w:vAlign w:val="bottom"/>
          </w:tcPr>
          <w:p>
            <w:pPr>
              <w:ind w:left="80"/>
              <w:spacing w:after="0"/>
              <w:rPr>
                <w:sz w:val="20"/>
                <w:szCs w:val="20"/>
                <w:color w:val="auto"/>
              </w:rPr>
            </w:pPr>
            <w:r>
              <w:rPr>
                <w:rFonts w:ascii="Arial" w:cs="Arial" w:eastAsia="Arial" w:hAnsi="Arial"/>
                <w:sz w:val="10"/>
                <w:szCs w:val="10"/>
                <w:color w:val="auto"/>
              </w:rPr>
              <w:t>3/4/2024</w:t>
            </w:r>
          </w:p>
        </w:tc>
        <w:tc>
          <w:tcPr>
            <w:tcW w:w="660" w:type="dxa"/>
            <w:vAlign w:val="bottom"/>
          </w:tcPr>
          <w:p>
            <w:pPr>
              <w:ind w:left="80"/>
              <w:spacing w:after="0"/>
              <w:rPr>
                <w:sz w:val="20"/>
                <w:szCs w:val="20"/>
                <w:color w:val="auto"/>
              </w:rPr>
            </w:pPr>
            <w:r>
              <w:rPr>
                <w:rFonts w:ascii="Arial" w:cs="Arial" w:eastAsia="Arial" w:hAnsi="Arial"/>
                <w:sz w:val="10"/>
                <w:szCs w:val="10"/>
                <w:color w:val="auto"/>
              </w:rPr>
              <w:t>8/4/2030</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14,000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13,932</w:t>
            </w:r>
          </w:p>
        </w:tc>
        <w:tc>
          <w:tcPr>
            <w:tcW w:w="420" w:type="dxa"/>
            <w:vAlign w:val="bottom"/>
          </w:tcPr>
          <w:p>
            <w:pPr>
              <w:jc w:val="right"/>
              <w:spacing w:after="0"/>
              <w:rPr>
                <w:sz w:val="20"/>
                <w:szCs w:val="20"/>
                <w:color w:val="auto"/>
              </w:rPr>
            </w:pPr>
            <w:r>
              <w:rPr>
                <w:rFonts w:ascii="Arial" w:cs="Arial" w:eastAsia="Arial" w:hAnsi="Arial"/>
                <w:sz w:val="10"/>
                <w:szCs w:val="10"/>
                <w:color w:val="auto"/>
              </w:rPr>
              <w:t>14,000</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3/4/2024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1,208</w:t>
            </w:r>
          </w:p>
        </w:tc>
        <w:tc>
          <w:tcPr>
            <w:tcW w:w="420" w:type="dxa"/>
            <w:vAlign w:val="bottom"/>
          </w:tcPr>
          <w:p>
            <w:pPr>
              <w:jc w:val="right"/>
              <w:spacing w:after="0"/>
              <w:rPr>
                <w:sz w:val="20"/>
                <w:szCs w:val="20"/>
                <w:color w:val="auto"/>
              </w:rPr>
            </w:pPr>
            <w:r>
              <w:rPr>
                <w:rFonts w:ascii="Arial" w:cs="Arial" w:eastAsia="Arial" w:hAnsi="Arial"/>
                <w:sz w:val="10"/>
                <w:szCs w:val="10"/>
                <w:color w:val="auto"/>
              </w:rPr>
              <w:t>1,343</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15,140</w:t>
            </w:r>
          </w:p>
        </w:tc>
        <w:tc>
          <w:tcPr>
            <w:tcW w:w="420" w:type="dxa"/>
            <w:vAlign w:val="bottom"/>
          </w:tcPr>
          <w:p>
            <w:pPr>
              <w:jc w:val="right"/>
              <w:spacing w:after="0"/>
              <w:rPr>
                <w:sz w:val="20"/>
                <w:szCs w:val="20"/>
                <w:color w:val="auto"/>
              </w:rPr>
            </w:pPr>
            <w:r>
              <w:rPr>
                <w:rFonts w:ascii="Arial" w:cs="Arial" w:eastAsia="Arial" w:hAnsi="Arial"/>
                <w:sz w:val="10"/>
                <w:szCs w:val="10"/>
                <w:color w:val="auto"/>
              </w:rPr>
              <w:t>15,343</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8/11/2017</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12/10/2020</w:t>
            </w: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12/10/2020</w:t>
            </w: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0"/>
                <w:szCs w:val="10"/>
                <w:color w:val="auto"/>
                <w:w w:val="95"/>
              </w:rPr>
              <w:t>(S + 8.00%) / (3.25%)</w:t>
            </w:r>
          </w:p>
        </w:tc>
        <w:tc>
          <w:tcPr>
            <w:tcW w:w="720" w:type="dxa"/>
            <w:vAlign w:val="bottom"/>
          </w:tcPr>
          <w:p>
            <w:pPr>
              <w:ind w:left="40"/>
              <w:spacing w:after="0"/>
              <w:rPr>
                <w:sz w:val="20"/>
                <w:szCs w:val="20"/>
                <w:color w:val="auto"/>
              </w:rPr>
            </w:pPr>
            <w:r>
              <w:rPr>
                <w:rFonts w:ascii="Arial" w:cs="Arial" w:eastAsia="Arial" w:hAnsi="Arial"/>
                <w:sz w:val="10"/>
                <w:szCs w:val="10"/>
                <w:color w:val="auto"/>
              </w:rPr>
              <w:t>12.61%/0.00%</w:t>
            </w:r>
          </w:p>
        </w:tc>
        <w:tc>
          <w:tcPr>
            <w:tcW w:w="640" w:type="dxa"/>
            <w:vAlign w:val="bottom"/>
          </w:tcPr>
          <w:p>
            <w:pPr>
              <w:ind w:left="80"/>
              <w:spacing w:after="0"/>
              <w:rPr>
                <w:sz w:val="20"/>
                <w:szCs w:val="20"/>
                <w:color w:val="auto"/>
              </w:rPr>
            </w:pPr>
            <w:r>
              <w:rPr>
                <w:rFonts w:ascii="Arial" w:cs="Arial" w:eastAsia="Arial" w:hAnsi="Arial"/>
                <w:sz w:val="10"/>
                <w:szCs w:val="10"/>
                <w:color w:val="auto"/>
              </w:rPr>
              <w:t>3/15/2024</w:t>
            </w:r>
          </w:p>
        </w:tc>
        <w:tc>
          <w:tcPr>
            <w:tcW w:w="660" w:type="dxa"/>
            <w:vAlign w:val="bottom"/>
          </w:tcPr>
          <w:p>
            <w:pPr>
              <w:ind w:left="80"/>
              <w:spacing w:after="0"/>
              <w:rPr>
                <w:sz w:val="20"/>
                <w:szCs w:val="20"/>
                <w:color w:val="auto"/>
              </w:rPr>
            </w:pPr>
            <w:r>
              <w:rPr>
                <w:rFonts w:ascii="Arial" w:cs="Arial" w:eastAsia="Arial" w:hAnsi="Arial"/>
                <w:sz w:val="10"/>
                <w:szCs w:val="10"/>
                <w:color w:val="auto"/>
              </w:rPr>
              <w:t>3/15/2028</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21,000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20,750</w:t>
            </w:r>
          </w:p>
        </w:tc>
        <w:tc>
          <w:tcPr>
            <w:tcW w:w="420" w:type="dxa"/>
            <w:vAlign w:val="bottom"/>
          </w:tcPr>
          <w:p>
            <w:pPr>
              <w:jc w:val="right"/>
              <w:spacing w:after="0"/>
              <w:rPr>
                <w:sz w:val="20"/>
                <w:szCs w:val="20"/>
                <w:color w:val="auto"/>
              </w:rPr>
            </w:pPr>
            <w:r>
              <w:rPr>
                <w:rFonts w:ascii="Arial" w:cs="Arial" w:eastAsia="Arial" w:hAnsi="Arial"/>
                <w:sz w:val="10"/>
                <w:szCs w:val="10"/>
                <w:color w:val="auto"/>
              </w:rPr>
              <w:t>21,000</w:t>
            </w:r>
          </w:p>
        </w:tc>
        <w:tc>
          <w:tcPr>
            <w:tcW w:w="0" w:type="dxa"/>
            <w:vAlign w:val="bottom"/>
          </w:tcPr>
          <w:p>
            <w:pPr>
              <w:spacing w:after="0"/>
              <w:rPr>
                <w:sz w:val="1"/>
                <w:szCs w:val="1"/>
                <w:color w:val="auto"/>
              </w:rPr>
            </w:pP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9/8/2016</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2"/>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0.00%/13.00%</w:t>
            </w:r>
          </w:p>
        </w:tc>
        <w:tc>
          <w:tcPr>
            <w:tcW w:w="640" w:type="dxa"/>
            <w:vAlign w:val="bottom"/>
          </w:tcPr>
          <w:p>
            <w:pPr>
              <w:ind w:left="80"/>
              <w:spacing w:after="0"/>
              <w:rPr>
                <w:sz w:val="20"/>
                <w:szCs w:val="20"/>
                <w:color w:val="auto"/>
              </w:rPr>
            </w:pPr>
            <w:r>
              <w:rPr>
                <w:rFonts w:ascii="Arial" w:cs="Arial" w:eastAsia="Arial" w:hAnsi="Arial"/>
                <w:sz w:val="10"/>
                <w:szCs w:val="10"/>
                <w:color w:val="auto"/>
              </w:rPr>
              <w:t>10/29/2021</w:t>
            </w:r>
          </w:p>
        </w:tc>
        <w:tc>
          <w:tcPr>
            <w:tcW w:w="660" w:type="dxa"/>
            <w:vAlign w:val="bottom"/>
          </w:tcPr>
          <w:p>
            <w:pPr>
              <w:ind w:left="80"/>
              <w:spacing w:after="0"/>
              <w:rPr>
                <w:sz w:val="20"/>
                <w:szCs w:val="20"/>
                <w:color w:val="auto"/>
              </w:rPr>
            </w:pPr>
            <w:r>
              <w:rPr>
                <w:rFonts w:ascii="Arial" w:cs="Arial" w:eastAsia="Arial" w:hAnsi="Arial"/>
                <w:sz w:val="10"/>
                <w:szCs w:val="10"/>
                <w:color w:val="auto"/>
              </w:rPr>
              <w:t>6/1/2028</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16,000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15,933</w:t>
            </w:r>
          </w:p>
        </w:tc>
        <w:tc>
          <w:tcPr>
            <w:tcW w:w="420" w:type="dxa"/>
            <w:vAlign w:val="bottom"/>
          </w:tcPr>
          <w:p>
            <w:pPr>
              <w:jc w:val="right"/>
              <w:spacing w:after="0"/>
              <w:rPr>
                <w:sz w:val="20"/>
                <w:szCs w:val="20"/>
                <w:color w:val="auto"/>
              </w:rPr>
            </w:pPr>
            <w:r>
              <w:rPr>
                <w:rFonts w:ascii="Arial" w:cs="Arial" w:eastAsia="Arial" w:hAnsi="Arial"/>
                <w:sz w:val="10"/>
                <w:szCs w:val="10"/>
                <w:color w:val="auto"/>
              </w:rPr>
              <w:t>5,505</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12/1/2021</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857</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16,790</w:t>
            </w:r>
          </w:p>
        </w:tc>
        <w:tc>
          <w:tcPr>
            <w:tcW w:w="420" w:type="dxa"/>
            <w:vAlign w:val="bottom"/>
          </w:tcPr>
          <w:p>
            <w:pPr>
              <w:jc w:val="right"/>
              <w:spacing w:after="0"/>
              <w:rPr>
                <w:sz w:val="20"/>
                <w:szCs w:val="20"/>
                <w:color w:val="auto"/>
              </w:rPr>
            </w:pPr>
            <w:r>
              <w:rPr>
                <w:rFonts w:ascii="Arial" w:cs="Arial" w:eastAsia="Arial" w:hAnsi="Arial"/>
                <w:sz w:val="10"/>
                <w:szCs w:val="10"/>
                <w:color w:val="auto"/>
              </w:rPr>
              <w:t>5,505</w:t>
            </w:r>
          </w:p>
        </w:tc>
        <w:tc>
          <w:tcPr>
            <w:tcW w:w="0" w:type="dxa"/>
            <w:vAlign w:val="bottom"/>
          </w:tcPr>
          <w:p>
            <w:pPr>
              <w:spacing w:after="0"/>
              <w:rPr>
                <w:sz w:val="1"/>
                <w:szCs w:val="1"/>
                <w:color w:val="auto"/>
              </w:rPr>
            </w:pP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+ 8.75%)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13.60%/0.00%</w:t>
            </w:r>
          </w:p>
        </w:tc>
        <w:tc>
          <w:tcPr>
            <w:tcW w:w="640" w:type="dxa"/>
            <w:vAlign w:val="bottom"/>
          </w:tcPr>
          <w:p>
            <w:pPr>
              <w:ind w:left="80"/>
              <w:spacing w:after="0"/>
              <w:rPr>
                <w:sz w:val="20"/>
                <w:szCs w:val="20"/>
                <w:color w:val="auto"/>
              </w:rPr>
            </w:pPr>
            <w:r>
              <w:rPr>
                <w:rFonts w:ascii="Arial" w:cs="Arial" w:eastAsia="Arial" w:hAnsi="Arial"/>
                <w:sz w:val="10"/>
                <w:szCs w:val="10"/>
                <w:color w:val="auto"/>
              </w:rPr>
              <w:t>3/4/2022</w:t>
            </w:r>
          </w:p>
        </w:tc>
        <w:tc>
          <w:tcPr>
            <w:tcW w:w="660" w:type="dxa"/>
            <w:vAlign w:val="bottom"/>
          </w:tcPr>
          <w:p>
            <w:pPr>
              <w:ind w:left="80"/>
              <w:spacing w:after="0"/>
              <w:rPr>
                <w:sz w:val="20"/>
                <w:szCs w:val="20"/>
                <w:color w:val="auto"/>
              </w:rPr>
            </w:pPr>
            <w:r>
              <w:rPr>
                <w:rFonts w:ascii="Arial" w:cs="Arial" w:eastAsia="Arial" w:hAnsi="Arial"/>
                <w:sz w:val="10"/>
                <w:szCs w:val="10"/>
                <w:color w:val="auto"/>
              </w:rPr>
              <w:t>3/4/2027</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15,600</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15,562</w:t>
            </w:r>
          </w:p>
        </w:tc>
        <w:tc>
          <w:tcPr>
            <w:tcW w:w="420" w:type="dxa"/>
            <w:vAlign w:val="bottom"/>
          </w:tcPr>
          <w:p>
            <w:pPr>
              <w:jc w:val="right"/>
              <w:spacing w:after="0"/>
              <w:rPr>
                <w:sz w:val="20"/>
                <w:szCs w:val="20"/>
                <w:color w:val="auto"/>
              </w:rPr>
            </w:pPr>
            <w:r>
              <w:rPr>
                <w:rFonts w:ascii="Arial" w:cs="Arial" w:eastAsia="Arial" w:hAnsi="Arial"/>
                <w:sz w:val="10"/>
                <w:szCs w:val="10"/>
                <w:color w:val="auto"/>
              </w:rPr>
              <w:t>15,600</w:t>
            </w:r>
          </w:p>
        </w:tc>
        <w:tc>
          <w:tcPr>
            <w:tcW w:w="0" w:type="dxa"/>
            <w:vAlign w:val="bottom"/>
          </w:tcPr>
          <w:p>
            <w:pPr>
              <w:spacing w:after="0"/>
              <w:rPr>
                <w:sz w:val="1"/>
                <w:szCs w:val="1"/>
                <w:color w:val="auto"/>
              </w:rPr>
            </w:pPr>
          </w:p>
        </w:tc>
      </w:tr>
      <w:tr>
        <w:trPr>
          <w:trHeight w:val="656"/>
        </w:trPr>
        <w:tc>
          <w:tcPr>
            <w:tcW w:w="940" w:type="dxa"/>
            <w:vAlign w:val="bottom"/>
          </w:tcPr>
          <w:p>
            <w:pPr>
              <w:spacing w:after="0"/>
              <w:rPr>
                <w:sz w:val="20"/>
                <w:szCs w:val="20"/>
                <w:color w:val="auto"/>
              </w:rPr>
            </w:pPr>
            <w:r>
              <w:rPr>
                <w:rFonts w:ascii="Arial" w:cs="Arial" w:eastAsia="Arial" w:hAnsi="Arial"/>
                <w:sz w:val="10"/>
                <w:szCs w:val="10"/>
                <w:color w:val="auto"/>
                <w:w w:val="95"/>
              </w:rPr>
              <w:t>(S + 8.75%) / (1.00%)</w:t>
            </w:r>
          </w:p>
        </w:tc>
        <w:tc>
          <w:tcPr>
            <w:tcW w:w="720" w:type="dxa"/>
            <w:vAlign w:val="bottom"/>
          </w:tcPr>
          <w:p>
            <w:pPr>
              <w:ind w:left="40"/>
              <w:spacing w:after="0"/>
              <w:rPr>
                <w:sz w:val="20"/>
                <w:szCs w:val="20"/>
                <w:color w:val="auto"/>
              </w:rPr>
            </w:pPr>
            <w:r>
              <w:rPr>
                <w:rFonts w:ascii="Arial" w:cs="Arial" w:eastAsia="Arial" w:hAnsi="Arial"/>
                <w:sz w:val="10"/>
                <w:szCs w:val="10"/>
                <w:color w:val="auto"/>
              </w:rPr>
              <w:t>13.60%/0.00%</w:t>
            </w:r>
          </w:p>
        </w:tc>
        <w:tc>
          <w:tcPr>
            <w:tcW w:w="640" w:type="dxa"/>
            <w:vAlign w:val="bottom"/>
          </w:tcPr>
          <w:p>
            <w:pPr>
              <w:ind w:left="80"/>
              <w:spacing w:after="0"/>
              <w:rPr>
                <w:sz w:val="20"/>
                <w:szCs w:val="20"/>
                <w:color w:val="auto"/>
              </w:rPr>
            </w:pPr>
            <w:r>
              <w:rPr>
                <w:rFonts w:ascii="Arial" w:cs="Arial" w:eastAsia="Arial" w:hAnsi="Arial"/>
                <w:sz w:val="10"/>
                <w:szCs w:val="10"/>
                <w:color w:val="auto"/>
              </w:rPr>
              <w:t>3/4/2022</w:t>
            </w:r>
          </w:p>
        </w:tc>
        <w:tc>
          <w:tcPr>
            <w:tcW w:w="660" w:type="dxa"/>
            <w:vAlign w:val="bottom"/>
          </w:tcPr>
          <w:p>
            <w:pPr>
              <w:ind w:left="80"/>
              <w:spacing w:after="0"/>
              <w:rPr>
                <w:sz w:val="20"/>
                <w:szCs w:val="20"/>
                <w:color w:val="auto"/>
              </w:rPr>
            </w:pPr>
            <w:r>
              <w:rPr>
                <w:rFonts w:ascii="Arial" w:cs="Arial" w:eastAsia="Arial" w:hAnsi="Arial"/>
                <w:sz w:val="10"/>
                <w:szCs w:val="10"/>
                <w:color w:val="auto"/>
              </w:rPr>
              <w:t>3/4/2027</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0"/>
              <w:spacing w:after="0"/>
              <w:rPr>
                <w:sz w:val="20"/>
                <w:szCs w:val="20"/>
                <w:color w:val="auto"/>
              </w:rPr>
            </w:pPr>
            <w:r>
              <w:rPr>
                <w:rFonts w:ascii="Arial" w:cs="Arial" w:eastAsia="Arial" w:hAnsi="Arial"/>
                <w:sz w:val="10"/>
                <w:szCs w:val="10"/>
                <w:color w:val="auto"/>
              </w:rPr>
              <w:t xml:space="preserve">(10 </w:t>
            </w:r>
            <w:r>
              <w:rPr>
                <w:rFonts w:ascii="Arial" w:cs="Arial" w:eastAsia="Arial" w:hAnsi="Arial"/>
                <w:sz w:val="19"/>
                <w:szCs w:val="19"/>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7.75%/7.75%</w:t>
            </w:r>
          </w:p>
        </w:tc>
        <w:tc>
          <w:tcPr>
            <w:tcW w:w="640" w:type="dxa"/>
            <w:vAlign w:val="bottom"/>
          </w:tcPr>
          <w:p>
            <w:pPr>
              <w:ind w:left="80"/>
              <w:spacing w:after="0"/>
              <w:rPr>
                <w:sz w:val="20"/>
                <w:szCs w:val="20"/>
                <w:color w:val="auto"/>
              </w:rPr>
            </w:pPr>
            <w:r>
              <w:rPr>
                <w:rFonts w:ascii="Arial" w:cs="Arial" w:eastAsia="Arial" w:hAnsi="Arial"/>
                <w:sz w:val="10"/>
                <w:szCs w:val="10"/>
                <w:color w:val="auto"/>
              </w:rPr>
              <w:t>3/4/2022</w:t>
            </w:r>
          </w:p>
        </w:tc>
        <w:tc>
          <w:tcPr>
            <w:tcW w:w="660" w:type="dxa"/>
            <w:vAlign w:val="bottom"/>
          </w:tcPr>
          <w:p>
            <w:pPr>
              <w:ind w:left="80"/>
              <w:spacing w:after="0"/>
              <w:rPr>
                <w:sz w:val="20"/>
                <w:szCs w:val="20"/>
                <w:color w:val="auto"/>
              </w:rPr>
            </w:pPr>
            <w:r>
              <w:rPr>
                <w:rFonts w:ascii="Arial" w:cs="Arial" w:eastAsia="Arial" w:hAnsi="Arial"/>
                <w:sz w:val="10"/>
                <w:szCs w:val="10"/>
                <w:color w:val="auto"/>
              </w:rPr>
              <w:t>9/4/2027</w:t>
            </w:r>
          </w:p>
        </w:tc>
        <w:tc>
          <w:tcPr>
            <w:tcW w:w="620" w:type="dxa"/>
            <w:vAlign w:val="bottom"/>
          </w:tcPr>
          <w:p>
            <w:pPr>
              <w:jc w:val="right"/>
              <w:ind w:right="170"/>
              <w:spacing w:after="0"/>
              <w:rPr>
                <w:sz w:val="20"/>
                <w:szCs w:val="20"/>
                <w:color w:val="auto"/>
              </w:rPr>
            </w:pPr>
            <w:r>
              <w:rPr>
                <w:rFonts w:ascii="Arial" w:cs="Arial" w:eastAsia="Arial" w:hAnsi="Arial"/>
                <w:sz w:val="10"/>
                <w:szCs w:val="10"/>
                <w:color w:val="auto"/>
              </w:rPr>
              <w:t>3,088</w:t>
            </w: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3,081</w:t>
            </w:r>
          </w:p>
        </w:tc>
        <w:tc>
          <w:tcPr>
            <w:tcW w:w="420" w:type="dxa"/>
            <w:vAlign w:val="bottom"/>
          </w:tcPr>
          <w:p>
            <w:pPr>
              <w:jc w:val="right"/>
              <w:spacing w:after="0"/>
              <w:rPr>
                <w:sz w:val="20"/>
                <w:szCs w:val="20"/>
                <w:color w:val="auto"/>
              </w:rPr>
            </w:pPr>
            <w:r>
              <w:rPr>
                <w:rFonts w:ascii="Arial" w:cs="Arial" w:eastAsia="Arial" w:hAnsi="Arial"/>
                <w:sz w:val="10"/>
                <w:szCs w:val="10"/>
                <w:color w:val="auto"/>
              </w:rPr>
              <w:t>3,531</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3/4/2022</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1,000</w:t>
            </w:r>
          </w:p>
        </w:tc>
        <w:tc>
          <w:tcPr>
            <w:tcW w:w="420" w:type="dxa"/>
            <w:vAlign w:val="bottom"/>
          </w:tcPr>
          <w:p>
            <w:pPr>
              <w:jc w:val="right"/>
              <w:spacing w:after="0"/>
              <w:rPr>
                <w:sz w:val="20"/>
                <w:szCs w:val="20"/>
                <w:color w:val="auto"/>
              </w:rPr>
            </w:pPr>
            <w:r>
              <w:rPr>
                <w:rFonts w:ascii="Arial" w:cs="Arial" w:eastAsia="Arial" w:hAnsi="Arial"/>
                <w:sz w:val="10"/>
                <w:szCs w:val="10"/>
                <w:color w:val="auto"/>
              </w:rPr>
              <w:t>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-8250555</wp:posOffset>
            </wp:positionV>
            <wp:extent cx="5967730" cy="8291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7730" cy="8291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hanging="70"/>
        <w:spacing w:after="0"/>
        <w:tabs>
          <w:tab w:leader="none" w:pos="80" w:val="left"/>
        </w:tabs>
        <w:numPr>
          <w:ilvl w:val="0"/>
          <w:numId w:val="11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0"/>
        <w:spacing w:after="0"/>
        <w:tabs>
          <w:tab w:leader="none" w:pos="80" w:val="left"/>
        </w:tabs>
        <w:numPr>
          <w:ilvl w:val="0"/>
          <w:numId w:val="11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hanging="70"/>
        <w:spacing w:after="0"/>
        <w:tabs>
          <w:tab w:leader="none" w:pos="80" w:val="left"/>
        </w:tabs>
        <w:numPr>
          <w:ilvl w:val="0"/>
          <w:numId w:val="12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hanging="70"/>
        <w:spacing w:after="0"/>
        <w:tabs>
          <w:tab w:leader="none" w:pos="80" w:val="left"/>
        </w:tabs>
        <w:numPr>
          <w:ilvl w:val="0"/>
          <w:numId w:val="12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rFonts w:ascii="Arial" w:cs="Arial" w:eastAsia="Arial" w:hAnsi="Arial"/>
          <w:sz w:val="7"/>
          <w:szCs w:val="7"/>
          <w:color w:val="auto"/>
        </w:rPr>
      </w:pPr>
    </w:p>
    <w:p>
      <w:pPr>
        <w:spacing w:after="0" w:line="270" w:lineRule="exact"/>
        <w:rPr>
          <w:rFonts w:ascii="Arial" w:cs="Arial" w:eastAsia="Arial" w:hAnsi="Arial"/>
          <w:sz w:val="7"/>
          <w:szCs w:val="7"/>
          <w:color w:val="auto"/>
        </w:rPr>
      </w:pPr>
    </w:p>
    <w:p>
      <w:pPr>
        <w:ind w:left="80" w:hanging="70"/>
        <w:spacing w:after="0"/>
        <w:tabs>
          <w:tab w:leader="none" w:pos="80" w:val="left"/>
        </w:tabs>
        <w:numPr>
          <w:ilvl w:val="0"/>
          <w:numId w:val="12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5"/>
          <w:szCs w:val="15"/>
          <w:color w:val="auto"/>
          <w:vertAlign w:val="subscript"/>
        </w:rPr>
        <w:t>%</w:t>
      </w:r>
    </w:p>
    <w:p>
      <w:pPr>
        <w:spacing w:after="0" w:line="1960" w:lineRule="exact"/>
        <w:rPr>
          <w:sz w:val="20"/>
          <w:szCs w:val="20"/>
          <w:color w:val="auto"/>
        </w:rPr>
      </w:pPr>
    </w:p>
    <w:p>
      <w:pPr>
        <w:sectPr>
          <w:pgSz w:w="11900" w:h="16838" w:orient="portrait"/>
          <w:cols w:equalWidth="0" w:num="3">
            <w:col w:w="3540" w:space="440"/>
            <w:col w:w="4680" w:space="560"/>
            <w:col w:w="160"/>
          </w:cols>
          <w:pgMar w:left="1260" w:top="1440" w:right="1266"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380"/>
          </w:cols>
          <w:pgMar w:left="1260" w:top="1440" w:right="1266" w:bottom="0" w:gutter="0" w:footer="0" w:header="0"/>
          <w:type w:val="continuous"/>
        </w:sectPr>
      </w:pPr>
    </w:p>
    <w:bookmarkStart w:id="254" w:name="page255"/>
    <w:bookmarkEnd w:id="254"/>
    <w:p>
      <w:pPr>
        <w:spacing w:after="0" w:line="292"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Thrust Flight LLC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($2,625 unfunded commitment)(i)(j)</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(au)</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(1,050,000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Tiger Calcium Services Inc. (aq)</w:t>
      </w:r>
      <w:r>
        <w:rPr>
          <w:sz w:val="20"/>
          <w:szCs w:val="20"/>
          <w:color w:val="auto"/>
        </w:rPr>
        <w:tab/>
      </w:r>
      <w:r>
        <w:rPr>
          <w:rFonts w:ascii="Arial" w:cs="Arial" w:eastAsia="Arial" w:hAnsi="Arial"/>
          <w:sz w:val="9"/>
          <w:szCs w:val="9"/>
          <w:color w:val="auto"/>
        </w:rPr>
        <w:t>Transportation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(j) (ao)</w:t>
      </w:r>
    </w:p>
    <w:p>
      <w:pPr>
        <w:spacing w:after="0" w:line="21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UBEO, LLC</w:t>
      </w:r>
      <w:r>
        <w:rPr>
          <w:sz w:val="20"/>
          <w:szCs w:val="20"/>
          <w:color w:val="auto"/>
        </w:rPr>
        <w:tab/>
      </w:r>
      <w:r>
        <w:rPr>
          <w:rFonts w:ascii="Arial" w:cs="Arial" w:eastAsia="Arial" w:hAnsi="Arial"/>
          <w:sz w:val="7"/>
          <w:szCs w:val="7"/>
          <w:color w:val="auto"/>
        </w:rPr>
        <w:t>Business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(705,000 units) (h)(j)</w:t>
      </w:r>
    </w:p>
    <w:p>
      <w:pPr>
        <w:spacing w:after="0" w:line="25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United Biologics, LLC</w:t>
      </w:r>
      <w:r>
        <w:rPr>
          <w:sz w:val="20"/>
          <w:szCs w:val="20"/>
          <w:color w:val="auto"/>
        </w:rPr>
        <w:tab/>
      </w:r>
      <w:r>
        <w:rPr>
          <w:rFonts w:ascii="Arial" w:cs="Arial" w:eastAsia="Arial" w:hAnsi="Arial"/>
          <w:sz w:val="7"/>
          <w:szCs w:val="7"/>
          <w:color w:val="auto"/>
        </w:rPr>
        <w:t>Healthcare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(98,377 units) (h)(j)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Warrant (57,469 units) (j)(m)</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USG AS Holdings, LLC</w:t>
      </w:r>
      <w:r>
        <w:rPr>
          <w:sz w:val="20"/>
          <w:szCs w:val="20"/>
          <w:color w:val="auto"/>
        </w:rPr>
        <w:tab/>
      </w:r>
      <w:r>
        <w:rPr>
          <w:rFonts w:ascii="Arial" w:cs="Arial" w:eastAsia="Arial" w:hAnsi="Arial"/>
          <w:sz w:val="9"/>
          <w:szCs w:val="9"/>
          <w:color w:val="auto"/>
        </w:rPr>
        <w:t>Utilities: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(Units N/A) (j)</w:t>
      </w:r>
    </w:p>
    <w:p>
      <w:pPr>
        <w:spacing w:after="0" w:line="36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Virginia Tile Company, LLC (n)</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 units) (j)</w:t>
      </w:r>
    </w:p>
    <w:p>
      <w:pPr>
        <w:spacing w:after="0" w:line="21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Virtex Enterprises, LP</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Second Lien Debt (y)</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(y)</w:t>
      </w:r>
    </w:p>
    <w:p>
      <w:pPr>
        <w:spacing w:after="0" w:line="36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W50 Holdings, LLC</w:t>
      </w:r>
      <w:r>
        <w:rPr>
          <w:sz w:val="20"/>
          <w:szCs w:val="20"/>
          <w:color w:val="auto"/>
        </w:rPr>
        <w:tab/>
      </w:r>
      <w:r>
        <w:rPr>
          <w:rFonts w:ascii="Arial" w:cs="Arial" w:eastAsia="Arial" w:hAnsi="Arial"/>
          <w:sz w:val="7"/>
          <w:szCs w:val="7"/>
          <w:color w:val="auto"/>
        </w:rPr>
        <w:t>Business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Subordinated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(Units N/A) ($100 unfunded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commitment) (j)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White Label Communication, LLC</w:t>
      </w:r>
      <w:r>
        <w:rPr>
          <w:sz w:val="20"/>
          <w:szCs w:val="20"/>
          <w:color w:val="auto"/>
        </w:rPr>
        <w:tab/>
      </w:r>
      <w:r>
        <w:rPr>
          <w:rFonts w:ascii="Arial" w:cs="Arial" w:eastAsia="Arial" w:hAnsi="Arial"/>
          <w:sz w:val="9"/>
          <w:szCs w:val="9"/>
          <w:color w:val="auto"/>
        </w:rPr>
        <w:t>Information Technology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(536 units) (h)(j)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(5,000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Winona Foods, Inc.</w:t>
      </w:r>
      <w:r>
        <w:rPr>
          <w:sz w:val="20"/>
          <w:szCs w:val="20"/>
          <w:color w:val="auto"/>
        </w:rPr>
        <w:tab/>
      </w:r>
      <w:r>
        <w:rPr>
          <w:rFonts w:ascii="Arial" w:cs="Arial" w:eastAsia="Arial" w:hAnsi="Arial"/>
          <w:sz w:val="9"/>
          <w:szCs w:val="9"/>
          <w:color w:val="auto"/>
        </w:rPr>
        <w:t>Specialty Distribution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Wonderware Holdings, LLC (dba CORE Business</w:t>
      </w:r>
    </w:p>
    <w:p>
      <w:pPr>
        <w:spacing w:after="0" w:line="41" w:lineRule="exact"/>
        <w:rPr>
          <w:sz w:val="20"/>
          <w:szCs w:val="20"/>
          <w:color w:val="auto"/>
        </w:rPr>
      </w:pPr>
    </w:p>
    <w:p>
      <w:pPr>
        <w:spacing w:after="0"/>
        <w:tabs>
          <w:tab w:leader="none" w:pos="2180" w:val="left"/>
        </w:tabs>
        <w:rPr>
          <w:sz w:val="20"/>
          <w:szCs w:val="20"/>
          <w:color w:val="auto"/>
        </w:rPr>
      </w:pPr>
      <w:r>
        <w:rPr>
          <w:rFonts w:ascii="Arial" w:cs="Arial" w:eastAsia="Arial" w:hAnsi="Arial"/>
          <w:sz w:val="9"/>
          <w:szCs w:val="9"/>
          <w:i w:val="1"/>
          <w:iCs w:val="1"/>
          <w:color w:val="auto"/>
        </w:rPr>
        <w:t>Technologies)</w:t>
      </w:r>
      <w:r>
        <w:rPr>
          <w:sz w:val="20"/>
          <w:szCs w:val="20"/>
          <w:color w:val="auto"/>
        </w:rPr>
        <w:tab/>
      </w:r>
      <w:r>
        <w:rPr>
          <w:rFonts w:ascii="Arial" w:cs="Arial" w:eastAsia="Arial" w:hAnsi="Arial"/>
          <w:sz w:val="9"/>
          <w:szCs w:val="9"/>
          <w:color w:val="auto"/>
        </w:rPr>
        <w:t>Information Technology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20"/>
                <w:szCs w:val="20"/>
                <w:color w:val="auto"/>
              </w:rPr>
            </w:pPr>
            <w:r>
              <w:rPr>
                <w:rFonts w:ascii="Arial" w:cs="Arial" w:eastAsia="Arial" w:hAnsi="Arial"/>
                <w:sz w:val="10"/>
                <w:szCs w:val="10"/>
                <w:color w:val="auto"/>
                <w:w w:val="95"/>
              </w:rPr>
              <w:t>(S + 5.75%) / (2.00%)</w:t>
            </w:r>
          </w:p>
        </w:tc>
        <w:tc>
          <w:tcPr>
            <w:tcW w:w="720" w:type="dxa"/>
            <w:vAlign w:val="bottom"/>
          </w:tcPr>
          <w:p>
            <w:pPr>
              <w:ind w:left="40"/>
              <w:spacing w:after="0"/>
              <w:rPr>
                <w:sz w:val="20"/>
                <w:szCs w:val="20"/>
                <w:color w:val="auto"/>
              </w:rPr>
            </w:pPr>
            <w:r>
              <w:rPr>
                <w:rFonts w:ascii="Arial" w:cs="Arial" w:eastAsia="Arial" w:hAnsi="Arial"/>
                <w:sz w:val="10"/>
                <w:szCs w:val="10"/>
                <w:color w:val="auto"/>
              </w:rPr>
              <w:t>10.36%/0.00%</w:t>
            </w:r>
          </w:p>
        </w:tc>
        <w:tc>
          <w:tcPr>
            <w:tcW w:w="640" w:type="dxa"/>
            <w:vAlign w:val="bottom"/>
          </w:tcPr>
          <w:p>
            <w:pPr>
              <w:ind w:left="80"/>
              <w:spacing w:after="0"/>
              <w:rPr>
                <w:sz w:val="20"/>
                <w:szCs w:val="20"/>
                <w:color w:val="auto"/>
              </w:rPr>
            </w:pPr>
            <w:r>
              <w:rPr>
                <w:rFonts w:ascii="Arial" w:cs="Arial" w:eastAsia="Arial" w:hAnsi="Arial"/>
                <w:sz w:val="10"/>
                <w:szCs w:val="10"/>
                <w:color w:val="auto"/>
              </w:rPr>
              <w:t>9/9/2024</w:t>
            </w:r>
          </w:p>
        </w:tc>
        <w:tc>
          <w:tcPr>
            <w:tcW w:w="660" w:type="dxa"/>
            <w:vAlign w:val="bottom"/>
          </w:tcPr>
          <w:p>
            <w:pPr>
              <w:ind w:left="80"/>
              <w:spacing w:after="0"/>
              <w:rPr>
                <w:sz w:val="20"/>
                <w:szCs w:val="20"/>
                <w:color w:val="auto"/>
              </w:rPr>
            </w:pPr>
            <w:r>
              <w:rPr>
                <w:rFonts w:ascii="Arial" w:cs="Arial" w:eastAsia="Arial" w:hAnsi="Arial"/>
                <w:sz w:val="10"/>
                <w:szCs w:val="10"/>
                <w:color w:val="auto"/>
              </w:rPr>
              <w:t>9/9/2029</w:t>
            </w:r>
          </w:p>
        </w:tc>
        <w:tc>
          <w:tcPr>
            <w:tcW w:w="400" w:type="dxa"/>
            <w:vAlign w:val="bottom"/>
          </w:tcPr>
          <w:p>
            <w:pPr>
              <w:jc w:val="right"/>
              <w:spacing w:after="0"/>
              <w:rPr>
                <w:sz w:val="20"/>
                <w:szCs w:val="20"/>
                <w:color w:val="auto"/>
              </w:rPr>
            </w:pPr>
            <w:r>
              <w:rPr>
                <w:rFonts w:ascii="Arial" w:cs="Arial" w:eastAsia="Arial" w:hAnsi="Arial"/>
                <w:sz w:val="10"/>
                <w:szCs w:val="10"/>
                <w:color w:val="auto"/>
              </w:rPr>
              <w:t>9,800</w:t>
            </w: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9/9/2024</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93"/>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12.50%/0.00%</w:t>
            </w:r>
          </w:p>
        </w:tc>
        <w:tc>
          <w:tcPr>
            <w:tcW w:w="640" w:type="dxa"/>
            <w:vAlign w:val="bottom"/>
          </w:tcPr>
          <w:p>
            <w:pPr>
              <w:ind w:left="80"/>
              <w:spacing w:after="0"/>
              <w:rPr>
                <w:sz w:val="20"/>
                <w:szCs w:val="20"/>
                <w:color w:val="auto"/>
              </w:rPr>
            </w:pPr>
            <w:r>
              <w:rPr>
                <w:rFonts w:ascii="Arial" w:cs="Arial" w:eastAsia="Arial" w:hAnsi="Arial"/>
                <w:sz w:val="10"/>
                <w:szCs w:val="10"/>
                <w:color w:val="auto"/>
              </w:rPr>
              <w:t>12/21/2022</w:t>
            </w:r>
          </w:p>
        </w:tc>
        <w:tc>
          <w:tcPr>
            <w:tcW w:w="660" w:type="dxa"/>
            <w:vAlign w:val="bottom"/>
          </w:tcPr>
          <w:p>
            <w:pPr>
              <w:ind w:left="80"/>
              <w:spacing w:after="0"/>
              <w:rPr>
                <w:sz w:val="20"/>
                <w:szCs w:val="20"/>
                <w:color w:val="auto"/>
              </w:rPr>
            </w:pPr>
            <w:r>
              <w:rPr>
                <w:rFonts w:ascii="Arial" w:cs="Arial" w:eastAsia="Arial" w:hAnsi="Arial"/>
                <w:sz w:val="10"/>
                <w:szCs w:val="10"/>
                <w:color w:val="auto"/>
              </w:rPr>
              <w:t>5/31/2025</w:t>
            </w:r>
          </w:p>
        </w:tc>
        <w:tc>
          <w:tcPr>
            <w:tcW w:w="400" w:type="dxa"/>
            <w:vAlign w:val="bottom"/>
          </w:tcPr>
          <w:p>
            <w:pPr>
              <w:jc w:val="right"/>
              <w:spacing w:after="0"/>
              <w:rPr>
                <w:sz w:val="20"/>
                <w:szCs w:val="20"/>
                <w:color w:val="auto"/>
              </w:rPr>
            </w:pPr>
            <w:r>
              <w:rPr>
                <w:rFonts w:ascii="Arial" w:cs="Arial" w:eastAsia="Arial" w:hAnsi="Arial"/>
                <w:sz w:val="10"/>
                <w:szCs w:val="10"/>
                <w:color w:val="auto"/>
              </w:rPr>
              <w:t>12,500</w:t>
            </w: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4/3/2018</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4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4/1/2012</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3/5/2012</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93"/>
        </w:trPr>
        <w:tc>
          <w:tcPr>
            <w:tcW w:w="940" w:type="dxa"/>
            <w:vAlign w:val="bottom"/>
          </w:tcPr>
          <w:p>
            <w:pPr>
              <w:spacing w:after="0"/>
              <w:rPr>
                <w:sz w:val="20"/>
                <w:szCs w:val="20"/>
                <w:color w:val="auto"/>
              </w:rPr>
            </w:pPr>
            <w:r>
              <w:rPr>
                <w:rFonts w:ascii="Arial" w:cs="Arial" w:eastAsia="Arial" w:hAnsi="Arial"/>
                <w:sz w:val="10"/>
                <w:szCs w:val="10"/>
                <w:color w:val="auto"/>
                <w:w w:val="95"/>
              </w:rPr>
              <w:t>(S + 8.50%) / (2.50%)</w:t>
            </w:r>
          </w:p>
        </w:tc>
        <w:tc>
          <w:tcPr>
            <w:tcW w:w="720" w:type="dxa"/>
            <w:vAlign w:val="bottom"/>
          </w:tcPr>
          <w:p>
            <w:pPr>
              <w:ind w:left="40"/>
              <w:spacing w:after="0"/>
              <w:rPr>
                <w:sz w:val="20"/>
                <w:szCs w:val="20"/>
                <w:color w:val="auto"/>
              </w:rPr>
            </w:pPr>
            <w:r>
              <w:rPr>
                <w:rFonts w:ascii="Arial" w:cs="Arial" w:eastAsia="Arial" w:hAnsi="Arial"/>
                <w:sz w:val="10"/>
                <w:szCs w:val="10"/>
                <w:color w:val="auto"/>
              </w:rPr>
              <w:t>13.24%/0.00%</w:t>
            </w:r>
          </w:p>
        </w:tc>
        <w:tc>
          <w:tcPr>
            <w:tcW w:w="640" w:type="dxa"/>
            <w:vAlign w:val="bottom"/>
          </w:tcPr>
          <w:p>
            <w:pPr>
              <w:ind w:left="80"/>
              <w:spacing w:after="0"/>
              <w:rPr>
                <w:sz w:val="20"/>
                <w:szCs w:val="20"/>
                <w:color w:val="auto"/>
              </w:rPr>
            </w:pPr>
            <w:r>
              <w:rPr>
                <w:rFonts w:ascii="Arial" w:cs="Arial" w:eastAsia="Arial" w:hAnsi="Arial"/>
                <w:sz w:val="10"/>
                <w:szCs w:val="10"/>
                <w:color w:val="auto"/>
              </w:rPr>
              <w:t>2/23/2023</w:t>
            </w:r>
          </w:p>
        </w:tc>
        <w:tc>
          <w:tcPr>
            <w:tcW w:w="660" w:type="dxa"/>
            <w:vAlign w:val="bottom"/>
          </w:tcPr>
          <w:p>
            <w:pPr>
              <w:ind w:left="80"/>
              <w:spacing w:after="0"/>
              <w:rPr>
                <w:sz w:val="20"/>
                <w:szCs w:val="20"/>
                <w:color w:val="auto"/>
              </w:rPr>
            </w:pPr>
            <w:r>
              <w:rPr>
                <w:rFonts w:ascii="Arial" w:cs="Arial" w:eastAsia="Arial" w:hAnsi="Arial"/>
                <w:sz w:val="10"/>
                <w:szCs w:val="10"/>
                <w:color w:val="auto"/>
              </w:rPr>
              <w:t>2/23/2028</w:t>
            </w:r>
          </w:p>
        </w:tc>
        <w:tc>
          <w:tcPr>
            <w:tcW w:w="400" w:type="dxa"/>
            <w:vAlign w:val="bottom"/>
          </w:tcPr>
          <w:p>
            <w:pPr>
              <w:jc w:val="right"/>
              <w:spacing w:after="0"/>
              <w:rPr>
                <w:sz w:val="20"/>
                <w:szCs w:val="20"/>
                <w:color w:val="auto"/>
              </w:rPr>
            </w:pPr>
            <w:r>
              <w:rPr>
                <w:rFonts w:ascii="Arial" w:cs="Arial" w:eastAsia="Arial" w:hAnsi="Arial"/>
                <w:sz w:val="10"/>
                <w:szCs w:val="10"/>
                <w:color w:val="auto"/>
              </w:rPr>
              <w:t>10,000</w:t>
            </w: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2/21/2023</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93"/>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12/19/2014</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+ 0.00%) / (2.50%)</w:t>
            </w:r>
          </w:p>
        </w:tc>
        <w:tc>
          <w:tcPr>
            <w:tcW w:w="720" w:type="dxa"/>
            <w:vAlign w:val="bottom"/>
          </w:tcPr>
          <w:p>
            <w:pPr>
              <w:ind w:left="40"/>
              <w:spacing w:after="0"/>
              <w:rPr>
                <w:sz w:val="20"/>
                <w:szCs w:val="20"/>
                <w:color w:val="auto"/>
              </w:rPr>
            </w:pPr>
            <w:r>
              <w:rPr>
                <w:rFonts w:ascii="Arial" w:cs="Arial" w:eastAsia="Arial" w:hAnsi="Arial"/>
                <w:sz w:val="10"/>
                <w:szCs w:val="10"/>
                <w:color w:val="auto"/>
              </w:rPr>
              <w:t>4.46%/9.75%</w:t>
            </w:r>
          </w:p>
        </w:tc>
        <w:tc>
          <w:tcPr>
            <w:tcW w:w="640" w:type="dxa"/>
            <w:vAlign w:val="bottom"/>
          </w:tcPr>
          <w:p>
            <w:pPr>
              <w:ind w:left="80"/>
              <w:spacing w:after="0"/>
              <w:rPr>
                <w:sz w:val="20"/>
                <w:szCs w:val="20"/>
                <w:color w:val="auto"/>
              </w:rPr>
            </w:pPr>
            <w:r>
              <w:rPr>
                <w:rFonts w:ascii="Arial" w:cs="Arial" w:eastAsia="Arial" w:hAnsi="Arial"/>
                <w:sz w:val="10"/>
                <w:szCs w:val="10"/>
                <w:color w:val="auto"/>
              </w:rPr>
              <w:t>4/13/2022</w:t>
            </w:r>
          </w:p>
        </w:tc>
        <w:tc>
          <w:tcPr>
            <w:tcW w:w="660" w:type="dxa"/>
            <w:vAlign w:val="bottom"/>
          </w:tcPr>
          <w:p>
            <w:pPr>
              <w:ind w:left="80"/>
              <w:spacing w:after="0"/>
              <w:rPr>
                <w:sz w:val="20"/>
                <w:szCs w:val="20"/>
                <w:color w:val="auto"/>
              </w:rPr>
            </w:pPr>
            <w:r>
              <w:rPr>
                <w:rFonts w:ascii="Arial" w:cs="Arial" w:eastAsia="Arial" w:hAnsi="Arial"/>
                <w:sz w:val="10"/>
                <w:szCs w:val="10"/>
                <w:color w:val="auto"/>
              </w:rPr>
              <w:t>6/30/2026</w:t>
            </w:r>
          </w:p>
        </w:tc>
        <w:tc>
          <w:tcPr>
            <w:tcW w:w="400" w:type="dxa"/>
            <w:vAlign w:val="bottom"/>
          </w:tcPr>
          <w:p>
            <w:pPr>
              <w:jc w:val="right"/>
              <w:spacing w:after="0"/>
              <w:rPr>
                <w:sz w:val="20"/>
                <w:szCs w:val="20"/>
                <w:color w:val="auto"/>
              </w:rPr>
            </w:pPr>
            <w:r>
              <w:rPr>
                <w:rFonts w:ascii="Arial" w:cs="Arial" w:eastAsia="Arial" w:hAnsi="Arial"/>
                <w:sz w:val="10"/>
                <w:szCs w:val="10"/>
                <w:color w:val="auto"/>
              </w:rPr>
              <w:t>11,002</w:t>
            </w:r>
          </w:p>
        </w:tc>
      </w:tr>
      <w:tr>
        <w:trPr>
          <w:trHeight w:val="324"/>
        </w:trPr>
        <w:tc>
          <w:tcPr>
            <w:tcW w:w="940" w:type="dxa"/>
            <w:vAlign w:val="bottom"/>
          </w:tcPr>
          <w:p>
            <w:pPr>
              <w:spacing w:after="0"/>
              <w:rPr>
                <w:sz w:val="20"/>
                <w:szCs w:val="20"/>
                <w:color w:val="auto"/>
              </w:rPr>
            </w:pPr>
            <w:r>
              <w:rPr>
                <w:rFonts w:ascii="Arial" w:cs="Arial" w:eastAsia="Arial" w:hAnsi="Arial"/>
                <w:sz w:val="10"/>
                <w:szCs w:val="10"/>
                <w:color w:val="auto"/>
                <w:w w:val="95"/>
              </w:rPr>
              <w:t>(S + 4.00%) / (2.50%)</w:t>
            </w:r>
          </w:p>
        </w:tc>
        <w:tc>
          <w:tcPr>
            <w:tcW w:w="720" w:type="dxa"/>
            <w:vAlign w:val="bottom"/>
          </w:tcPr>
          <w:p>
            <w:pPr>
              <w:ind w:left="40"/>
              <w:spacing w:after="0"/>
              <w:rPr>
                <w:sz w:val="20"/>
                <w:szCs w:val="20"/>
                <w:color w:val="auto"/>
              </w:rPr>
            </w:pPr>
            <w:r>
              <w:rPr>
                <w:rFonts w:ascii="Arial" w:cs="Arial" w:eastAsia="Arial" w:hAnsi="Arial"/>
                <w:sz w:val="10"/>
                <w:szCs w:val="10"/>
                <w:color w:val="auto"/>
              </w:rPr>
              <w:t>10.46%/0.00%</w:t>
            </w:r>
          </w:p>
        </w:tc>
        <w:tc>
          <w:tcPr>
            <w:tcW w:w="640" w:type="dxa"/>
            <w:vAlign w:val="bottom"/>
          </w:tcPr>
          <w:p>
            <w:pPr>
              <w:ind w:left="80"/>
              <w:spacing w:after="0"/>
              <w:rPr>
                <w:sz w:val="20"/>
                <w:szCs w:val="20"/>
                <w:color w:val="auto"/>
              </w:rPr>
            </w:pPr>
            <w:r>
              <w:rPr>
                <w:rFonts w:ascii="Arial" w:cs="Arial" w:eastAsia="Arial" w:hAnsi="Arial"/>
                <w:sz w:val="10"/>
                <w:szCs w:val="10"/>
                <w:color w:val="auto"/>
              </w:rPr>
              <w:t>9/20/2023</w:t>
            </w:r>
          </w:p>
        </w:tc>
        <w:tc>
          <w:tcPr>
            <w:tcW w:w="660" w:type="dxa"/>
            <w:vAlign w:val="bottom"/>
          </w:tcPr>
          <w:p>
            <w:pPr>
              <w:ind w:left="80"/>
              <w:spacing w:after="0"/>
              <w:rPr>
                <w:sz w:val="20"/>
                <w:szCs w:val="20"/>
                <w:color w:val="auto"/>
              </w:rPr>
            </w:pPr>
            <w:r>
              <w:rPr>
                <w:rFonts w:ascii="Arial" w:cs="Arial" w:eastAsia="Arial" w:hAnsi="Arial"/>
                <w:sz w:val="10"/>
                <w:szCs w:val="10"/>
                <w:color w:val="auto"/>
              </w:rPr>
              <w:t>12/31/2025</w:t>
            </w:r>
          </w:p>
        </w:tc>
        <w:tc>
          <w:tcPr>
            <w:tcW w:w="400" w:type="dxa"/>
            <w:vAlign w:val="bottom"/>
          </w:tcPr>
          <w:p>
            <w:pPr>
              <w:jc w:val="right"/>
              <w:spacing w:after="0"/>
              <w:rPr>
                <w:sz w:val="20"/>
                <w:szCs w:val="20"/>
                <w:color w:val="auto"/>
              </w:rPr>
            </w:pPr>
            <w:r>
              <w:rPr>
                <w:rFonts w:ascii="Arial" w:cs="Arial" w:eastAsia="Arial" w:hAnsi="Arial"/>
                <w:sz w:val="10"/>
                <w:szCs w:val="10"/>
                <w:color w:val="auto"/>
              </w:rPr>
              <w:t>354</w:t>
            </w:r>
          </w:p>
        </w:tc>
      </w:tr>
      <w:tr>
        <w:trPr>
          <w:trHeight w:val="793"/>
        </w:trPr>
        <w:tc>
          <w:tcPr>
            <w:tcW w:w="9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12.50%/0.00%</w:t>
            </w:r>
          </w:p>
        </w:tc>
        <w:tc>
          <w:tcPr>
            <w:tcW w:w="640" w:type="dxa"/>
            <w:vAlign w:val="bottom"/>
          </w:tcPr>
          <w:p>
            <w:pPr>
              <w:ind w:left="80"/>
              <w:spacing w:after="0"/>
              <w:rPr>
                <w:sz w:val="20"/>
                <w:szCs w:val="20"/>
                <w:color w:val="auto"/>
              </w:rPr>
            </w:pPr>
            <w:r>
              <w:rPr>
                <w:rFonts w:ascii="Arial" w:cs="Arial" w:eastAsia="Arial" w:hAnsi="Arial"/>
                <w:sz w:val="10"/>
                <w:szCs w:val="10"/>
                <w:color w:val="auto"/>
              </w:rPr>
              <w:t>3/22/2024</w:t>
            </w:r>
          </w:p>
        </w:tc>
        <w:tc>
          <w:tcPr>
            <w:tcW w:w="660" w:type="dxa"/>
            <w:vAlign w:val="bottom"/>
          </w:tcPr>
          <w:p>
            <w:pPr>
              <w:ind w:left="80"/>
              <w:spacing w:after="0"/>
              <w:rPr>
                <w:sz w:val="20"/>
                <w:szCs w:val="20"/>
                <w:color w:val="auto"/>
              </w:rPr>
            </w:pPr>
            <w:r>
              <w:rPr>
                <w:rFonts w:ascii="Arial" w:cs="Arial" w:eastAsia="Arial" w:hAnsi="Arial"/>
                <w:sz w:val="10"/>
                <w:szCs w:val="10"/>
                <w:color w:val="auto"/>
              </w:rPr>
              <w:t>3/24/2031</w:t>
            </w:r>
          </w:p>
        </w:tc>
        <w:tc>
          <w:tcPr>
            <w:tcW w:w="400" w:type="dxa"/>
            <w:vAlign w:val="bottom"/>
          </w:tcPr>
          <w:p>
            <w:pPr>
              <w:jc w:val="right"/>
              <w:spacing w:after="0"/>
              <w:rPr>
                <w:sz w:val="20"/>
                <w:szCs w:val="20"/>
                <w:color w:val="auto"/>
              </w:rPr>
            </w:pPr>
            <w:r>
              <w:rPr>
                <w:rFonts w:ascii="Arial" w:cs="Arial" w:eastAsia="Arial" w:hAnsi="Arial"/>
                <w:sz w:val="10"/>
                <w:szCs w:val="10"/>
                <w:color w:val="auto"/>
              </w:rPr>
              <w:t>12,500</w:t>
            </w:r>
          </w:p>
        </w:tc>
      </w:tr>
      <w:tr>
        <w:trPr>
          <w:trHeight w:val="6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3/21/2024</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93"/>
        </w:trPr>
        <w:tc>
          <w:tcPr>
            <w:tcW w:w="940" w:type="dxa"/>
            <w:vAlign w:val="bottom"/>
          </w:tcPr>
          <w:p>
            <w:pPr>
              <w:spacing w:after="0"/>
              <w:rPr>
                <w:sz w:val="20"/>
                <w:szCs w:val="20"/>
                <w:color w:val="auto"/>
              </w:rPr>
            </w:pPr>
            <w:r>
              <w:rPr>
                <w:rFonts w:ascii="Arial" w:cs="Arial" w:eastAsia="Arial" w:hAnsi="Arial"/>
                <w:sz w:val="10"/>
                <w:szCs w:val="10"/>
                <w:color w:val="auto"/>
                <w:w w:val="95"/>
              </w:rPr>
              <w:t>(S + 6.00%) / (1.00%)</w:t>
            </w:r>
          </w:p>
        </w:tc>
        <w:tc>
          <w:tcPr>
            <w:tcW w:w="720" w:type="dxa"/>
            <w:vAlign w:val="bottom"/>
          </w:tcPr>
          <w:p>
            <w:pPr>
              <w:ind w:left="40"/>
              <w:spacing w:after="0"/>
              <w:rPr>
                <w:sz w:val="20"/>
                <w:szCs w:val="20"/>
                <w:color w:val="auto"/>
              </w:rPr>
            </w:pPr>
            <w:r>
              <w:rPr>
                <w:rFonts w:ascii="Arial" w:cs="Arial" w:eastAsia="Arial" w:hAnsi="Arial"/>
                <w:sz w:val="10"/>
                <w:szCs w:val="10"/>
                <w:color w:val="auto"/>
              </w:rPr>
              <w:t>10.36%/0.00%</w:t>
            </w:r>
          </w:p>
        </w:tc>
        <w:tc>
          <w:tcPr>
            <w:tcW w:w="640" w:type="dxa"/>
            <w:vAlign w:val="bottom"/>
          </w:tcPr>
          <w:p>
            <w:pPr>
              <w:ind w:left="80"/>
              <w:spacing w:after="0"/>
              <w:rPr>
                <w:sz w:val="20"/>
                <w:szCs w:val="20"/>
                <w:color w:val="auto"/>
              </w:rPr>
            </w:pPr>
            <w:r>
              <w:rPr>
                <w:rFonts w:ascii="Arial" w:cs="Arial" w:eastAsia="Arial" w:hAnsi="Arial"/>
                <w:sz w:val="10"/>
                <w:szCs w:val="10"/>
                <w:color w:val="auto"/>
              </w:rPr>
              <w:t>10/11/2023</w:t>
            </w:r>
          </w:p>
        </w:tc>
        <w:tc>
          <w:tcPr>
            <w:tcW w:w="660" w:type="dxa"/>
            <w:vAlign w:val="bottom"/>
          </w:tcPr>
          <w:p>
            <w:pPr>
              <w:ind w:left="80"/>
              <w:spacing w:after="0"/>
              <w:rPr>
                <w:sz w:val="20"/>
                <w:szCs w:val="20"/>
                <w:color w:val="auto"/>
              </w:rPr>
            </w:pPr>
            <w:r>
              <w:rPr>
                <w:rFonts w:ascii="Arial" w:cs="Arial" w:eastAsia="Arial" w:hAnsi="Arial"/>
                <w:sz w:val="10"/>
                <w:szCs w:val="10"/>
                <w:color w:val="auto"/>
              </w:rPr>
              <w:t>10/11/2029</w:t>
            </w:r>
          </w:p>
        </w:tc>
        <w:tc>
          <w:tcPr>
            <w:tcW w:w="400" w:type="dxa"/>
            <w:vAlign w:val="bottom"/>
          </w:tcPr>
          <w:p>
            <w:pPr>
              <w:jc w:val="right"/>
              <w:spacing w:after="0"/>
              <w:rPr>
                <w:sz w:val="20"/>
                <w:szCs w:val="20"/>
                <w:color w:val="auto"/>
              </w:rPr>
            </w:pPr>
            <w:r>
              <w:rPr>
                <w:rFonts w:ascii="Arial" w:cs="Arial" w:eastAsia="Arial" w:hAnsi="Arial"/>
                <w:sz w:val="10"/>
                <w:szCs w:val="10"/>
                <w:color w:val="auto"/>
              </w:rPr>
              <w:t>17,369</w:t>
            </w: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10/11/2023</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10/11/2023</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93"/>
        </w:trPr>
        <w:tc>
          <w:tcPr>
            <w:tcW w:w="940" w:type="dxa"/>
            <w:vAlign w:val="bottom"/>
          </w:tcPr>
          <w:p>
            <w:pPr>
              <w:spacing w:after="0"/>
              <w:rPr>
                <w:sz w:val="20"/>
                <w:szCs w:val="20"/>
                <w:color w:val="auto"/>
              </w:rPr>
            </w:pPr>
            <w:r>
              <w:rPr>
                <w:rFonts w:ascii="Arial" w:cs="Arial" w:eastAsia="Arial" w:hAnsi="Arial"/>
                <w:sz w:val="10"/>
                <w:szCs w:val="10"/>
                <w:color w:val="auto"/>
                <w:w w:val="95"/>
              </w:rPr>
              <w:t>(S + 6.00%) / (6.00%)</w:t>
            </w:r>
          </w:p>
        </w:tc>
        <w:tc>
          <w:tcPr>
            <w:tcW w:w="720" w:type="dxa"/>
            <w:vAlign w:val="bottom"/>
          </w:tcPr>
          <w:p>
            <w:pPr>
              <w:ind w:left="40"/>
              <w:spacing w:after="0"/>
              <w:rPr>
                <w:sz w:val="20"/>
                <w:szCs w:val="20"/>
                <w:color w:val="auto"/>
              </w:rPr>
            </w:pPr>
            <w:r>
              <w:rPr>
                <w:rFonts w:ascii="Arial" w:cs="Arial" w:eastAsia="Arial" w:hAnsi="Arial"/>
                <w:sz w:val="10"/>
                <w:szCs w:val="10"/>
                <w:color w:val="auto"/>
              </w:rPr>
              <w:t>17.00%/0.00%</w:t>
            </w:r>
          </w:p>
        </w:tc>
        <w:tc>
          <w:tcPr>
            <w:tcW w:w="640" w:type="dxa"/>
            <w:vAlign w:val="bottom"/>
          </w:tcPr>
          <w:p>
            <w:pPr>
              <w:ind w:left="80"/>
              <w:spacing w:after="0"/>
              <w:rPr>
                <w:sz w:val="20"/>
                <w:szCs w:val="20"/>
                <w:color w:val="auto"/>
              </w:rPr>
            </w:pPr>
            <w:r>
              <w:rPr>
                <w:rFonts w:ascii="Arial" w:cs="Arial" w:eastAsia="Arial" w:hAnsi="Arial"/>
                <w:sz w:val="10"/>
                <w:szCs w:val="10"/>
                <w:color w:val="auto"/>
              </w:rPr>
              <w:t>12/13/2023</w:t>
            </w:r>
          </w:p>
        </w:tc>
        <w:tc>
          <w:tcPr>
            <w:tcW w:w="660" w:type="dxa"/>
            <w:vAlign w:val="bottom"/>
          </w:tcPr>
          <w:p>
            <w:pPr>
              <w:ind w:left="80"/>
              <w:spacing w:after="0"/>
              <w:rPr>
                <w:sz w:val="20"/>
                <w:szCs w:val="20"/>
                <w:color w:val="auto"/>
              </w:rPr>
            </w:pPr>
            <w:r>
              <w:rPr>
                <w:rFonts w:ascii="Arial" w:cs="Arial" w:eastAsia="Arial" w:hAnsi="Arial"/>
                <w:sz w:val="10"/>
                <w:szCs w:val="10"/>
                <w:color w:val="auto"/>
              </w:rPr>
              <w:t>6/13/2027</w:t>
            </w:r>
          </w:p>
        </w:tc>
        <w:tc>
          <w:tcPr>
            <w:tcW w:w="400" w:type="dxa"/>
            <w:vAlign w:val="bottom"/>
          </w:tcPr>
          <w:p>
            <w:pPr>
              <w:jc w:val="right"/>
              <w:spacing w:after="0"/>
              <w:rPr>
                <w:sz w:val="20"/>
                <w:szCs w:val="20"/>
                <w:color w:val="auto"/>
              </w:rPr>
            </w:pPr>
            <w:r>
              <w:rPr>
                <w:rFonts w:ascii="Arial" w:cs="Arial" w:eastAsia="Arial" w:hAnsi="Arial"/>
                <w:sz w:val="10"/>
                <w:szCs w:val="10"/>
                <w:color w:val="auto"/>
              </w:rPr>
              <w:t>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-6321425</wp:posOffset>
            </wp:positionV>
            <wp:extent cx="5967730" cy="1041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-5420995</wp:posOffset>
            </wp:positionV>
            <wp:extent cx="5967730" cy="1041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-5116830</wp:posOffset>
            </wp:positionV>
            <wp:extent cx="5967730" cy="1041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-4908550</wp:posOffset>
            </wp:positionV>
            <wp:extent cx="5967730" cy="1993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-4604385</wp:posOffset>
            </wp:positionV>
            <wp:extent cx="5967730" cy="1041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-3894455</wp:posOffset>
            </wp:positionV>
            <wp:extent cx="5967730" cy="1041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-3185160</wp:posOffset>
            </wp:positionV>
            <wp:extent cx="5967730" cy="1041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-2880995</wp:posOffset>
            </wp:positionV>
            <wp:extent cx="5967730" cy="1041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-2672080</wp:posOffset>
            </wp:positionV>
            <wp:extent cx="5967730" cy="1993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-2266315</wp:posOffset>
            </wp:positionV>
            <wp:extent cx="5967730" cy="1993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-1962150</wp:posOffset>
            </wp:positionV>
            <wp:extent cx="5967730" cy="1993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-1372870</wp:posOffset>
            </wp:positionV>
            <wp:extent cx="5967730" cy="1993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-1068705</wp:posOffset>
            </wp:positionV>
            <wp:extent cx="5967730" cy="1993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-263525</wp:posOffset>
            </wp:positionV>
            <wp:extent cx="5967730" cy="1041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40005</wp:posOffset>
            </wp:positionV>
            <wp:extent cx="5967730" cy="1041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343535</wp:posOffset>
            </wp:positionV>
            <wp:extent cx="5967730" cy="1993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-5826760</wp:posOffset>
            </wp:positionV>
            <wp:extent cx="5967730" cy="2057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-4300220</wp:posOffset>
            </wp:positionV>
            <wp:extent cx="5967730" cy="2057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-3590290</wp:posOffset>
            </wp:positionV>
            <wp:extent cx="5967730" cy="2057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-669290</wp:posOffset>
            </wp:positionV>
            <wp:extent cx="5967730" cy="2057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19,633</w:t>
      </w:r>
      <w:r>
        <w:rPr>
          <w:sz w:val="20"/>
          <w:szCs w:val="20"/>
          <w:color w:val="auto"/>
        </w:rPr>
        <w:tab/>
      </w:r>
      <w:r>
        <w:rPr>
          <w:rFonts w:ascii="Arial" w:cs="Arial" w:eastAsia="Arial" w:hAnsi="Arial"/>
          <w:sz w:val="9"/>
          <w:szCs w:val="9"/>
          <w:color w:val="auto"/>
        </w:rPr>
        <w:t>20,126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7"/>
          <w:szCs w:val="7"/>
          <w:color w:val="auto"/>
        </w:rPr>
        <w:t>9,710</w:t>
      </w:r>
      <w:r>
        <w:rPr>
          <w:sz w:val="20"/>
          <w:szCs w:val="20"/>
          <w:color w:val="auto"/>
        </w:rPr>
        <w:tab/>
      </w:r>
      <w:r>
        <w:rPr>
          <w:rFonts w:ascii="Arial" w:cs="Arial" w:eastAsia="Arial" w:hAnsi="Arial"/>
          <w:sz w:val="7"/>
          <w:szCs w:val="7"/>
          <w:color w:val="auto"/>
        </w:rPr>
        <w:t>9,710</w:t>
      </w:r>
    </w:p>
    <w:p>
      <w:pPr>
        <w:spacing w:after="0" w:line="234"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7"/>
          <w:szCs w:val="7"/>
          <w:color w:val="auto"/>
        </w:rPr>
        <w:t>1,050</w:t>
      </w:r>
      <w:r>
        <w:rPr>
          <w:sz w:val="20"/>
          <w:szCs w:val="20"/>
          <w:color w:val="auto"/>
        </w:rPr>
        <w:tab/>
      </w:r>
      <w:r>
        <w:rPr>
          <w:rFonts w:ascii="Arial" w:cs="Arial" w:eastAsia="Arial" w:hAnsi="Arial"/>
          <w:sz w:val="7"/>
          <w:szCs w:val="7"/>
          <w:color w:val="auto"/>
        </w:rPr>
        <w:t>1,050</w:t>
      </w:r>
    </w:p>
    <w:p>
      <w:pPr>
        <w:spacing w:after="0" w:line="244"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10,760</w:t>
      </w:r>
      <w:r>
        <w:rPr>
          <w:sz w:val="20"/>
          <w:szCs w:val="20"/>
          <w:color w:val="auto"/>
        </w:rPr>
        <w:tab/>
      </w:r>
      <w:r>
        <w:rPr>
          <w:rFonts w:ascii="Arial" w:cs="Arial" w:eastAsia="Arial" w:hAnsi="Arial"/>
          <w:sz w:val="9"/>
          <w:szCs w:val="9"/>
          <w:color w:val="auto"/>
        </w:rPr>
        <w:t>10,760</w:t>
      </w:r>
    </w:p>
    <w:p>
      <w:pPr>
        <w:spacing w:after="0" w:line="375"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12,489</w:t>
      </w:r>
      <w:r>
        <w:rPr>
          <w:sz w:val="20"/>
          <w:szCs w:val="20"/>
          <w:color w:val="auto"/>
        </w:rPr>
        <w:tab/>
      </w:r>
      <w:r>
        <w:rPr>
          <w:rFonts w:ascii="Arial" w:cs="Arial" w:eastAsia="Arial" w:hAnsi="Arial"/>
          <w:sz w:val="9"/>
          <w:szCs w:val="9"/>
          <w:color w:val="auto"/>
        </w:rPr>
        <w:t>12,529</w:t>
      </w:r>
    </w:p>
    <w:p>
      <w:pPr>
        <w:spacing w:after="0" w:line="200" w:lineRule="exact"/>
        <w:rPr>
          <w:sz w:val="20"/>
          <w:szCs w:val="20"/>
          <w:color w:val="auto"/>
        </w:rPr>
      </w:pPr>
    </w:p>
    <w:p>
      <w:pPr>
        <w:spacing w:after="0" w:line="334" w:lineRule="exact"/>
        <w:rPr>
          <w:sz w:val="20"/>
          <w:szCs w:val="20"/>
          <w:color w:val="auto"/>
        </w:rPr>
      </w:pPr>
    </w:p>
    <w:p>
      <w:pPr>
        <w:jc w:val="both"/>
        <w:ind w:left="140"/>
        <w:spacing w:after="0"/>
        <w:tabs>
          <w:tab w:leader="none" w:pos="660" w:val="left"/>
        </w:tabs>
        <w:rPr>
          <w:sz w:val="20"/>
          <w:szCs w:val="20"/>
          <w:color w:val="auto"/>
        </w:rPr>
      </w:pPr>
      <w:r>
        <w:rPr>
          <w:rFonts w:ascii="Arial" w:cs="Arial" w:eastAsia="Arial" w:hAnsi="Arial"/>
          <w:sz w:val="10"/>
          <w:szCs w:val="10"/>
          <w:color w:val="auto"/>
        </w:rPr>
        <w:t>655</w:t>
      </w:r>
      <w:r>
        <w:rPr>
          <w:sz w:val="20"/>
          <w:szCs w:val="20"/>
          <w:color w:val="auto"/>
        </w:rPr>
        <w:tab/>
      </w:r>
      <w:r>
        <w:rPr>
          <w:rFonts w:ascii="Arial" w:cs="Arial" w:eastAsia="Arial" w:hAnsi="Arial"/>
          <w:sz w:val="10"/>
          <w:szCs w:val="10"/>
          <w:color w:val="auto"/>
        </w:rPr>
        <w:t>2,214</w:t>
      </w:r>
    </w:p>
    <w:p>
      <w:pPr>
        <w:spacing w:after="0" w:line="200" w:lineRule="exact"/>
        <w:rPr>
          <w:sz w:val="20"/>
          <w:szCs w:val="20"/>
          <w:color w:val="auto"/>
        </w:rPr>
      </w:pPr>
    </w:p>
    <w:p>
      <w:pPr>
        <w:spacing w:after="0" w:line="242" w:lineRule="exact"/>
        <w:rPr>
          <w:sz w:val="20"/>
          <w:szCs w:val="20"/>
          <w:color w:val="auto"/>
        </w:rPr>
      </w:pPr>
    </w:p>
    <w:p>
      <w:pPr>
        <w:ind w:left="800" w:hanging="667"/>
        <w:spacing w:after="0"/>
        <w:tabs>
          <w:tab w:leader="none" w:pos="800" w:val="left"/>
        </w:tabs>
        <w:numPr>
          <w:ilvl w:val="0"/>
          <w:numId w:val="122"/>
        </w:numPr>
        <w:rPr>
          <w:rFonts w:ascii="Arial" w:cs="Arial" w:eastAsia="Arial" w:hAnsi="Arial"/>
          <w:sz w:val="8"/>
          <w:szCs w:val="8"/>
          <w:color w:val="auto"/>
        </w:rPr>
      </w:pPr>
      <w:r>
        <w:rPr>
          <w:rFonts w:ascii="Arial" w:cs="Arial" w:eastAsia="Arial" w:hAnsi="Arial"/>
          <w:sz w:val="15"/>
          <w:szCs w:val="15"/>
          <w:color w:val="auto"/>
          <w:vertAlign w:val="subscript"/>
        </w:rPr>
        <w:t>—</w:t>
      </w:r>
    </w:p>
    <w:p>
      <w:pPr>
        <w:spacing w:after="0" w:line="141" w:lineRule="exact"/>
        <w:rPr>
          <w:rFonts w:ascii="Arial" w:cs="Arial" w:eastAsia="Arial" w:hAnsi="Arial"/>
          <w:sz w:val="8"/>
          <w:szCs w:val="8"/>
          <w:color w:val="auto"/>
        </w:rPr>
      </w:pPr>
    </w:p>
    <w:p>
      <w:pPr>
        <w:ind w:left="800" w:hanging="667"/>
        <w:spacing w:after="0"/>
        <w:tabs>
          <w:tab w:leader="none" w:pos="800" w:val="left"/>
        </w:tabs>
        <w:numPr>
          <w:ilvl w:val="0"/>
          <w:numId w:val="123"/>
        </w:numPr>
        <w:rPr>
          <w:rFonts w:ascii="Arial" w:cs="Arial" w:eastAsia="Arial" w:hAnsi="Arial"/>
          <w:sz w:val="8"/>
          <w:szCs w:val="8"/>
          <w:color w:val="auto"/>
        </w:rPr>
      </w:pPr>
      <w:r>
        <w:rPr>
          <w:rFonts w:ascii="Arial" w:cs="Arial" w:eastAsia="Arial" w:hAnsi="Arial"/>
          <w:sz w:val="15"/>
          <w:szCs w:val="15"/>
          <w:color w:val="auto"/>
          <w:vertAlign w:val="subscript"/>
        </w:rPr>
        <w:t>—</w:t>
      </w:r>
    </w:p>
    <w:p>
      <w:pPr>
        <w:spacing w:after="0" w:line="152"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8"/>
          <w:szCs w:val="8"/>
          <w:color w:val="auto"/>
        </w:rPr>
        <w:t>1,456</w:t>
      </w:r>
      <w:r>
        <w:rPr>
          <w:sz w:val="20"/>
          <w:szCs w:val="20"/>
          <w:color w:val="auto"/>
        </w:rPr>
        <w:tab/>
      </w:r>
      <w:r>
        <w:rPr>
          <w:rFonts w:ascii="Arial" w:cs="Arial" w:eastAsia="Arial" w:hAnsi="Arial"/>
          <w:sz w:val="15"/>
          <w:szCs w:val="15"/>
          <w:color w:val="auto"/>
          <w:vertAlign w:val="subscript"/>
        </w:rPr>
        <w:t>—</w:t>
      </w:r>
    </w:p>
    <w:p>
      <w:pPr>
        <w:spacing w:after="0" w:line="39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9"/>
          <w:szCs w:val="9"/>
          <w:color w:val="auto"/>
        </w:rPr>
        <w:t>9,937</w:t>
      </w:r>
      <w:r>
        <w:rPr>
          <w:sz w:val="20"/>
          <w:szCs w:val="20"/>
          <w:color w:val="auto"/>
        </w:rPr>
        <w:tab/>
      </w:r>
      <w:r>
        <w:rPr>
          <w:rFonts w:ascii="Arial" w:cs="Arial" w:eastAsia="Arial" w:hAnsi="Arial"/>
          <w:sz w:val="9"/>
          <w:szCs w:val="9"/>
          <w:color w:val="auto"/>
        </w:rPr>
        <w:t>10,000</w:t>
      </w:r>
    </w:p>
    <w:p>
      <w:pPr>
        <w:spacing w:after="0" w:line="205" w:lineRule="exact"/>
        <w:rPr>
          <w:sz w:val="20"/>
          <w:szCs w:val="20"/>
          <w:color w:val="auto"/>
        </w:rPr>
      </w:pPr>
    </w:p>
    <w:p>
      <w:pPr>
        <w:jc w:val="both"/>
        <w:ind w:left="140"/>
        <w:spacing w:after="0"/>
        <w:tabs>
          <w:tab w:leader="none" w:pos="660" w:val="left"/>
        </w:tabs>
        <w:rPr>
          <w:sz w:val="20"/>
          <w:szCs w:val="20"/>
          <w:color w:val="auto"/>
        </w:rPr>
      </w:pPr>
      <w:r>
        <w:rPr>
          <w:rFonts w:ascii="Arial" w:cs="Arial" w:eastAsia="Arial" w:hAnsi="Arial"/>
          <w:sz w:val="10"/>
          <w:szCs w:val="10"/>
          <w:color w:val="auto"/>
        </w:rPr>
        <w:t>387</w:t>
      </w:r>
      <w:r>
        <w:rPr>
          <w:sz w:val="20"/>
          <w:szCs w:val="20"/>
          <w:color w:val="auto"/>
        </w:rPr>
        <w:tab/>
      </w:r>
      <w:r>
        <w:rPr>
          <w:rFonts w:ascii="Arial" w:cs="Arial" w:eastAsia="Arial" w:hAnsi="Arial"/>
          <w:sz w:val="10"/>
          <w:szCs w:val="10"/>
          <w:color w:val="auto"/>
        </w:rPr>
        <w:t>1,480</w:t>
      </w:r>
    </w:p>
    <w:p>
      <w:pPr>
        <w:spacing w:after="0" w:line="215"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10,324</w:t>
      </w:r>
      <w:r>
        <w:rPr>
          <w:sz w:val="20"/>
          <w:szCs w:val="20"/>
          <w:color w:val="auto"/>
        </w:rPr>
        <w:tab/>
      </w:r>
      <w:r>
        <w:rPr>
          <w:rFonts w:ascii="Arial" w:cs="Arial" w:eastAsia="Arial" w:hAnsi="Arial"/>
          <w:sz w:val="9"/>
          <w:szCs w:val="9"/>
          <w:color w:val="auto"/>
        </w:rPr>
        <w:t>11,480</w:t>
      </w:r>
    </w:p>
    <w:p>
      <w:pPr>
        <w:spacing w:after="0" w:line="369" w:lineRule="exact"/>
        <w:rPr>
          <w:sz w:val="20"/>
          <w:szCs w:val="20"/>
          <w:color w:val="auto"/>
        </w:rPr>
      </w:pPr>
    </w:p>
    <w:p>
      <w:pPr>
        <w:ind w:left="1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color w:val="auto"/>
          <w:vertAlign w:val="superscript"/>
        </w:rPr>
        <w:t>5</w:t>
      </w:r>
    </w:p>
    <w:p>
      <w:pPr>
        <w:spacing w:after="0" w:line="200" w:lineRule="exact"/>
        <w:rPr>
          <w:sz w:val="20"/>
          <w:szCs w:val="20"/>
          <w:color w:val="auto"/>
        </w:rPr>
      </w:pPr>
    </w:p>
    <w:p>
      <w:pPr>
        <w:spacing w:after="0" w:line="328" w:lineRule="exact"/>
        <w:rPr>
          <w:sz w:val="20"/>
          <w:szCs w:val="20"/>
          <w:color w:val="auto"/>
        </w:rPr>
      </w:pPr>
    </w:p>
    <w:p>
      <w:pPr>
        <w:spacing w:after="0"/>
        <w:tabs>
          <w:tab w:leader="none" w:pos="660" w:val="left"/>
        </w:tabs>
        <w:rPr>
          <w:sz w:val="20"/>
          <w:szCs w:val="20"/>
          <w:color w:val="auto"/>
        </w:rPr>
      </w:pPr>
      <w:r>
        <w:rPr>
          <w:rFonts w:ascii="Arial" w:cs="Arial" w:eastAsia="Arial" w:hAnsi="Arial"/>
          <w:sz w:val="7"/>
          <w:szCs w:val="7"/>
          <w:color w:val="auto"/>
        </w:rPr>
        <w:t>10,906</w:t>
      </w:r>
      <w:r>
        <w:rPr>
          <w:sz w:val="20"/>
          <w:szCs w:val="20"/>
          <w:color w:val="auto"/>
        </w:rPr>
        <w:tab/>
      </w:r>
      <w:r>
        <w:rPr>
          <w:rFonts w:ascii="Arial" w:cs="Arial" w:eastAsia="Arial" w:hAnsi="Arial"/>
          <w:sz w:val="7"/>
          <w:szCs w:val="7"/>
          <w:color w:val="auto"/>
        </w:rPr>
        <w:t>4,437</w:t>
      </w:r>
    </w:p>
    <w:p>
      <w:pPr>
        <w:spacing w:after="0" w:line="234" w:lineRule="exact"/>
        <w:rPr>
          <w:sz w:val="20"/>
          <w:szCs w:val="20"/>
          <w:color w:val="auto"/>
        </w:rPr>
      </w:pPr>
    </w:p>
    <w:p>
      <w:pPr>
        <w:ind w:left="760" w:hanging="627"/>
        <w:spacing w:after="0"/>
        <w:tabs>
          <w:tab w:leader="none" w:pos="760" w:val="left"/>
        </w:tabs>
        <w:numPr>
          <w:ilvl w:val="0"/>
          <w:numId w:val="125"/>
        </w:numPr>
        <w:rPr>
          <w:rFonts w:ascii="Arial" w:cs="Arial" w:eastAsia="Arial" w:hAnsi="Arial"/>
          <w:sz w:val="7"/>
          <w:szCs w:val="7"/>
          <w:color w:val="auto"/>
        </w:rPr>
      </w:pPr>
      <w:r>
        <w:rPr>
          <w:rFonts w:ascii="Arial" w:cs="Arial" w:eastAsia="Arial" w:hAnsi="Arial"/>
          <w:sz w:val="7"/>
          <w:szCs w:val="7"/>
          <w:color w:val="auto"/>
        </w:rPr>
        <w:t>328</w:t>
      </w:r>
    </w:p>
    <w:p>
      <w:pPr>
        <w:spacing w:after="0" w:line="23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10"/>
          <w:szCs w:val="10"/>
          <w:color w:val="auto"/>
        </w:rPr>
        <w:t>11,259</w:t>
      </w:r>
      <w:r>
        <w:rPr>
          <w:rFonts w:ascii="Arial" w:cs="Arial" w:eastAsia="Arial" w:hAnsi="Arial"/>
          <w:sz w:val="7"/>
          <w:szCs w:val="7"/>
          <w:color w:val="auto"/>
        </w:rPr>
        <w:t>4,765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-165735</wp:posOffset>
            </wp:positionV>
            <wp:extent cx="71501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10" cy="6350"/>
                    </a:xfrm>
                    <a:prstGeom prst="rect">
                      <a:avLst/>
                    </a:prstGeom>
                    <a:noFill/>
                  </pic:spPr>
                </pic:pic>
              </a:graphicData>
            </a:graphic>
          </wp:anchor>
        </w:drawing>
      </w:r>
    </w:p>
    <w:p>
      <w:pPr>
        <w:spacing w:after="0" w:line="350"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12,361</w:t>
      </w:r>
      <w:r>
        <w:rPr>
          <w:sz w:val="20"/>
          <w:szCs w:val="20"/>
          <w:color w:val="auto"/>
        </w:rPr>
        <w:tab/>
      </w:r>
      <w:r>
        <w:rPr>
          <w:rFonts w:ascii="Arial" w:cs="Arial" w:eastAsia="Arial" w:hAnsi="Arial"/>
          <w:sz w:val="9"/>
          <w:szCs w:val="9"/>
          <w:color w:val="auto"/>
        </w:rPr>
        <w:t>12,500</w:t>
      </w:r>
    </w:p>
    <w:p>
      <w:pPr>
        <w:spacing w:after="0" w:line="200" w:lineRule="exact"/>
        <w:rPr>
          <w:sz w:val="20"/>
          <w:szCs w:val="20"/>
          <w:color w:val="auto"/>
        </w:rPr>
      </w:pPr>
    </w:p>
    <w:p>
      <w:pPr>
        <w:spacing w:after="0" w:line="301" w:lineRule="exact"/>
        <w:rPr>
          <w:sz w:val="20"/>
          <w:szCs w:val="20"/>
          <w:color w:val="auto"/>
        </w:rPr>
      </w:pPr>
    </w:p>
    <w:p>
      <w:pPr>
        <w:ind w:left="760" w:hanging="627"/>
        <w:spacing w:after="0"/>
        <w:tabs>
          <w:tab w:leader="none" w:pos="760" w:val="left"/>
        </w:tabs>
        <w:numPr>
          <w:ilvl w:val="0"/>
          <w:numId w:val="126"/>
        </w:numPr>
        <w:rPr>
          <w:rFonts w:ascii="Arial" w:cs="Arial" w:eastAsia="Arial" w:hAnsi="Arial"/>
          <w:sz w:val="7"/>
          <w:szCs w:val="7"/>
          <w:color w:val="auto"/>
        </w:rPr>
      </w:pPr>
      <w:r>
        <w:rPr>
          <w:rFonts w:ascii="Arial" w:cs="Arial" w:eastAsia="Arial" w:hAnsi="Arial"/>
          <w:sz w:val="7"/>
          <w:szCs w:val="7"/>
          <w:color w:val="auto"/>
        </w:rPr>
        <w:t>804</w:t>
      </w:r>
    </w:p>
    <w:p>
      <w:pPr>
        <w:spacing w:after="0" w:line="237"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10"/>
          <w:szCs w:val="10"/>
          <w:color w:val="auto"/>
        </w:rPr>
        <w:t>13,261</w:t>
      </w:r>
      <w:r>
        <w:rPr>
          <w:rFonts w:ascii="Arial" w:cs="Arial" w:eastAsia="Arial" w:hAnsi="Arial"/>
          <w:sz w:val="9"/>
          <w:szCs w:val="9"/>
          <w:color w:val="auto"/>
        </w:rPr>
        <w:t>13,304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-165735</wp:posOffset>
            </wp:positionV>
            <wp:extent cx="71501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10" cy="6350"/>
                    </a:xfrm>
                    <a:prstGeom prst="rect">
                      <a:avLst/>
                    </a:prstGeom>
                    <a:noFill/>
                  </pic:spPr>
                </pic:pic>
              </a:graphicData>
            </a:graphic>
          </wp:anchor>
        </w:drawing>
      </w:r>
    </w:p>
    <w:p>
      <w:pPr>
        <w:spacing w:after="0" w:line="350"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color w:val="auto"/>
        </w:rPr>
        <w:t>17,290</w:t>
      </w:r>
      <w:r>
        <w:rPr>
          <w:sz w:val="20"/>
          <w:szCs w:val="20"/>
          <w:color w:val="auto"/>
        </w:rPr>
        <w:tab/>
      </w:r>
      <w:r>
        <w:rPr>
          <w:rFonts w:ascii="Arial" w:cs="Arial" w:eastAsia="Arial" w:hAnsi="Arial"/>
          <w:sz w:val="9"/>
          <w:szCs w:val="9"/>
          <w:color w:val="auto"/>
        </w:rPr>
        <w:t>17,369</w:t>
      </w:r>
    </w:p>
    <w:p>
      <w:pPr>
        <w:spacing w:after="0" w:line="246" w:lineRule="exact"/>
        <w:rPr>
          <w:sz w:val="20"/>
          <w:szCs w:val="20"/>
          <w:color w:val="auto"/>
        </w:rPr>
      </w:pPr>
    </w:p>
    <w:p>
      <w:pPr>
        <w:jc w:val="both"/>
        <w:ind w:left="180"/>
        <w:spacing w:after="0"/>
        <w:tabs>
          <w:tab w:leader="none" w:pos="78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p>
    <w:p>
      <w:pPr>
        <w:spacing w:after="0" w:line="164" w:lineRule="exact"/>
        <w:rPr>
          <w:sz w:val="20"/>
          <w:szCs w:val="20"/>
          <w:color w:val="auto"/>
        </w:rPr>
      </w:pPr>
    </w:p>
    <w:p>
      <w:pPr>
        <w:ind w:left="760" w:hanging="627"/>
        <w:spacing w:after="0"/>
        <w:tabs>
          <w:tab w:leader="none" w:pos="760" w:val="left"/>
        </w:tabs>
        <w:numPr>
          <w:ilvl w:val="0"/>
          <w:numId w:val="127"/>
        </w:numPr>
        <w:rPr>
          <w:rFonts w:ascii="Arial" w:cs="Arial" w:eastAsia="Arial" w:hAnsi="Arial"/>
          <w:sz w:val="7"/>
          <w:szCs w:val="7"/>
          <w:color w:val="auto"/>
        </w:rPr>
      </w:pPr>
      <w:r>
        <w:rPr>
          <w:rFonts w:ascii="Arial" w:cs="Arial" w:eastAsia="Arial" w:hAnsi="Arial"/>
          <w:sz w:val="7"/>
          <w:szCs w:val="7"/>
          <w:color w:val="auto"/>
        </w:rPr>
        <w:t>545</w:t>
      </w:r>
    </w:p>
    <w:p>
      <w:pPr>
        <w:spacing w:after="0" w:line="237"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10"/>
          <w:szCs w:val="10"/>
          <w:color w:val="auto"/>
        </w:rPr>
        <w:t>17,790</w:t>
      </w:r>
      <w:r>
        <w:rPr>
          <w:rFonts w:ascii="Arial" w:cs="Arial" w:eastAsia="Arial" w:hAnsi="Arial"/>
          <w:sz w:val="9"/>
          <w:szCs w:val="9"/>
          <w:color w:val="auto"/>
        </w:rPr>
        <w:t>17,914</w:t>
      </w:r>
    </w:p>
    <w:p>
      <w:pPr>
        <w:spacing w:after="0" w:line="370"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7"/>
          <w:szCs w:val="7"/>
          <w:color w:val="auto"/>
        </w:rPr>
        <w:t>2,010</w:t>
      </w:r>
      <w:r>
        <w:rPr>
          <w:sz w:val="20"/>
          <w:szCs w:val="20"/>
          <w:color w:val="auto"/>
        </w:rPr>
        <w:tab/>
      </w:r>
      <w:r>
        <w:rPr>
          <w:rFonts w:ascii="Arial" w:cs="Arial" w:eastAsia="Arial" w:hAnsi="Arial"/>
          <w:sz w:val="7"/>
          <w:szCs w:val="7"/>
          <w:color w:val="auto"/>
        </w:rPr>
        <w:t>2,032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hanging="70"/>
        <w:spacing w:after="0"/>
        <w:tabs>
          <w:tab w:leader="none" w:pos="80" w:val="left"/>
        </w:tabs>
        <w:numPr>
          <w:ilvl w:val="0"/>
          <w:numId w:val="12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ind w:left="80" w:hanging="70"/>
        <w:spacing w:after="0"/>
        <w:tabs>
          <w:tab w:leader="none" w:pos="80" w:val="left"/>
        </w:tabs>
        <w:numPr>
          <w:ilvl w:val="0"/>
          <w:numId w:val="128"/>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94" w:lineRule="exact"/>
        <w:rPr>
          <w:sz w:val="20"/>
          <w:szCs w:val="20"/>
          <w:color w:val="auto"/>
        </w:rPr>
      </w:pPr>
    </w:p>
    <w:p>
      <w:pPr>
        <w:ind w:left="80" w:hanging="70"/>
        <w:spacing w:after="0"/>
        <w:tabs>
          <w:tab w:leader="none" w:pos="80" w:val="left"/>
        </w:tabs>
        <w:numPr>
          <w:ilvl w:val="0"/>
          <w:numId w:val="12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32" w:lineRule="exact"/>
        <w:rPr>
          <w:rFonts w:ascii="Arial" w:cs="Arial" w:eastAsia="Arial" w:hAnsi="Arial"/>
          <w:sz w:val="7"/>
          <w:szCs w:val="7"/>
          <w:color w:val="auto"/>
        </w:rPr>
      </w:pPr>
    </w:p>
    <w:p>
      <w:pPr>
        <w:ind w:left="80" w:hanging="70"/>
        <w:spacing w:after="0"/>
        <w:tabs>
          <w:tab w:leader="none" w:pos="80" w:val="left"/>
        </w:tabs>
        <w:numPr>
          <w:ilvl w:val="0"/>
          <w:numId w:val="129"/>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0" w:hanging="70"/>
        <w:spacing w:after="0"/>
        <w:tabs>
          <w:tab w:leader="none" w:pos="80" w:val="left"/>
        </w:tabs>
        <w:numPr>
          <w:ilvl w:val="0"/>
          <w:numId w:val="130"/>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hanging="70"/>
        <w:spacing w:after="0"/>
        <w:tabs>
          <w:tab w:leader="none" w:pos="80" w:val="left"/>
        </w:tabs>
        <w:numPr>
          <w:ilvl w:val="0"/>
          <w:numId w:val="131"/>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5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2 </w:t>
      </w:r>
      <w:r>
        <w:rPr>
          <w:rFonts w:ascii="Arial" w:cs="Arial" w:eastAsia="Arial" w:hAnsi="Arial"/>
          <w:sz w:val="15"/>
          <w:szCs w:val="15"/>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0"/>
        <w:spacing w:after="0"/>
        <w:tabs>
          <w:tab w:leader="none" w:pos="80" w:val="left"/>
        </w:tabs>
        <w:numPr>
          <w:ilvl w:val="0"/>
          <w:numId w:val="132"/>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329"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620" w:lineRule="exact"/>
        <w:rPr>
          <w:sz w:val="20"/>
          <w:szCs w:val="20"/>
          <w:color w:val="auto"/>
        </w:rPr>
      </w:pPr>
    </w:p>
    <w:p>
      <w:pPr>
        <w:sectPr>
          <w:pgSz w:w="11900" w:h="16838" w:orient="portrait"/>
          <w:cols w:equalWidth="0" w:num="4">
            <w:col w:w="3540" w:space="440"/>
            <w:col w:w="3360" w:space="420"/>
            <w:col w:w="900" w:space="560"/>
            <w:col w:w="160"/>
          </w:cols>
          <w:pgMar w:left="1260" w:top="1184" w:right="1266" w:bottom="0" w:gutter="0" w:footer="0" w:header="0"/>
        </w:sectPr>
      </w:pPr>
    </w:p>
    <w:p>
      <w:pPr>
        <w:spacing w:after="0" w:line="128"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(k)(z)</w:t>
      </w:r>
    </w:p>
    <w:p>
      <w:pPr>
        <w:spacing w:after="0" w:line="214"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World Tours LLC</w:t>
      </w:r>
      <w:r>
        <w:rPr>
          <w:sz w:val="20"/>
          <w:szCs w:val="20"/>
          <w:color w:val="auto"/>
        </w:rPr>
        <w:tab/>
      </w:r>
      <w:r>
        <w:rPr>
          <w:rFonts w:ascii="Arial" w:cs="Arial" w:eastAsia="Arial" w:hAnsi="Arial"/>
          <w:sz w:val="7"/>
          <w:szCs w:val="7"/>
          <w:color w:val="auto"/>
        </w:rPr>
        <w:t>Consumer Services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(ay)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Preferred Equity (1,000,000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Worldwide Express Operations, LLC</w:t>
      </w:r>
      <w:r>
        <w:rPr>
          <w:sz w:val="20"/>
          <w:szCs w:val="20"/>
          <w:color w:val="auto"/>
        </w:rPr>
        <w:tab/>
      </w:r>
      <w:r>
        <w:rPr>
          <w:rFonts w:ascii="Arial" w:cs="Arial" w:eastAsia="Arial" w:hAnsi="Arial"/>
          <w:sz w:val="9"/>
          <w:szCs w:val="9"/>
          <w:color w:val="auto"/>
        </w:rPr>
        <w:t>Transportation services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(795,000 units) (j)</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(752,380 units) (h)(j)</w:t>
      </w:r>
    </w:p>
    <w:p>
      <w:pPr>
        <w:spacing w:after="0" w:line="200" w:lineRule="exact"/>
        <w:rPr>
          <w:sz w:val="20"/>
          <w:szCs w:val="20"/>
          <w:color w:val="auto"/>
        </w:rPr>
      </w:pPr>
    </w:p>
    <w:p>
      <w:pPr>
        <w:spacing w:after="0" w:line="205" w:lineRule="exact"/>
        <w:rPr>
          <w:sz w:val="20"/>
          <w:szCs w:val="20"/>
          <w:color w:val="auto"/>
        </w:rPr>
      </w:pPr>
    </w:p>
    <w:p>
      <w:pPr>
        <w:spacing w:after="0"/>
        <w:tabs>
          <w:tab w:leader="none" w:pos="2180" w:val="left"/>
        </w:tabs>
        <w:rPr>
          <w:sz w:val="20"/>
          <w:szCs w:val="20"/>
          <w:color w:val="auto"/>
        </w:rPr>
      </w:pPr>
      <w:r>
        <w:rPr>
          <w:rFonts w:ascii="Arial" w:cs="Arial" w:eastAsia="Arial" w:hAnsi="Arial"/>
          <w:sz w:val="10"/>
          <w:szCs w:val="10"/>
          <w:i w:val="1"/>
          <w:iCs w:val="1"/>
          <w:color w:val="auto"/>
        </w:rPr>
        <w:t>Zonkd, LLC</w:t>
      </w:r>
      <w:r>
        <w:rPr>
          <w:sz w:val="20"/>
          <w:szCs w:val="20"/>
          <w:color w:val="auto"/>
        </w:rPr>
        <w:tab/>
      </w:r>
      <w:r>
        <w:rPr>
          <w:rFonts w:ascii="Arial" w:cs="Arial" w:eastAsia="Arial" w:hAnsi="Arial"/>
          <w:sz w:val="9"/>
          <w:szCs w:val="9"/>
          <w:color w:val="auto"/>
        </w:rPr>
        <w:t>Component Manufacturing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0"/>
          <w:szCs w:val="10"/>
          <w:color w:val="auto"/>
        </w:rPr>
        <w:t>First Lien Debt (j)</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Equity (4,987 units) (h)(j)</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20"/>
                <w:szCs w:val="20"/>
                <w:color w:val="auto"/>
              </w:rPr>
            </w:pPr>
            <w:r>
              <w:rPr>
                <w:rFonts w:ascii="Arial" w:cs="Arial" w:eastAsia="Arial" w:hAnsi="Arial"/>
                <w:sz w:val="10"/>
                <w:szCs w:val="10"/>
                <w:color w:val="auto"/>
                <w:w w:val="95"/>
              </w:rPr>
              <w:t>(S + 7.00%) / (1.00%)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11.73%/0.00%</w:t>
            </w:r>
          </w:p>
        </w:tc>
        <w:tc>
          <w:tcPr>
            <w:tcW w:w="640" w:type="dxa"/>
            <w:vAlign w:val="bottom"/>
          </w:tcPr>
          <w:p>
            <w:pPr>
              <w:ind w:left="80"/>
              <w:spacing w:after="0"/>
              <w:rPr>
                <w:sz w:val="20"/>
                <w:szCs w:val="20"/>
                <w:color w:val="auto"/>
              </w:rPr>
            </w:pPr>
            <w:r>
              <w:rPr>
                <w:rFonts w:ascii="Arial" w:cs="Arial" w:eastAsia="Arial" w:hAnsi="Arial"/>
                <w:sz w:val="10"/>
                <w:szCs w:val="10"/>
                <w:color w:val="auto"/>
              </w:rPr>
              <w:t>2/10/2021</w:t>
            </w:r>
          </w:p>
        </w:tc>
        <w:tc>
          <w:tcPr>
            <w:tcW w:w="700" w:type="dxa"/>
            <w:vAlign w:val="bottom"/>
          </w:tcPr>
          <w:p>
            <w:pPr>
              <w:ind w:left="80"/>
              <w:spacing w:after="0"/>
              <w:rPr>
                <w:sz w:val="20"/>
                <w:szCs w:val="20"/>
                <w:color w:val="auto"/>
              </w:rPr>
            </w:pPr>
            <w:r>
              <w:rPr>
                <w:rFonts w:ascii="Arial" w:cs="Arial" w:eastAsia="Arial" w:hAnsi="Arial"/>
                <w:sz w:val="10"/>
                <w:szCs w:val="10"/>
                <w:color w:val="auto"/>
              </w:rPr>
              <w:t>3/31/2025</w:t>
            </w:r>
          </w:p>
        </w:tc>
        <w:tc>
          <w:tcPr>
            <w:tcW w:w="600" w:type="dxa"/>
            <w:vAlign w:val="bottom"/>
          </w:tcPr>
          <w:p>
            <w:pPr>
              <w:jc w:val="right"/>
              <w:ind w:right="190"/>
              <w:spacing w:after="0"/>
              <w:rPr>
                <w:sz w:val="20"/>
                <w:szCs w:val="20"/>
                <w:color w:val="auto"/>
              </w:rPr>
            </w:pPr>
            <w:r>
              <w:rPr>
                <w:rFonts w:ascii="Arial" w:cs="Arial" w:eastAsia="Arial" w:hAnsi="Arial"/>
                <w:sz w:val="10"/>
                <w:szCs w:val="10"/>
                <w:color w:val="auto"/>
              </w:rPr>
              <w:t>8,316</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8,315</w:t>
            </w:r>
          </w:p>
        </w:tc>
        <w:tc>
          <w:tcPr>
            <w:tcW w:w="420" w:type="dxa"/>
            <w:vAlign w:val="bottom"/>
          </w:tcPr>
          <w:p>
            <w:pPr>
              <w:jc w:val="right"/>
              <w:spacing w:after="0"/>
              <w:rPr>
                <w:sz w:val="20"/>
                <w:szCs w:val="20"/>
                <w:color w:val="auto"/>
              </w:rPr>
            </w:pPr>
            <w:r>
              <w:rPr>
                <w:rFonts w:ascii="Arial" w:cs="Arial" w:eastAsia="Arial" w:hAnsi="Arial"/>
                <w:sz w:val="10"/>
                <w:szCs w:val="10"/>
                <w:color w:val="auto"/>
              </w:rPr>
              <w:t>8,316</w:t>
            </w:r>
          </w:p>
        </w:tc>
      </w:tr>
      <w:tr>
        <w:trPr>
          <w:trHeight w:val="643"/>
        </w:trPr>
        <w:tc>
          <w:tcPr>
            <w:tcW w:w="940" w:type="dxa"/>
            <w:vAlign w:val="bottom"/>
          </w:tcPr>
          <w:p>
            <w:pPr>
              <w:spacing w:after="0"/>
              <w:rPr>
                <w:sz w:val="20"/>
                <w:szCs w:val="20"/>
                <w:color w:val="auto"/>
              </w:rPr>
            </w:pPr>
            <w:r>
              <w:rPr>
                <w:rFonts w:ascii="Arial" w:cs="Arial" w:eastAsia="Arial" w:hAnsi="Arial"/>
                <w:sz w:val="10"/>
                <w:szCs w:val="10"/>
                <w:color w:val="auto"/>
                <w:w w:val="95"/>
              </w:rPr>
              <w:t>(S + 6.50%) / (2.00%)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11.02%/0.00%</w:t>
            </w:r>
          </w:p>
        </w:tc>
        <w:tc>
          <w:tcPr>
            <w:tcW w:w="640" w:type="dxa"/>
            <w:vAlign w:val="bottom"/>
          </w:tcPr>
          <w:p>
            <w:pPr>
              <w:ind w:left="80"/>
              <w:spacing w:after="0"/>
              <w:rPr>
                <w:sz w:val="20"/>
                <w:szCs w:val="20"/>
                <w:color w:val="auto"/>
              </w:rPr>
            </w:pPr>
            <w:r>
              <w:rPr>
                <w:rFonts w:ascii="Arial" w:cs="Arial" w:eastAsia="Arial" w:hAnsi="Arial"/>
                <w:sz w:val="10"/>
                <w:szCs w:val="10"/>
                <w:color w:val="auto"/>
              </w:rPr>
              <w:t>11/13/2024</w:t>
            </w:r>
          </w:p>
        </w:tc>
        <w:tc>
          <w:tcPr>
            <w:tcW w:w="700" w:type="dxa"/>
            <w:vAlign w:val="bottom"/>
          </w:tcPr>
          <w:p>
            <w:pPr>
              <w:ind w:left="80"/>
              <w:spacing w:after="0"/>
              <w:rPr>
                <w:sz w:val="20"/>
                <w:szCs w:val="20"/>
                <w:color w:val="auto"/>
              </w:rPr>
            </w:pPr>
            <w:r>
              <w:rPr>
                <w:rFonts w:ascii="Arial" w:cs="Arial" w:eastAsia="Arial" w:hAnsi="Arial"/>
                <w:sz w:val="10"/>
                <w:szCs w:val="10"/>
                <w:color w:val="auto"/>
              </w:rPr>
              <w:t>11/13/2029</w:t>
            </w:r>
          </w:p>
        </w:tc>
        <w:tc>
          <w:tcPr>
            <w:tcW w:w="600" w:type="dxa"/>
            <w:vAlign w:val="bottom"/>
          </w:tcPr>
          <w:p>
            <w:pPr>
              <w:jc w:val="right"/>
              <w:ind w:right="190"/>
              <w:spacing w:after="0"/>
              <w:rPr>
                <w:sz w:val="20"/>
                <w:szCs w:val="20"/>
                <w:color w:val="auto"/>
              </w:rPr>
            </w:pPr>
            <w:r>
              <w:rPr>
                <w:rFonts w:ascii="Arial" w:cs="Arial" w:eastAsia="Arial" w:hAnsi="Arial"/>
                <w:sz w:val="10"/>
                <w:szCs w:val="10"/>
                <w:color w:val="auto"/>
              </w:rPr>
              <w:t>6,000</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5,956</w:t>
            </w:r>
          </w:p>
        </w:tc>
        <w:tc>
          <w:tcPr>
            <w:tcW w:w="420" w:type="dxa"/>
            <w:vAlign w:val="bottom"/>
          </w:tcPr>
          <w:p>
            <w:pPr>
              <w:jc w:val="right"/>
              <w:spacing w:after="0"/>
              <w:rPr>
                <w:sz w:val="20"/>
                <w:szCs w:val="20"/>
                <w:color w:val="auto"/>
              </w:rPr>
            </w:pPr>
            <w:r>
              <w:rPr>
                <w:rFonts w:ascii="Arial" w:cs="Arial" w:eastAsia="Arial" w:hAnsi="Arial"/>
                <w:sz w:val="10"/>
                <w:szCs w:val="10"/>
                <w:color w:val="auto"/>
              </w:rPr>
              <w:t>5,956</w:t>
            </w: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11/13/2024</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1,000</w:t>
            </w:r>
          </w:p>
        </w:tc>
        <w:tc>
          <w:tcPr>
            <w:tcW w:w="420" w:type="dxa"/>
            <w:vAlign w:val="bottom"/>
          </w:tcPr>
          <w:p>
            <w:pPr>
              <w:jc w:val="right"/>
              <w:spacing w:after="0"/>
              <w:rPr>
                <w:sz w:val="20"/>
                <w:szCs w:val="20"/>
                <w:color w:val="auto"/>
              </w:rPr>
            </w:pPr>
            <w:r>
              <w:rPr>
                <w:rFonts w:ascii="Arial" w:cs="Arial" w:eastAsia="Arial" w:hAnsi="Arial"/>
                <w:sz w:val="10"/>
                <w:szCs w:val="10"/>
                <w:color w:val="auto"/>
              </w:rPr>
              <w:t>1,000</w:t>
            </w: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6,956</w:t>
            </w:r>
          </w:p>
        </w:tc>
        <w:tc>
          <w:tcPr>
            <w:tcW w:w="420" w:type="dxa"/>
            <w:vAlign w:val="bottom"/>
          </w:tcPr>
          <w:p>
            <w:pPr>
              <w:jc w:val="right"/>
              <w:spacing w:after="0"/>
              <w:rPr>
                <w:sz w:val="20"/>
                <w:szCs w:val="20"/>
                <w:color w:val="auto"/>
              </w:rPr>
            </w:pPr>
            <w:r>
              <w:rPr>
                <w:rFonts w:ascii="Arial" w:cs="Arial" w:eastAsia="Arial" w:hAnsi="Arial"/>
                <w:sz w:val="10"/>
                <w:szCs w:val="10"/>
                <w:color w:val="auto"/>
              </w:rPr>
              <w:t>6,956</w:t>
            </w:r>
          </w:p>
        </w:tc>
      </w:tr>
      <w:tr>
        <w:trPr>
          <w:trHeight w:val="479"/>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7/21/2021</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795</w:t>
            </w:r>
          </w:p>
        </w:tc>
        <w:tc>
          <w:tcPr>
            <w:tcW w:w="420" w:type="dxa"/>
            <w:vAlign w:val="bottom"/>
          </w:tcPr>
          <w:p>
            <w:pPr>
              <w:jc w:val="right"/>
              <w:spacing w:after="0"/>
              <w:rPr>
                <w:sz w:val="20"/>
                <w:szCs w:val="20"/>
                <w:color w:val="auto"/>
              </w:rPr>
            </w:pPr>
            <w:r>
              <w:rPr>
                <w:rFonts w:ascii="Arial" w:cs="Arial" w:eastAsia="Arial" w:hAnsi="Arial"/>
                <w:sz w:val="10"/>
                <w:szCs w:val="10"/>
                <w:color w:val="auto"/>
              </w:rPr>
              <w:t>847</w:t>
            </w: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7/26/2021</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225</w:t>
            </w:r>
          </w:p>
        </w:tc>
        <w:tc>
          <w:tcPr>
            <w:tcW w:w="420" w:type="dxa"/>
            <w:vAlign w:val="bottom"/>
          </w:tcPr>
          <w:p>
            <w:pPr>
              <w:jc w:val="right"/>
              <w:spacing w:after="0"/>
              <w:rPr>
                <w:sz w:val="20"/>
                <w:szCs w:val="20"/>
                <w:color w:val="auto"/>
              </w:rPr>
            </w:pPr>
            <w:r>
              <w:rPr>
                <w:rFonts w:ascii="Arial" w:cs="Arial" w:eastAsia="Arial" w:hAnsi="Arial"/>
                <w:sz w:val="10"/>
                <w:szCs w:val="10"/>
                <w:color w:val="auto"/>
              </w:rPr>
              <w:t>658</w:t>
            </w:r>
          </w:p>
        </w:tc>
      </w:tr>
      <w:tr>
        <w:trPr>
          <w:trHeight w:val="31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1,020</w:t>
            </w:r>
          </w:p>
        </w:tc>
        <w:tc>
          <w:tcPr>
            <w:tcW w:w="420" w:type="dxa"/>
            <w:vAlign w:val="bottom"/>
          </w:tcPr>
          <w:p>
            <w:pPr>
              <w:jc w:val="right"/>
              <w:spacing w:after="0"/>
              <w:rPr>
                <w:sz w:val="20"/>
                <w:szCs w:val="20"/>
                <w:color w:val="auto"/>
              </w:rPr>
            </w:pPr>
            <w:r>
              <w:rPr>
                <w:rFonts w:ascii="Arial" w:cs="Arial" w:eastAsia="Arial" w:hAnsi="Arial"/>
                <w:sz w:val="10"/>
                <w:szCs w:val="10"/>
                <w:color w:val="auto"/>
              </w:rPr>
              <w:t>1,505</w:t>
            </w:r>
          </w:p>
        </w:tc>
      </w:tr>
      <w:tr>
        <w:trPr>
          <w:trHeight w:val="479"/>
        </w:trPr>
        <w:tc>
          <w:tcPr>
            <w:tcW w:w="940" w:type="dxa"/>
            <w:vAlign w:val="bottom"/>
          </w:tcPr>
          <w:p>
            <w:pPr>
              <w:spacing w:after="0"/>
              <w:rPr>
                <w:sz w:val="20"/>
                <w:szCs w:val="20"/>
                <w:color w:val="auto"/>
              </w:rPr>
            </w:pPr>
            <w:r>
              <w:rPr>
                <w:rFonts w:ascii="Arial" w:cs="Arial" w:eastAsia="Arial" w:hAnsi="Arial"/>
                <w:sz w:val="10"/>
                <w:szCs w:val="10"/>
                <w:color w:val="auto"/>
                <w:w w:val="95"/>
              </w:rPr>
              <w:t>(S + 9.00%) / (1.00%)</w:t>
            </w:r>
          </w:p>
        </w:tc>
        <w:tc>
          <w:tcPr>
            <w:tcW w:w="720" w:type="dxa"/>
            <w:vAlign w:val="bottom"/>
          </w:tcPr>
          <w:p>
            <w:pPr>
              <w:jc w:val="right"/>
              <w:ind w:right="30"/>
              <w:spacing w:after="0"/>
              <w:rPr>
                <w:sz w:val="20"/>
                <w:szCs w:val="20"/>
                <w:color w:val="auto"/>
              </w:rPr>
            </w:pPr>
            <w:r>
              <w:rPr>
                <w:rFonts w:ascii="Arial" w:cs="Arial" w:eastAsia="Arial" w:hAnsi="Arial"/>
                <w:sz w:val="10"/>
                <w:szCs w:val="10"/>
                <w:color w:val="auto"/>
                <w:w w:val="95"/>
              </w:rPr>
              <w:t>14.75%/0.00%</w:t>
            </w:r>
          </w:p>
        </w:tc>
        <w:tc>
          <w:tcPr>
            <w:tcW w:w="640" w:type="dxa"/>
            <w:vAlign w:val="bottom"/>
          </w:tcPr>
          <w:p>
            <w:pPr>
              <w:ind w:left="80"/>
              <w:spacing w:after="0"/>
              <w:rPr>
                <w:sz w:val="20"/>
                <w:szCs w:val="20"/>
                <w:color w:val="auto"/>
              </w:rPr>
            </w:pPr>
            <w:r>
              <w:rPr>
                <w:rFonts w:ascii="Arial" w:cs="Arial" w:eastAsia="Arial" w:hAnsi="Arial"/>
                <w:sz w:val="10"/>
                <w:szCs w:val="10"/>
                <w:color w:val="auto"/>
              </w:rPr>
              <w:t>3/18/2022</w:t>
            </w:r>
          </w:p>
        </w:tc>
        <w:tc>
          <w:tcPr>
            <w:tcW w:w="700" w:type="dxa"/>
            <w:vAlign w:val="bottom"/>
          </w:tcPr>
          <w:p>
            <w:pPr>
              <w:ind w:left="80"/>
              <w:spacing w:after="0"/>
              <w:rPr>
                <w:sz w:val="20"/>
                <w:szCs w:val="20"/>
                <w:color w:val="auto"/>
              </w:rPr>
            </w:pPr>
            <w:r>
              <w:rPr>
                <w:rFonts w:ascii="Arial" w:cs="Arial" w:eastAsia="Arial" w:hAnsi="Arial"/>
                <w:sz w:val="10"/>
                <w:szCs w:val="10"/>
                <w:color w:val="auto"/>
              </w:rPr>
              <w:t>3/18/2027</w:t>
            </w:r>
          </w:p>
        </w:tc>
        <w:tc>
          <w:tcPr>
            <w:tcW w:w="600" w:type="dxa"/>
            <w:vAlign w:val="bottom"/>
          </w:tcPr>
          <w:p>
            <w:pPr>
              <w:jc w:val="right"/>
              <w:ind w:right="190"/>
              <w:spacing w:after="0"/>
              <w:rPr>
                <w:sz w:val="20"/>
                <w:szCs w:val="20"/>
                <w:color w:val="auto"/>
              </w:rPr>
            </w:pPr>
            <w:r>
              <w:rPr>
                <w:rFonts w:ascii="Arial" w:cs="Arial" w:eastAsia="Arial" w:hAnsi="Arial"/>
                <w:sz w:val="10"/>
                <w:szCs w:val="10"/>
                <w:color w:val="auto"/>
              </w:rPr>
              <w:t>3,000</w:t>
            </w: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2,898</w:t>
            </w:r>
          </w:p>
        </w:tc>
        <w:tc>
          <w:tcPr>
            <w:tcW w:w="420" w:type="dxa"/>
            <w:vAlign w:val="bottom"/>
          </w:tcPr>
          <w:p>
            <w:pPr>
              <w:jc w:val="right"/>
              <w:spacing w:after="0"/>
              <w:rPr>
                <w:sz w:val="20"/>
                <w:szCs w:val="20"/>
                <w:color w:val="auto"/>
              </w:rPr>
            </w:pPr>
            <w:r>
              <w:rPr>
                <w:rFonts w:ascii="Arial" w:cs="Arial" w:eastAsia="Arial" w:hAnsi="Arial"/>
                <w:sz w:val="10"/>
                <w:szCs w:val="10"/>
                <w:color w:val="auto"/>
              </w:rPr>
              <w:t>3,000</w:t>
            </w:r>
          </w:p>
        </w:tc>
      </w:tr>
      <w:tr>
        <w:trPr>
          <w:trHeight w:val="324"/>
        </w:trPr>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0"/>
                <w:szCs w:val="10"/>
                <w:color w:val="auto"/>
              </w:rPr>
              <w:t>3/18/2022</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0"/>
                <w:szCs w:val="10"/>
                <w:color w:val="auto"/>
              </w:rPr>
              <w:t>169</w:t>
            </w:r>
          </w:p>
        </w:tc>
        <w:tc>
          <w:tcPr>
            <w:tcW w:w="420" w:type="dxa"/>
            <w:vAlign w:val="bottom"/>
          </w:tcPr>
          <w:p>
            <w:pPr>
              <w:jc w:val="right"/>
              <w:spacing w:after="0"/>
              <w:rPr>
                <w:sz w:val="20"/>
                <w:szCs w:val="20"/>
                <w:color w:val="auto"/>
              </w:rPr>
            </w:pPr>
            <w:r>
              <w:rPr>
                <w:rFonts w:ascii="Arial" w:cs="Arial" w:eastAsia="Arial" w:hAnsi="Arial"/>
                <w:sz w:val="10"/>
                <w:szCs w:val="10"/>
                <w:color w:val="auto"/>
              </w:rPr>
              <w:t>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-1889125</wp:posOffset>
            </wp:positionV>
            <wp:extent cx="5967730" cy="1041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-1179195</wp:posOffset>
            </wp:positionV>
            <wp:extent cx="5967730" cy="1041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-469900</wp:posOffset>
            </wp:positionV>
            <wp:extent cx="5967730" cy="1041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7730" cy="1041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-1584960</wp:posOffset>
            </wp:positionV>
            <wp:extent cx="5967730" cy="2057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-875030</wp:posOffset>
            </wp:positionV>
            <wp:extent cx="5967730" cy="2057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-165735</wp:posOffset>
            </wp:positionV>
            <wp:extent cx="5967730" cy="205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hanging="70"/>
        <w:spacing w:after="0"/>
        <w:tabs>
          <w:tab w:leader="none" w:pos="80" w:val="left"/>
        </w:tabs>
        <w:numPr>
          <w:ilvl w:val="0"/>
          <w:numId w:val="13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32" w:lineRule="exact"/>
        <w:rPr>
          <w:rFonts w:ascii="Arial" w:cs="Arial" w:eastAsia="Arial" w:hAnsi="Arial"/>
          <w:sz w:val="7"/>
          <w:szCs w:val="7"/>
          <w:color w:val="auto"/>
        </w:rPr>
      </w:pPr>
    </w:p>
    <w:p>
      <w:pPr>
        <w:ind w:left="80" w:hanging="70"/>
        <w:spacing w:after="0"/>
        <w:tabs>
          <w:tab w:leader="none" w:pos="80" w:val="left"/>
        </w:tabs>
        <w:numPr>
          <w:ilvl w:val="0"/>
          <w:numId w:val="133"/>
        </w:numPr>
        <w:rPr>
          <w:rFonts w:ascii="Arial" w:cs="Arial" w:eastAsia="Arial" w:hAnsi="Arial"/>
          <w:sz w:val="7"/>
          <w:szCs w:val="7"/>
          <w:color w:val="auto"/>
        </w:rPr>
      </w:pPr>
      <w:r>
        <w:rPr>
          <w:rFonts w:ascii="Arial" w:cs="Arial" w:eastAsia="Arial" w:hAnsi="Arial"/>
          <w:sz w:val="13"/>
          <w:szCs w:val="13"/>
          <w:color w:val="auto"/>
          <w:vertAlign w:val="subscript"/>
        </w:rPr>
        <w:t>%</w:t>
      </w: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200" w:lineRule="exact"/>
        <w:rPr>
          <w:rFonts w:ascii="Arial" w:cs="Arial" w:eastAsia="Arial" w:hAnsi="Arial"/>
          <w:sz w:val="7"/>
          <w:szCs w:val="7"/>
          <w:color w:val="auto"/>
        </w:rPr>
      </w:pPr>
    </w:p>
    <w:p>
      <w:pPr>
        <w:spacing w:after="0" w:line="36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8"/>
          <w:szCs w:val="8"/>
          <w:color w:val="auto"/>
        </w:rPr>
        <w:t xml:space="preserve">0 </w:t>
      </w:r>
      <w:r>
        <w:rPr>
          <w:rFonts w:ascii="Arial" w:cs="Arial" w:eastAsia="Arial" w:hAnsi="Arial"/>
          <w:sz w:val="15"/>
          <w:szCs w:val="15"/>
          <w:color w:val="auto"/>
          <w:vertAlign w:val="subscript"/>
        </w:rPr>
        <w:t>%</w:t>
      </w:r>
    </w:p>
    <w:p>
      <w:pPr>
        <w:spacing w:after="0" w:line="1032" w:lineRule="exact"/>
        <w:rPr>
          <w:sz w:val="20"/>
          <w:szCs w:val="20"/>
          <w:color w:val="auto"/>
        </w:rPr>
      </w:pPr>
    </w:p>
    <w:p>
      <w:pPr>
        <w:sectPr>
          <w:pgSz w:w="11900" w:h="16838" w:orient="portrait"/>
          <w:cols w:equalWidth="0" w:num="3">
            <w:col w:w="3280" w:space="700"/>
            <w:col w:w="4680" w:space="560"/>
            <w:col w:w="160"/>
          </w:cols>
          <w:pgMar w:left="1260" w:top="1184" w:right="1266"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380"/>
          </w:cols>
          <w:pgMar w:left="1260" w:top="1184" w:right="1266" w:bottom="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243"/>
        </w:trPr>
        <w:tc>
          <w:tcPr>
            <w:tcW w:w="4720" w:type="dxa"/>
            <w:vAlign w:val="bottom"/>
          </w:tcPr>
          <w:p>
            <w:pPr>
              <w:spacing w:after="0"/>
              <w:rPr>
                <w:sz w:val="21"/>
                <w:szCs w:val="21"/>
                <w:color w:val="auto"/>
              </w:rPr>
            </w:pPr>
          </w:p>
        </w:tc>
        <w:tc>
          <w:tcPr>
            <w:tcW w:w="3420" w:type="dxa"/>
            <w:vAlign w:val="bottom"/>
          </w:tcPr>
          <w:p>
            <w:pPr>
              <w:jc w:val="right"/>
              <w:ind w:right="50"/>
              <w:spacing w:after="0"/>
              <w:rPr>
                <w:sz w:val="20"/>
                <w:szCs w:val="20"/>
                <w:color w:val="auto"/>
              </w:rPr>
            </w:pPr>
            <w:r>
              <w:rPr>
                <w:rFonts w:ascii="Arial" w:cs="Arial" w:eastAsia="Arial" w:hAnsi="Arial"/>
                <w:sz w:val="10"/>
                <w:szCs w:val="10"/>
                <w:color w:val="auto"/>
              </w:rPr>
              <w:t>3,067</w:t>
            </w:r>
          </w:p>
        </w:tc>
        <w:tc>
          <w:tcPr>
            <w:tcW w:w="760" w:type="dxa"/>
            <w:vAlign w:val="bottom"/>
          </w:tcPr>
          <w:p>
            <w:pPr>
              <w:jc w:val="right"/>
              <w:ind w:right="190"/>
              <w:spacing w:after="0"/>
              <w:rPr>
                <w:sz w:val="20"/>
                <w:szCs w:val="20"/>
                <w:color w:val="auto"/>
              </w:rPr>
            </w:pPr>
            <w:r>
              <w:rPr>
                <w:rFonts w:ascii="Arial" w:cs="Arial" w:eastAsia="Arial" w:hAnsi="Arial"/>
                <w:sz w:val="10"/>
                <w:szCs w:val="10"/>
                <w:color w:val="auto"/>
              </w:rPr>
              <w:t>3,951</w:t>
            </w:r>
          </w:p>
        </w:tc>
        <w:tc>
          <w:tcPr>
            <w:tcW w:w="500" w:type="dxa"/>
            <w:vAlign w:val="bottom"/>
          </w:tcPr>
          <w:p>
            <w:pPr>
              <w:jc w:val="right"/>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9"/>
                <w:szCs w:val="19"/>
                <w:color w:val="auto"/>
                <w:vertAlign w:val="subscript"/>
              </w:rPr>
              <w:t>%</w:t>
            </w:r>
          </w:p>
        </w:tc>
      </w:tr>
      <w:tr>
        <w:trPr>
          <w:trHeight w:val="21"/>
        </w:trPr>
        <w:tc>
          <w:tcPr>
            <w:tcW w:w="4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4"/>
        </w:trPr>
        <w:tc>
          <w:tcPr>
            <w:tcW w:w="4720" w:type="dxa"/>
            <w:vAlign w:val="bottom"/>
            <w:shd w:val="clear" w:color="auto" w:fill="CFF0FC"/>
          </w:tcPr>
          <w:p>
            <w:pPr>
              <w:spacing w:after="0"/>
              <w:rPr>
                <w:sz w:val="15"/>
                <w:szCs w:val="15"/>
                <w:color w:val="auto"/>
              </w:rPr>
            </w:pPr>
          </w:p>
        </w:tc>
        <w:tc>
          <w:tcPr>
            <w:tcW w:w="34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r>
      <w:tr>
        <w:trPr>
          <w:trHeight w:val="338"/>
        </w:trPr>
        <w:tc>
          <w:tcPr>
            <w:tcW w:w="4720" w:type="dxa"/>
            <w:vAlign w:val="bottom"/>
          </w:tcPr>
          <w:p>
            <w:pPr>
              <w:spacing w:after="0"/>
              <w:rPr>
                <w:sz w:val="20"/>
                <w:szCs w:val="20"/>
                <w:color w:val="auto"/>
              </w:rPr>
            </w:pPr>
            <w:r>
              <w:rPr>
                <w:rFonts w:ascii="Arial" w:cs="Arial" w:eastAsia="Arial" w:hAnsi="Arial"/>
                <w:sz w:val="10"/>
                <w:szCs w:val="10"/>
                <w:b w:val="1"/>
                <w:bCs w:val="1"/>
                <w:color w:val="auto"/>
              </w:rPr>
              <w:t>Total Non-control/Non-affiliate Investments</w:t>
            </w:r>
          </w:p>
        </w:tc>
        <w:tc>
          <w:tcPr>
            <w:tcW w:w="3420" w:type="dxa"/>
            <w:vAlign w:val="bottom"/>
          </w:tcPr>
          <w:p>
            <w:pPr>
              <w:jc w:val="right"/>
              <w:ind w:right="50"/>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1,011,646</w:t>
            </w:r>
          </w:p>
        </w:tc>
        <w:tc>
          <w:tcPr>
            <w:tcW w:w="760" w:type="dxa"/>
            <w:vAlign w:val="bottom"/>
          </w:tcPr>
          <w:p>
            <w:pPr>
              <w:jc w:val="right"/>
              <w:ind w:right="190"/>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988,482</w:t>
            </w:r>
          </w:p>
        </w:tc>
        <w:tc>
          <w:tcPr>
            <w:tcW w:w="500" w:type="dxa"/>
            <w:vAlign w:val="bottom"/>
          </w:tcPr>
          <w:p>
            <w:pPr>
              <w:jc w:val="right"/>
              <w:spacing w:after="0"/>
              <w:rPr>
                <w:sz w:val="20"/>
                <w:szCs w:val="20"/>
                <w:color w:val="auto"/>
              </w:rPr>
            </w:pPr>
            <w:r>
              <w:rPr>
                <w:rFonts w:ascii="Arial" w:cs="Arial" w:eastAsia="Arial" w:hAnsi="Arial"/>
                <w:sz w:val="10"/>
                <w:szCs w:val="10"/>
                <w:color w:val="auto"/>
              </w:rPr>
              <w:t xml:space="preserve">151 </w:t>
            </w:r>
            <w:r>
              <w:rPr>
                <w:rFonts w:ascii="Arial" w:cs="Arial" w:eastAsia="Arial" w:hAnsi="Arial"/>
                <w:sz w:val="19"/>
                <w:szCs w:val="19"/>
                <w:color w:val="auto"/>
                <w:vertAlign w:val="subscript"/>
              </w:rPr>
              <w:t>%</w:t>
            </w:r>
          </w:p>
        </w:tc>
      </w:tr>
      <w:tr>
        <w:trPr>
          <w:trHeight w:val="21"/>
        </w:trPr>
        <w:tc>
          <w:tcPr>
            <w:tcW w:w="4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4"/>
        </w:trPr>
        <w:tc>
          <w:tcPr>
            <w:tcW w:w="4720" w:type="dxa"/>
            <w:vAlign w:val="bottom"/>
            <w:shd w:val="clear" w:color="auto" w:fill="CFF0FC"/>
          </w:tcPr>
          <w:p>
            <w:pPr>
              <w:spacing w:after="0"/>
              <w:rPr>
                <w:sz w:val="15"/>
                <w:szCs w:val="15"/>
                <w:color w:val="auto"/>
              </w:rPr>
            </w:pPr>
          </w:p>
        </w:tc>
        <w:tc>
          <w:tcPr>
            <w:tcW w:w="34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-344805</wp:posOffset>
            </wp:positionV>
            <wp:extent cx="77406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065" cy="635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-138430</wp:posOffset>
            </wp:positionV>
            <wp:extent cx="715010" cy="285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10" cy="28575"/>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-5715</wp:posOffset>
            </wp:positionV>
            <wp:extent cx="77406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065" cy="6350"/>
                    </a:xfrm>
                    <a:prstGeom prst="rect">
                      <a:avLst/>
                    </a:prstGeom>
                    <a:noFill/>
                  </pic:spPr>
                </pic:pic>
              </a:graphicData>
            </a:graphic>
          </wp:anchor>
        </w:drawing>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400"/>
          </w:cols>
          <w:pgMar w:left="1260" w:top="1184" w:right="1246" w:bottom="0" w:gutter="0" w:footer="0" w:header="0"/>
          <w:type w:val="continuous"/>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5553075</wp:posOffset>
            </wp:positionH>
            <wp:positionV relativeFrom="page">
              <wp:posOffset>1386840</wp:posOffset>
            </wp:positionV>
            <wp:extent cx="76136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0"/>
                <w:szCs w:val="20"/>
                <w:color w:val="auto"/>
              </w:rPr>
            </w:pPr>
            <w:r>
              <w:rPr>
                <w:rFonts w:ascii="Arial" w:cs="Arial" w:eastAsia="Arial" w:hAnsi="Arial"/>
                <w:sz w:val="10"/>
                <w:szCs w:val="10"/>
                <w:b w:val="1"/>
                <w:bCs w:val="1"/>
                <w:color w:val="auto"/>
              </w:rPr>
              <w:t>Total Investments</w:t>
            </w:r>
          </w:p>
        </w:tc>
        <w:tc>
          <w:tcPr>
            <w:tcW w:w="30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w w:val="89"/>
              </w:rPr>
              <w:t>1,075,157</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70"/>
              <w:spacing w:after="0"/>
              <w:rPr>
                <w:sz w:val="20"/>
                <w:szCs w:val="20"/>
                <w:color w:val="auto"/>
              </w:rPr>
            </w:pPr>
            <w:r>
              <w:rPr>
                <w:rFonts w:ascii="Arial" w:cs="Arial" w:eastAsia="Arial" w:hAnsi="Arial"/>
                <w:sz w:val="10"/>
                <w:szCs w:val="10"/>
                <w:color w:val="auto"/>
                <w:w w:val="94"/>
              </w:rPr>
              <w:t>1,090,506</w:t>
            </w:r>
          </w:p>
        </w:tc>
        <w:tc>
          <w:tcPr>
            <w:tcW w:w="500" w:type="dxa"/>
            <w:vAlign w:val="bottom"/>
          </w:tcPr>
          <w:p>
            <w:pPr>
              <w:jc w:val="right"/>
              <w:spacing w:after="0"/>
              <w:rPr>
                <w:sz w:val="20"/>
                <w:szCs w:val="20"/>
                <w:color w:val="auto"/>
              </w:rPr>
            </w:pPr>
            <w:r>
              <w:rPr>
                <w:rFonts w:ascii="Arial" w:cs="Arial" w:eastAsia="Arial" w:hAnsi="Arial"/>
                <w:sz w:val="10"/>
                <w:szCs w:val="10"/>
                <w:color w:val="auto"/>
              </w:rPr>
              <w:t xml:space="preserve">166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shd w:val="clear" w:color="auto" w:fill="CFF0FC"/>
          </w:tcPr>
          <w:p>
            <w:pPr>
              <w:spacing w:after="0"/>
              <w:rPr>
                <w:sz w:val="14"/>
                <w:szCs w:val="14"/>
                <w:color w:val="auto"/>
              </w:rPr>
            </w:pPr>
          </w:p>
        </w:tc>
        <w:tc>
          <w:tcPr>
            <w:tcW w:w="3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tcPr>
          <w:p>
            <w:pPr>
              <w:spacing w:after="0"/>
              <w:rPr>
                <w:sz w:val="20"/>
                <w:szCs w:val="20"/>
                <w:color w:val="auto"/>
              </w:rPr>
            </w:pPr>
            <w:r>
              <w:rPr>
                <w:rFonts w:ascii="Arial" w:cs="Arial" w:eastAsia="Arial" w:hAnsi="Arial"/>
                <w:sz w:val="10"/>
                <w:szCs w:val="10"/>
                <w:b w:val="1"/>
                <w:bCs w:val="1"/>
                <w:color w:val="auto"/>
              </w:rPr>
              <w:t>Money market funds (included in cash and cash</w:t>
            </w:r>
          </w:p>
        </w:tc>
        <w:tc>
          <w:tcPr>
            <w:tcW w:w="3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20"/>
                <w:szCs w:val="20"/>
                <w:color w:val="auto"/>
              </w:rPr>
            </w:pPr>
            <w:r>
              <w:rPr>
                <w:rFonts w:ascii="Arial" w:cs="Arial" w:eastAsia="Arial" w:hAnsi="Arial"/>
                <w:sz w:val="10"/>
                <w:szCs w:val="10"/>
                <w:b w:val="1"/>
                <w:bCs w:val="1"/>
                <w:color w:val="auto"/>
              </w:rPr>
              <w:t>equivalents)</w:t>
            </w:r>
          </w:p>
        </w:tc>
        <w:tc>
          <w:tcPr>
            <w:tcW w:w="3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80" w:type="dxa"/>
            <w:vAlign w:val="bottom"/>
            <w:shd w:val="clear" w:color="auto" w:fill="CFF0FC"/>
          </w:tcPr>
          <w:p>
            <w:pPr>
              <w:ind w:left="20"/>
              <w:spacing w:after="0"/>
              <w:rPr>
                <w:sz w:val="20"/>
                <w:szCs w:val="20"/>
                <w:color w:val="auto"/>
              </w:rPr>
            </w:pPr>
            <w:r>
              <w:rPr>
                <w:rFonts w:ascii="Arial" w:cs="Arial" w:eastAsia="Arial" w:hAnsi="Arial"/>
                <w:sz w:val="10"/>
                <w:szCs w:val="10"/>
                <w:color w:val="auto"/>
              </w:rPr>
              <w:t>Goldman Sachs Financial Square Treasury</w:t>
            </w:r>
          </w:p>
        </w:tc>
        <w:tc>
          <w:tcPr>
            <w:tcW w:w="3000" w:type="dxa"/>
            <w:vAlign w:val="bottom"/>
            <w:vMerge w:val="restart"/>
            <w:shd w:val="clear" w:color="auto" w:fill="CFF0FC"/>
          </w:tcPr>
          <w:p>
            <w:pPr>
              <w:jc w:val="right"/>
              <w:ind w:right="950"/>
              <w:spacing w:after="0"/>
              <w:rPr>
                <w:sz w:val="20"/>
                <w:szCs w:val="20"/>
                <w:color w:val="auto"/>
              </w:rPr>
            </w:pPr>
            <w:r>
              <w:rPr>
                <w:rFonts w:ascii="Arial" w:cs="Arial" w:eastAsia="Arial" w:hAnsi="Arial"/>
                <w:sz w:val="10"/>
                <w:szCs w:val="10"/>
                <w:color w:val="auto"/>
              </w:rPr>
              <w:t>4.40%/0.00%</w:t>
            </w:r>
          </w:p>
        </w:tc>
        <w:tc>
          <w:tcPr>
            <w:tcW w:w="1080" w:type="dxa"/>
            <w:vAlign w:val="bottom"/>
            <w:shd w:val="clear" w:color="auto" w:fill="CFF0FC"/>
          </w:tcPr>
          <w:p>
            <w:pPr>
              <w:spacing w:after="0"/>
              <w:rPr>
                <w:sz w:val="13"/>
                <w:szCs w:val="13"/>
                <w:color w:val="auto"/>
              </w:rPr>
            </w:pPr>
          </w:p>
        </w:tc>
        <w:tc>
          <w:tcPr>
            <w:tcW w:w="520" w:type="dxa"/>
            <w:vAlign w:val="bottom"/>
            <w:vMerge w:val="restart"/>
            <w:shd w:val="clear" w:color="auto" w:fill="CFF0FC"/>
          </w:tcPr>
          <w:p>
            <w:pPr>
              <w:jc w:val="right"/>
              <w:ind w:right="50"/>
              <w:spacing w:after="0"/>
              <w:rPr>
                <w:sz w:val="20"/>
                <w:szCs w:val="20"/>
                <w:color w:val="auto"/>
              </w:rPr>
            </w:pPr>
            <w:r>
              <w:rPr>
                <w:rFonts w:ascii="Arial" w:cs="Arial" w:eastAsia="Arial" w:hAnsi="Arial"/>
                <w:sz w:val="10"/>
                <w:szCs w:val="10"/>
                <w:color w:val="auto"/>
              </w:rPr>
              <w:t>48,715</w:t>
            </w:r>
          </w:p>
        </w:tc>
        <w:tc>
          <w:tcPr>
            <w:tcW w:w="16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170"/>
              <w:spacing w:after="0"/>
              <w:rPr>
                <w:sz w:val="20"/>
                <w:szCs w:val="20"/>
                <w:color w:val="auto"/>
              </w:rPr>
            </w:pPr>
            <w:r>
              <w:rPr>
                <w:rFonts w:ascii="Arial" w:cs="Arial" w:eastAsia="Arial" w:hAnsi="Arial"/>
                <w:sz w:val="10"/>
                <w:szCs w:val="10"/>
                <w:color w:val="auto"/>
              </w:rPr>
              <w:t>48,715</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 xml:space="preserve">8 </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50"/>
        </w:trPr>
        <w:tc>
          <w:tcPr>
            <w:tcW w:w="3480" w:type="dxa"/>
            <w:vAlign w:val="bottom"/>
            <w:shd w:val="clear" w:color="auto" w:fill="CFF0FC"/>
          </w:tcPr>
          <w:p>
            <w:pPr>
              <w:ind w:left="20"/>
              <w:spacing w:after="0"/>
              <w:rPr>
                <w:sz w:val="20"/>
                <w:szCs w:val="20"/>
                <w:color w:val="auto"/>
              </w:rPr>
            </w:pPr>
            <w:r>
              <w:rPr>
                <w:rFonts w:ascii="Arial" w:cs="Arial" w:eastAsia="Arial" w:hAnsi="Arial"/>
                <w:sz w:val="10"/>
                <w:szCs w:val="10"/>
                <w:color w:val="auto"/>
              </w:rPr>
              <w:t>Obligation Institution CUSIP (38141W323) (ad)</w:t>
            </w:r>
          </w:p>
        </w:tc>
        <w:tc>
          <w:tcPr>
            <w:tcW w:w="3000" w:type="dxa"/>
            <w:vAlign w:val="bottom"/>
            <w:vMerge w:val="continue"/>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5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66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8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-537845</wp:posOffset>
            </wp:positionV>
            <wp:extent cx="761365" cy="285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1365" cy="2857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-5715</wp:posOffset>
            </wp:positionV>
            <wp:extent cx="82042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Total money market funds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440" w:right="1246" w:bottom="0" w:gutter="0" w:footer="0" w:header="0"/>
          <w:type w:val="continuous"/>
        </w:sectPr>
      </w:pPr>
    </w:p>
    <w:bookmarkStart w:id="257" w:name="page258"/>
    <w:bookmarkEnd w:id="257"/>
    <w:p>
      <w:pPr>
        <w:spacing w:after="0" w:line="278"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48,715</w:t>
      </w:r>
    </w:p>
    <w:p>
      <w:pPr>
        <w:spacing w:after="0" w:line="3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48,715</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0"/>
          <w:szCs w:val="10"/>
          <w:b w:val="1"/>
          <w:bCs w:val="1"/>
          <w:color w:val="auto"/>
        </w:rPr>
        <w:t>Total Investments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1,123,872</w:t>
      </w:r>
    </w:p>
    <w:p>
      <w:pPr>
        <w:spacing w:after="0" w:line="3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1,139,221</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174</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0"/>
          <w:szCs w:val="10"/>
          <w:color w:val="auto"/>
        </w:rPr>
        <w:t>%</w:t>
      </w:r>
    </w:p>
    <w:p>
      <w:pPr>
        <w:spacing w:after="0" w:line="125" w:lineRule="exact"/>
        <w:rPr>
          <w:sz w:val="20"/>
          <w:szCs w:val="20"/>
          <w:color w:val="auto"/>
        </w:rPr>
      </w:pPr>
    </w:p>
    <w:p>
      <w:pPr>
        <w:ind w:left="166" w:hanging="166"/>
        <w:spacing w:after="0"/>
        <w:tabs>
          <w:tab w:leader="none" w:pos="16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See Note 3 to the consolidated financial statements for portfolio composition by geographic location.</w:t>
      </w:r>
    </w:p>
    <w:p>
      <w:pPr>
        <w:spacing w:after="0" w:line="169" w:lineRule="exact"/>
        <w:rPr>
          <w:rFonts w:ascii="Arial" w:cs="Arial" w:eastAsia="Arial" w:hAnsi="Arial"/>
          <w:sz w:val="12"/>
          <w:szCs w:val="12"/>
          <w:color w:val="auto"/>
        </w:rPr>
      </w:pPr>
    </w:p>
    <w:p>
      <w:pPr>
        <w:ind w:left="6" w:right="200" w:hanging="6"/>
        <w:spacing w:after="0" w:line="515" w:lineRule="auto"/>
        <w:tabs>
          <w:tab w:leader="none" w:pos="17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December 31, 2024, the Company held restricted securities with an aggregate fair value of $1,090,506, or 166% of the Company's net assets.</w:t>
      </w:r>
    </w:p>
    <w:p>
      <w:pPr>
        <w:spacing w:after="0" w:line="4" w:lineRule="exact"/>
        <w:rPr>
          <w:rFonts w:ascii="Arial" w:cs="Arial" w:eastAsia="Arial" w:hAnsi="Arial"/>
          <w:sz w:val="12"/>
          <w:szCs w:val="12"/>
          <w:color w:val="auto"/>
        </w:rPr>
      </w:pPr>
    </w:p>
    <w:p>
      <w:pPr>
        <w:ind w:left="166" w:hanging="166"/>
        <w:spacing w:after="0"/>
        <w:tabs>
          <w:tab w:leader="none" w:pos="16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All debt investments are income producing, unless otherwise indicated. Equity investments are non-income producing unless otherwise noted.</w:t>
      </w:r>
    </w:p>
    <w:p>
      <w:pPr>
        <w:spacing w:after="0" w:line="169" w:lineRule="exact"/>
        <w:rPr>
          <w:rFonts w:ascii="Arial" w:cs="Arial" w:eastAsia="Arial" w:hAnsi="Arial"/>
          <w:sz w:val="12"/>
          <w:szCs w:val="12"/>
          <w:color w:val="auto"/>
        </w:rPr>
      </w:pPr>
    </w:p>
    <w:p>
      <w:pPr>
        <w:jc w:val="both"/>
        <w:ind w:left="6" w:right="280" w:hanging="6"/>
        <w:spacing w:after="0" w:line="626" w:lineRule="auto"/>
        <w:tabs>
          <w:tab w:leader="none" w:pos="176" w:val="left"/>
        </w:tabs>
        <w:numPr>
          <w:ilvl w:val="0"/>
          <w:numId w:val="134"/>
        </w:numPr>
        <w:rPr>
          <w:rFonts w:ascii="Arial" w:cs="Arial" w:eastAsia="Arial" w:hAnsi="Arial"/>
          <w:sz w:val="10"/>
          <w:szCs w:val="10"/>
          <w:color w:val="auto"/>
        </w:rPr>
      </w:pPr>
      <w:r>
        <w:rPr>
          <w:rFonts w:ascii="Arial" w:cs="Arial" w:eastAsia="Arial" w:hAnsi="Arial"/>
          <w:sz w:val="10"/>
          <w:szCs w:val="10"/>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2024.</w:t>
      </w:r>
    </w:p>
    <w:p>
      <w:pPr>
        <w:ind w:left="6" w:right="260" w:hanging="6"/>
        <w:spacing w:after="0" w:line="509" w:lineRule="auto"/>
        <w:tabs>
          <w:tab w:leader="none" w:pos="169" w:val="left"/>
        </w:tabs>
        <w:numPr>
          <w:ilvl w:val="0"/>
          <w:numId w:val="134"/>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December 31, 2024. Generally, payment-in-kind interest can be paid-in-kind or all in cash.</w:t>
      </w:r>
    </w:p>
    <w:p>
      <w:pPr>
        <w:spacing w:after="0" w:line="7" w:lineRule="exact"/>
        <w:rPr>
          <w:rFonts w:ascii="Arial" w:cs="Arial" w:eastAsia="Arial" w:hAnsi="Arial"/>
          <w:sz w:val="12"/>
          <w:szCs w:val="12"/>
          <w:color w:val="auto"/>
        </w:rPr>
      </w:pPr>
    </w:p>
    <w:p>
      <w:pPr>
        <w:ind w:left="146" w:hanging="146"/>
        <w:spacing w:after="0"/>
        <w:tabs>
          <w:tab w:leader="none" w:pos="14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Investment date represents the date of the initial investment in the security.</w:t>
      </w:r>
    </w:p>
    <w:p>
      <w:pPr>
        <w:spacing w:after="0" w:line="169" w:lineRule="exact"/>
        <w:rPr>
          <w:rFonts w:ascii="Arial" w:cs="Arial" w:eastAsia="Arial" w:hAnsi="Arial"/>
          <w:sz w:val="12"/>
          <w:szCs w:val="12"/>
          <w:color w:val="auto"/>
        </w:rPr>
      </w:pPr>
    </w:p>
    <w:p>
      <w:pPr>
        <w:ind w:left="6" w:right="120" w:hanging="6"/>
        <w:spacing w:after="0" w:line="515" w:lineRule="auto"/>
        <w:tabs>
          <w:tab w:leader="none" w:pos="17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4" w:lineRule="exact"/>
        <w:rPr>
          <w:rFonts w:ascii="Arial" w:cs="Arial" w:eastAsia="Arial" w:hAnsi="Arial"/>
          <w:sz w:val="12"/>
          <w:szCs w:val="12"/>
          <w:color w:val="auto"/>
        </w:rPr>
      </w:pPr>
    </w:p>
    <w:p>
      <w:pPr>
        <w:ind w:left="166" w:hanging="166"/>
        <w:spacing w:after="0"/>
        <w:tabs>
          <w:tab w:leader="none" w:pos="16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Investment is held by a taxable subsidiary of the Company.</w:t>
      </w:r>
    </w:p>
    <w:p>
      <w:pPr>
        <w:spacing w:after="0" w:line="169" w:lineRule="exact"/>
        <w:rPr>
          <w:rFonts w:ascii="Arial" w:cs="Arial" w:eastAsia="Arial" w:hAnsi="Arial"/>
          <w:sz w:val="12"/>
          <w:szCs w:val="12"/>
          <w:color w:val="auto"/>
        </w:rPr>
      </w:pPr>
    </w:p>
    <w:p>
      <w:pPr>
        <w:ind w:left="6" w:right="200" w:hanging="6"/>
        <w:spacing w:after="0" w:line="509" w:lineRule="auto"/>
        <w:tabs>
          <w:tab w:leader="none" w:pos="15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2024. The Company is earning 0.50% interest on the unfunded balance of the commitment. The interest rate disclosed represents the rate which will be earned if the commitment is funded.</w:t>
      </w:r>
    </w:p>
    <w:p>
      <w:pPr>
        <w:spacing w:after="0" w:line="14" w:lineRule="exact"/>
        <w:rPr>
          <w:rFonts w:ascii="Arial" w:cs="Arial" w:eastAsia="Arial" w:hAnsi="Arial"/>
          <w:sz w:val="12"/>
          <w:szCs w:val="12"/>
          <w:color w:val="auto"/>
        </w:rPr>
      </w:pPr>
    </w:p>
    <w:p>
      <w:pPr>
        <w:ind w:left="6" w:right="80" w:hanging="6"/>
        <w:spacing w:after="0" w:line="569" w:lineRule="auto"/>
        <w:tabs>
          <w:tab w:leader="none" w:pos="15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Investment pledged as collateral for the Company's revolving credit facility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ind w:left="6" w:right="120" w:hanging="6"/>
        <w:spacing w:after="0" w:line="569" w:lineRule="auto"/>
        <w:tabs>
          <w:tab w:leader="none" w:pos="176" w:val="left"/>
        </w:tabs>
        <w:numPr>
          <w:ilvl w:val="0"/>
          <w:numId w:val="134"/>
        </w:numPr>
        <w:rPr>
          <w:rFonts w:ascii="Arial" w:cs="Arial" w:eastAsia="Arial" w:hAnsi="Arial"/>
          <w:sz w:val="11"/>
          <w:szCs w:val="11"/>
          <w:color w:val="auto"/>
        </w:rPr>
      </w:pPr>
      <w:r>
        <w:rPr>
          <w:rFonts w:ascii="Arial" w:cs="Arial" w:eastAsia="Arial" w:hAnsi="Arial"/>
          <w:sz w:val="11"/>
          <w:szCs w:val="11"/>
          <w:color w:val="auto"/>
        </w:rPr>
        <w:t>The portion of the investment not held by the SBIC Funds is pledged as collateral for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ind w:left="146" w:hanging="146"/>
        <w:spacing w:after="0"/>
        <w:tabs>
          <w:tab w:leader="none" w:pos="146"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As defined in the 1940 Act, the Company is deemed to be an “Affiliated Person” of this portfolio company because it owns</w:t>
      </w:r>
    </w:p>
    <w:p>
      <w:pPr>
        <w:spacing w:after="0" w:line="169" w:lineRule="exact"/>
        <w:rPr>
          <w:sz w:val="20"/>
          <w:szCs w:val="20"/>
          <w:color w:val="auto"/>
        </w:rPr>
      </w:pPr>
    </w:p>
    <w:p>
      <w:pPr>
        <w:ind w:left="6" w:right="100"/>
        <w:spacing w:after="0" w:line="509" w:lineRule="auto"/>
        <w:rPr>
          <w:sz w:val="20"/>
          <w:szCs w:val="20"/>
          <w:color w:val="auto"/>
        </w:rPr>
      </w:pPr>
      <w:r>
        <w:rPr>
          <w:rFonts w:ascii="Arial" w:cs="Arial" w:eastAsia="Arial" w:hAnsi="Arial"/>
          <w:sz w:val="12"/>
          <w:szCs w:val="12"/>
          <w:color w:val="auto"/>
        </w:rPr>
        <w:t>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5" w:lineRule="exact"/>
        <w:rPr>
          <w:sz w:val="20"/>
          <w:szCs w:val="20"/>
          <w:color w:val="auto"/>
        </w:rPr>
      </w:pPr>
    </w:p>
    <w:p>
      <w:pPr>
        <w:ind w:left="6" w:right="100" w:hanging="6"/>
        <w:spacing w:after="0" w:line="509" w:lineRule="auto"/>
        <w:tabs>
          <w:tab w:leader="none" w:pos="21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7" w:lineRule="exact"/>
        <w:rPr>
          <w:rFonts w:ascii="Arial" w:cs="Arial" w:eastAsia="Arial" w:hAnsi="Arial"/>
          <w:sz w:val="12"/>
          <w:szCs w:val="12"/>
          <w:color w:val="auto"/>
        </w:rPr>
      </w:pPr>
    </w:p>
    <w:p>
      <w:pPr>
        <w:ind w:left="166" w:hanging="166"/>
        <w:spacing w:after="0"/>
        <w:tabs>
          <w:tab w:leader="none" w:pos="166" w:val="left"/>
        </w:tabs>
        <w:numPr>
          <w:ilvl w:val="0"/>
          <w:numId w:val="135"/>
        </w:numPr>
        <w:rPr>
          <w:rFonts w:ascii="Arial" w:cs="Arial" w:eastAsia="Arial" w:hAnsi="Arial"/>
          <w:sz w:val="12"/>
          <w:szCs w:val="12"/>
          <w:color w:val="auto"/>
        </w:rPr>
      </w:pPr>
      <w:r>
        <w:rPr>
          <w:rFonts w:ascii="Arial" w:cs="Arial" w:eastAsia="Arial" w:hAnsi="Arial"/>
          <w:sz w:val="12"/>
          <w:szCs w:val="12"/>
          <w:color w:val="auto"/>
        </w:rPr>
        <w:t>Investment in portfolio company that has sold its operations and is in the process of winding down.</w:t>
      </w:r>
    </w:p>
    <w:p>
      <w:pPr>
        <w:spacing w:after="0" w:line="169" w:lineRule="exact"/>
        <w:rPr>
          <w:rFonts w:ascii="Arial" w:cs="Arial" w:eastAsia="Arial" w:hAnsi="Arial"/>
          <w:sz w:val="12"/>
          <w:szCs w:val="12"/>
          <w:color w:val="auto"/>
        </w:rPr>
      </w:pPr>
    </w:p>
    <w:p>
      <w:pPr>
        <w:jc w:val="both"/>
        <w:ind w:left="6" w:right="40" w:hanging="6"/>
        <w:spacing w:after="0" w:line="515" w:lineRule="auto"/>
        <w:tabs>
          <w:tab w:leader="none" w:pos="176"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24</w:t>
      </w:r>
    </w:p>
    <w:p>
      <w:pPr>
        <w:sectPr>
          <w:pgSz w:w="11900" w:h="16838" w:orient="portrait"/>
          <w:cols w:equalWidth="0" w:num="1">
            <w:col w:w="9406"/>
          </w:cols>
          <w:pgMar w:left="1254" w:top="1440" w:right="1246" w:bottom="0" w:gutter="0" w:footer="0" w:header="0"/>
          <w:type w:val="continuous"/>
        </w:sectPr>
      </w:pPr>
    </w:p>
    <w:bookmarkStart w:id="258" w:name="page259"/>
    <w:bookmarkEnd w:id="258"/>
    <w:p>
      <w:pPr>
        <w:ind w:left="166" w:hanging="166"/>
        <w:spacing w:after="0"/>
        <w:tabs>
          <w:tab w:leader="none" w:pos="166"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3.49%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166" w:hanging="166"/>
        <w:spacing w:after="0"/>
        <w:tabs>
          <w:tab w:leader="none" w:pos="166"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2.88%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6" w:right="140" w:hanging="6"/>
        <w:spacing w:after="0" w:line="515" w:lineRule="auto"/>
        <w:tabs>
          <w:tab w:leader="none" w:pos="156"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2.98%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140" w:hanging="6"/>
        <w:spacing w:after="0" w:line="515" w:lineRule="auto"/>
        <w:tabs>
          <w:tab w:leader="none" w:pos="16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1.34%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hanging="6"/>
        <w:spacing w:after="0" w:line="515" w:lineRule="auto"/>
        <w:tabs>
          <w:tab w:leader="none" w:pos="15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1" w:lineRule="exact"/>
        <w:rPr>
          <w:rFonts w:ascii="Arial" w:cs="Arial" w:eastAsia="Arial" w:hAnsi="Arial"/>
          <w:sz w:val="12"/>
          <w:szCs w:val="12"/>
          <w:color w:val="auto"/>
        </w:rPr>
      </w:pPr>
    </w:p>
    <w:p>
      <w:pPr>
        <w:ind w:left="166" w:hanging="166"/>
        <w:spacing w:after="0"/>
        <w:tabs>
          <w:tab w:leader="none" w:pos="166"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2.17%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166" w:hanging="166"/>
        <w:spacing w:after="0"/>
        <w:tabs>
          <w:tab w:leader="none" w:pos="166"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In addition to the interest earned based on the stated interest rate of this security, the Company is entitled to receive an additional interest amount of 1.14% on its “last out” tranche of the</w:t>
      </w:r>
    </w:p>
    <w:p>
      <w:pPr>
        <w:spacing w:after="0" w:line="173" w:lineRule="exact"/>
        <w:rPr>
          <w:rFonts w:ascii="Arial" w:cs="Arial" w:eastAsia="Arial" w:hAnsi="Arial"/>
          <w:sz w:val="11"/>
          <w:szCs w:val="11"/>
          <w:color w:val="auto"/>
        </w:rPr>
      </w:pPr>
    </w:p>
    <w:p>
      <w:pPr>
        <w:ind w:left="6" w:right="140"/>
        <w:spacing w:after="0" w:line="509" w:lineRule="auto"/>
        <w:rPr>
          <w:rFonts w:ascii="Arial" w:cs="Arial" w:eastAsia="Arial" w:hAnsi="Arial"/>
          <w:sz w:val="11"/>
          <w:szCs w:val="11"/>
          <w:color w:val="auto"/>
        </w:rPr>
      </w:pPr>
      <w:r>
        <w:rPr>
          <w:rFonts w:ascii="Arial" w:cs="Arial" w:eastAsia="Arial" w:hAnsi="Arial"/>
          <w:sz w:val="12"/>
          <w:szCs w:val="12"/>
          <w:color w:val="auto"/>
        </w:rPr>
        <w:t>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 w:lineRule="exact"/>
        <w:rPr>
          <w:rFonts w:ascii="Arial" w:cs="Arial" w:eastAsia="Arial" w:hAnsi="Arial"/>
          <w:sz w:val="11"/>
          <w:szCs w:val="11"/>
          <w:color w:val="auto"/>
        </w:rPr>
      </w:pPr>
    </w:p>
    <w:p>
      <w:pPr>
        <w:ind w:left="6" w:right="140" w:hanging="6"/>
        <w:spacing w:after="0" w:line="509" w:lineRule="auto"/>
        <w:tabs>
          <w:tab w:leader="none" w:pos="20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2024. The Company is earning 0.75% interest on the unfunded balance of the commitment. The interest rate disclosed represents the rate earned on the outstanding, funded balance of the commitment.</w:t>
      </w:r>
    </w:p>
    <w:p>
      <w:pPr>
        <w:spacing w:after="0" w:line="14" w:lineRule="exact"/>
        <w:rPr>
          <w:rFonts w:ascii="Arial" w:cs="Arial" w:eastAsia="Arial" w:hAnsi="Arial"/>
          <w:sz w:val="12"/>
          <w:szCs w:val="12"/>
          <w:color w:val="auto"/>
        </w:rPr>
      </w:pPr>
    </w:p>
    <w:p>
      <w:pPr>
        <w:ind w:left="6" w:right="160" w:hanging="6"/>
        <w:spacing w:after="0" w:line="509" w:lineRule="auto"/>
        <w:tabs>
          <w:tab w:leader="none" w:pos="176"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disclosed commitment represents the unfunded amount as of December 31, 2024. The Company is earning 1.00% interest on the unfunded balance of the commitment. The interest rate disclosed represents the rate earned on the outstanding, funded balance of the commitment.</w:t>
      </w:r>
    </w:p>
    <w:p>
      <w:pPr>
        <w:spacing w:after="0" w:line="7" w:lineRule="exact"/>
        <w:rPr>
          <w:rFonts w:ascii="Arial" w:cs="Arial" w:eastAsia="Arial" w:hAnsi="Arial"/>
          <w:sz w:val="12"/>
          <w:szCs w:val="12"/>
          <w:color w:val="auto"/>
        </w:rPr>
      </w:pPr>
    </w:p>
    <w:p>
      <w:pPr>
        <w:ind w:left="166" w:hanging="166"/>
        <w:spacing w:after="0"/>
        <w:tabs>
          <w:tab w:leader="none" w:pos="166"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Investment was on non-accrual status as of December 31, 2024.</w:t>
      </w:r>
    </w:p>
    <w:p>
      <w:pPr>
        <w:spacing w:after="0" w:line="169" w:lineRule="exact"/>
        <w:rPr>
          <w:rFonts w:ascii="Arial" w:cs="Arial" w:eastAsia="Arial" w:hAnsi="Arial"/>
          <w:sz w:val="12"/>
          <w:szCs w:val="12"/>
          <w:color w:val="auto"/>
        </w:rPr>
      </w:pPr>
    </w:p>
    <w:p>
      <w:pPr>
        <w:ind w:left="6" w:right="140" w:hanging="6"/>
        <w:spacing w:after="0" w:line="515" w:lineRule="auto"/>
        <w:tabs>
          <w:tab w:leader="none" w:pos="169"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4.28%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hanging="6"/>
        <w:spacing w:after="0" w:line="515" w:lineRule="auto"/>
        <w:tabs>
          <w:tab w:leader="none" w:pos="22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1" w:lineRule="exact"/>
        <w:rPr>
          <w:rFonts w:ascii="Arial" w:cs="Arial" w:eastAsia="Arial" w:hAnsi="Arial"/>
          <w:sz w:val="12"/>
          <w:szCs w:val="12"/>
          <w:color w:val="auto"/>
        </w:rPr>
      </w:pPr>
    </w:p>
    <w:p>
      <w:pPr>
        <w:ind w:left="6" w:right="140"/>
        <w:spacing w:after="0" w:line="515" w:lineRule="auto"/>
        <w:rPr>
          <w:rFonts w:ascii="Arial" w:cs="Arial" w:eastAsia="Arial" w:hAnsi="Arial"/>
          <w:sz w:val="12"/>
          <w:szCs w:val="12"/>
          <w:color w:val="auto"/>
        </w:rPr>
      </w:pPr>
      <w:r>
        <w:rPr>
          <w:rFonts w:ascii="Arial" w:cs="Arial" w:eastAsia="Arial" w:hAnsi="Arial"/>
          <w:sz w:val="12"/>
          <w:szCs w:val="12"/>
          <w:color w:val="auto"/>
        </w:rPr>
        <w:t>(ab) In addition to the interest earned based on the stated interest rate of this security, the Company is entitled to receive an additional interest amount of 5.25%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160"/>
        <w:spacing w:after="0" w:line="515" w:lineRule="auto"/>
        <w:rPr>
          <w:rFonts w:ascii="Arial" w:cs="Arial" w:eastAsia="Arial" w:hAnsi="Arial"/>
          <w:sz w:val="12"/>
          <w:szCs w:val="12"/>
          <w:color w:val="auto"/>
        </w:rPr>
      </w:pPr>
      <w:r>
        <w:rPr>
          <w:rFonts w:ascii="Arial" w:cs="Arial" w:eastAsia="Arial" w:hAnsi="Arial"/>
          <w:sz w:val="12"/>
          <w:szCs w:val="12"/>
          <w:color w:val="auto"/>
        </w:rPr>
        <w:t>(ac) In addition to the interest earned based on the stated interest rate of this security, the Company is entitled to receive an additional cash interest amount of 2.76% and PIK interest amount of 1.26%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4" w:lineRule="exact"/>
        <w:rPr>
          <w:rFonts w:ascii="Arial" w:cs="Arial" w:eastAsia="Arial" w:hAnsi="Arial"/>
          <w:sz w:val="12"/>
          <w:szCs w:val="12"/>
          <w:color w:val="auto"/>
        </w:rPr>
      </w:pPr>
    </w:p>
    <w:p>
      <w:pPr>
        <w:ind w:left="6"/>
        <w:spacing w:after="0"/>
        <w:rPr>
          <w:rFonts w:ascii="Arial" w:cs="Arial" w:eastAsia="Arial" w:hAnsi="Arial"/>
          <w:sz w:val="12"/>
          <w:szCs w:val="12"/>
          <w:color w:val="auto"/>
        </w:rPr>
      </w:pPr>
      <w:r>
        <w:rPr>
          <w:rFonts w:ascii="Arial" w:cs="Arial" w:eastAsia="Arial" w:hAnsi="Arial"/>
          <w:sz w:val="12"/>
          <w:szCs w:val="12"/>
          <w:color w:val="auto"/>
        </w:rPr>
        <w:t>(ad) This investment is classified as a Level 1 investment. For further detail on the fair value measurements, see Note 4 to the consolidated financial statements.</w:t>
      </w:r>
    </w:p>
    <w:p>
      <w:pPr>
        <w:spacing w:after="0" w:line="169" w:lineRule="exact"/>
        <w:rPr>
          <w:rFonts w:ascii="Arial" w:cs="Arial" w:eastAsia="Arial" w:hAnsi="Arial"/>
          <w:sz w:val="12"/>
          <w:szCs w:val="12"/>
          <w:color w:val="auto"/>
        </w:rPr>
      </w:pPr>
    </w:p>
    <w:p>
      <w:pPr>
        <w:ind w:left="6" w:right="140"/>
        <w:spacing w:after="0" w:line="515" w:lineRule="auto"/>
        <w:rPr>
          <w:rFonts w:ascii="Arial" w:cs="Arial" w:eastAsia="Arial" w:hAnsi="Arial"/>
          <w:sz w:val="12"/>
          <w:szCs w:val="12"/>
          <w:color w:val="auto"/>
        </w:rPr>
      </w:pPr>
      <w:r>
        <w:rPr>
          <w:rFonts w:ascii="Arial" w:cs="Arial" w:eastAsia="Arial" w:hAnsi="Arial"/>
          <w:sz w:val="12"/>
          <w:szCs w:val="12"/>
          <w:color w:val="auto"/>
        </w:rPr>
        <w:t>(ae) In addition to the interest earned based on the stated interest rate of this security, the Company is entitled to receive an additional interest amount of 1.52%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140"/>
        <w:spacing w:after="0" w:line="515" w:lineRule="auto"/>
        <w:rPr>
          <w:rFonts w:ascii="Arial" w:cs="Arial" w:eastAsia="Arial" w:hAnsi="Arial"/>
          <w:sz w:val="12"/>
          <w:szCs w:val="12"/>
          <w:color w:val="auto"/>
        </w:rPr>
      </w:pPr>
      <w:r>
        <w:rPr>
          <w:rFonts w:ascii="Arial" w:cs="Arial" w:eastAsia="Arial" w:hAnsi="Arial"/>
          <w:sz w:val="12"/>
          <w:szCs w:val="12"/>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 w:lineRule="exact"/>
        <w:rPr>
          <w:rFonts w:ascii="Arial" w:cs="Arial" w:eastAsia="Arial" w:hAnsi="Arial"/>
          <w:sz w:val="12"/>
          <w:szCs w:val="12"/>
          <w:color w:val="auto"/>
        </w:rPr>
      </w:pPr>
    </w:p>
    <w:p>
      <w:pPr>
        <w:ind w:left="6" w:right="140"/>
        <w:spacing w:after="0" w:line="515" w:lineRule="auto"/>
        <w:rPr>
          <w:rFonts w:ascii="Arial" w:cs="Arial" w:eastAsia="Arial" w:hAnsi="Arial"/>
          <w:sz w:val="12"/>
          <w:szCs w:val="12"/>
          <w:color w:val="auto"/>
        </w:rPr>
      </w:pPr>
      <w:r>
        <w:rPr>
          <w:rFonts w:ascii="Arial" w:cs="Arial" w:eastAsia="Arial" w:hAnsi="Arial"/>
          <w:sz w:val="12"/>
          <w:szCs w:val="12"/>
          <w:color w:val="auto"/>
        </w:rPr>
        <w:t>(ag) In addition to the interest earned based on the stated interest rate of this security, the Company is entitled to receive an additional interest amount of 3.92%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9386"/>
          </w:cols>
          <w:pgMar w:left="1254" w:top="1244" w:right="1266"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 / 24</w:t>
      </w:r>
    </w:p>
    <w:p>
      <w:pPr>
        <w:sectPr>
          <w:pgSz w:w="11900" w:h="16838" w:orient="portrait"/>
          <w:cols w:equalWidth="0" w:num="1">
            <w:col w:w="9386"/>
          </w:cols>
          <w:pgMar w:left="1254" w:top="1244" w:right="1266" w:bottom="0" w:gutter="0" w:footer="0" w:header="0"/>
          <w:type w:val="continuous"/>
        </w:sectPr>
      </w:pPr>
    </w:p>
    <w:bookmarkStart w:id="259" w:name="page260"/>
    <w:bookmarkEnd w:id="259"/>
    <w:p>
      <w:pPr>
        <w:ind w:right="140"/>
        <w:spacing w:after="0" w:line="515" w:lineRule="auto"/>
        <w:rPr>
          <w:sz w:val="20"/>
          <w:szCs w:val="20"/>
          <w:color w:val="auto"/>
        </w:rPr>
      </w:pPr>
      <w:r>
        <w:rPr>
          <w:rFonts w:ascii="Arial" w:cs="Arial" w:eastAsia="Arial" w:hAnsi="Arial"/>
          <w:sz w:val="12"/>
          <w:szCs w:val="12"/>
          <w:color w:val="auto"/>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(ai) 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(aj) 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(al) In addition to the interest earned based on the stated interest rate of this security, the Company is entitled to receive an additional interest amount of 4.08%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40"/>
        <w:spacing w:after="0" w:line="515" w:lineRule="auto"/>
        <w:rPr>
          <w:sz w:val="20"/>
          <w:szCs w:val="20"/>
          <w:color w:val="auto"/>
        </w:rPr>
      </w:pPr>
      <w:r>
        <w:rPr>
          <w:rFonts w:ascii="Arial" w:cs="Arial" w:eastAsia="Arial" w:hAnsi="Arial"/>
          <w:sz w:val="12"/>
          <w:szCs w:val="12"/>
          <w:color w:val="auto"/>
        </w:rPr>
        <w:t>(am) In addition to the interest earned based on the stated interest rate of this security, the Company is entitled to receive an additional interest amount of 2.85%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spacing w:after="0" w:line="480" w:lineRule="auto"/>
        <w:rPr>
          <w:sz w:val="20"/>
          <w:szCs w:val="20"/>
          <w:color w:val="auto"/>
        </w:rPr>
      </w:pPr>
      <w:r>
        <w:rPr>
          <w:rFonts w:ascii="Arial" w:cs="Arial" w:eastAsia="Arial" w:hAnsi="Arial"/>
          <w:sz w:val="12"/>
          <w:szCs w:val="12"/>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jc w:val="center"/>
        <w:spacing w:after="0" w:line="230" w:lineRule="auto"/>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24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24</w:t>
      </w:r>
    </w:p>
    <w:p>
      <w:pPr>
        <w:sectPr>
          <w:pgSz w:w="11900" w:h="16838" w:orient="portrait"/>
          <w:cols w:equalWidth="0" w:num="1">
            <w:col w:w="9380"/>
          </w:cols>
          <w:pgMar w:left="1260" w:top="1244" w:right="1266" w:bottom="0" w:gutter="0" w:footer="0" w:header="0"/>
          <w:type w:val="continuous"/>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515" w:lineRule="auto"/>
        <w:rPr>
          <w:sz w:val="20"/>
          <w:szCs w:val="20"/>
          <w:color w:val="auto"/>
        </w:rPr>
      </w:pPr>
      <w:r>
        <w:rPr>
          <w:rFonts w:ascii="Arial" w:cs="Arial" w:eastAsia="Arial" w:hAnsi="Arial"/>
          <w:sz w:val="12"/>
          <w:szCs w:val="12"/>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2024, total non-qualifying assets at fair value represented 1.08% of the Company's total assets calculated in accordance with the 1940 Act.</w:t>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color w:val="auto"/>
        </w:rPr>
        <w:t>(ap) In addition to the interest earned based on the stated interest rate of this security, the Company is entitled to receive an additional cash interest amount of 2.00% on its “last out” tranche of the</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portfolio company’s senior term debt, which was previously syndicated into “first out” and “last out” tranches, whereby the “first out” tranche will have priority as to the “last out” tranche with</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respect to payments of principal, interest and any other amounts due thereunder.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(aq) The headquarters of this portfolio company is located in Canada.</w:t>
      </w:r>
    </w:p>
    <w:p>
      <w:pPr>
        <w:spacing w:after="0" w:line="169"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(ar)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(as) 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(at) In addition to the interest earned based on the stated interest rate of this security, the Company is entitled to receive an additional interest amount of 2.56%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(au)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(av) In addition to the interest earned based on the stated interest rate of this security, the Company is entitled to receive an additional interest amount of 0.69%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(ax) 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(ay) In addition to the interest earned based on the stated interest rate of this security, the Company is entitled to receive an additional interest amount of 2.16%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2" w:lineRule="exact"/>
        <w:rPr>
          <w:sz w:val="20"/>
          <w:szCs w:val="20"/>
          <w:color w:val="auto"/>
        </w:rPr>
      </w:pPr>
    </w:p>
    <w:p>
      <w:pPr>
        <w:ind w:right="120"/>
        <w:spacing w:after="0" w:line="515" w:lineRule="auto"/>
        <w:rPr>
          <w:sz w:val="20"/>
          <w:szCs w:val="20"/>
          <w:color w:val="auto"/>
        </w:rPr>
      </w:pPr>
      <w:r>
        <w:rPr>
          <w:rFonts w:ascii="Arial" w:cs="Arial" w:eastAsia="Arial" w:hAnsi="Arial"/>
          <w:sz w:val="12"/>
          <w:szCs w:val="12"/>
          <w:color w:val="auto"/>
        </w:rPr>
        <w:t>(az) In addition to the interest earned based on the stated interest rate of this security, the Company is entitled to receive an additional interest amount of 2.41%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 / 24</w:t>
      </w:r>
    </w:p>
    <w:p>
      <w:pPr>
        <w:sectPr>
          <w:pgSz w:w="11900" w:h="16838" w:orient="portrait"/>
          <w:cols w:equalWidth="0" w:num="1">
            <w:col w:w="9360"/>
          </w:cols>
          <w:pgMar w:left="1260" w:top="1440" w:right="1286" w:bottom="0" w:gutter="0" w:footer="0" w:header="0"/>
          <w:type w:val="continuous"/>
        </w:sectPr>
      </w:pPr>
    </w:p>
    <w:bookmarkStart w:id="261" w:name="page262"/>
    <w:bookmarkEnd w:id="261"/>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Organization and Nature of Business</w:t>
      </w:r>
    </w:p>
    <w:p>
      <w:pPr>
        <w:spacing w:after="0" w:line="260" w:lineRule="exact"/>
        <w:rPr>
          <w:sz w:val="20"/>
          <w:szCs w:val="20"/>
          <w:color w:val="auto"/>
        </w:rPr>
      </w:pPr>
    </w:p>
    <w:p>
      <w:pPr>
        <w:jc w:val="both"/>
        <w:ind w:right="60" w:firstLine="400"/>
        <w:spacing w:after="0" w:line="311" w:lineRule="auto"/>
        <w:rPr>
          <w:sz w:val="20"/>
          <w:szCs w:val="20"/>
          <w:color w:val="auto"/>
        </w:rPr>
      </w:pPr>
      <w:r>
        <w:rPr>
          <w:rFonts w:ascii="Arial" w:cs="Arial" w:eastAsia="Arial" w:hAnsi="Arial"/>
          <w:sz w:val="20"/>
          <w:szCs w:val="20"/>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92" w:lineRule="exact"/>
        <w:rPr>
          <w:sz w:val="20"/>
          <w:szCs w:val="20"/>
          <w:color w:val="auto"/>
        </w:rPr>
      </w:pPr>
    </w:p>
    <w:p>
      <w:pPr>
        <w:jc w:val="both"/>
        <w:ind w:firstLine="400"/>
        <w:spacing w:after="0" w:line="349" w:lineRule="auto"/>
        <w:rPr>
          <w:sz w:val="20"/>
          <w:szCs w:val="20"/>
          <w:color w:val="auto"/>
        </w:rPr>
      </w:pPr>
      <w:r>
        <w:rPr>
          <w:rFonts w:ascii="Arial" w:cs="Arial" w:eastAsia="Arial" w:hAnsi="Arial"/>
          <w:sz w:val="18"/>
          <w:szCs w:val="18"/>
          <w:color w:val="auto"/>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and together with Fund III, the “SBIC Funds”). Each SBIC Fund is licensed by the U.S. Small Business Administration (the “SBA”) as a small business investment company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71" w:lineRule="exact"/>
        <w:rPr>
          <w:sz w:val="20"/>
          <w:szCs w:val="20"/>
          <w:color w:val="auto"/>
        </w:rPr>
      </w:pPr>
    </w:p>
    <w:p>
      <w:pPr>
        <w:jc w:val="both"/>
        <w:ind w:right="40" w:firstLine="400"/>
        <w:spacing w:after="0" w:line="351" w:lineRule="auto"/>
        <w:rPr>
          <w:sz w:val="20"/>
          <w:szCs w:val="20"/>
          <w:color w:val="auto"/>
        </w:rPr>
      </w:pPr>
      <w:r>
        <w:rPr>
          <w:rFonts w:ascii="Arial" w:cs="Arial" w:eastAsia="Arial" w:hAnsi="Arial"/>
          <w:sz w:val="18"/>
          <w:szCs w:val="18"/>
          <w:color w:val="auto"/>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spacing w:after="0" w:line="166" w:lineRule="exact"/>
        <w:rPr>
          <w:sz w:val="20"/>
          <w:szCs w:val="20"/>
          <w:color w:val="auto"/>
        </w:rPr>
      </w:pPr>
    </w:p>
    <w:p>
      <w:pPr>
        <w:jc w:val="both"/>
        <w:ind w:right="60" w:firstLine="400"/>
        <w:spacing w:after="0" w:line="302" w:lineRule="auto"/>
        <w:rPr>
          <w:sz w:val="20"/>
          <w:szCs w:val="20"/>
          <w:color w:val="auto"/>
        </w:rPr>
      </w:pPr>
      <w:r>
        <w:rPr>
          <w:rFonts w:ascii="Arial" w:cs="Arial" w:eastAsia="Arial" w:hAnsi="Arial"/>
          <w:sz w:val="20"/>
          <w:szCs w:val="20"/>
          <w:color w:val="auto"/>
        </w:rPr>
        <w:t>Fund III and Fund IV are not registered under the 1940 Act and rely on the exclusion from the definition of investment company contained in Section 3(c)(7) of the 1940 Act.</w:t>
      </w:r>
    </w:p>
    <w:p>
      <w:pPr>
        <w:spacing w:after="0" w:line="201" w:lineRule="exact"/>
        <w:rPr>
          <w:sz w:val="20"/>
          <w:szCs w:val="20"/>
          <w:color w:val="auto"/>
        </w:rPr>
      </w:pPr>
    </w:p>
    <w:p>
      <w:pPr>
        <w:jc w:val="both"/>
        <w:ind w:right="40" w:firstLine="400"/>
        <w:spacing w:after="0" w:line="307" w:lineRule="auto"/>
        <w:rPr>
          <w:sz w:val="20"/>
          <w:szCs w:val="20"/>
          <w:color w:val="auto"/>
        </w:rPr>
      </w:pPr>
      <w:r>
        <w:rPr>
          <w:rFonts w:ascii="Arial" w:cs="Arial" w:eastAsia="Arial" w:hAnsi="Arial"/>
          <w:sz w:val="20"/>
          <w:szCs w:val="20"/>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Significant Accounting Policies</w:t>
      </w:r>
    </w:p>
    <w:p>
      <w:pPr>
        <w:spacing w:after="0" w:line="250" w:lineRule="exact"/>
        <w:rPr>
          <w:sz w:val="20"/>
          <w:szCs w:val="20"/>
          <w:color w:val="auto"/>
        </w:rPr>
      </w:pPr>
    </w:p>
    <w:p>
      <w:pPr>
        <w:ind w:left="400"/>
        <w:spacing w:after="0"/>
        <w:tabs>
          <w:tab w:leader="none" w:pos="5020" w:val="left"/>
        </w:tabs>
        <w:rPr>
          <w:sz w:val="20"/>
          <w:szCs w:val="20"/>
          <w:color w:val="auto"/>
        </w:rPr>
      </w:pPr>
      <w:r>
        <w:rPr>
          <w:rFonts w:ascii="Arial" w:cs="Arial" w:eastAsia="Arial" w:hAnsi="Arial"/>
          <w:sz w:val="20"/>
          <w:szCs w:val="20"/>
          <w:i w:val="1"/>
          <w:iCs w:val="1"/>
          <w:color w:val="auto"/>
        </w:rPr>
        <w:t>Basis</w:t>
      </w:r>
      <w:r>
        <w:rPr>
          <w:sz w:val="20"/>
          <w:szCs w:val="20"/>
          <w:color w:val="auto"/>
        </w:rPr>
        <w:tab/>
      </w:r>
      <w:r>
        <w:rPr>
          <w:rFonts w:ascii="Arial" w:cs="Arial" w:eastAsia="Arial" w:hAnsi="Arial"/>
          <w:sz w:val="20"/>
          <w:szCs w:val="20"/>
          <w:i w:val="1"/>
          <w:iCs w:val="1"/>
          <w:color w:val="auto"/>
        </w:rPr>
        <w:t>of</w:t>
      </w:r>
    </w:p>
    <w:p>
      <w:pPr>
        <w:spacing w:after="0" w:line="8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i w:val="1"/>
          <w:iCs w:val="1"/>
          <w:color w:val="auto"/>
        </w:rPr>
        <w:t xml:space="preserve">presentation: </w:t>
      </w:r>
      <w:r>
        <w:rPr>
          <w:rFonts w:ascii="Arial" w:cs="Arial" w:eastAsia="Arial" w:hAnsi="Arial"/>
          <w:sz w:val="18"/>
          <w:szCs w:val="18"/>
          <w:color w:val="auto"/>
        </w:rPr>
        <w:t>The accompanying consolidated financial statements of the Company have been prepared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generally accepted accounting principles in the United States of America (“GAAP”) pursuant to the requirements for reporting on Form 10-K, Accounting Standards Codification (“ASC”) 946, </w:t>
      </w:r>
      <w:r>
        <w:rPr>
          <w:rFonts w:ascii="Arial" w:cs="Arial" w:eastAsia="Arial" w:hAnsi="Arial"/>
          <w:sz w:val="18"/>
          <w:szCs w:val="18"/>
          <w:i w:val="1"/>
          <w:iCs w:val="1"/>
          <w:color w:val="auto"/>
        </w:rPr>
        <w:t>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 and Articles 6 and 10 of Regulation S-X. In the opinion of management,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24</w:t>
      </w:r>
    </w:p>
    <w:p>
      <w:pPr>
        <w:sectPr>
          <w:pgSz w:w="11900" w:h="16838" w:orient="portrait"/>
          <w:cols w:equalWidth="0" w:num="1">
            <w:col w:w="9380"/>
          </w:cols>
          <w:pgMar w:left="1260" w:top="1440" w:right="1266" w:bottom="0" w:gutter="0" w:footer="0" w:header="0"/>
          <w:type w:val="continuous"/>
        </w:sectPr>
      </w:pPr>
    </w:p>
    <w:bookmarkStart w:id="262" w:name="page263"/>
    <w:bookmarkEnd w:id="262"/>
    <w:p>
      <w:pPr>
        <w:jc w:val="both"/>
        <w:ind w:right="20" w:firstLine="400"/>
        <w:spacing w:after="0" w:line="352"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GAAP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66" w:lineRule="exact"/>
        <w:rPr>
          <w:sz w:val="20"/>
          <w:szCs w:val="20"/>
          <w:color w:val="auto"/>
        </w:rPr>
      </w:pPr>
    </w:p>
    <w:p>
      <w:pPr>
        <w:jc w:val="both"/>
        <w:ind w:right="20" w:firstLine="400"/>
        <w:spacing w:after="0" w:line="310" w:lineRule="auto"/>
        <w:rPr>
          <w:sz w:val="20"/>
          <w:szCs w:val="20"/>
          <w:color w:val="auto"/>
        </w:rPr>
      </w:pPr>
      <w:r>
        <w:rPr>
          <w:rFonts w:ascii="Arial" w:cs="Arial" w:eastAsia="Arial" w:hAnsi="Arial"/>
          <w:sz w:val="20"/>
          <w:szCs w:val="20"/>
          <w:i w:val="1"/>
          <w:iCs w:val="1"/>
          <w:color w:val="auto"/>
        </w:rPr>
        <w:t xml:space="preserve">Consolidation: </w:t>
      </w:r>
      <w:r>
        <w:rPr>
          <w:rFonts w:ascii="Arial" w:cs="Arial" w:eastAsia="Arial" w:hAnsi="Arial"/>
          <w:sz w:val="20"/>
          <w:szCs w:val="20"/>
          <w:color w:val="auto"/>
        </w:rPr>
        <w:t>Pursuant to Article 6 of Regulation S-X and ASC 946, the Company will generally not</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spacing w:after="0" w:line="195" w:lineRule="exact"/>
        <w:rPr>
          <w:sz w:val="20"/>
          <w:szCs w:val="20"/>
          <w:color w:val="auto"/>
        </w:rPr>
      </w:pPr>
    </w:p>
    <w:p>
      <w:pPr>
        <w:jc w:val="both"/>
        <w:ind w:firstLine="400"/>
        <w:spacing w:after="0" w:line="302" w:lineRule="auto"/>
        <w:rPr>
          <w:sz w:val="20"/>
          <w:szCs w:val="20"/>
          <w:color w:val="auto"/>
        </w:rPr>
      </w:pPr>
      <w:r>
        <w:rPr>
          <w:rFonts w:ascii="Arial" w:cs="Arial" w:eastAsia="Arial" w:hAnsi="Arial"/>
          <w:sz w:val="20"/>
          <w:szCs w:val="20"/>
          <w:i w:val="1"/>
          <w:iCs w:val="1"/>
          <w:color w:val="auto"/>
        </w:rPr>
        <w:t xml:space="preserve">Investment risks: </w:t>
      </w:r>
      <w:r>
        <w:rPr>
          <w:rFonts w:ascii="Arial" w:cs="Arial" w:eastAsia="Arial" w:hAnsi="Arial"/>
          <w:sz w:val="20"/>
          <w:szCs w:val="20"/>
          <w:color w:val="auto"/>
        </w:rPr>
        <w:t>The Company’s investments are subject to a variety of risks. These risks may include, but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limited to the following:</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 / 24</w:t>
      </w:r>
    </w:p>
    <w:p>
      <w:pPr>
        <w:sectPr>
          <w:pgSz w:w="11900" w:h="16838" w:orient="portrait"/>
          <w:cols w:equalWidth="0" w:num="1">
            <w:col w:w="9340"/>
          </w:cols>
          <w:pgMar w:left="1260" w:top="1173" w:right="1306" w:bottom="0" w:gutter="0" w:footer="0" w:header="0"/>
          <w:type w:val="continuous"/>
        </w:sectPr>
      </w:pPr>
    </w:p>
    <w:bookmarkStart w:id="263" w:name="page264"/>
    <w:bookmarkEnd w:id="263"/>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303" w:lineRule="exact"/>
        <w:rPr>
          <w:sz w:val="20"/>
          <w:szCs w:val="20"/>
          <w:color w:val="auto"/>
        </w:rPr>
      </w:pPr>
    </w:p>
    <w:p>
      <w:pPr>
        <w:ind w:left="1020" w:hanging="312"/>
        <w:spacing w:after="0" w:line="342" w:lineRule="auto"/>
        <w:tabs>
          <w:tab w:leader="none" w:pos="1020" w:val="left"/>
        </w:tabs>
        <w:numPr>
          <w:ilvl w:val="0"/>
          <w:numId w:val="137"/>
        </w:numPr>
        <w:rPr>
          <w:rFonts w:ascii="Arial" w:cs="Arial" w:eastAsia="Arial" w:hAnsi="Arial"/>
          <w:sz w:val="22"/>
          <w:szCs w:val="22"/>
          <w:color w:val="auto"/>
        </w:rPr>
      </w:pPr>
      <w:r>
        <w:rPr>
          <w:rFonts w:ascii="Arial" w:cs="Arial" w:eastAsia="Arial" w:hAnsi="Arial"/>
          <w:sz w:val="18"/>
          <w:szCs w:val="18"/>
          <w:i w:val="1"/>
          <w:iCs w:val="1"/>
          <w:color w:val="auto"/>
        </w:rPr>
        <w:t xml:space="preserve">Market risk - </w:t>
      </w:r>
      <w:r>
        <w:rPr>
          <w:rFonts w:ascii="Arial" w:cs="Arial" w:eastAsia="Arial" w:hAnsi="Arial"/>
          <w:sz w:val="18"/>
          <w:szCs w:val="18"/>
          <w:color w:val="auto"/>
        </w:rPr>
        <w:t>In contrast to investment-grade bonds (the market prices of which change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75" w:lineRule="exact"/>
        <w:rPr>
          <w:rFonts w:ascii="Arial" w:cs="Arial" w:eastAsia="Arial" w:hAnsi="Arial"/>
          <w:sz w:val="22"/>
          <w:szCs w:val="22"/>
          <w:color w:val="auto"/>
        </w:rPr>
      </w:pPr>
    </w:p>
    <w:p>
      <w:pPr>
        <w:jc w:val="both"/>
        <w:ind w:left="1020" w:right="40" w:hanging="313"/>
        <w:spacing w:after="0" w:line="319" w:lineRule="auto"/>
        <w:tabs>
          <w:tab w:leader="none" w:pos="1020" w:val="left"/>
        </w:tabs>
        <w:numPr>
          <w:ilvl w:val="0"/>
          <w:numId w:val="137"/>
        </w:numPr>
        <w:rPr>
          <w:rFonts w:ascii="Arial" w:cs="Arial" w:eastAsia="Arial" w:hAnsi="Arial"/>
          <w:sz w:val="22"/>
          <w:szCs w:val="22"/>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of counterparties failing to perform pursuant to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93" w:lineRule="exact"/>
        <w:rPr>
          <w:rFonts w:ascii="Arial" w:cs="Arial" w:eastAsia="Arial" w:hAnsi="Arial"/>
          <w:sz w:val="22"/>
          <w:szCs w:val="22"/>
          <w:color w:val="auto"/>
        </w:rPr>
      </w:pPr>
    </w:p>
    <w:p>
      <w:pPr>
        <w:ind w:left="1020" w:right="60" w:hanging="313"/>
        <w:spacing w:after="0" w:line="254" w:lineRule="auto"/>
        <w:tabs>
          <w:tab w:leader="none" w:pos="1020" w:val="left"/>
        </w:tabs>
        <w:numPr>
          <w:ilvl w:val="0"/>
          <w:numId w:val="137"/>
        </w:numPr>
        <w:rPr>
          <w:rFonts w:ascii="Arial" w:cs="Arial" w:eastAsia="Arial" w:hAnsi="Arial"/>
          <w:sz w:val="24"/>
          <w:szCs w:val="24"/>
          <w:color w:val="auto"/>
        </w:rPr>
      </w:pPr>
      <w:r>
        <w:rPr>
          <w:rFonts w:ascii="Arial" w:cs="Arial" w:eastAsia="Arial" w:hAnsi="Arial"/>
          <w:sz w:val="20"/>
          <w:szCs w:val="20"/>
          <w:i w:val="1"/>
          <w:iCs w:val="1"/>
          <w:color w:val="auto"/>
        </w:rPr>
        <w:t xml:space="preserve">Liquidity risk - </w:t>
      </w:r>
      <w:r>
        <w:rPr>
          <w:rFonts w:ascii="Arial" w:cs="Arial" w:eastAsia="Arial" w:hAnsi="Arial"/>
          <w:sz w:val="20"/>
          <w:szCs w:val="20"/>
          <w:color w:val="auto"/>
        </w:rPr>
        <w:t>Liquidity risk represents the possibility that the Company may not be able to sell its</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investments quickly or at a reasonable price (given the lack of an established market).</w:t>
      </w:r>
    </w:p>
    <w:p>
      <w:pPr>
        <w:spacing w:after="0" w:line="197" w:lineRule="exact"/>
        <w:rPr>
          <w:sz w:val="20"/>
          <w:szCs w:val="20"/>
          <w:color w:val="auto"/>
        </w:rPr>
      </w:pPr>
    </w:p>
    <w:p>
      <w:pPr>
        <w:ind w:left="700"/>
        <w:spacing w:after="0"/>
        <w:tabs>
          <w:tab w:leader="none" w:pos="1000" w:val="left"/>
          <w:tab w:leader="none" w:pos="3380" w:val="left"/>
          <w:tab w:leader="none" w:pos="5460" w:val="left"/>
          <w:tab w:leader="none" w:pos="7540" w:val="left"/>
        </w:tabs>
        <w:rPr>
          <w:sz w:val="20"/>
          <w:szCs w:val="20"/>
          <w:color w:val="auto"/>
        </w:rPr>
      </w:pPr>
      <w:r>
        <w:rPr>
          <w:rFonts w:ascii="Arial" w:cs="Arial" w:eastAsia="Arial" w:hAnsi="Arial"/>
          <w:sz w:val="24"/>
          <w:szCs w:val="24"/>
          <w:color w:val="auto"/>
        </w:rPr>
        <w:t>•</w:t>
      </w:r>
      <w:r>
        <w:rPr>
          <w:sz w:val="20"/>
          <w:szCs w:val="20"/>
          <w:color w:val="auto"/>
        </w:rPr>
        <w:tab/>
      </w:r>
      <w:r>
        <w:rPr>
          <w:rFonts w:ascii="Arial" w:cs="Arial" w:eastAsia="Arial" w:hAnsi="Arial"/>
          <w:sz w:val="20"/>
          <w:szCs w:val="20"/>
          <w:i w:val="1"/>
          <w:iCs w:val="1"/>
          <w:color w:val="auto"/>
        </w:rPr>
        <w:t>Interest</w:t>
      </w:r>
      <w:r>
        <w:rPr>
          <w:sz w:val="20"/>
          <w:szCs w:val="20"/>
          <w:color w:val="auto"/>
        </w:rPr>
        <w:tab/>
      </w:r>
      <w:r>
        <w:rPr>
          <w:rFonts w:ascii="Arial" w:cs="Arial" w:eastAsia="Arial" w:hAnsi="Arial"/>
          <w:sz w:val="20"/>
          <w:szCs w:val="20"/>
          <w:i w:val="1"/>
          <w:iCs w:val="1"/>
          <w:color w:val="auto"/>
        </w:rPr>
        <w:t>rate</w:t>
      </w:r>
      <w:r>
        <w:rPr>
          <w:sz w:val="20"/>
          <w:szCs w:val="20"/>
          <w:color w:val="auto"/>
        </w:rPr>
        <w:tab/>
      </w:r>
      <w:r>
        <w:rPr>
          <w:rFonts w:ascii="Arial" w:cs="Arial" w:eastAsia="Arial" w:hAnsi="Arial"/>
          <w:sz w:val="20"/>
          <w:szCs w:val="20"/>
          <w:i w:val="1"/>
          <w:iCs w:val="1"/>
          <w:color w:val="auto"/>
        </w:rPr>
        <w:t>risk</w:t>
      </w:r>
      <w:r>
        <w:rPr>
          <w:sz w:val="20"/>
          <w:szCs w:val="20"/>
          <w:color w:val="auto"/>
        </w:rPr>
        <w:tab/>
      </w:r>
      <w:r>
        <w:rPr>
          <w:rFonts w:ascii="Arial" w:cs="Arial" w:eastAsia="Arial" w:hAnsi="Arial"/>
          <w:sz w:val="18"/>
          <w:szCs w:val="18"/>
          <w:i w:val="1"/>
          <w:iCs w:val="1"/>
          <w:color w:val="auto"/>
        </w:rPr>
        <w:t>-</w:t>
      </w:r>
    </w:p>
    <w:p>
      <w:pPr>
        <w:spacing w:after="0" w:line="72" w:lineRule="exact"/>
        <w:rPr>
          <w:sz w:val="20"/>
          <w:szCs w:val="20"/>
          <w:color w:val="auto"/>
        </w:rPr>
      </w:pPr>
    </w:p>
    <w:p>
      <w:pPr>
        <w:ind w:left="1020"/>
        <w:spacing w:after="0" w:line="302" w:lineRule="auto"/>
        <w:rPr>
          <w:sz w:val="20"/>
          <w:szCs w:val="20"/>
          <w:color w:val="auto"/>
        </w:rPr>
      </w:pPr>
      <w:r>
        <w:rPr>
          <w:rFonts w:ascii="Arial" w:cs="Arial" w:eastAsia="Arial" w:hAnsi="Arial"/>
          <w:sz w:val="20"/>
          <w:szCs w:val="20"/>
          <w:color w:val="auto"/>
        </w:rPr>
        <w:t>Interest rate risk represents the likelihood that a change in interest rates could have an adverse impact on the fair value of an interest-bearing financial instrument.</w:t>
      </w:r>
    </w:p>
    <w:p>
      <w:pPr>
        <w:spacing w:after="0" w:line="153" w:lineRule="exact"/>
        <w:rPr>
          <w:sz w:val="20"/>
          <w:szCs w:val="20"/>
          <w:color w:val="auto"/>
        </w:rPr>
      </w:pPr>
    </w:p>
    <w:p>
      <w:pPr>
        <w:ind w:left="700"/>
        <w:spacing w:after="0"/>
        <w:tabs>
          <w:tab w:leader="none" w:pos="1000" w:val="left"/>
          <w:tab w:leader="none" w:pos="4320" w:val="left"/>
          <w:tab w:leader="none" w:pos="6960" w:val="left"/>
        </w:tabs>
        <w:rPr>
          <w:sz w:val="20"/>
          <w:szCs w:val="20"/>
          <w:color w:val="auto"/>
        </w:rPr>
      </w:pPr>
      <w:r>
        <w:rPr>
          <w:rFonts w:ascii="Arial" w:cs="Arial" w:eastAsia="Arial" w:hAnsi="Arial"/>
          <w:sz w:val="24"/>
          <w:szCs w:val="24"/>
          <w:color w:val="auto"/>
        </w:rPr>
        <w:t>•</w:t>
      </w:r>
      <w:r>
        <w:rPr>
          <w:sz w:val="20"/>
          <w:szCs w:val="20"/>
          <w:color w:val="auto"/>
        </w:rPr>
        <w:tab/>
      </w:r>
      <w:r>
        <w:rPr>
          <w:rFonts w:ascii="Arial" w:cs="Arial" w:eastAsia="Arial" w:hAnsi="Arial"/>
          <w:sz w:val="20"/>
          <w:szCs w:val="20"/>
          <w:i w:val="1"/>
          <w:iCs w:val="1"/>
          <w:color w:val="auto"/>
        </w:rPr>
        <w:t>Prepayment</w:t>
      </w:r>
      <w:r>
        <w:rPr>
          <w:sz w:val="20"/>
          <w:szCs w:val="20"/>
          <w:color w:val="auto"/>
        </w:rPr>
        <w:tab/>
      </w:r>
      <w:r>
        <w:rPr>
          <w:rFonts w:ascii="Arial" w:cs="Arial" w:eastAsia="Arial" w:hAnsi="Arial"/>
          <w:sz w:val="20"/>
          <w:szCs w:val="20"/>
          <w:i w:val="1"/>
          <w:iCs w:val="1"/>
          <w:color w:val="auto"/>
        </w:rPr>
        <w:t>risk</w:t>
      </w:r>
      <w:r>
        <w:rPr>
          <w:sz w:val="20"/>
          <w:szCs w:val="20"/>
          <w:color w:val="auto"/>
        </w:rPr>
        <w:tab/>
      </w:r>
      <w:r>
        <w:rPr>
          <w:rFonts w:ascii="Arial" w:cs="Arial" w:eastAsia="Arial" w:hAnsi="Arial"/>
          <w:sz w:val="18"/>
          <w:szCs w:val="18"/>
          <w:i w:val="1"/>
          <w:iCs w:val="1"/>
          <w:color w:val="auto"/>
        </w:rPr>
        <w:t>-</w:t>
      </w:r>
    </w:p>
    <w:p>
      <w:pPr>
        <w:spacing w:after="0" w:line="72" w:lineRule="exact"/>
        <w:rPr>
          <w:sz w:val="20"/>
          <w:szCs w:val="20"/>
          <w:color w:val="auto"/>
        </w:rPr>
      </w:pPr>
    </w:p>
    <w:p>
      <w:pPr>
        <w:jc w:val="both"/>
        <w:ind w:left="1020" w:right="40"/>
        <w:spacing w:after="0" w:line="330" w:lineRule="auto"/>
        <w:rPr>
          <w:sz w:val="20"/>
          <w:szCs w:val="20"/>
          <w:color w:val="auto"/>
        </w:rPr>
      </w:pPr>
      <w:r>
        <w:rPr>
          <w:rFonts w:ascii="Arial" w:cs="Arial" w:eastAsia="Arial" w:hAnsi="Arial"/>
          <w:sz w:val="19"/>
          <w:szCs w:val="19"/>
          <w:color w:val="auto"/>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78" w:lineRule="exact"/>
        <w:rPr>
          <w:sz w:val="20"/>
          <w:szCs w:val="20"/>
          <w:color w:val="auto"/>
        </w:rPr>
      </w:pPr>
    </w:p>
    <w:p>
      <w:pPr>
        <w:jc w:val="both"/>
        <w:ind w:left="1020" w:right="60" w:hanging="313"/>
        <w:spacing w:after="0" w:line="290" w:lineRule="auto"/>
        <w:tabs>
          <w:tab w:leader="none" w:pos="1020" w:val="left"/>
        </w:tabs>
        <w:numPr>
          <w:ilvl w:val="0"/>
          <w:numId w:val="138"/>
        </w:numPr>
        <w:rPr>
          <w:rFonts w:ascii="Arial" w:cs="Arial" w:eastAsia="Arial" w:hAnsi="Arial"/>
          <w:sz w:val="24"/>
          <w:szCs w:val="24"/>
          <w:color w:val="auto"/>
        </w:rPr>
      </w:pPr>
      <w:r>
        <w:rPr>
          <w:rFonts w:ascii="Arial" w:cs="Arial" w:eastAsia="Arial" w:hAnsi="Arial"/>
          <w:sz w:val="20"/>
          <w:szCs w:val="20"/>
          <w:i w:val="1"/>
          <w:iCs w:val="1"/>
          <w:color w:val="auto"/>
        </w:rPr>
        <w:t xml:space="preserve">Off-Balance sheet risk - </w:t>
      </w:r>
      <w:r>
        <w:rPr>
          <w:rFonts w:ascii="Arial" w:cs="Arial" w:eastAsia="Arial" w:hAnsi="Arial"/>
          <w:sz w:val="20"/>
          <w:szCs w:val="20"/>
          <w:color w:val="auto"/>
        </w:rPr>
        <w:t>Some of the Company’s financial instruments contain off-balance sheet risk.</w:t>
      </w:r>
      <w:r>
        <w:rPr>
          <w:rFonts w:ascii="Arial" w:cs="Arial" w:eastAsia="Arial" w:hAnsi="Arial"/>
          <w:sz w:val="20"/>
          <w:szCs w:val="20"/>
          <w:i w:val="1"/>
          <w:iCs w:val="1"/>
          <w:color w:val="auto"/>
        </w:rPr>
        <w:t xml:space="preserve"> </w:t>
      </w:r>
      <w:r>
        <w:rPr>
          <w:rFonts w:ascii="Arial" w:cs="Arial" w:eastAsia="Arial" w:hAnsi="Arial"/>
          <w:sz w:val="20"/>
          <w:szCs w:val="20"/>
          <w:color w:val="auto"/>
        </w:rPr>
        <w:t>Generally, these financial instruments represent future commitments to purchase other financial instruments at defined terms at defined future dates. See Note 7. Commitments and Contingencies for further details.</w:t>
      </w:r>
    </w:p>
    <w:p>
      <w:pPr>
        <w:spacing w:after="0" w:line="169"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all of its financial instruments in accordance with ASC Topic 820 —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(“ASC Topic 820”). ASC Topic 820 defines fair value, establishes a framework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requires disclosures for fair value measurements, including the categorization of financial instruments into a three-level hierarchy based on the transparency of valuation inputs. See Note 4. Fair Value Measurements to the consolidated financial statements for further discussion regarding the fair value measurements and hierarchy.</w:t>
      </w:r>
    </w:p>
    <w:p>
      <w:pPr>
        <w:spacing w:after="0" w:line="169" w:lineRule="exact"/>
        <w:rPr>
          <w:sz w:val="20"/>
          <w:szCs w:val="20"/>
          <w:color w:val="auto"/>
        </w:rPr>
      </w:pPr>
    </w:p>
    <w:p>
      <w:pPr>
        <w:jc w:val="both"/>
        <w:ind w:right="40" w:firstLine="400"/>
        <w:spacing w:after="0" w:line="355"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1940 Act. Under the 1940 Act, “Control Investments” are defined as investments in companies where the Company owns more than 25% of the voting securities of such company or has rights to maintain greater than 50% of the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24</w:t>
      </w:r>
    </w:p>
    <w:p>
      <w:pPr>
        <w:sectPr>
          <w:pgSz w:w="11900" w:h="16838" w:orient="portrait"/>
          <w:cols w:equalWidth="0" w:num="1">
            <w:col w:w="9380"/>
          </w:cols>
          <w:pgMar w:left="1260" w:top="1440" w:right="1266" w:bottom="0" w:gutter="0" w:footer="0" w:header="0"/>
          <w:type w:val="continuous"/>
        </w:sectPr>
      </w:pPr>
    </w:p>
    <w:bookmarkStart w:id="264" w:name="page265"/>
    <w:bookmarkEnd w:id="264"/>
    <w:p>
      <w:pPr>
        <w:jc w:val="both"/>
        <w:ind w:right="20"/>
        <w:spacing w:after="0" w:line="330" w:lineRule="auto"/>
        <w:rPr>
          <w:sz w:val="20"/>
          <w:szCs w:val="20"/>
          <w:color w:val="auto"/>
        </w:rPr>
      </w:pPr>
      <w:r>
        <w:rPr>
          <w:rFonts w:ascii="Arial" w:cs="Arial" w:eastAsia="Arial" w:hAnsi="Arial"/>
          <w:sz w:val="19"/>
          <w:szCs w:val="19"/>
          <w:color w:val="auto"/>
        </w:rPr>
        <w:t>board representation. Under the 1940 Act, “Affiliate Investments” are defined as investments in companies where the Company owns between 5% and 25% of the voting securities of such company. “Non-Control/Non-Affiliate Investments” are those that neither qualify as Control Investments nor Affiliate Investments.</w:t>
      </w:r>
    </w:p>
    <w:p>
      <w:pPr>
        <w:spacing w:after="0" w:line="179" w:lineRule="exact"/>
        <w:rPr>
          <w:sz w:val="20"/>
          <w:szCs w:val="20"/>
          <w:color w:val="auto"/>
        </w:rPr>
      </w:pPr>
    </w:p>
    <w:p>
      <w:pPr>
        <w:jc w:val="both"/>
        <w:ind w:firstLine="400"/>
        <w:spacing w:after="0" w:line="34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is externally managed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determined that it has a single reporting segment and operating unit structure, which derives investment income from its portfolio investments. The chief operating decision maker (the “CODM”) assesses performance for the Company based on net investment income, net realized and unrealized gains (losses) from investments, and net increase (decrease) in net assets resulting from operations, which are reported on the consolidated statements of operations. The CODM also may assess the Company's performance by completing an industry benchmarking analysis using the metrics disclosed in Note 10. Financial Highlights. The CODM is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jc w:val="center"/>
        <w:ind w:right="-39"/>
        <w:spacing w:after="0" w:line="238" w:lineRule="auto"/>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24</w:t>
      </w:r>
    </w:p>
    <w:p>
      <w:pPr>
        <w:sectPr>
          <w:pgSz w:w="11900" w:h="16838" w:orient="portrait"/>
          <w:cols w:equalWidth="0" w:num="1">
            <w:col w:w="9340"/>
          </w:cols>
          <w:pgMar w:left="1260" w:top="1173" w:right="1306" w:bottom="0" w:gutter="0" w:footer="0" w:header="0"/>
          <w:type w:val="continuous"/>
        </w:sectPr>
      </w:pPr>
    </w:p>
    <w:bookmarkStart w:id="265" w:name="page266"/>
    <w:bookmarkEnd w:id="265"/>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50" w:lineRule="exact"/>
        <w:rPr>
          <w:sz w:val="20"/>
          <w:szCs w:val="20"/>
          <w:color w:val="auto"/>
        </w:rPr>
      </w:pPr>
    </w:p>
    <w:p>
      <w:pPr>
        <w:ind w:left="400"/>
        <w:spacing w:after="0"/>
        <w:tabs>
          <w:tab w:leader="none" w:pos="2260" w:val="left"/>
          <w:tab w:leader="none" w:pos="3720" w:val="left"/>
          <w:tab w:leader="none" w:pos="5100" w:val="left"/>
          <w:tab w:leader="none" w:pos="6540" w:val="left"/>
          <w:tab w:leader="none" w:pos="7920" w:val="left"/>
        </w:tabs>
        <w:rPr>
          <w:sz w:val="20"/>
          <w:szCs w:val="20"/>
          <w:color w:val="auto"/>
        </w:rPr>
      </w:pPr>
      <w:r>
        <w:rPr>
          <w:rFonts w:ascii="Arial" w:cs="Arial" w:eastAsia="Arial" w:hAnsi="Arial"/>
          <w:sz w:val="20"/>
          <w:szCs w:val="20"/>
          <w:i w:val="1"/>
          <w:iCs w:val="1"/>
          <w:color w:val="auto"/>
        </w:rPr>
        <w:t>Restricted</w:t>
      </w:r>
      <w:r>
        <w:rPr>
          <w:sz w:val="20"/>
          <w:szCs w:val="20"/>
          <w:color w:val="auto"/>
        </w:rPr>
        <w:tab/>
      </w:r>
      <w:r>
        <w:rPr>
          <w:rFonts w:ascii="Arial" w:cs="Arial" w:eastAsia="Arial" w:hAnsi="Arial"/>
          <w:sz w:val="20"/>
          <w:szCs w:val="20"/>
          <w:i w:val="1"/>
          <w:iCs w:val="1"/>
          <w:color w:val="auto"/>
        </w:rPr>
        <w:t>cash</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20"/>
          <w:szCs w:val="20"/>
          <w:i w:val="1"/>
          <w:iCs w:val="1"/>
          <w:color w:val="auto"/>
        </w:rPr>
        <w:t>cash</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17"/>
          <w:szCs w:val="17"/>
          <w:i w:val="1"/>
          <w:iCs w:val="1"/>
          <w:color w:val="auto"/>
        </w:rPr>
        <w:t>cash</w:t>
      </w:r>
    </w:p>
    <w:p>
      <w:pPr>
        <w:spacing w:after="0" w:line="8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i w:val="1"/>
          <w:iCs w:val="1"/>
          <w:color w:val="auto"/>
        </w:rPr>
        <w:t xml:space="preserve">equivalents: </w:t>
      </w:r>
      <w:r>
        <w:rPr>
          <w:rFonts w:ascii="Arial" w:cs="Arial" w:eastAsia="Arial" w:hAnsi="Arial"/>
          <w:sz w:val="20"/>
          <w:szCs w:val="20"/>
          <w:color w:val="auto"/>
        </w:rPr>
        <w:t>Cash and cash equivalents are highly liquid investments with an original maturity of three months or</w:t>
      </w:r>
      <w:r>
        <w:rPr>
          <w:rFonts w:ascii="Arial" w:cs="Arial" w:eastAsia="Arial" w:hAnsi="Arial"/>
          <w:sz w:val="20"/>
          <w:szCs w:val="20"/>
          <w:i w:val="1"/>
          <w:iCs w:val="1"/>
          <w:color w:val="auto"/>
        </w:rPr>
        <w:t xml:space="preserve"> </w:t>
      </w:r>
      <w:r>
        <w:rPr>
          <w:rFonts w:ascii="Arial" w:cs="Arial" w:eastAsia="Arial" w:hAnsi="Arial"/>
          <w:sz w:val="20"/>
          <w:szCs w:val="20"/>
          <w:color w:val="auto"/>
        </w:rPr>
        <w:t>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 Restricted cash includes amounts that are collected and are held by a trustee who has been appointed as custodian of the assets securing the Company’s line of credit. Restricted cash is held by the trustee for payment of interest expense and principal on the outstanding borrowings or reinvestment into new assets.</w:t>
      </w:r>
    </w:p>
    <w:p>
      <w:pPr>
        <w:spacing w:after="0" w:line="194" w:lineRule="exact"/>
        <w:rPr>
          <w:sz w:val="20"/>
          <w:szCs w:val="20"/>
          <w:color w:val="auto"/>
        </w:rPr>
      </w:pPr>
    </w:p>
    <w:p>
      <w:pPr>
        <w:jc w:val="both"/>
        <w:ind w:right="60" w:firstLine="400"/>
        <w:spacing w:after="0" w:line="330" w:lineRule="auto"/>
        <w:rPr>
          <w:sz w:val="20"/>
          <w:szCs w:val="20"/>
          <w:color w:val="auto"/>
        </w:rPr>
      </w:pPr>
      <w:r>
        <w:rPr>
          <w:rFonts w:ascii="Arial" w:cs="Arial" w:eastAsia="Arial" w:hAnsi="Arial"/>
          <w:sz w:val="19"/>
          <w:szCs w:val="19"/>
          <w:i w:val="1"/>
          <w:iCs w:val="1"/>
          <w:color w:val="auto"/>
        </w:rPr>
        <w:t xml:space="preserve">Deferred financing costs: </w:t>
      </w:r>
      <w:r>
        <w:rPr>
          <w:rFonts w:ascii="Arial" w:cs="Arial" w:eastAsia="Arial" w:hAnsi="Arial"/>
          <w:sz w:val="19"/>
          <w:szCs w:val="19"/>
          <w:color w:val="auto"/>
        </w:rPr>
        <w:t>Deferred financing costs consist of fees and expenses paid in connection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SBA debentures, the credit facilities and the unsecured notes (each as described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78" w:lineRule="exact"/>
        <w:rPr>
          <w:sz w:val="20"/>
          <w:szCs w:val="20"/>
          <w:color w:val="auto"/>
        </w:rPr>
      </w:pPr>
    </w:p>
    <w:p>
      <w:pPr>
        <w:jc w:val="both"/>
        <w:ind w:right="60" w:firstLine="400"/>
        <w:spacing w:after="0" w:line="309" w:lineRule="auto"/>
        <w:rPr>
          <w:sz w:val="20"/>
          <w:szCs w:val="20"/>
          <w:color w:val="auto"/>
        </w:rPr>
      </w:pPr>
      <w:r>
        <w:rPr>
          <w:rFonts w:ascii="Arial" w:cs="Arial" w:eastAsia="Arial" w:hAnsi="Arial"/>
          <w:sz w:val="20"/>
          <w:szCs w:val="20"/>
          <w:i w:val="1"/>
          <w:iCs w:val="1"/>
          <w:color w:val="auto"/>
        </w:rPr>
        <w:t xml:space="preserve">Realized losses on extinguishment of debt: </w:t>
      </w:r>
      <w:r>
        <w:rPr>
          <w:rFonts w:ascii="Arial" w:cs="Arial" w:eastAsia="Arial" w:hAnsi="Arial"/>
          <w:sz w:val="20"/>
          <w:szCs w:val="20"/>
          <w:color w:val="auto"/>
        </w:rPr>
        <w:t>Upon the repayment of debt obligations which are deemed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spacing w:after="0" w:line="196" w:lineRule="exact"/>
        <w:rPr>
          <w:sz w:val="20"/>
          <w:szCs w:val="20"/>
          <w:color w:val="auto"/>
        </w:rPr>
      </w:pPr>
    </w:p>
    <w:p>
      <w:pPr>
        <w:jc w:val="both"/>
        <w:ind w:right="60" w:firstLine="400"/>
        <w:spacing w:after="0" w:line="350"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the shelf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67"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i w:val="1"/>
          <w:iCs w:val="1"/>
          <w:color w:val="auto"/>
        </w:rPr>
        <w:t xml:space="preserve">Realized gains or losses and unrealized appreciation or depreciation on investments: </w:t>
      </w:r>
      <w:r>
        <w:rPr>
          <w:rFonts w:ascii="Arial" w:cs="Arial" w:eastAsia="Arial" w:hAnsi="Arial"/>
          <w:sz w:val="19"/>
          <w:szCs w:val="19"/>
          <w:color w:val="auto"/>
        </w:rPr>
        <w:t>Realized gains or losses</w:t>
      </w:r>
      <w:r>
        <w:rPr>
          <w:rFonts w:ascii="Arial" w:cs="Arial" w:eastAsia="Arial" w:hAnsi="Arial"/>
          <w:sz w:val="19"/>
          <w:szCs w:val="19"/>
          <w:i w:val="1"/>
          <w:iCs w:val="1"/>
          <w:color w:val="auto"/>
        </w:rPr>
        <w:t xml:space="preserve"> </w:t>
      </w:r>
      <w:r>
        <w:rPr>
          <w:rFonts w:ascii="Arial" w:cs="Arial" w:eastAsia="Arial" w:hAnsi="Arial"/>
          <w:sz w:val="19"/>
          <w:szCs w:val="19"/>
          <w:color w:val="auto"/>
        </w:rPr>
        <w:t>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84" w:lineRule="exact"/>
        <w:rPr>
          <w:sz w:val="20"/>
          <w:szCs w:val="20"/>
          <w:color w:val="auto"/>
        </w:rPr>
      </w:pPr>
    </w:p>
    <w:p>
      <w:pPr>
        <w:jc w:val="both"/>
        <w:ind w:right="60" w:firstLine="400"/>
        <w:spacing w:after="0" w:line="351" w:lineRule="auto"/>
        <w:rPr>
          <w:sz w:val="20"/>
          <w:szCs w:val="20"/>
          <w:color w:val="auto"/>
        </w:rPr>
      </w:pPr>
      <w:r>
        <w:rPr>
          <w:rFonts w:ascii="Arial" w:cs="Arial" w:eastAsia="Arial" w:hAnsi="Arial"/>
          <w:sz w:val="18"/>
          <w:szCs w:val="18"/>
          <w:i w:val="1"/>
          <w:iCs w:val="1"/>
          <w:color w:val="auto"/>
        </w:rPr>
        <w:t xml:space="preserve">Interest and dividend income: </w:t>
      </w:r>
      <w:r>
        <w:rPr>
          <w:rFonts w:ascii="Arial" w:cs="Arial" w:eastAsia="Arial" w:hAnsi="Arial"/>
          <w:sz w:val="18"/>
          <w:szCs w:val="18"/>
          <w:color w:val="auto"/>
        </w:rPr>
        <w:t>Interest and dividend income are recorded on the accrual basis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24</w:t>
      </w:r>
    </w:p>
    <w:p>
      <w:pPr>
        <w:sectPr>
          <w:pgSz w:w="11900" w:h="16838" w:orient="portrait"/>
          <w:cols w:equalWidth="0" w:num="1">
            <w:col w:w="9400"/>
          </w:cols>
          <w:pgMar w:left="1260" w:top="1440" w:right="1246" w:bottom="0" w:gutter="0" w:footer="0" w:header="0"/>
          <w:type w:val="continuous"/>
        </w:sectPr>
      </w:pPr>
    </w:p>
    <w:bookmarkStart w:id="266" w:name="page267"/>
    <w:bookmarkEnd w:id="266"/>
    <w:p>
      <w:pPr>
        <w:jc w:val="both"/>
        <w:ind w:right="60"/>
        <w:spacing w:after="0" w:line="307" w:lineRule="auto"/>
        <w:rPr>
          <w:sz w:val="20"/>
          <w:szCs w:val="20"/>
          <w:color w:val="auto"/>
        </w:rPr>
      </w:pPr>
      <w:r>
        <w:rPr>
          <w:rFonts w:ascii="Arial" w:cs="Arial" w:eastAsia="Arial" w:hAnsi="Arial"/>
          <w:sz w:val="20"/>
          <w:szCs w:val="20"/>
          <w:color w:val="auto"/>
        </w:rPr>
        <w:t>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97" w:lineRule="exact"/>
        <w:rPr>
          <w:sz w:val="20"/>
          <w:szCs w:val="20"/>
          <w:color w:val="auto"/>
        </w:rPr>
      </w:pPr>
    </w:p>
    <w:p>
      <w:pPr>
        <w:ind w:right="20" w:firstLine="400"/>
        <w:spacing w:after="0" w:line="329" w:lineRule="auto"/>
        <w:rPr>
          <w:sz w:val="20"/>
          <w:szCs w:val="20"/>
          <w:color w:val="auto"/>
        </w:rPr>
      </w:pPr>
      <w:r>
        <w:rPr>
          <w:rFonts w:ascii="Arial" w:cs="Arial" w:eastAsia="Arial" w:hAnsi="Arial"/>
          <w:sz w:val="19"/>
          <w:szCs w:val="19"/>
          <w:i w:val="1"/>
          <w:iCs w:val="1"/>
          <w:color w:val="auto"/>
        </w:rPr>
        <w:t xml:space="preserve">PIK income: </w:t>
      </w:r>
      <w:r>
        <w:rPr>
          <w:rFonts w:ascii="Arial" w:cs="Arial" w:eastAsia="Arial" w:hAnsi="Arial"/>
          <w:sz w:val="19"/>
          <w:szCs w:val="19"/>
          <w:color w:val="auto"/>
        </w:rPr>
        <w:t>Certain of the Company’s investments contain a payment-in-kind (“PIK”) income provision. The</w:t>
      </w:r>
      <w:r>
        <w:rPr>
          <w:rFonts w:ascii="Arial" w:cs="Arial" w:eastAsia="Arial" w:hAnsi="Arial"/>
          <w:sz w:val="19"/>
          <w:szCs w:val="19"/>
          <w:i w:val="1"/>
          <w:iCs w:val="1"/>
          <w:color w:val="auto"/>
        </w:rPr>
        <w:t xml:space="preserve"> </w:t>
      </w:r>
      <w:r>
        <w:rPr>
          <w:rFonts w:ascii="Arial" w:cs="Arial" w:eastAsia="Arial" w:hAnsi="Arial"/>
          <w:sz w:val="19"/>
          <w:szCs w:val="19"/>
          <w:color w:val="auto"/>
        </w:rPr>
        <w:t>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p>
    <w:p>
      <w:pPr>
        <w:spacing w:after="0" w:line="185"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i w:val="1"/>
          <w:iCs w:val="1"/>
          <w:color w:val="auto"/>
        </w:rPr>
        <w:t xml:space="preserve">Non-accrual: </w:t>
      </w:r>
      <w:r>
        <w:rPr>
          <w:rFonts w:ascii="Arial" w:cs="Arial" w:eastAsia="Arial" w:hAnsi="Arial"/>
          <w:sz w:val="19"/>
          <w:szCs w:val="19"/>
          <w:color w:val="auto"/>
        </w:rPr>
        <w:t>Debt investments or preferred equity investments (for which the Company is accruing PIK</w:t>
      </w:r>
      <w:r>
        <w:rPr>
          <w:rFonts w:ascii="Arial" w:cs="Arial" w:eastAsia="Arial" w:hAnsi="Arial"/>
          <w:sz w:val="19"/>
          <w:szCs w:val="19"/>
          <w:i w:val="1"/>
          <w:iCs w:val="1"/>
          <w:color w:val="auto"/>
        </w:rPr>
        <w:t xml:space="preserve"> </w:t>
      </w:r>
      <w:r>
        <w:rPr>
          <w:rFonts w:ascii="Arial" w:cs="Arial" w:eastAsia="Arial" w:hAnsi="Arial"/>
          <w:sz w:val="19"/>
          <w:szCs w:val="19"/>
          <w:color w:val="auto"/>
        </w:rPr>
        <w:t>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jc w:val="center"/>
        <w:spacing w:after="0" w:line="233" w:lineRule="auto"/>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24</w:t>
      </w:r>
    </w:p>
    <w:p>
      <w:pPr>
        <w:sectPr>
          <w:pgSz w:w="11900" w:h="16838" w:orient="portrait"/>
          <w:cols w:equalWidth="0" w:num="1">
            <w:col w:w="9400"/>
          </w:cols>
          <w:pgMar w:left="1260" w:top="1173" w:right="1246" w:bottom="0" w:gutter="0" w:footer="0" w:header="0"/>
          <w:type w:val="continuous"/>
        </w:sectPr>
      </w:pPr>
    </w:p>
    <w:bookmarkStart w:id="267" w:name="page268"/>
    <w:bookmarkEnd w:id="267"/>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i w:val="1"/>
          <w:iCs w:val="1"/>
          <w:color w:val="auto"/>
        </w:rPr>
        <w:t xml:space="preserve">Origination and closing fees: </w:t>
      </w:r>
      <w:r>
        <w:rPr>
          <w:rFonts w:ascii="Arial" w:cs="Arial" w:eastAsia="Arial" w:hAnsi="Arial"/>
          <w:sz w:val="19"/>
          <w:szCs w:val="19"/>
          <w:color w:val="auto"/>
        </w:rPr>
        <w:t>The Company also typically receives debt investment origination or closing fees</w:t>
      </w:r>
      <w:r>
        <w:rPr>
          <w:rFonts w:ascii="Arial" w:cs="Arial" w:eastAsia="Arial" w:hAnsi="Arial"/>
          <w:sz w:val="19"/>
          <w:szCs w:val="19"/>
          <w:i w:val="1"/>
          <w:iCs w:val="1"/>
          <w:color w:val="auto"/>
        </w:rPr>
        <w:t xml:space="preserve"> </w:t>
      </w:r>
      <w:r>
        <w:rPr>
          <w:rFonts w:ascii="Arial" w:cs="Arial" w:eastAsia="Arial" w:hAnsi="Arial"/>
          <w:sz w:val="19"/>
          <w:szCs w:val="19"/>
          <w:color w:val="auto"/>
        </w:rPr>
        <w:t>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8" w:lineRule="exact"/>
        <w:rPr>
          <w:sz w:val="20"/>
          <w:szCs w:val="20"/>
          <w:color w:val="auto"/>
        </w:rPr>
      </w:pPr>
    </w:p>
    <w:p>
      <w:pPr>
        <w:jc w:val="both"/>
        <w:ind w:firstLine="400"/>
        <w:spacing w:after="0" w:line="350"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67" w:lineRule="exact"/>
        <w:rPr>
          <w:sz w:val="20"/>
          <w:szCs w:val="20"/>
          <w:color w:val="auto"/>
        </w:rPr>
      </w:pPr>
    </w:p>
    <w:p>
      <w:pPr>
        <w:jc w:val="both"/>
        <w:ind w:right="40" w:firstLine="400"/>
        <w:spacing w:after="0" w:line="351"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Transaction fees earned in connection with the Company’s investments are recognized as fee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66"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i w:val="1"/>
          <w:iCs w:val="1"/>
          <w:color w:val="auto"/>
        </w:rPr>
        <w:t xml:space="preserve">Partial loan and equity sales: </w:t>
      </w:r>
      <w:r>
        <w:rPr>
          <w:rFonts w:ascii="Arial" w:cs="Arial" w:eastAsia="Arial" w:hAnsi="Arial"/>
          <w:sz w:val="18"/>
          <w:szCs w:val="18"/>
          <w:color w:val="auto"/>
        </w:rPr>
        <w:t>The Company follows the guidance in ASC 860,</w:t>
      </w:r>
      <w:r>
        <w:rPr>
          <w:rFonts w:ascii="Arial" w:cs="Arial" w:eastAsia="Arial" w:hAnsi="Arial"/>
          <w:sz w:val="18"/>
          <w:szCs w:val="18"/>
          <w:i w:val="1"/>
          <w:iCs w:val="1"/>
          <w:color w:val="auto"/>
        </w:rPr>
        <w:t xml:space="preserve"> Transfers and Servicing (</w:t>
      </w:r>
      <w:r>
        <w:rPr>
          <w:rFonts w:ascii="Arial" w:cs="Arial" w:eastAsia="Arial" w:hAnsi="Arial"/>
          <w:sz w:val="18"/>
          <w:szCs w:val="18"/>
          <w:color w:val="auto"/>
        </w:rPr>
        <w:t>“</w:t>
      </w:r>
      <w:r>
        <w:rPr>
          <w:rFonts w:ascii="Arial" w:cs="Arial" w:eastAsia="Arial" w:hAnsi="Arial"/>
          <w:sz w:val="18"/>
          <w:szCs w:val="18"/>
          <w:i w:val="1"/>
          <w:iCs w:val="1"/>
          <w:color w:val="auto"/>
        </w:rPr>
        <w:t>ASC 860</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when accounting for loan (debt investment) participations, equity assignments and other partial loan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71" w:lineRule="exact"/>
        <w:rPr>
          <w:sz w:val="20"/>
          <w:szCs w:val="20"/>
          <w:color w:val="auto"/>
        </w:rPr>
      </w:pPr>
    </w:p>
    <w:p>
      <w:pPr>
        <w:jc w:val="both"/>
        <w:ind w:right="40" w:firstLine="400"/>
        <w:spacing w:after="0" w:line="329"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The Company has elected, and intends to qualify annually, to be treated as a RIC under</w:t>
      </w:r>
      <w:r>
        <w:rPr>
          <w:rFonts w:ascii="Arial" w:cs="Arial" w:eastAsia="Arial" w:hAnsi="Arial"/>
          <w:sz w:val="19"/>
          <w:szCs w:val="19"/>
          <w:i w:val="1"/>
          <w:iCs w:val="1"/>
          <w:color w:val="auto"/>
        </w:rPr>
        <w:t xml:space="preserve"> </w:t>
      </w:r>
      <w:r>
        <w:rPr>
          <w:rFonts w:ascii="Arial" w:cs="Arial" w:eastAsia="Arial" w:hAnsi="Arial"/>
          <w:sz w:val="19"/>
          <w:szCs w:val="19"/>
          <w:color w:val="auto"/>
        </w:rPr>
        <w:t>subchapter M of the Code, and, as such will not be subject 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4" w:lineRule="exact"/>
        <w:rPr>
          <w:sz w:val="20"/>
          <w:szCs w:val="20"/>
          <w:color w:val="auto"/>
        </w:rPr>
      </w:pPr>
    </w:p>
    <w:p>
      <w:pPr>
        <w:jc w:val="both"/>
        <w:ind w:right="40" w:firstLine="400"/>
        <w:spacing w:after="0" w:line="352" w:lineRule="auto"/>
        <w:rPr>
          <w:sz w:val="20"/>
          <w:szCs w:val="20"/>
          <w:color w:val="auto"/>
        </w:rPr>
      </w:pPr>
      <w:r>
        <w:rPr>
          <w:rFonts w:ascii="Arial" w:cs="Arial" w:eastAsia="Arial" w:hAnsi="Arial"/>
          <w:sz w:val="18"/>
          <w:szCs w:val="18"/>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24</w:t>
      </w:r>
    </w:p>
    <w:p>
      <w:pPr>
        <w:sectPr>
          <w:pgSz w:w="11900" w:h="16838" w:orient="portrait"/>
          <w:cols w:equalWidth="0" w:num="1">
            <w:col w:w="9380"/>
          </w:cols>
          <w:pgMar w:left="1260" w:top="1440" w:right="1266" w:bottom="0" w:gutter="0" w:footer="0" w:header="0"/>
          <w:type w:val="continuous"/>
        </w:sectPr>
      </w:pPr>
    </w:p>
    <w:bookmarkStart w:id="268" w:name="page269"/>
    <w:bookmarkEnd w:id="268"/>
    <w:p>
      <w:pPr>
        <w:jc w:val="both"/>
        <w:spacing w:after="0" w:line="330" w:lineRule="auto"/>
        <w:rPr>
          <w:sz w:val="20"/>
          <w:szCs w:val="20"/>
          <w:color w:val="auto"/>
        </w:rPr>
      </w:pPr>
      <w:r>
        <w:rPr>
          <w:rFonts w:ascii="Arial" w:cs="Arial" w:eastAsia="Arial" w:hAnsi="Arial"/>
          <w:sz w:val="19"/>
          <w:szCs w:val="19"/>
          <w:color w:val="auto"/>
        </w:rPr>
        <w:t>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spacing w:after="0" w:line="179"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spacing w:after="0" w:line="197" w:lineRule="exact"/>
        <w:rPr>
          <w:sz w:val="20"/>
          <w:szCs w:val="20"/>
          <w:color w:val="auto"/>
        </w:rPr>
      </w:pPr>
    </w:p>
    <w:p>
      <w:pPr>
        <w:jc w:val="both"/>
        <w:ind w:right="40" w:firstLine="400"/>
        <w:spacing w:after="0" w:line="329" w:lineRule="auto"/>
        <w:rPr>
          <w:sz w:val="20"/>
          <w:szCs w:val="20"/>
          <w:color w:val="auto"/>
        </w:rPr>
      </w:pPr>
      <w:r>
        <w:rPr>
          <w:rFonts w:ascii="Arial" w:cs="Arial" w:eastAsia="Arial" w:hAnsi="Arial"/>
          <w:sz w:val="19"/>
          <w:szCs w:val="19"/>
          <w:color w:val="auto"/>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spacing w:after="0" w:line="186" w:lineRule="exact"/>
        <w:rPr>
          <w:sz w:val="20"/>
          <w:szCs w:val="20"/>
          <w:color w:val="auto"/>
        </w:rPr>
      </w:pPr>
    </w:p>
    <w:p>
      <w:pPr>
        <w:jc w:val="both"/>
        <w:ind w:firstLine="400"/>
        <w:spacing w:after="0" w:line="309" w:lineRule="auto"/>
        <w:rPr>
          <w:sz w:val="20"/>
          <w:szCs w:val="20"/>
          <w:color w:val="auto"/>
        </w:rPr>
      </w:pPr>
      <w:r>
        <w:rPr>
          <w:rFonts w:ascii="Arial" w:cs="Arial" w:eastAsia="Arial" w:hAnsi="Arial"/>
          <w:sz w:val="20"/>
          <w:szCs w:val="20"/>
          <w:color w:val="auto"/>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24</w:t>
      </w:r>
    </w:p>
    <w:p>
      <w:pPr>
        <w:sectPr>
          <w:pgSz w:w="11900" w:h="16838" w:orient="portrait"/>
          <w:cols w:equalWidth="0" w:num="1">
            <w:col w:w="9380"/>
          </w:cols>
          <w:pgMar w:left="1260" w:top="1173" w:right="1266" w:bottom="0" w:gutter="0" w:footer="0" w:header="0"/>
          <w:type w:val="continuous"/>
        </w:sectPr>
      </w:pPr>
    </w:p>
    <w:bookmarkStart w:id="269" w:name="page270"/>
    <w:bookmarkEnd w:id="269"/>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U.S. federal income tax. Temporary differences arise when certain items of income, expense, gain or loss are recognized at some time in the future.</w:t>
      </w:r>
    </w:p>
    <w:p>
      <w:pPr>
        <w:spacing w:after="0" w:line="201" w:lineRule="exact"/>
        <w:rPr>
          <w:sz w:val="20"/>
          <w:szCs w:val="20"/>
          <w:color w:val="auto"/>
        </w:rPr>
      </w:pPr>
    </w:p>
    <w:p>
      <w:pPr>
        <w:jc w:val="both"/>
        <w:ind w:right="60" w:firstLine="400"/>
        <w:spacing w:after="0" w:line="329" w:lineRule="auto"/>
        <w:rPr>
          <w:sz w:val="20"/>
          <w:szCs w:val="20"/>
          <w:color w:val="auto"/>
        </w:rPr>
      </w:pPr>
      <w:r>
        <w:rPr>
          <w:rFonts w:ascii="Arial" w:cs="Arial" w:eastAsia="Arial" w:hAnsi="Arial"/>
          <w:sz w:val="19"/>
          <w:szCs w:val="19"/>
          <w:color w:val="auto"/>
        </w:rPr>
        <w:t xml:space="preserve">ASC Topic 740 — </w:t>
      </w:r>
      <w:r>
        <w:rPr>
          <w:rFonts w:ascii="Arial" w:cs="Arial" w:eastAsia="Arial" w:hAnsi="Arial"/>
          <w:sz w:val="19"/>
          <w:szCs w:val="19"/>
          <w:i w:val="1"/>
          <w:iCs w:val="1"/>
          <w:color w:val="auto"/>
        </w:rPr>
        <w:t>Accounting for Uncertainty in Income Taxes</w:t>
      </w:r>
      <w:r>
        <w:rPr>
          <w:rFonts w:ascii="Arial" w:cs="Arial" w:eastAsia="Arial" w:hAnsi="Arial"/>
          <w:sz w:val="19"/>
          <w:szCs w:val="19"/>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2025 and 2024. The Company’s tax returns are generally subject to examination by U.S. federal and most state tax authorities for a period of three years from the date the respective returns are filed, and, accordingly, tax years after 2021 remain subject to examination.</w:t>
      </w:r>
    </w:p>
    <w:p>
      <w:pPr>
        <w:spacing w:after="0" w:line="185" w:lineRule="exact"/>
        <w:rPr>
          <w:sz w:val="20"/>
          <w:szCs w:val="20"/>
          <w:color w:val="auto"/>
        </w:rPr>
      </w:pPr>
    </w:p>
    <w:p>
      <w:pPr>
        <w:jc w:val="both"/>
        <w:ind w:right="60" w:firstLine="400"/>
        <w:spacing w:after="0" w:line="330" w:lineRule="auto"/>
        <w:rPr>
          <w:sz w:val="20"/>
          <w:szCs w:val="20"/>
          <w:color w:val="auto"/>
        </w:rPr>
      </w:pPr>
      <w:r>
        <w:rPr>
          <w:rFonts w:ascii="Arial" w:cs="Arial" w:eastAsia="Arial" w:hAnsi="Arial"/>
          <w:sz w:val="19"/>
          <w:szCs w:val="19"/>
          <w:i w:val="1"/>
          <w:iCs w:val="1"/>
          <w:color w:val="auto"/>
        </w:rPr>
        <w:t xml:space="preserve">Dividends to stockholders: </w:t>
      </w:r>
      <w:r>
        <w:rPr>
          <w:rFonts w:ascii="Arial" w:cs="Arial" w:eastAsia="Arial" w:hAnsi="Arial"/>
          <w:sz w:val="19"/>
          <w:szCs w:val="19"/>
          <w:color w:val="auto"/>
        </w:rPr>
        <w:t>Dividends to stockholders are recorded on the record date with respect to such</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78"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20"/>
          <w:szCs w:val="20"/>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94" w:lineRule="exact"/>
        <w:rPr>
          <w:sz w:val="20"/>
          <w:szCs w:val="20"/>
          <w:color w:val="auto"/>
        </w:rPr>
      </w:pPr>
    </w:p>
    <w:p>
      <w:pPr>
        <w:jc w:val="both"/>
        <w:ind w:right="60" w:firstLine="400"/>
        <w:spacing w:after="0" w:line="349" w:lineRule="auto"/>
        <w:rPr>
          <w:sz w:val="20"/>
          <w:szCs w:val="20"/>
          <w:color w:val="auto"/>
        </w:rPr>
      </w:pPr>
      <w:r>
        <w:rPr>
          <w:rFonts w:ascii="Arial" w:cs="Arial" w:eastAsia="Arial" w:hAnsi="Arial"/>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Dividends and Distributions to the consolidated financial statements regarding dividend declarations and distributions.</w:t>
      </w:r>
    </w:p>
    <w:p>
      <w:pPr>
        <w:spacing w:after="0" w:line="169" w:lineRule="exact"/>
        <w:rPr>
          <w:sz w:val="20"/>
          <w:szCs w:val="20"/>
          <w:color w:val="auto"/>
        </w:rPr>
      </w:pPr>
    </w:p>
    <w:p>
      <w:pPr>
        <w:jc w:val="both"/>
        <w:ind w:right="60" w:firstLine="400"/>
        <w:spacing w:after="0" w:line="355"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2025, 2024 and 2023, are computed utilizing the weighted average shares outstanding for the period. Net asset value per share is calculated using the number of shares outstanding as of the end of the period.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24</w:t>
      </w:r>
    </w:p>
    <w:p>
      <w:pPr>
        <w:sectPr>
          <w:pgSz w:w="11900" w:h="16838" w:orient="portrait"/>
          <w:cols w:equalWidth="0" w:num="1">
            <w:col w:w="9400"/>
          </w:cols>
          <w:pgMar w:left="1260" w:top="1440" w:right="1246" w:bottom="0" w:gutter="0" w:footer="0" w:header="0"/>
          <w:type w:val="continuous"/>
        </w:sectPr>
      </w:pPr>
    </w:p>
    <w:bookmarkStart w:id="270" w:name="page271"/>
    <w:bookmarkEnd w:id="270"/>
    <w:p>
      <w:pPr>
        <w:jc w:val="both"/>
        <w:ind w:left="6" w:firstLine="400"/>
        <w:spacing w:after="0" w:line="348"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The Company has an open market stock repurchase program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November 3, 2025 the Board extended the Stock Repurchase Program through December 31, 2026,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years ended December 31, 2025, 2024, and 2023. Refer to Note 8 for additional information concerning stock repurchases.</w:t>
      </w:r>
    </w:p>
    <w:p>
      <w:pPr>
        <w:spacing w:after="0" w:line="178" w:lineRule="exact"/>
        <w:rPr>
          <w:sz w:val="20"/>
          <w:szCs w:val="20"/>
          <w:color w:val="auto"/>
        </w:rPr>
      </w:pPr>
    </w:p>
    <w:p>
      <w:pPr>
        <w:jc w:val="both"/>
        <w:ind w:left="6" w:right="20" w:firstLine="400"/>
        <w:spacing w:after="0" w:line="347" w:lineRule="auto"/>
        <w:rPr>
          <w:sz w:val="20"/>
          <w:szCs w:val="20"/>
          <w:color w:val="auto"/>
        </w:rPr>
      </w:pPr>
      <w:r>
        <w:rPr>
          <w:rFonts w:ascii="Arial" w:cs="Arial" w:eastAsia="Arial" w:hAnsi="Arial"/>
          <w:sz w:val="18"/>
          <w:szCs w:val="18"/>
          <w:i w:val="1"/>
          <w:iCs w:val="1"/>
          <w:color w:val="auto"/>
        </w:rPr>
        <w:t xml:space="preserve">Recent accounting pronouncement: </w:t>
      </w:r>
      <w:r>
        <w:rPr>
          <w:rFonts w:ascii="Arial" w:cs="Arial" w:eastAsia="Arial" w:hAnsi="Arial"/>
          <w:sz w:val="18"/>
          <w:szCs w:val="18"/>
          <w:color w:val="auto"/>
        </w:rPr>
        <w:t>In December 2023,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w:t>
      </w:r>
    </w:p>
    <w:p>
      <w:pPr>
        <w:spacing w:after="0" w:line="3" w:lineRule="exact"/>
        <w:rPr>
          <w:sz w:val="20"/>
          <w:szCs w:val="20"/>
          <w:color w:val="auto"/>
        </w:rPr>
      </w:pPr>
    </w:p>
    <w:p>
      <w:pPr>
        <w:ind w:left="6" w:right="40" w:hanging="6"/>
        <w:spacing w:after="0" w:line="302" w:lineRule="auto"/>
        <w:tabs>
          <w:tab w:leader="none" w:pos="30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taxes paid (net of refunds received) should be disaggregated for federal, state and foreign taxes. The guidance is effective for annual reporting periods beginning after December 15, 2024 and may be applied</w:t>
      </w:r>
    </w:p>
    <w:p>
      <w:pPr>
        <w:spacing w:after="0" w:line="1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14 / 24</w:t>
      </w:r>
    </w:p>
    <w:p>
      <w:pPr>
        <w:sectPr>
          <w:pgSz w:w="11900" w:h="16838" w:orient="portrait"/>
          <w:cols w:equalWidth="0" w:num="1">
            <w:col w:w="9386"/>
          </w:cols>
          <w:pgMar w:left="1254" w:top="1173" w:right="1266" w:bottom="0" w:gutter="0" w:footer="0" w:header="0"/>
          <w:type w:val="continuous"/>
        </w:sectPr>
      </w:pPr>
    </w:p>
    <w:bookmarkStart w:id="271" w:name="page272"/>
    <w:bookmarkEnd w:id="271"/>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on a prospective or retrospective basis. The Company has adopted ASU 2023-09 effective December 31, 2025 and concluded that the application of this guidance did not have a material impact on its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Portfolio Company Investments</w:t>
      </w:r>
    </w:p>
    <w:p>
      <w:pPr>
        <w:spacing w:after="0" w:line="260"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p>
    <w:p>
      <w:pPr>
        <w:spacing w:after="0" w:line="185" w:lineRule="exact"/>
        <w:rPr>
          <w:sz w:val="20"/>
          <w:szCs w:val="20"/>
          <w:color w:val="auto"/>
        </w:rPr>
      </w:pPr>
    </w:p>
    <w:p>
      <w:pPr>
        <w:jc w:val="both"/>
        <w:ind w:right="20" w:firstLine="401"/>
        <w:spacing w:after="0" w:line="330" w:lineRule="auto"/>
        <w:rPr>
          <w:sz w:val="20"/>
          <w:szCs w:val="20"/>
          <w:color w:val="auto"/>
        </w:rPr>
      </w:pPr>
      <w:r>
        <w:rPr>
          <w:rFonts w:ascii="Arial" w:cs="Arial" w:eastAsia="Arial" w:hAnsi="Arial"/>
          <w:sz w:val="19"/>
          <w:szCs w:val="19"/>
          <w:color w:val="auto"/>
        </w:rPr>
        <w:t>As of December 31, 2025, the Company had active investments in 97 portfolio companies and residual investments in six portfolio companies that have sold their underlying operations. The aggregate fair value of the total portfolio was $1,324,753 and the weighted average yield on the Company’s debt investments was 12.6% as of such date. As of December 31, 2025, the Company held equity investments in 85.4% of its portfolio companies and the average fully diluted equity ownership in those portfolio companies was 1.9%.</w:t>
      </w:r>
    </w:p>
    <w:p>
      <w:pPr>
        <w:spacing w:after="0" w:line="178" w:lineRule="exact"/>
        <w:rPr>
          <w:sz w:val="20"/>
          <w:szCs w:val="20"/>
          <w:color w:val="auto"/>
        </w:rPr>
      </w:pPr>
    </w:p>
    <w:p>
      <w:pPr>
        <w:jc w:val="both"/>
        <w:ind w:right="20" w:firstLine="401"/>
        <w:spacing w:after="0" w:line="330" w:lineRule="auto"/>
        <w:rPr>
          <w:sz w:val="20"/>
          <w:szCs w:val="20"/>
          <w:color w:val="auto"/>
        </w:rPr>
      </w:pPr>
      <w:r>
        <w:rPr>
          <w:rFonts w:ascii="Arial" w:cs="Arial" w:eastAsia="Arial" w:hAnsi="Arial"/>
          <w:sz w:val="19"/>
          <w:szCs w:val="19"/>
          <w:color w:val="auto"/>
        </w:rPr>
        <w:t>As of December 31, 2024, the Company had active investments in 87 portfolio companies and residual investments in four portfolio companies that have sold their underlying operations. The aggregate fair value of the total portfolio was $1,090,506 and the weighted average yield on the Company’s debt investments was 13.3% as of such date. As of December 31, 2024, the Company held equity investments in 85.7% of its portfolio companies and the average fully diluted equity ownership in those portfolio companies was 2.0%.</w:t>
      </w:r>
    </w:p>
    <w:p>
      <w:pPr>
        <w:spacing w:after="0" w:line="178" w:lineRule="exact"/>
        <w:rPr>
          <w:sz w:val="20"/>
          <w:szCs w:val="20"/>
          <w:color w:val="auto"/>
        </w:rPr>
      </w:pPr>
    </w:p>
    <w:p>
      <w:pPr>
        <w:jc w:val="both"/>
        <w:ind w:right="20" w:firstLine="401"/>
        <w:spacing w:after="0" w:line="311" w:lineRule="auto"/>
        <w:rPr>
          <w:sz w:val="20"/>
          <w:szCs w:val="20"/>
          <w:color w:val="auto"/>
        </w:rPr>
      </w:pPr>
      <w:r>
        <w:rPr>
          <w:rFonts w:ascii="Arial" w:cs="Arial" w:eastAsia="Arial" w:hAnsi="Arial"/>
          <w:sz w:val="20"/>
          <w:szCs w:val="20"/>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2025 and 2024, including accretion of OID and debt investment origination fees, but excluding investments on non-accrual status and investments recorded as a secured borrowing.</w:t>
      </w:r>
    </w:p>
    <w:p>
      <w:pPr>
        <w:spacing w:after="0" w:line="192"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Purchases of debt and equity investments for the years ended December 31, 2025, 2024 and 2023 totaled $498,162, $394,532, and $336,741, respectively. Proceeds from sales and repayments, including principal, return of capital distributions and realized gains, of portfolio investments for the years ended December 31, 2025, 2024 and 2023 totaled $288,002, $276,861, and $258,875, respectively.</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88" w:lineRule="exact"/>
        <w:rPr>
          <w:sz w:val="20"/>
          <w:szCs w:val="20"/>
          <w:color w:val="auto"/>
        </w:rPr>
      </w:pPr>
    </w:p>
    <w:p>
      <w:pPr>
        <w:ind w:left="2920"/>
        <w:spacing w:after="0"/>
        <w:tabs>
          <w:tab w:leader="none" w:pos="7180" w:val="left"/>
        </w:tabs>
        <w:rPr>
          <w:sz w:val="20"/>
          <w:szCs w:val="20"/>
          <w:color w:val="auto"/>
        </w:rPr>
      </w:pPr>
      <w:r>
        <w:rPr>
          <w:rFonts w:ascii="Arial" w:cs="Arial" w:eastAsia="Arial" w:hAnsi="Arial"/>
          <w:sz w:val="16"/>
          <w:szCs w:val="16"/>
          <w:b w:val="1"/>
          <w:bCs w:val="1"/>
          <w:color w:val="auto"/>
        </w:rPr>
        <w:t>Fair Value</w:t>
      </w:r>
      <w:r>
        <w:rPr>
          <w:sz w:val="20"/>
          <w:szCs w:val="20"/>
          <w:color w:val="auto"/>
        </w:rPr>
        <w:tab/>
      </w:r>
      <w:r>
        <w:rPr>
          <w:rFonts w:ascii="Arial" w:cs="Arial" w:eastAsia="Arial" w:hAnsi="Arial"/>
          <w:sz w:val="13"/>
          <w:szCs w:val="13"/>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20320</wp:posOffset>
            </wp:positionV>
            <wp:extent cx="485267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52670" cy="63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24</w:t>
      </w:r>
    </w:p>
    <w:p>
      <w:pPr>
        <w:sectPr>
          <w:pgSz w:w="11900" w:h="16838" w:orient="portrait"/>
          <w:cols w:equalWidth="0" w:num="1">
            <w:col w:w="9360"/>
          </w:cols>
          <w:pgMar w:left="1260" w:top="1440" w:right="1286" w:bottom="0" w:gutter="0" w:footer="0" w:header="0"/>
          <w:type w:val="continuous"/>
        </w:sectPr>
      </w:pPr>
    </w:p>
    <w:bookmarkStart w:id="272" w:name="page273"/>
    <w:bookmarkEnd w:id="272"/>
    <w:tbl>
      <w:tblPr>
        <w:tblLayout w:type="fixed"/>
        <w:tblInd w:w="6"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Pr>
          <w:p>
            <w:pPr>
              <w:spacing w:after="0"/>
              <w:rPr>
                <w:sz w:val="16"/>
                <w:szCs w:val="16"/>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1400" w:type="dxa"/>
            <w:vAlign w:val="bottom"/>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6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1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First Lien Debt</w:t>
            </w:r>
            <w:r>
              <w:rPr>
                <w:rFonts w:ascii="Arial" w:cs="Arial" w:eastAsia="Arial" w:hAnsi="Arial"/>
                <w:sz w:val="21"/>
                <w:szCs w:val="21"/>
                <w:color w:val="auto"/>
                <w:vertAlign w:val="superscript"/>
              </w:rPr>
              <w:t>(1)</w:t>
            </w:r>
          </w:p>
        </w:tc>
        <w:tc>
          <w:tcPr>
            <w:tcW w:w="1400" w:type="dxa"/>
            <w:vAlign w:val="bottom"/>
            <w:shd w:val="clear" w:color="auto" w:fill="CFF0FC"/>
          </w:tcPr>
          <w:p>
            <w:pPr>
              <w:jc w:val="right"/>
              <w:ind w:right="420"/>
              <w:spacing w:after="0"/>
              <w:rPr>
                <w:sz w:val="20"/>
                <w:szCs w:val="20"/>
                <w:color w:val="auto"/>
              </w:rPr>
            </w:pPr>
            <w:r>
              <w:rPr>
                <w:rFonts w:ascii="Arial" w:cs="Arial" w:eastAsia="Arial" w:hAnsi="Arial"/>
                <w:sz w:val="16"/>
                <w:szCs w:val="16"/>
                <w:color w:val="auto"/>
              </w:rPr>
              <w:t>$ 1,019,063</w:t>
            </w:r>
          </w:p>
        </w:tc>
        <w:tc>
          <w:tcPr>
            <w:tcW w:w="6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77.0%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20"/>
              <w:spacing w:after="0"/>
              <w:rPr>
                <w:sz w:val="20"/>
                <w:szCs w:val="20"/>
                <w:color w:val="auto"/>
              </w:rPr>
            </w:pPr>
            <w:r>
              <w:rPr>
                <w:rFonts w:ascii="Arial" w:cs="Arial" w:eastAsia="Arial" w:hAnsi="Arial"/>
                <w:sz w:val="16"/>
                <w:szCs w:val="16"/>
                <w:color w:val="auto"/>
              </w:rPr>
              <w:t>718,120</w:t>
            </w:r>
          </w:p>
        </w:tc>
        <w:tc>
          <w:tcPr>
            <w:tcW w:w="6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65.8%</w:t>
            </w:r>
          </w:p>
        </w:tc>
        <w:tc>
          <w:tcPr>
            <w:tcW w:w="116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$ 1,014,497</w:t>
            </w:r>
          </w:p>
        </w:tc>
        <w:tc>
          <w:tcPr>
            <w:tcW w:w="7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78.1%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729,084</w:t>
            </w:r>
          </w:p>
        </w:tc>
        <w:tc>
          <w:tcPr>
            <w:tcW w:w="82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0"/>
                <w:szCs w:val="20"/>
                <w:color w:val="auto"/>
              </w:rPr>
            </w:pPr>
            <w:r>
              <w:rPr>
                <w:rFonts w:ascii="Arial" w:cs="Arial" w:eastAsia="Arial" w:hAnsi="Arial"/>
                <w:sz w:val="16"/>
                <w:szCs w:val="16"/>
                <w:color w:val="auto"/>
              </w:rPr>
              <w:t>Second Lien Debt</w:t>
            </w:r>
          </w:p>
        </w:tc>
        <w:tc>
          <w:tcPr>
            <w:tcW w:w="1400" w:type="dxa"/>
            <w:vAlign w:val="bottom"/>
          </w:tcPr>
          <w:p>
            <w:pPr>
              <w:jc w:val="right"/>
              <w:ind w:right="420"/>
              <w:spacing w:after="0"/>
              <w:rPr>
                <w:sz w:val="20"/>
                <w:szCs w:val="20"/>
                <w:color w:val="auto"/>
              </w:rPr>
            </w:pPr>
            <w:r>
              <w:rPr>
                <w:rFonts w:ascii="Arial" w:cs="Arial" w:eastAsia="Arial" w:hAnsi="Arial"/>
                <w:sz w:val="16"/>
                <w:szCs w:val="16"/>
                <w:color w:val="auto"/>
              </w:rPr>
              <w:t>68,929</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23"/>
                <w:szCs w:val="23"/>
                <w:color w:val="auto"/>
              </w:rPr>
            </w:pPr>
          </w:p>
        </w:tc>
        <w:tc>
          <w:tcPr>
            <w:tcW w:w="1180" w:type="dxa"/>
            <w:vAlign w:val="bottom"/>
          </w:tcPr>
          <w:p>
            <w:pPr>
              <w:jc w:val="right"/>
              <w:ind w:right="420"/>
              <w:spacing w:after="0"/>
              <w:rPr>
                <w:sz w:val="20"/>
                <w:szCs w:val="20"/>
                <w:color w:val="auto"/>
              </w:rPr>
            </w:pPr>
            <w:r>
              <w:rPr>
                <w:rFonts w:ascii="Arial" w:cs="Arial" w:eastAsia="Arial" w:hAnsi="Arial"/>
                <w:sz w:val="16"/>
                <w:szCs w:val="16"/>
                <w:color w:val="auto"/>
              </w:rPr>
              <w:t>83,543</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rPr>
              <w:t>7.7</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95,576</w:t>
            </w: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116,250</w:t>
            </w:r>
          </w:p>
        </w:tc>
        <w:tc>
          <w:tcPr>
            <w:tcW w:w="820" w:type="dxa"/>
            <w:vAlign w:val="bottom"/>
          </w:tcPr>
          <w:p>
            <w:pPr>
              <w:jc w:val="right"/>
              <w:ind w:right="2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5"/>
              </w:rPr>
              <w:t>Subordinated Debt</w:t>
            </w:r>
          </w:p>
        </w:tc>
        <w:tc>
          <w:tcPr>
            <w:tcW w:w="140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16"/>
                <w:szCs w:val="16"/>
                <w:color w:val="auto"/>
              </w:rPr>
              <w:t>94,412</w:t>
            </w:r>
          </w:p>
        </w:tc>
        <w:tc>
          <w:tcPr>
            <w:tcW w:w="6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16"/>
                <w:szCs w:val="16"/>
                <w:color w:val="auto"/>
              </w:rPr>
              <w:t>142,839</w:t>
            </w:r>
          </w:p>
        </w:tc>
        <w:tc>
          <w:tcPr>
            <w:tcW w:w="6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13.1</w:t>
            </w: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95,316</w:t>
            </w:r>
          </w:p>
        </w:tc>
        <w:tc>
          <w:tcPr>
            <w:tcW w:w="7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142,056</w:t>
            </w:r>
          </w:p>
        </w:tc>
        <w:tc>
          <w:tcPr>
            <w:tcW w:w="82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0"/>
                <w:szCs w:val="20"/>
                <w:color w:val="auto"/>
              </w:rPr>
            </w:pPr>
            <w:r>
              <w:rPr>
                <w:rFonts w:ascii="Arial" w:cs="Arial" w:eastAsia="Arial" w:hAnsi="Arial"/>
                <w:sz w:val="16"/>
                <w:szCs w:val="16"/>
                <w:color w:val="auto"/>
              </w:rPr>
              <w:t>Equity</w:t>
            </w:r>
          </w:p>
        </w:tc>
        <w:tc>
          <w:tcPr>
            <w:tcW w:w="1400" w:type="dxa"/>
            <w:vAlign w:val="bottom"/>
          </w:tcPr>
          <w:p>
            <w:pPr>
              <w:jc w:val="right"/>
              <w:ind w:right="420"/>
              <w:spacing w:after="0"/>
              <w:rPr>
                <w:sz w:val="20"/>
                <w:szCs w:val="20"/>
                <w:color w:val="auto"/>
              </w:rPr>
            </w:pPr>
            <w:r>
              <w:rPr>
                <w:rFonts w:ascii="Arial" w:cs="Arial" w:eastAsia="Arial" w:hAnsi="Arial"/>
                <w:sz w:val="16"/>
                <w:szCs w:val="16"/>
                <w:color w:val="auto"/>
              </w:rPr>
              <w:t>142,111</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23"/>
                <w:szCs w:val="23"/>
                <w:color w:val="auto"/>
              </w:rPr>
            </w:pPr>
          </w:p>
        </w:tc>
        <w:tc>
          <w:tcPr>
            <w:tcW w:w="1180" w:type="dxa"/>
            <w:vAlign w:val="bottom"/>
          </w:tcPr>
          <w:p>
            <w:pPr>
              <w:jc w:val="right"/>
              <w:ind w:right="420"/>
              <w:spacing w:after="0"/>
              <w:rPr>
                <w:sz w:val="20"/>
                <w:szCs w:val="20"/>
                <w:color w:val="auto"/>
              </w:rPr>
            </w:pPr>
            <w:r>
              <w:rPr>
                <w:rFonts w:ascii="Arial" w:cs="Arial" w:eastAsia="Arial" w:hAnsi="Arial"/>
                <w:sz w:val="16"/>
                <w:szCs w:val="16"/>
                <w:color w:val="auto"/>
              </w:rPr>
              <w:t>138,371</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rPr>
              <w:t>12.7</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93,088</w:t>
            </w: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84,816</w:t>
            </w:r>
          </w:p>
        </w:tc>
        <w:tc>
          <w:tcPr>
            <w:tcW w:w="820" w:type="dxa"/>
            <w:vAlign w:val="bottom"/>
          </w:tcPr>
          <w:p>
            <w:pPr>
              <w:jc w:val="right"/>
              <w:ind w:right="2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Warrants</w:t>
            </w:r>
          </w:p>
        </w:tc>
        <w:tc>
          <w:tcPr>
            <w:tcW w:w="140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16"/>
                <w:szCs w:val="16"/>
                <w:color w:val="auto"/>
              </w:rPr>
              <w:t>238</w:t>
            </w:r>
          </w:p>
        </w:tc>
        <w:tc>
          <w:tcPr>
            <w:tcW w:w="6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16"/>
                <w:szCs w:val="16"/>
                <w:color w:val="auto"/>
              </w:rPr>
              <w:t>7,633</w:t>
            </w:r>
          </w:p>
        </w:tc>
        <w:tc>
          <w:tcPr>
            <w:tcW w:w="6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0.7</w:t>
            </w:r>
          </w:p>
        </w:tc>
        <w:tc>
          <w:tcPr>
            <w:tcW w:w="11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817</w:t>
            </w:r>
          </w:p>
        </w:tc>
        <w:tc>
          <w:tcPr>
            <w:tcW w:w="76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2,951</w:t>
            </w:r>
          </w:p>
        </w:tc>
        <w:tc>
          <w:tcPr>
            <w:tcW w:w="82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68"/>
        </w:trPr>
        <w:tc>
          <w:tcPr>
            <w:tcW w:w="130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400" w:type="dxa"/>
            <w:vAlign w:val="bottom"/>
          </w:tcPr>
          <w:p>
            <w:pPr>
              <w:jc w:val="right"/>
              <w:ind w:right="420"/>
              <w:spacing w:after="0"/>
              <w:rPr>
                <w:sz w:val="20"/>
                <w:szCs w:val="20"/>
                <w:color w:val="auto"/>
              </w:rPr>
            </w:pPr>
            <w:r>
              <w:rPr>
                <w:rFonts w:ascii="Arial" w:cs="Arial" w:eastAsia="Arial" w:hAnsi="Arial"/>
                <w:sz w:val="16"/>
                <w:szCs w:val="16"/>
                <w:color w:val="auto"/>
              </w:rPr>
              <w:t>$ 1,324,753</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w w:val="88"/>
              </w:rPr>
              <w:t>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0"/>
              <w:spacing w:after="0"/>
              <w:rPr>
                <w:sz w:val="20"/>
                <w:szCs w:val="20"/>
                <w:color w:val="auto"/>
              </w:rPr>
            </w:pPr>
            <w:r>
              <w:rPr>
                <w:rFonts w:ascii="Arial" w:cs="Arial" w:eastAsia="Arial" w:hAnsi="Arial"/>
                <w:sz w:val="16"/>
                <w:szCs w:val="16"/>
                <w:color w:val="auto"/>
                <w:w w:val="92"/>
              </w:rPr>
              <w:t>1,090,506</w:t>
            </w:r>
          </w:p>
        </w:tc>
        <w:tc>
          <w:tcPr>
            <w:tcW w:w="660" w:type="dxa"/>
            <w:vAlign w:val="bottom"/>
          </w:tcPr>
          <w:p>
            <w:pPr>
              <w:jc w:val="right"/>
              <w:ind w:right="100"/>
              <w:spacing w:after="0"/>
              <w:rPr>
                <w:sz w:val="20"/>
                <w:szCs w:val="20"/>
                <w:color w:val="auto"/>
              </w:rPr>
            </w:pPr>
            <w:r>
              <w:rPr>
                <w:rFonts w:ascii="Arial" w:cs="Arial" w:eastAsia="Arial" w:hAnsi="Arial"/>
                <w:sz w:val="16"/>
                <w:szCs w:val="16"/>
                <w:color w:val="auto"/>
                <w:w w:val="84"/>
              </w:rPr>
              <w:t>100.0%</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$ 1,299,294</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w w:val="92"/>
              </w:rPr>
              <w:t>1,075,157</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45"/>
        </w:trPr>
        <w:tc>
          <w:tcPr>
            <w:tcW w:w="130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-1163320</wp:posOffset>
            </wp:positionV>
            <wp:extent cx="485267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52670" cy="635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-204470</wp:posOffset>
            </wp:positionV>
            <wp:extent cx="493712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37125" cy="635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-7620</wp:posOffset>
            </wp:positionV>
            <wp:extent cx="4852670" cy="285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52670" cy="28575"/>
                    </a:xfrm>
                    <a:prstGeom prst="rect">
                      <a:avLst/>
                    </a:prstGeom>
                    <a:noFill/>
                  </pic:spPr>
                </pic:pic>
              </a:graphicData>
            </a:graphic>
          </wp:anchor>
        </w:drawing>
      </w:r>
    </w:p>
    <w:p>
      <w:pPr>
        <w:spacing w:after="0" w:line="207" w:lineRule="exact"/>
        <w:rPr>
          <w:sz w:val="20"/>
          <w:szCs w:val="20"/>
          <w:color w:val="auto"/>
        </w:rPr>
      </w:pPr>
    </w:p>
    <w:p>
      <w:pPr>
        <w:jc w:val="both"/>
        <w:ind w:left="6" w:right="60" w:hanging="6"/>
        <w:spacing w:after="0" w:line="386" w:lineRule="auto"/>
        <w:tabs>
          <w:tab w:leader="none" w:pos="2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Includes unitranche investments, which account for 48.3% and 49.3% of our portfolio on a fair value and cost basis as of December 31, 2025, respectively. Includes unitranche investments, which account for 39.9% and 40.4% of our portfolio on a fair value and cost basis as of December 31, 2024, respectively.</w:t>
      </w:r>
    </w:p>
    <w:p>
      <w:pPr>
        <w:spacing w:after="0" w:line="157" w:lineRule="exact"/>
        <w:rPr>
          <w:sz w:val="20"/>
          <w:szCs w:val="20"/>
          <w:color w:val="auto"/>
        </w:rPr>
      </w:pPr>
    </w:p>
    <w:p>
      <w:pPr>
        <w:jc w:val="both"/>
        <w:ind w:left="6" w:right="20" w:firstLine="400"/>
        <w:spacing w:after="0" w:line="355" w:lineRule="auto"/>
        <w:rPr>
          <w:sz w:val="20"/>
          <w:szCs w:val="20"/>
          <w:color w:val="auto"/>
        </w:rPr>
      </w:pPr>
      <w:r>
        <w:rPr>
          <w:rFonts w:ascii="Arial" w:cs="Arial" w:eastAsia="Arial" w:hAnsi="Arial"/>
          <w:sz w:val="18"/>
          <w:szCs w:val="18"/>
          <w:color w:val="auto"/>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5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5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16 / 24</w:t>
      </w:r>
    </w:p>
    <w:p>
      <w:pPr>
        <w:sectPr>
          <w:pgSz w:w="11900" w:h="16838" w:orient="portrait"/>
          <w:cols w:equalWidth="0" w:num="1">
            <w:col w:w="9406"/>
          </w:cols>
          <w:pgMar w:left="1254" w:top="1157" w:right="1246" w:bottom="0" w:gutter="0" w:footer="0" w:header="0"/>
          <w:type w:val="continuous"/>
        </w:sectPr>
      </w:pPr>
    </w:p>
    <w:bookmarkStart w:id="273" w:name="page274"/>
    <w:bookmarkEnd w:id="273"/>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6"/>
          </w:tcPr>
          <w:p>
            <w:pPr>
              <w:ind w:left="340"/>
              <w:spacing w:after="0"/>
              <w:rPr>
                <w:sz w:val="20"/>
                <w:szCs w:val="20"/>
                <w:color w:val="auto"/>
              </w:rPr>
            </w:pPr>
            <w:r>
              <w:rPr>
                <w:rFonts w:ascii="Arial" w:cs="Arial" w:eastAsia="Arial" w:hAnsi="Arial"/>
                <w:sz w:val="16"/>
                <w:szCs w:val="16"/>
                <w:b w:val="1"/>
                <w:bCs w:val="1"/>
                <w:color w:val="auto"/>
              </w:rPr>
              <w:t>Fair Value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21"/>
                <w:szCs w:val="21"/>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December 31,</w:t>
            </w:r>
          </w:p>
        </w:tc>
        <w:tc>
          <w:tcPr>
            <w:tcW w:w="220" w:type="dxa"/>
            <w:vAlign w:val="bottom"/>
          </w:tcPr>
          <w:p>
            <w:pPr>
              <w:spacing w:after="0"/>
              <w:rPr>
                <w:sz w:val="21"/>
                <w:szCs w:val="21"/>
                <w:color w:val="auto"/>
              </w:rPr>
            </w:pPr>
          </w:p>
        </w:tc>
        <w:tc>
          <w:tcPr>
            <w:tcW w:w="1420" w:type="dxa"/>
            <w:vAlign w:val="bottom"/>
            <w:gridSpan w:val="2"/>
          </w:tcPr>
          <w:p>
            <w:pPr>
              <w:jc w:val="center"/>
              <w:ind w:left="260"/>
              <w:spacing w:after="0"/>
              <w:rPr>
                <w:sz w:val="20"/>
                <w:szCs w:val="20"/>
                <w:color w:val="auto"/>
              </w:rPr>
            </w:pPr>
            <w:r>
              <w:rPr>
                <w:rFonts w:ascii="Arial" w:cs="Arial" w:eastAsia="Arial" w:hAnsi="Arial"/>
                <w:sz w:val="16"/>
                <w:szCs w:val="16"/>
                <w:b w:val="1"/>
                <w:bCs w:val="1"/>
                <w:color w:val="auto"/>
                <w:w w:val="88"/>
              </w:rPr>
              <w:t>December 31,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United States</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Midwest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shd w:val="clear" w:color="auto" w:fill="CFF0FC"/>
              </w:rPr>
              <w:t>162,362</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120,537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114,396</w:t>
            </w:r>
          </w:p>
        </w:tc>
        <w:tc>
          <w:tcPr>
            <w:tcW w:w="5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73,636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340" w:type="dxa"/>
            <w:vAlign w:val="bottom"/>
          </w:tcPr>
          <w:p>
            <w:pPr>
              <w:spacing w:after="0"/>
              <w:rPr>
                <w:sz w:val="20"/>
                <w:szCs w:val="20"/>
                <w:color w:val="auto"/>
              </w:rPr>
            </w:pPr>
            <w:r>
              <w:rPr>
                <w:rFonts w:ascii="Arial" w:cs="Arial" w:eastAsia="Arial" w:hAnsi="Arial"/>
                <w:sz w:val="16"/>
                <w:szCs w:val="16"/>
                <w:color w:val="auto"/>
              </w:rPr>
              <w:t>Southeast</w:t>
            </w:r>
          </w:p>
        </w:tc>
        <w:tc>
          <w:tcPr>
            <w:tcW w:w="8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387,245</w:t>
            </w:r>
          </w:p>
        </w:tc>
        <w:tc>
          <w:tcPr>
            <w:tcW w:w="140" w:type="dxa"/>
            <w:vAlign w:val="bottom"/>
          </w:tcPr>
          <w:p>
            <w:pPr>
              <w:spacing w:after="0"/>
              <w:rPr>
                <w:sz w:val="23"/>
                <w:szCs w:val="23"/>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29.1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339,683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379,889</w:t>
            </w:r>
          </w:p>
        </w:tc>
        <w:tc>
          <w:tcPr>
            <w:tcW w:w="580" w:type="dxa"/>
            <w:vAlign w:val="bottom"/>
          </w:tcPr>
          <w:p>
            <w:pPr>
              <w:spacing w:after="0"/>
              <w:rPr>
                <w:sz w:val="23"/>
                <w:szCs w:val="23"/>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29.3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337,762</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Northeast</w:t>
            </w:r>
          </w:p>
        </w:tc>
        <w:tc>
          <w:tcPr>
            <w:tcW w:w="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263,070</w:t>
            </w:r>
          </w:p>
        </w:tc>
        <w:tc>
          <w:tcPr>
            <w:tcW w:w="1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211,758</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262,718</w:t>
            </w:r>
          </w:p>
        </w:tc>
        <w:tc>
          <w:tcPr>
            <w:tcW w:w="5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202,206</w:t>
            </w:r>
          </w:p>
        </w:tc>
        <w:tc>
          <w:tcPr>
            <w:tcW w:w="6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18.8</w:t>
            </w:r>
          </w:p>
        </w:tc>
        <w:tc>
          <w:tcPr>
            <w:tcW w:w="1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340" w:type="dxa"/>
            <w:vAlign w:val="bottom"/>
          </w:tcPr>
          <w:p>
            <w:pPr>
              <w:spacing w:after="0"/>
              <w:rPr>
                <w:sz w:val="20"/>
                <w:szCs w:val="20"/>
                <w:color w:val="auto"/>
              </w:rPr>
            </w:pPr>
            <w:r>
              <w:rPr>
                <w:rFonts w:ascii="Arial" w:cs="Arial" w:eastAsia="Arial" w:hAnsi="Arial"/>
                <w:sz w:val="16"/>
                <w:szCs w:val="16"/>
                <w:color w:val="auto"/>
              </w:rPr>
              <w:t>West</w:t>
            </w:r>
          </w:p>
        </w:tc>
        <w:tc>
          <w:tcPr>
            <w:tcW w:w="8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213,090</w:t>
            </w:r>
          </w:p>
        </w:tc>
        <w:tc>
          <w:tcPr>
            <w:tcW w:w="140" w:type="dxa"/>
            <w:vAlign w:val="bottom"/>
          </w:tcPr>
          <w:p>
            <w:pPr>
              <w:spacing w:after="0"/>
              <w:rPr>
                <w:sz w:val="23"/>
                <w:szCs w:val="23"/>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194,568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232,829</w:t>
            </w:r>
          </w:p>
        </w:tc>
        <w:tc>
          <w:tcPr>
            <w:tcW w:w="580" w:type="dxa"/>
            <w:vAlign w:val="bottom"/>
          </w:tcPr>
          <w:p>
            <w:pPr>
              <w:spacing w:after="0"/>
              <w:rPr>
                <w:sz w:val="23"/>
                <w:szCs w:val="23"/>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232,262</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21.6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Southwest</w:t>
            </w:r>
          </w:p>
        </w:tc>
        <w:tc>
          <w:tcPr>
            <w:tcW w:w="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282,971</w:t>
            </w:r>
          </w:p>
        </w:tc>
        <w:tc>
          <w:tcPr>
            <w:tcW w:w="1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21.4</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211,431</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293,590</w:t>
            </w:r>
          </w:p>
        </w:tc>
        <w:tc>
          <w:tcPr>
            <w:tcW w:w="5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22.6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rPr>
              <w:t>216,802</w:t>
            </w:r>
          </w:p>
        </w:tc>
        <w:tc>
          <w:tcPr>
            <w:tcW w:w="6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40" w:type="dxa"/>
            <w:vAlign w:val="bottom"/>
          </w:tcPr>
          <w:p>
            <w:pPr>
              <w:spacing w:after="0"/>
              <w:rPr>
                <w:sz w:val="20"/>
                <w:szCs w:val="20"/>
                <w:color w:val="auto"/>
              </w:rPr>
            </w:pPr>
            <w:r>
              <w:rPr>
                <w:rFonts w:ascii="Arial" w:cs="Arial" w:eastAsia="Arial" w:hAnsi="Arial"/>
                <w:sz w:val="16"/>
                <w:szCs w:val="16"/>
                <w:color w:val="auto"/>
              </w:rPr>
              <w:t>Canada</w:t>
            </w:r>
          </w:p>
        </w:tc>
        <w:tc>
          <w:tcPr>
            <w:tcW w:w="80" w:type="dxa"/>
            <w:vAlign w:val="bottom"/>
          </w:tcPr>
          <w:p>
            <w:pPr>
              <w:spacing w:after="0"/>
              <w:rPr>
                <w:sz w:val="24"/>
                <w:szCs w:val="24"/>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16,015</w:t>
            </w:r>
          </w:p>
        </w:tc>
        <w:tc>
          <w:tcPr>
            <w:tcW w:w="140" w:type="dxa"/>
            <w:vAlign w:val="bottom"/>
          </w:tcPr>
          <w:p>
            <w:pPr>
              <w:spacing w:after="0"/>
              <w:rPr>
                <w:sz w:val="24"/>
                <w:szCs w:val="24"/>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12,529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15,872</w:t>
            </w:r>
          </w:p>
        </w:tc>
        <w:tc>
          <w:tcPr>
            <w:tcW w:w="580" w:type="dxa"/>
            <w:vAlign w:val="bottom"/>
          </w:tcPr>
          <w:p>
            <w:pPr>
              <w:spacing w:after="0"/>
              <w:rPr>
                <w:sz w:val="24"/>
                <w:szCs w:val="24"/>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12,489</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13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8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89"/>
                <w:shd w:val="clear" w:color="auto" w:fill="CFF0FC"/>
              </w:rPr>
              <w:t>1,324,753</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89"/>
              </w:rPr>
              <w:t>1,090,506</w:t>
            </w:r>
          </w:p>
        </w:tc>
        <w:tc>
          <w:tcPr>
            <w:tcW w:w="80" w:type="dxa"/>
            <w:vAlign w:val="bottom"/>
            <w:shd w:val="clear" w:color="auto" w:fill="CFF0FC"/>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FF0FC"/>
          </w:tcPr>
          <w:p>
            <w:pPr>
              <w:spacing w:after="0"/>
              <w:rPr>
                <w:sz w:val="23"/>
                <w:szCs w:val="2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89"/>
              </w:rPr>
              <w:t>1,299,294</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60" w:type="dxa"/>
            <w:vAlign w:val="bottom"/>
            <w:shd w:val="clear" w:color="auto" w:fill="CFF0FC"/>
          </w:tcPr>
          <w:p>
            <w:pPr>
              <w:spacing w:after="0"/>
              <w:rPr>
                <w:sz w:val="23"/>
                <w:szCs w:val="2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w w:val="87"/>
              </w:rPr>
              <w:t>1,075,157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1340" w:type="dxa"/>
            <w:vAlign w:val="bottom"/>
            <w:vMerge w:val="continue"/>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13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-1837690</wp:posOffset>
            </wp:positionV>
            <wp:extent cx="493585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35855" cy="635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-1526540</wp:posOffset>
            </wp:positionV>
            <wp:extent cx="493585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935855" cy="635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-224790</wp:posOffset>
            </wp:positionV>
            <wp:extent cx="493585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35855" cy="635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-27940</wp:posOffset>
            </wp:positionV>
            <wp:extent cx="5020310" cy="28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20310" cy="28575"/>
                    </a:xfrm>
                    <a:prstGeom prst="rect">
                      <a:avLst/>
                    </a:prstGeom>
                    <a:noFill/>
                  </pic:spPr>
                </pic:pic>
              </a:graphicData>
            </a:graphic>
          </wp:anchor>
        </w:drawing>
      </w:r>
    </w:p>
    <w:p>
      <w:pPr>
        <w:spacing w:after="0" w:line="199" w:lineRule="exact"/>
        <w:rPr>
          <w:sz w:val="20"/>
          <w:szCs w:val="20"/>
          <w:color w:val="auto"/>
        </w:rPr>
      </w:pPr>
    </w:p>
    <w:p>
      <w:pPr>
        <w:jc w:val="both"/>
        <w:ind w:right="60" w:firstLine="401"/>
        <w:spacing w:after="0" w:line="302" w:lineRule="auto"/>
        <w:rPr>
          <w:sz w:val="20"/>
          <w:szCs w:val="20"/>
          <w:color w:val="auto"/>
        </w:rPr>
      </w:pPr>
      <w:r>
        <w:rPr>
          <w:rFonts w:ascii="Arial" w:cs="Arial" w:eastAsia="Arial" w:hAnsi="Arial"/>
          <w:sz w:val="20"/>
          <w:szCs w:val="20"/>
          <w:color w:val="auto"/>
        </w:rPr>
        <w:t>The following table shows portfolio composition by type and by geographic region at fair value as a percentage of net assets.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right="340"/>
              <w:spacing w:after="0"/>
              <w:rPr>
                <w:sz w:val="20"/>
                <w:szCs w:val="20"/>
                <w:color w:val="auto"/>
              </w:rPr>
            </w:pPr>
            <w:r>
              <w:rPr>
                <w:rFonts w:ascii="Arial" w:cs="Arial" w:eastAsia="Arial" w:hAnsi="Arial"/>
                <w:sz w:val="20"/>
                <w:szCs w:val="20"/>
                <w:b w:val="1"/>
                <w:bCs w:val="1"/>
                <w:color w:val="auto"/>
                <w:w w:val="92"/>
              </w:rPr>
              <w:t>By Type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20"/>
                <w:szCs w:val="20"/>
                <w:b w:val="1"/>
                <w:bCs w:val="1"/>
                <w:color w:val="auto"/>
                <w:w w:val="95"/>
              </w:rPr>
              <w:t>By Geographic Region</w:t>
            </w:r>
          </w:p>
        </w:tc>
        <w:tc>
          <w:tcPr>
            <w:tcW w:w="1460" w:type="dxa"/>
            <w:vAlign w:val="bottom"/>
          </w:tcPr>
          <w:p>
            <w:pPr>
              <w:spacing w:after="0"/>
              <w:rPr>
                <w:sz w:val="19"/>
                <w:szCs w:val="19"/>
                <w:color w:val="auto"/>
              </w:rPr>
            </w:pPr>
          </w:p>
        </w:tc>
      </w:tr>
      <w:tr>
        <w:trPr>
          <w:trHeight w:val="310"/>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w w:val="99"/>
              </w:rPr>
              <w:t>December</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0"/>
        </w:trPr>
        <w:tc>
          <w:tcPr>
            <w:tcW w:w="1380" w:type="dxa"/>
            <w:vAlign w:val="bottom"/>
          </w:tcPr>
          <w:p>
            <w:pPr>
              <w:spacing w:after="0"/>
              <w:rPr>
                <w:sz w:val="24"/>
                <w:szCs w:val="2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90"/>
              </w:rPr>
              <w:t>December 31,</w:t>
            </w:r>
          </w:p>
        </w:tc>
        <w:tc>
          <w:tcPr>
            <w:tcW w:w="1320" w:type="dxa"/>
            <w:vAlign w:val="bottom"/>
          </w:tcPr>
          <w:p>
            <w:pPr>
              <w:jc w:val="right"/>
              <w:ind w:right="520"/>
              <w:spacing w:after="0"/>
              <w:rPr>
                <w:sz w:val="20"/>
                <w:szCs w:val="20"/>
                <w:color w:val="auto"/>
              </w:rPr>
            </w:pPr>
            <w:r>
              <w:rPr>
                <w:rFonts w:ascii="Arial" w:cs="Arial" w:eastAsia="Arial" w:hAnsi="Arial"/>
                <w:sz w:val="20"/>
                <w:szCs w:val="20"/>
                <w:b w:val="1"/>
                <w:bCs w:val="1"/>
                <w:color w:val="auto"/>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jc w:val="right"/>
              <w:ind w:right="440"/>
              <w:spacing w:after="0"/>
              <w:rPr>
                <w:sz w:val="20"/>
                <w:szCs w:val="20"/>
                <w:color w:val="auto"/>
              </w:rPr>
            </w:pPr>
            <w:r>
              <w:rPr>
                <w:rFonts w:ascii="Arial" w:cs="Arial" w:eastAsia="Arial" w:hAnsi="Arial"/>
                <w:sz w:val="20"/>
                <w:szCs w:val="20"/>
                <w:b w:val="1"/>
                <w:bCs w:val="1"/>
                <w:color w:val="auto"/>
              </w:rPr>
              <w:t>December 31,</w:t>
            </w: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w w:val="95"/>
              </w:rPr>
              <w:t>December 31,</w:t>
            </w:r>
          </w:p>
        </w:tc>
      </w:tr>
      <w:tr>
        <w:trPr>
          <w:trHeight w:val="320"/>
        </w:trPr>
        <w:tc>
          <w:tcPr>
            <w:tcW w:w="138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9"/>
              </w:rPr>
              <w:t>2025</w:t>
            </w:r>
          </w:p>
        </w:tc>
        <w:tc>
          <w:tcPr>
            <w:tcW w:w="1320" w:type="dxa"/>
            <w:vAlign w:val="bottom"/>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jc w:val="right"/>
              <w:ind w:right="820"/>
              <w:spacing w:after="0"/>
              <w:rPr>
                <w:sz w:val="20"/>
                <w:szCs w:val="20"/>
                <w:color w:val="auto"/>
              </w:rPr>
            </w:pPr>
            <w:r>
              <w:rPr>
                <w:rFonts w:ascii="Arial" w:cs="Arial" w:eastAsia="Arial" w:hAnsi="Arial"/>
                <w:sz w:val="20"/>
                <w:szCs w:val="20"/>
                <w:b w:val="1"/>
                <w:bCs w:val="1"/>
                <w:color w:val="auto"/>
              </w:rPr>
              <w:t>2025</w:t>
            </w:r>
          </w:p>
        </w:tc>
        <w:tc>
          <w:tcPr>
            <w:tcW w:w="1460" w:type="dxa"/>
            <w:vAlign w:val="bottom"/>
          </w:tcPr>
          <w:p>
            <w:pPr>
              <w:jc w:val="right"/>
              <w:ind w:right="500"/>
              <w:spacing w:after="0"/>
              <w:rPr>
                <w:sz w:val="20"/>
                <w:szCs w:val="20"/>
                <w:color w:val="auto"/>
              </w:rPr>
            </w:pPr>
            <w:r>
              <w:rPr>
                <w:rFonts w:ascii="Arial" w:cs="Arial" w:eastAsia="Arial" w:hAnsi="Arial"/>
                <w:sz w:val="20"/>
                <w:szCs w:val="20"/>
                <w:b w:val="1"/>
                <w:bCs w:val="1"/>
                <w:color w:val="auto"/>
              </w:rPr>
              <w:t>2024</w:t>
            </w:r>
          </w:p>
        </w:tc>
      </w:tr>
      <w:tr>
        <w:trPr>
          <w:trHeight w:val="51"/>
        </w:trPr>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10"/>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First Lien Debt</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137.4%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9"/>
              </w:rPr>
              <w:t>United States</w:t>
            </w:r>
          </w:p>
        </w:tc>
        <w:tc>
          <w:tcPr>
            <w:tcW w:w="2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259"/>
        </w:trPr>
        <w:tc>
          <w:tcPr>
            <w:tcW w:w="1380" w:type="dxa"/>
            <w:vAlign w:val="bottom"/>
          </w:tcPr>
          <w:p>
            <w:pPr>
              <w:spacing w:after="0"/>
              <w:rPr>
                <w:sz w:val="20"/>
                <w:szCs w:val="20"/>
                <w:color w:val="auto"/>
              </w:rPr>
            </w:pPr>
            <w:r>
              <w:rPr>
                <w:rFonts w:ascii="Arial" w:cs="Arial" w:eastAsia="Arial" w:hAnsi="Arial"/>
                <w:sz w:val="20"/>
                <w:szCs w:val="20"/>
                <w:color w:val="auto"/>
              </w:rPr>
              <w:t>Second Lien</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00"/>
        </w:trPr>
        <w:tc>
          <w:tcPr>
            <w:tcW w:w="1380" w:type="dxa"/>
            <w:vAlign w:val="bottom"/>
          </w:tcPr>
          <w:p>
            <w:pPr>
              <w:spacing w:after="0"/>
              <w:rPr>
                <w:sz w:val="20"/>
                <w:szCs w:val="20"/>
                <w:color w:val="auto"/>
              </w:rPr>
            </w:pPr>
            <w:r>
              <w:rPr>
                <w:rFonts w:ascii="Arial" w:cs="Arial" w:eastAsia="Arial" w:hAnsi="Arial"/>
                <w:sz w:val="20"/>
                <w:szCs w:val="20"/>
                <w:color w:val="auto"/>
              </w:rPr>
              <w:t>Debt</w:t>
            </w:r>
          </w:p>
        </w:tc>
        <w:tc>
          <w:tcPr>
            <w:tcW w:w="1700" w:type="dxa"/>
            <w:vAlign w:val="bottom"/>
            <w:gridSpan w:val="2"/>
          </w:tcPr>
          <w:p>
            <w:pPr>
              <w:jc w:val="right"/>
              <w:ind w:right="280"/>
              <w:spacing w:after="0"/>
              <w:rPr>
                <w:sz w:val="20"/>
                <w:szCs w:val="20"/>
                <w:color w:val="auto"/>
              </w:rPr>
            </w:pPr>
            <w:r>
              <w:rPr>
                <w:rFonts w:ascii="Arial" w:cs="Arial" w:eastAsia="Arial" w:hAnsi="Arial"/>
                <w:sz w:val="20"/>
                <w:szCs w:val="20"/>
                <w:color w:val="auto"/>
              </w:rPr>
              <w:t>9.3</w:t>
            </w:r>
          </w:p>
        </w:tc>
        <w:tc>
          <w:tcPr>
            <w:tcW w:w="1320" w:type="dxa"/>
            <w:vAlign w:val="bottom"/>
          </w:tcPr>
          <w:p>
            <w:pPr>
              <w:jc w:val="right"/>
              <w:ind w:right="60"/>
              <w:spacing w:after="0"/>
              <w:rPr>
                <w:sz w:val="20"/>
                <w:szCs w:val="20"/>
                <w:color w:val="auto"/>
              </w:rPr>
            </w:pPr>
            <w:r>
              <w:rPr>
                <w:rFonts w:ascii="Arial" w:cs="Arial" w:eastAsia="Arial" w:hAnsi="Arial"/>
                <w:sz w:val="20"/>
                <w:szCs w:val="20"/>
                <w:color w:val="auto"/>
              </w:rPr>
              <w:t>12.7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auto"/>
              </w:rPr>
              <w:t>Midwest</w:t>
            </w:r>
          </w:p>
        </w:tc>
        <w:tc>
          <w:tcPr>
            <w:tcW w:w="2140" w:type="dxa"/>
            <w:vAlign w:val="bottom"/>
          </w:tcPr>
          <w:p>
            <w:pPr>
              <w:jc w:val="right"/>
              <w:ind w:right="180"/>
              <w:spacing w:after="0"/>
              <w:rPr>
                <w:sz w:val="20"/>
                <w:szCs w:val="20"/>
                <w:color w:val="auto"/>
              </w:rPr>
            </w:pPr>
            <w:r>
              <w:rPr>
                <w:rFonts w:ascii="Arial" w:cs="Arial" w:eastAsia="Arial" w:hAnsi="Arial"/>
                <w:sz w:val="20"/>
                <w:szCs w:val="20"/>
                <w:color w:val="auto"/>
              </w:rPr>
              <w:t>21.9%</w:t>
            </w:r>
          </w:p>
        </w:tc>
        <w:tc>
          <w:tcPr>
            <w:tcW w:w="146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41"/>
        </w:trPr>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9"/>
        </w:trPr>
        <w:tc>
          <w:tcPr>
            <w:tcW w:w="1380" w:type="dxa"/>
            <w:vAlign w:val="bottom"/>
            <w:shd w:val="clear" w:color="auto" w:fill="CCEEFF"/>
          </w:tcPr>
          <w:p>
            <w:pPr>
              <w:spacing w:after="0"/>
              <w:rPr>
                <w:sz w:val="20"/>
                <w:szCs w:val="20"/>
                <w:color w:val="auto"/>
              </w:rPr>
            </w:pPr>
            <w:r>
              <w:rPr>
                <w:rFonts w:ascii="Arial" w:cs="Arial" w:eastAsia="Arial" w:hAnsi="Arial"/>
                <w:sz w:val="20"/>
                <w:szCs w:val="20"/>
                <w:color w:val="auto"/>
              </w:rPr>
              <w:t>Subordinated</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321"/>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Debt</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20"/>
                <w:szCs w:val="20"/>
                <w:color w:val="auto"/>
              </w:rPr>
              <w:t>12.7</w:t>
            </w: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21.8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Southeast</w:t>
            </w:r>
          </w:p>
        </w:tc>
        <w:tc>
          <w:tcPr>
            <w:tcW w:w="21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20"/>
                <w:szCs w:val="20"/>
                <w:color w:val="auto"/>
              </w:rPr>
              <w:t>52.2</w:t>
            </w: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20"/>
                <w:szCs w:val="20"/>
                <w:color w:val="auto"/>
              </w:rPr>
              <w:t>51.8</w:t>
            </w:r>
          </w:p>
        </w:tc>
      </w:tr>
      <w:tr>
        <w:trPr>
          <w:trHeight w:val="289"/>
        </w:trPr>
        <w:tc>
          <w:tcPr>
            <w:tcW w:w="1380" w:type="dxa"/>
            <w:vAlign w:val="bottom"/>
          </w:tcPr>
          <w:p>
            <w:pPr>
              <w:spacing w:after="0"/>
              <w:rPr>
                <w:sz w:val="20"/>
                <w:szCs w:val="20"/>
                <w:color w:val="auto"/>
              </w:rPr>
            </w:pPr>
            <w:r>
              <w:rPr>
                <w:rFonts w:ascii="Arial" w:cs="Arial" w:eastAsia="Arial" w:hAnsi="Arial"/>
                <w:sz w:val="20"/>
                <w:szCs w:val="20"/>
                <w:color w:val="auto"/>
              </w:rPr>
              <w:t>Equity</w:t>
            </w:r>
          </w:p>
        </w:tc>
        <w:tc>
          <w:tcPr>
            <w:tcW w:w="1700" w:type="dxa"/>
            <w:vAlign w:val="bottom"/>
            <w:gridSpan w:val="2"/>
          </w:tcPr>
          <w:p>
            <w:pPr>
              <w:jc w:val="right"/>
              <w:ind w:right="280"/>
              <w:spacing w:after="0"/>
              <w:rPr>
                <w:sz w:val="20"/>
                <w:szCs w:val="20"/>
                <w:color w:val="auto"/>
              </w:rPr>
            </w:pPr>
            <w:r>
              <w:rPr>
                <w:rFonts w:ascii="Arial" w:cs="Arial" w:eastAsia="Arial" w:hAnsi="Arial"/>
                <w:sz w:val="20"/>
                <w:szCs w:val="20"/>
                <w:color w:val="auto"/>
              </w:rPr>
              <w:t>19.2</w:t>
            </w:r>
          </w:p>
        </w:tc>
        <w:tc>
          <w:tcPr>
            <w:tcW w:w="1320" w:type="dxa"/>
            <w:vAlign w:val="bottom"/>
          </w:tcPr>
          <w:p>
            <w:pPr>
              <w:jc w:val="right"/>
              <w:ind w:right="60"/>
              <w:spacing w:after="0"/>
              <w:rPr>
                <w:sz w:val="20"/>
                <w:szCs w:val="20"/>
                <w:color w:val="auto"/>
              </w:rPr>
            </w:pPr>
            <w:r>
              <w:rPr>
                <w:rFonts w:ascii="Arial" w:cs="Arial" w:eastAsia="Arial" w:hAnsi="Arial"/>
                <w:sz w:val="20"/>
                <w:szCs w:val="20"/>
                <w:color w:val="auto"/>
              </w:rPr>
              <w:t>21.1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auto"/>
              </w:rPr>
              <w:t>Northeast</w:t>
            </w:r>
          </w:p>
        </w:tc>
        <w:tc>
          <w:tcPr>
            <w:tcW w:w="2140" w:type="dxa"/>
            <w:vAlign w:val="bottom"/>
          </w:tcPr>
          <w:p>
            <w:pPr>
              <w:jc w:val="right"/>
              <w:ind w:right="340"/>
              <w:spacing w:after="0"/>
              <w:rPr>
                <w:sz w:val="20"/>
                <w:szCs w:val="20"/>
                <w:color w:val="auto"/>
              </w:rPr>
            </w:pPr>
            <w:r>
              <w:rPr>
                <w:rFonts w:ascii="Arial" w:cs="Arial" w:eastAsia="Arial" w:hAnsi="Arial"/>
                <w:sz w:val="20"/>
                <w:szCs w:val="20"/>
                <w:color w:val="auto"/>
              </w:rPr>
              <w:t>35.5</w:t>
            </w:r>
          </w:p>
        </w:tc>
        <w:tc>
          <w:tcPr>
            <w:tcW w:w="1460" w:type="dxa"/>
            <w:vAlign w:val="bottom"/>
          </w:tcPr>
          <w:p>
            <w:pPr>
              <w:jc w:val="right"/>
              <w:ind w:right="80"/>
              <w:spacing w:after="0"/>
              <w:rPr>
                <w:sz w:val="20"/>
                <w:szCs w:val="20"/>
                <w:color w:val="auto"/>
              </w:rPr>
            </w:pPr>
            <w:r>
              <w:rPr>
                <w:rFonts w:ascii="Arial" w:cs="Arial" w:eastAsia="Arial" w:hAnsi="Arial"/>
                <w:sz w:val="20"/>
                <w:szCs w:val="20"/>
                <w:color w:val="auto"/>
              </w:rPr>
              <w:t>32.3</w:t>
            </w:r>
          </w:p>
        </w:tc>
      </w:tr>
      <w:tr>
        <w:trPr>
          <w:trHeight w:val="41"/>
        </w:trPr>
        <w:tc>
          <w:tcPr>
            <w:tcW w:w="13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310"/>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Warrants</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West</w:t>
            </w:r>
          </w:p>
        </w:tc>
        <w:tc>
          <w:tcPr>
            <w:tcW w:w="21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20"/>
                <w:szCs w:val="20"/>
                <w:color w:val="auto"/>
              </w:rPr>
              <w:t>28.7</w:t>
            </w: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20"/>
                <w:szCs w:val="20"/>
                <w:color w:val="auto"/>
              </w:rPr>
              <w:t>29.7</w:t>
            </w:r>
          </w:p>
        </w:tc>
      </w:tr>
      <w:tr>
        <w:trPr>
          <w:trHeight w:val="304"/>
        </w:trPr>
        <w:tc>
          <w:tcPr>
            <w:tcW w:w="1380" w:type="dxa"/>
            <w:vAlign w:val="bottom"/>
          </w:tcPr>
          <w:p>
            <w:pPr>
              <w:spacing w:after="0"/>
              <w:rPr>
                <w:sz w:val="20"/>
                <w:szCs w:val="20"/>
                <w:color w:val="auto"/>
              </w:rPr>
            </w:pPr>
            <w:r>
              <w:rPr>
                <w:rFonts w:ascii="Arial" w:cs="Arial" w:eastAsia="Arial" w:hAnsi="Arial"/>
                <w:sz w:val="20"/>
                <w:szCs w:val="20"/>
                <w:color w:val="auto"/>
              </w:rPr>
              <w:t>Total</w:t>
            </w:r>
          </w:p>
        </w:tc>
        <w:tc>
          <w:tcPr>
            <w:tcW w:w="1700" w:type="dxa"/>
            <w:vAlign w:val="bottom"/>
            <w:gridSpan w:val="2"/>
          </w:tcPr>
          <w:p>
            <w:pPr>
              <w:jc w:val="right"/>
              <w:ind w:right="100"/>
              <w:spacing w:after="0"/>
              <w:rPr>
                <w:sz w:val="20"/>
                <w:szCs w:val="20"/>
                <w:color w:val="auto"/>
              </w:rPr>
            </w:pPr>
            <w:r>
              <w:rPr>
                <w:rFonts w:ascii="Arial" w:cs="Arial" w:eastAsia="Arial" w:hAnsi="Arial"/>
                <w:sz w:val="20"/>
                <w:szCs w:val="20"/>
                <w:color w:val="auto"/>
              </w:rPr>
              <w:t>178.6%</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166.3%</w:t>
            </w: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auto"/>
              </w:rPr>
              <w:t>Southwest</w:t>
            </w:r>
          </w:p>
        </w:tc>
        <w:tc>
          <w:tcPr>
            <w:tcW w:w="2140" w:type="dxa"/>
            <w:vAlign w:val="bottom"/>
          </w:tcPr>
          <w:p>
            <w:pPr>
              <w:jc w:val="right"/>
              <w:ind w:right="340"/>
              <w:spacing w:after="0"/>
              <w:rPr>
                <w:sz w:val="20"/>
                <w:szCs w:val="20"/>
                <w:color w:val="auto"/>
              </w:rPr>
            </w:pPr>
            <w:r>
              <w:rPr>
                <w:rFonts w:ascii="Arial" w:cs="Arial" w:eastAsia="Arial" w:hAnsi="Arial"/>
                <w:sz w:val="20"/>
                <w:szCs w:val="20"/>
                <w:color w:val="auto"/>
              </w:rPr>
              <w:t>38.1</w:t>
            </w:r>
          </w:p>
        </w:tc>
        <w:tc>
          <w:tcPr>
            <w:tcW w:w="1460" w:type="dxa"/>
            <w:vAlign w:val="bottom"/>
          </w:tcPr>
          <w:p>
            <w:pPr>
              <w:jc w:val="right"/>
              <w:ind w:right="80"/>
              <w:spacing w:after="0"/>
              <w:rPr>
                <w:sz w:val="20"/>
                <w:szCs w:val="20"/>
                <w:color w:val="auto"/>
              </w:rPr>
            </w:pPr>
            <w:r>
              <w:rPr>
                <w:rFonts w:ascii="Arial" w:cs="Arial" w:eastAsia="Arial" w:hAnsi="Arial"/>
                <w:sz w:val="20"/>
                <w:szCs w:val="20"/>
                <w:color w:val="auto"/>
              </w:rPr>
              <w:t>32.2</w:t>
            </w:r>
          </w:p>
        </w:tc>
      </w:tr>
      <w:tr>
        <w:trPr>
          <w:trHeight w:val="41"/>
        </w:trPr>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21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310"/>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Canada</w:t>
            </w:r>
          </w:p>
        </w:tc>
        <w:tc>
          <w:tcPr>
            <w:tcW w:w="21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20"/>
                <w:szCs w:val="20"/>
                <w:color w:val="auto"/>
              </w:rPr>
              <w:t>2.2</w:t>
            </w: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20"/>
                <w:szCs w:val="20"/>
                <w:color w:val="auto"/>
              </w:rPr>
              <w:t>1.9</w:t>
            </w:r>
          </w:p>
        </w:tc>
      </w:tr>
      <w:tr>
        <w:trPr>
          <w:trHeight w:val="304"/>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20"/>
                <w:szCs w:val="20"/>
                <w:color w:val="auto"/>
              </w:rPr>
              <w:t>Total</w:t>
            </w:r>
          </w:p>
        </w:tc>
        <w:tc>
          <w:tcPr>
            <w:tcW w:w="2140" w:type="dxa"/>
            <w:vAlign w:val="bottom"/>
          </w:tcPr>
          <w:p>
            <w:pPr>
              <w:jc w:val="right"/>
              <w:ind w:right="180"/>
              <w:spacing w:after="0"/>
              <w:rPr>
                <w:sz w:val="20"/>
                <w:szCs w:val="20"/>
                <w:color w:val="auto"/>
              </w:rPr>
            </w:pPr>
            <w:r>
              <w:rPr>
                <w:rFonts w:ascii="Arial" w:cs="Arial" w:eastAsia="Arial" w:hAnsi="Arial"/>
                <w:sz w:val="20"/>
                <w:szCs w:val="20"/>
                <w:color w:val="auto"/>
              </w:rPr>
              <w:t>178.6%</w:t>
            </w:r>
          </w:p>
        </w:tc>
        <w:tc>
          <w:tcPr>
            <w:tcW w:w="1460" w:type="dxa"/>
            <w:vAlign w:val="bottom"/>
          </w:tcPr>
          <w:p>
            <w:pPr>
              <w:jc w:val="right"/>
              <w:spacing w:after="0"/>
              <w:rPr>
                <w:sz w:val="20"/>
                <w:szCs w:val="20"/>
                <w:color w:val="auto"/>
              </w:rPr>
            </w:pPr>
            <w:r>
              <w:rPr>
                <w:rFonts w:ascii="Arial" w:cs="Arial" w:eastAsia="Arial" w:hAnsi="Arial"/>
                <w:sz w:val="20"/>
                <w:szCs w:val="20"/>
                <w:color w:val="auto"/>
              </w:rPr>
              <w:t>166.3%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-2608580</wp:posOffset>
            </wp:positionV>
            <wp:extent cx="586168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61685" cy="635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-2018030</wp:posOffset>
            </wp:positionV>
            <wp:extent cx="172910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29105" cy="635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-2018030</wp:posOffset>
            </wp:positionV>
            <wp:extent cx="196024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960245" cy="635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-627380</wp:posOffset>
            </wp:positionV>
            <wp:extent cx="183515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835150" cy="635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-430530</wp:posOffset>
            </wp:positionV>
            <wp:extent cx="1729105" cy="285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29105" cy="2857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-198755</wp:posOffset>
            </wp:positionV>
            <wp:extent cx="206629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66290" cy="635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-1905</wp:posOffset>
            </wp:positionV>
            <wp:extent cx="1960245" cy="28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60245" cy="28575"/>
                    </a:xfrm>
                    <a:prstGeom prst="rect">
                      <a:avLst/>
                    </a:prstGeom>
                    <a:noFill/>
                  </pic:spPr>
                </pic:pic>
              </a:graphicData>
            </a:graphic>
          </wp:anchor>
        </w:drawing>
      </w:r>
    </w:p>
    <w:p>
      <w:pPr>
        <w:spacing w:after="0" w:line="240" w:lineRule="exact"/>
        <w:rPr>
          <w:sz w:val="20"/>
          <w:szCs w:val="20"/>
          <w:color w:val="auto"/>
        </w:rPr>
      </w:pPr>
    </w:p>
    <w:p>
      <w:pPr>
        <w:jc w:val="both"/>
        <w:ind w:right="60" w:firstLine="401"/>
        <w:spacing w:after="0" w:line="307" w:lineRule="auto"/>
        <w:rPr>
          <w:sz w:val="20"/>
          <w:szCs w:val="20"/>
          <w:color w:val="auto"/>
        </w:rPr>
      </w:pPr>
      <w:r>
        <w:rPr>
          <w:rFonts w:ascii="Arial" w:cs="Arial" w:eastAsia="Arial" w:hAnsi="Arial"/>
          <w:sz w:val="20"/>
          <w:szCs w:val="20"/>
          <w:color w:val="auto"/>
        </w:rPr>
        <w:t>As of December 31, 2025 and 2024, the Company had no portfolio company investments that represented more than 10% of the total investment portfolio on a fair value or cost basis. As of December 31, 2025 and 2024, the Company had no investments that exceeded 5% of totals assets.</w:t>
      </w:r>
    </w:p>
    <w:p>
      <w:pPr>
        <w:spacing w:after="0" w:line="197" w:lineRule="exact"/>
        <w:rPr>
          <w:sz w:val="20"/>
          <w:szCs w:val="20"/>
          <w:color w:val="auto"/>
        </w:rPr>
      </w:pPr>
    </w:p>
    <w:p>
      <w:pPr>
        <w:jc w:val="both"/>
        <w:ind w:right="80" w:firstLine="400"/>
        <w:spacing w:after="0" w:line="302" w:lineRule="auto"/>
        <w:rPr>
          <w:sz w:val="20"/>
          <w:szCs w:val="20"/>
          <w:color w:val="auto"/>
        </w:rPr>
      </w:pPr>
      <w:r>
        <w:rPr>
          <w:rFonts w:ascii="Arial" w:cs="Arial" w:eastAsia="Arial" w:hAnsi="Arial"/>
          <w:sz w:val="20"/>
          <w:szCs w:val="20"/>
          <w:color w:val="auto"/>
        </w:rPr>
        <w:t>As of December 31, 2025 and 2024, the Company had debt investments in two and four portfolio companies, respectively, on non-accrual status: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December 31, 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2024</w:t>
            </w:r>
          </w:p>
        </w:tc>
      </w:tr>
      <w:tr>
        <w:trPr>
          <w:trHeight w:val="294"/>
        </w:trPr>
        <w:tc>
          <w:tcPr>
            <w:tcW w:w="3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Fair</w:t>
            </w:r>
          </w:p>
        </w:tc>
        <w:tc>
          <w:tcPr>
            <w:tcW w:w="940" w:type="dxa"/>
            <w:vAlign w:val="bottom"/>
          </w:tcPr>
          <w:p>
            <w:pPr>
              <w:spacing w:after="0"/>
              <w:rPr>
                <w:sz w:val="24"/>
                <w:szCs w:val="24"/>
                <w:color w:val="auto"/>
              </w:rPr>
            </w:pPr>
          </w:p>
        </w:tc>
      </w:tr>
      <w:tr>
        <w:trPr>
          <w:trHeight w:val="284"/>
        </w:trPr>
        <w:tc>
          <w:tcPr>
            <w:tcW w:w="35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34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rPr>
              <w:t>Value</w:t>
            </w: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r>
      <w:tr>
        <w:trPr>
          <w:trHeight w:val="46"/>
        </w:trPr>
        <w:tc>
          <w:tcPr>
            <w:tcW w:w="3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9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Quantum IR Technologies, LLC</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11,964</w:t>
            </w:r>
          </w:p>
        </w:tc>
      </w:tr>
      <w:tr>
        <w:trPr>
          <w:trHeight w:val="278"/>
        </w:trPr>
        <w:tc>
          <w:tcPr>
            <w:tcW w:w="3500" w:type="dxa"/>
            <w:vAlign w:val="bottom"/>
          </w:tcPr>
          <w:p>
            <w:pPr>
              <w:spacing w:after="0"/>
              <w:rPr>
                <w:sz w:val="20"/>
                <w:szCs w:val="20"/>
                <w:color w:val="auto"/>
              </w:rPr>
            </w:pPr>
            <w:r>
              <w:rPr>
                <w:rFonts w:ascii="Arial" w:cs="Arial" w:eastAsia="Arial" w:hAnsi="Arial"/>
                <w:sz w:val="18"/>
                <w:szCs w:val="18"/>
                <w:color w:val="auto"/>
              </w:rPr>
              <w:t>US GreenFiber, LLC</w:t>
            </w:r>
          </w:p>
        </w:tc>
        <w:tc>
          <w:tcPr>
            <w:tcW w:w="1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5,223</w:t>
            </w:r>
          </w:p>
        </w:tc>
      </w:tr>
      <w:tr>
        <w:trPr>
          <w:trHeight w:val="36"/>
        </w:trPr>
        <w:tc>
          <w:tcPr>
            <w:tcW w:w="3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Suited Connector LLC</w:t>
            </w:r>
          </w:p>
        </w:tc>
        <w:tc>
          <w:tcPr>
            <w:tcW w:w="13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5,505</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15,933</w:t>
            </w:r>
          </w:p>
        </w:tc>
      </w:tr>
      <w:tr>
        <w:trPr>
          <w:trHeight w:val="36"/>
        </w:trPr>
        <w:tc>
          <w:tcPr>
            <w:tcW w:w="35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-972185</wp:posOffset>
            </wp:positionV>
            <wp:extent cx="287655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765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584835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483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24</w:t>
      </w:r>
    </w:p>
    <w:p>
      <w:pPr>
        <w:sectPr>
          <w:pgSz w:w="11900" w:h="16838" w:orient="portrait"/>
          <w:cols w:equalWidth="0" w:num="1">
            <w:col w:w="9400"/>
          </w:cols>
          <w:pgMar w:left="1260" w:top="1440" w:right="1246" w:bottom="0" w:gutter="0" w:footer="0" w:header="0"/>
          <w:type w:val="continuous"/>
        </w:sectPr>
      </w:pPr>
    </w:p>
    <w:bookmarkStart w:id="274" w:name="page275"/>
    <w:bookmarkEnd w:id="274"/>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20"/>
                <w:szCs w:val="20"/>
                <w:color w:val="auto"/>
              </w:rPr>
            </w:pPr>
            <w:r>
              <w:rPr>
                <w:rFonts w:ascii="Arial" w:cs="Arial" w:eastAsia="Arial" w:hAnsi="Arial"/>
                <w:sz w:val="18"/>
                <w:szCs w:val="18"/>
                <w:color w:val="auto"/>
              </w:rPr>
              <w:t>Virtex Enterprises, LP</w:t>
            </w:r>
          </w:p>
        </w:tc>
        <w:tc>
          <w:tcPr>
            <w:tcW w:w="184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4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11,214</w:t>
            </w:r>
          </w:p>
        </w:tc>
        <w:tc>
          <w:tcPr>
            <w:tcW w:w="4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4,765</w:t>
            </w:r>
          </w:p>
        </w:tc>
        <w:tc>
          <w:tcPr>
            <w:tcW w:w="3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11,259</w:t>
            </w:r>
          </w:p>
        </w:tc>
      </w:tr>
      <w:tr>
        <w:trPr>
          <w:trHeight w:val="36"/>
        </w:trPr>
        <w:tc>
          <w:tcPr>
            <w:tcW w:w="3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2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27,148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10,270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44,379</w:t>
            </w:r>
          </w:p>
        </w:tc>
      </w:tr>
      <w:tr>
        <w:trPr>
          <w:trHeight w:val="36"/>
        </w:trPr>
        <w:tc>
          <w:tcPr>
            <w:tcW w:w="31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-233680</wp:posOffset>
            </wp:positionV>
            <wp:extent cx="287655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76550" cy="635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-27940</wp:posOffset>
            </wp:positionV>
            <wp:extent cx="2936240" cy="285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362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(1) The Company exited its debt investments in such portfolio companies and did not hold such investments as of December 31, 2025.</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Schedule of Investments In and Advances To Affiliates</w:t>
      </w:r>
    </w:p>
    <w:p>
      <w:pPr>
        <w:spacing w:after="0" w:line="260"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The table below represents the fair value of control and affiliate investments as of December 31, 2024 and any additions and reductions made to such investments during the year ended December 31, 2025, and the total investment income earned on such investments during the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9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24</w:t>
      </w:r>
    </w:p>
    <w:p>
      <w:pPr>
        <w:sectPr>
          <w:pgSz w:w="11900" w:h="16838" w:orient="portrait"/>
          <w:cols w:equalWidth="0" w:num="1">
            <w:col w:w="9400"/>
          </w:cols>
          <w:pgMar w:left="1260" w:top="1196" w:right="1246" w:bottom="0" w:gutter="0" w:footer="0" w:header="0"/>
          <w:type w:val="continuous"/>
        </w:sectPr>
      </w:pPr>
    </w:p>
    <w:bookmarkStart w:id="275" w:name="page276"/>
    <w:bookmarkEnd w:id="275"/>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19"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5"/>
          </w:tcPr>
          <w:p>
            <w:pPr>
              <w:ind w:left="580"/>
              <w:spacing w:after="0"/>
              <w:rPr>
                <w:sz w:val="20"/>
                <w:szCs w:val="20"/>
                <w:color w:val="auto"/>
              </w:rPr>
            </w:pPr>
            <w:r>
              <w:rPr>
                <w:rFonts w:ascii="Arial" w:cs="Arial" w:eastAsia="Arial" w:hAnsi="Arial"/>
                <w:sz w:val="10"/>
                <w:szCs w:val="10"/>
                <w:b w:val="1"/>
                <w:bCs w:val="1"/>
                <w:color w:val="auto"/>
                <w:w w:val="93"/>
              </w:rPr>
              <w:t>Year Ended December 31, 2025</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December</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ind w:right="130"/>
              <w:spacing w:after="0"/>
              <w:rPr>
                <w:sz w:val="20"/>
                <w:szCs w:val="20"/>
                <w:color w:val="auto"/>
              </w:rPr>
            </w:pPr>
            <w:r>
              <w:rPr>
                <w:rFonts w:ascii="Arial" w:cs="Arial" w:eastAsia="Arial" w:hAnsi="Arial"/>
                <w:sz w:val="10"/>
                <w:szCs w:val="10"/>
                <w:b w:val="1"/>
                <w:bCs w:val="1"/>
                <w:color w:val="auto"/>
                <w:w w:val="87"/>
              </w:rPr>
              <w:t>31, 2025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ind w:right="171"/>
              <w:spacing w:after="0"/>
              <w:rPr>
                <w:sz w:val="20"/>
                <w:szCs w:val="20"/>
                <w:color w:val="auto"/>
              </w:rPr>
            </w:pPr>
            <w:r>
              <w:rPr>
                <w:rFonts w:ascii="Arial" w:cs="Arial" w:eastAsia="Arial" w:hAnsi="Arial"/>
                <w:sz w:val="10"/>
                <w:szCs w:val="10"/>
                <w:b w:val="1"/>
                <w:bCs w:val="1"/>
                <w:color w:val="auto"/>
                <w:w w:val="99"/>
              </w:rPr>
              <w:t>Net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ind w:right="130"/>
              <w:spacing w:after="0"/>
              <w:rPr>
                <w:sz w:val="20"/>
                <w:szCs w:val="20"/>
                <w:color w:val="auto"/>
              </w:rPr>
            </w:pPr>
            <w:r>
              <w:rPr>
                <w:rFonts w:ascii="Arial" w:cs="Arial" w:eastAsia="Arial" w:hAnsi="Arial"/>
                <w:sz w:val="10"/>
                <w:szCs w:val="10"/>
                <w:b w:val="1"/>
                <w:bCs w:val="1"/>
                <w:color w:val="auto"/>
                <w:w w:val="89"/>
              </w:rPr>
              <w:t>Principal</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jc w:val="center"/>
              <w:ind w:right="11"/>
              <w:spacing w:after="0"/>
              <w:rPr>
                <w:sz w:val="20"/>
                <w:szCs w:val="20"/>
                <w:color w:val="auto"/>
              </w:rPr>
            </w:pPr>
            <w:r>
              <w:rPr>
                <w:rFonts w:ascii="Arial" w:cs="Arial" w:eastAsia="Arial" w:hAnsi="Arial"/>
                <w:sz w:val="10"/>
                <w:szCs w:val="10"/>
                <w:b w:val="1"/>
                <w:bCs w:val="1"/>
                <w:color w:val="auto"/>
                <w:w w:val="88"/>
              </w:rPr>
              <w:t>Realized</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Net Change in</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Payment-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Amount -</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w:t>
            </w:r>
          </w:p>
        </w:tc>
        <w:tc>
          <w:tcPr>
            <w:tcW w:w="160" w:type="dxa"/>
            <w:vAlign w:val="bottom"/>
          </w:tcPr>
          <w:p>
            <w:pPr>
              <w:spacing w:after="0"/>
              <w:rPr>
                <w:sz w:val="13"/>
                <w:szCs w:val="13"/>
                <w:color w:val="auto"/>
              </w:rPr>
            </w:pPr>
          </w:p>
        </w:tc>
        <w:tc>
          <w:tcPr>
            <w:tcW w:w="500" w:type="dxa"/>
            <w:vAlign w:val="bottom"/>
          </w:tcPr>
          <w:p>
            <w:pPr>
              <w:jc w:val="center"/>
              <w:ind w:right="151"/>
              <w:spacing w:after="0"/>
              <w:rPr>
                <w:sz w:val="20"/>
                <w:szCs w:val="20"/>
                <w:color w:val="auto"/>
              </w:rPr>
            </w:pPr>
            <w:r>
              <w:rPr>
                <w:rFonts w:ascii="Arial" w:cs="Arial" w:eastAsia="Arial" w:hAnsi="Arial"/>
                <w:sz w:val="10"/>
                <w:szCs w:val="10"/>
                <w:b w:val="1"/>
                <w:bCs w:val="1"/>
                <w:color w:val="auto"/>
                <w:w w:val="89"/>
              </w:rPr>
              <w:t>Gross</w:t>
            </w:r>
          </w:p>
        </w:tc>
        <w:tc>
          <w:tcPr>
            <w:tcW w:w="180" w:type="dxa"/>
            <w:vAlign w:val="bottom"/>
          </w:tcPr>
          <w:p>
            <w:pPr>
              <w:spacing w:after="0"/>
              <w:rPr>
                <w:sz w:val="13"/>
                <w:szCs w:val="13"/>
                <w:color w:val="auto"/>
              </w:rPr>
            </w:pPr>
          </w:p>
        </w:tc>
        <w:tc>
          <w:tcPr>
            <w:tcW w:w="540" w:type="dxa"/>
            <w:vAlign w:val="bottom"/>
          </w:tcPr>
          <w:p>
            <w:pPr>
              <w:jc w:val="right"/>
              <w:ind w:right="211"/>
              <w:spacing w:after="0"/>
              <w:rPr>
                <w:sz w:val="20"/>
                <w:szCs w:val="20"/>
                <w:color w:val="auto"/>
              </w:rPr>
            </w:pPr>
            <w:r>
              <w:rPr>
                <w:rFonts w:ascii="Arial" w:cs="Arial" w:eastAsia="Arial" w:hAnsi="Arial"/>
                <w:sz w:val="10"/>
                <w:szCs w:val="10"/>
                <w:b w:val="1"/>
                <w:bCs w:val="1"/>
                <w:color w:val="auto"/>
                <w:w w:val="89"/>
              </w:rPr>
              <w:t>Gross</w:t>
            </w: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w:t>
            </w:r>
          </w:p>
        </w:tc>
        <w:tc>
          <w:tcPr>
            <w:tcW w:w="160" w:type="dxa"/>
            <w:vAlign w:val="bottom"/>
          </w:tcPr>
          <w:p>
            <w:pPr>
              <w:spacing w:after="0"/>
              <w:rPr>
                <w:sz w:val="13"/>
                <w:szCs w:val="13"/>
                <w:color w:val="auto"/>
              </w:rPr>
            </w:pPr>
          </w:p>
        </w:tc>
        <w:tc>
          <w:tcPr>
            <w:tcW w:w="500" w:type="dxa"/>
            <w:vAlign w:val="bottom"/>
          </w:tcPr>
          <w:p>
            <w:pPr>
              <w:jc w:val="center"/>
              <w:ind w:right="171"/>
              <w:spacing w:after="0"/>
              <w:rPr>
                <w:sz w:val="20"/>
                <w:szCs w:val="20"/>
                <w:color w:val="auto"/>
              </w:rPr>
            </w:pPr>
            <w:r>
              <w:rPr>
                <w:rFonts w:ascii="Arial" w:cs="Arial" w:eastAsia="Arial" w:hAnsi="Arial"/>
                <w:sz w:val="10"/>
                <w:szCs w:val="10"/>
                <w:b w:val="1"/>
                <w:bCs w:val="1"/>
                <w:color w:val="auto"/>
                <w:w w:val="86"/>
              </w:rPr>
              <w:t>Gains</w:t>
            </w:r>
          </w:p>
        </w:tc>
        <w:tc>
          <w:tcPr>
            <w:tcW w:w="120" w:type="dxa"/>
            <w:vAlign w:val="bottom"/>
          </w:tcPr>
          <w:p>
            <w:pPr>
              <w:spacing w:after="0"/>
              <w:rPr>
                <w:sz w:val="13"/>
                <w:szCs w:val="13"/>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b w:val="1"/>
                <w:bCs w:val="1"/>
                <w:color w:val="auto"/>
                <w:w w:val="90"/>
              </w:rPr>
              <w:t>Unrealized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right="150"/>
              <w:spacing w:after="0"/>
              <w:rPr>
                <w:sz w:val="20"/>
                <w:szCs w:val="20"/>
                <w:color w:val="auto"/>
              </w:rPr>
            </w:pPr>
            <w:r>
              <w:rPr>
                <w:rFonts w:ascii="Arial" w:cs="Arial" w:eastAsia="Arial" w:hAnsi="Arial"/>
                <w:sz w:val="10"/>
                <w:szCs w:val="10"/>
                <w:b w:val="1"/>
                <w:bCs w:val="1"/>
                <w:color w:val="auto"/>
                <w:w w:val="91"/>
              </w:rPr>
              <w:t>in-kind</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ind w:right="130"/>
              <w:spacing w:after="0"/>
              <w:rPr>
                <w:sz w:val="20"/>
                <w:szCs w:val="20"/>
                <w:color w:val="auto"/>
              </w:rPr>
            </w:pPr>
            <w:r>
              <w:rPr>
                <w:rFonts w:ascii="Arial" w:cs="Arial" w:eastAsia="Arial" w:hAnsi="Arial"/>
                <w:sz w:val="10"/>
                <w:szCs w:val="10"/>
                <w:b w:val="1"/>
                <w:bCs w:val="1"/>
                <w:color w:val="auto"/>
                <w:w w:val="98"/>
              </w:rPr>
              <w:t>Debt</w:t>
            </w:r>
          </w:p>
        </w:tc>
        <w:tc>
          <w:tcPr>
            <w:tcW w:w="160" w:type="dxa"/>
            <w:vAlign w:val="bottom"/>
          </w:tcPr>
          <w:p>
            <w:pPr>
              <w:spacing w:after="0"/>
              <w:rPr>
                <w:sz w:val="13"/>
                <w:szCs w:val="13"/>
                <w:color w:val="auto"/>
              </w:rPr>
            </w:pPr>
          </w:p>
        </w:tc>
        <w:tc>
          <w:tcPr>
            <w:tcW w:w="520" w:type="dxa"/>
            <w:vAlign w:val="bottom"/>
          </w:tcPr>
          <w:p>
            <w:pPr>
              <w:jc w:val="right"/>
              <w:ind w:right="130"/>
              <w:spacing w:after="0"/>
              <w:rPr>
                <w:sz w:val="20"/>
                <w:szCs w:val="20"/>
                <w:color w:val="auto"/>
              </w:rPr>
            </w:pPr>
            <w:r>
              <w:rPr>
                <w:rFonts w:ascii="Arial" w:cs="Arial" w:eastAsia="Arial" w:hAnsi="Arial"/>
                <w:sz w:val="10"/>
                <w:szCs w:val="10"/>
                <w:b w:val="1"/>
                <w:bCs w:val="1"/>
                <w:color w:val="auto"/>
                <w:w w:val="82"/>
              </w:rPr>
              <w:t>31, 2024</w:t>
            </w:r>
          </w:p>
        </w:tc>
        <w:tc>
          <w:tcPr>
            <w:tcW w:w="6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0"/>
              </w:rPr>
              <w:t>Additions</w:t>
            </w: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Reductions</w:t>
            </w:r>
          </w:p>
        </w:tc>
        <w:tc>
          <w:tcPr>
            <w:tcW w:w="140" w:type="dxa"/>
            <w:vAlign w:val="bottom"/>
          </w:tcPr>
          <w:p>
            <w:pPr>
              <w:spacing w:after="0"/>
              <w:rPr>
                <w:sz w:val="13"/>
                <w:szCs w:val="13"/>
                <w:color w:val="auto"/>
              </w:rPr>
            </w:pPr>
          </w:p>
        </w:tc>
        <w:tc>
          <w:tcPr>
            <w:tcW w:w="520" w:type="dxa"/>
            <w:vAlign w:val="bottom"/>
          </w:tcPr>
          <w:p>
            <w:pPr>
              <w:jc w:val="right"/>
              <w:ind w:right="130"/>
              <w:spacing w:after="0"/>
              <w:rPr>
                <w:sz w:val="20"/>
                <w:szCs w:val="20"/>
                <w:color w:val="auto"/>
              </w:rPr>
            </w:pPr>
            <w:r>
              <w:rPr>
                <w:rFonts w:ascii="Arial" w:cs="Arial" w:eastAsia="Arial" w:hAnsi="Arial"/>
                <w:sz w:val="10"/>
                <w:szCs w:val="10"/>
                <w:b w:val="1"/>
                <w:bCs w:val="1"/>
                <w:color w:val="auto"/>
                <w:w w:val="82"/>
              </w:rPr>
              <w:t>31, 2025</w:t>
            </w:r>
          </w:p>
        </w:tc>
        <w:tc>
          <w:tcPr>
            <w:tcW w:w="6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2"/>
              </w:rPr>
              <w:t>(Losses)</w:t>
            </w:r>
          </w:p>
        </w:tc>
        <w:tc>
          <w:tcPr>
            <w:tcW w:w="800" w:type="dxa"/>
            <w:vAlign w:val="bottom"/>
            <w:gridSpan w:val="2"/>
          </w:tcPr>
          <w:p>
            <w:pPr>
              <w:jc w:val="right"/>
              <w:ind w:right="110"/>
              <w:spacing w:after="0"/>
              <w:rPr>
                <w:sz w:val="20"/>
                <w:szCs w:val="20"/>
                <w:color w:val="auto"/>
              </w:rPr>
            </w:pPr>
            <w:r>
              <w:rPr>
                <w:rFonts w:ascii="Arial" w:cs="Arial" w:eastAsia="Arial" w:hAnsi="Arial"/>
                <w:sz w:val="10"/>
                <w:szCs w:val="10"/>
                <w:b w:val="1"/>
                <w:bCs w:val="1"/>
                <w:color w:val="auto"/>
              </w:rPr>
              <w:t>Appreciation</w:t>
            </w:r>
          </w:p>
        </w:tc>
        <w:tc>
          <w:tcPr>
            <w:tcW w:w="620" w:type="dxa"/>
            <w:vAlign w:val="bottom"/>
            <w:gridSpan w:val="2"/>
          </w:tcPr>
          <w:p>
            <w:pPr>
              <w:jc w:val="right"/>
              <w:ind w:right="110"/>
              <w:spacing w:after="0"/>
              <w:rPr>
                <w:sz w:val="20"/>
                <w:szCs w:val="20"/>
                <w:color w:val="auto"/>
              </w:rPr>
            </w:pPr>
            <w:r>
              <w:rPr>
                <w:rFonts w:ascii="Arial" w:cs="Arial" w:eastAsia="Arial" w:hAnsi="Arial"/>
                <w:sz w:val="10"/>
                <w:szCs w:val="10"/>
                <w:b w:val="1"/>
                <w:bCs w:val="1"/>
                <w:color w:val="auto"/>
              </w:rPr>
              <w:t>Interest</w:t>
            </w:r>
          </w:p>
        </w:tc>
        <w:tc>
          <w:tcPr>
            <w:tcW w:w="140" w:type="dxa"/>
            <w:vAlign w:val="bottom"/>
          </w:tcPr>
          <w:p>
            <w:pPr>
              <w:spacing w:after="0"/>
              <w:rPr>
                <w:sz w:val="13"/>
                <w:szCs w:val="13"/>
                <w:color w:val="auto"/>
              </w:rPr>
            </w:pPr>
          </w:p>
        </w:tc>
        <w:tc>
          <w:tcPr>
            <w:tcW w:w="540" w:type="dxa"/>
            <w:vAlign w:val="bottom"/>
          </w:tcPr>
          <w:p>
            <w:pPr>
              <w:jc w:val="center"/>
              <w:ind w:right="150"/>
              <w:spacing w:after="0"/>
              <w:rPr>
                <w:sz w:val="20"/>
                <w:szCs w:val="20"/>
                <w:color w:val="auto"/>
              </w:rPr>
            </w:pPr>
            <w:r>
              <w:rPr>
                <w:rFonts w:ascii="Arial" w:cs="Arial" w:eastAsia="Arial" w:hAnsi="Arial"/>
                <w:sz w:val="10"/>
                <w:szCs w:val="10"/>
                <w:b w:val="1"/>
                <w:bCs w:val="1"/>
                <w:color w:val="auto"/>
                <w:w w:val="93"/>
              </w:rPr>
              <w:t>Interest</w:t>
            </w:r>
          </w:p>
        </w:tc>
        <w:tc>
          <w:tcPr>
            <w:tcW w:w="600" w:type="dxa"/>
            <w:vAlign w:val="bottom"/>
            <w:gridSpan w:val="2"/>
          </w:tcPr>
          <w:p>
            <w:pPr>
              <w:ind w:left="80"/>
              <w:spacing w:after="0"/>
              <w:rPr>
                <w:sz w:val="20"/>
                <w:szCs w:val="20"/>
                <w:color w:val="auto"/>
              </w:rPr>
            </w:pPr>
            <w:r>
              <w:rPr>
                <w:rFonts w:ascii="Arial" w:cs="Arial" w:eastAsia="Arial" w:hAnsi="Arial"/>
                <w:sz w:val="10"/>
                <w:szCs w:val="10"/>
                <w:b w:val="1"/>
                <w:bCs w:val="1"/>
                <w:color w:val="auto"/>
              </w:rPr>
              <w:t>Dividend</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rPr>
                <w:sz w:val="20"/>
                <w:szCs w:val="20"/>
                <w:color w:val="auto"/>
              </w:rPr>
            </w:pPr>
            <w:r>
              <w:rPr>
                <w:rFonts w:ascii="Arial" w:cs="Arial" w:eastAsia="Arial" w:hAnsi="Arial"/>
                <w:sz w:val="10"/>
                <w:szCs w:val="10"/>
                <w:b w:val="1"/>
                <w:bCs w:val="1"/>
                <w:color w:val="auto"/>
              </w:rPr>
              <w:t xml:space="preserve">Portfolio Company </w:t>
            </w:r>
            <w:r>
              <w:rPr>
                <w:rFonts w:ascii="Arial" w:cs="Arial" w:eastAsia="Arial" w:hAnsi="Arial"/>
                <w:sz w:val="13"/>
                <w:szCs w:val="13"/>
                <w:b w:val="1"/>
                <w:bCs w:val="1"/>
                <w:color w:val="auto"/>
                <w:vertAlign w:val="superscript"/>
              </w:rPr>
              <w:t>(1)</w:t>
            </w:r>
          </w:p>
        </w:tc>
        <w:tc>
          <w:tcPr>
            <w:tcW w:w="7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Investments</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5"/>
                <w:szCs w:val="15"/>
                <w:color w:val="auto"/>
              </w:rPr>
            </w:pPr>
          </w:p>
        </w:tc>
        <w:tc>
          <w:tcPr>
            <w:tcW w:w="500" w:type="dxa"/>
            <w:vAlign w:val="bottom"/>
          </w:tcPr>
          <w:p>
            <w:pPr>
              <w:jc w:val="center"/>
              <w:ind w:right="131"/>
              <w:spacing w:after="0"/>
              <w:rPr>
                <w:sz w:val="20"/>
                <w:szCs w:val="20"/>
                <w:color w:val="auto"/>
              </w:rPr>
            </w:pPr>
            <w:r>
              <w:rPr>
                <w:rFonts w:ascii="Arial" w:cs="Arial" w:eastAsia="Arial" w:hAnsi="Arial"/>
                <w:sz w:val="7"/>
                <w:szCs w:val="7"/>
                <w:b w:val="1"/>
                <w:bCs w:val="1"/>
                <w:color w:val="auto"/>
                <w:w w:val="92"/>
              </w:rPr>
              <w:t>(2)</w:t>
            </w:r>
          </w:p>
        </w:tc>
        <w:tc>
          <w:tcPr>
            <w:tcW w:w="180" w:type="dxa"/>
            <w:vAlign w:val="bottom"/>
          </w:tcPr>
          <w:p>
            <w:pPr>
              <w:spacing w:after="0"/>
              <w:rPr>
                <w:sz w:val="15"/>
                <w:szCs w:val="15"/>
                <w:color w:val="auto"/>
              </w:rPr>
            </w:pPr>
          </w:p>
        </w:tc>
        <w:tc>
          <w:tcPr>
            <w:tcW w:w="540" w:type="dxa"/>
            <w:vAlign w:val="bottom"/>
          </w:tcPr>
          <w:p>
            <w:pPr>
              <w:jc w:val="right"/>
              <w:ind w:right="271"/>
              <w:spacing w:after="0"/>
              <w:rPr>
                <w:sz w:val="20"/>
                <w:szCs w:val="20"/>
                <w:color w:val="auto"/>
              </w:rPr>
            </w:pPr>
            <w:r>
              <w:rPr>
                <w:rFonts w:ascii="Arial" w:cs="Arial" w:eastAsia="Arial" w:hAnsi="Arial"/>
                <w:sz w:val="7"/>
                <w:szCs w:val="7"/>
                <w:b w:val="1"/>
                <w:bCs w:val="1"/>
                <w:color w:val="auto"/>
              </w:rPr>
              <w:t>(3)</w:t>
            </w: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5"/>
                <w:szCs w:val="15"/>
                <w:color w:val="auto"/>
              </w:rPr>
            </w:pPr>
          </w:p>
        </w:tc>
        <w:tc>
          <w:tcPr>
            <w:tcW w:w="500" w:type="dxa"/>
            <w:vAlign w:val="bottom"/>
          </w:tcPr>
          <w:p>
            <w:pPr>
              <w:jc w:val="center"/>
              <w:ind w:right="131"/>
              <w:spacing w:after="0"/>
              <w:rPr>
                <w:sz w:val="20"/>
                <w:szCs w:val="20"/>
                <w:color w:val="auto"/>
              </w:rPr>
            </w:pPr>
            <w:r>
              <w:rPr>
                <w:rFonts w:ascii="Arial" w:cs="Arial" w:eastAsia="Arial" w:hAnsi="Arial"/>
                <w:sz w:val="7"/>
                <w:szCs w:val="7"/>
                <w:b w:val="1"/>
                <w:bCs w:val="1"/>
                <w:color w:val="auto"/>
                <w:w w:val="92"/>
              </w:rPr>
              <w:t>(4)</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(Depreciation)</w:t>
            </w:r>
          </w:p>
        </w:tc>
        <w:tc>
          <w:tcPr>
            <w:tcW w:w="140" w:type="dxa"/>
            <w:vAlign w:val="bottom"/>
          </w:tcPr>
          <w:p>
            <w:pPr>
              <w:spacing w:after="0"/>
              <w:rPr>
                <w:sz w:val="15"/>
                <w:szCs w:val="15"/>
                <w:color w:val="auto"/>
              </w:rPr>
            </w:pPr>
          </w:p>
        </w:tc>
        <w:tc>
          <w:tcPr>
            <w:tcW w:w="480" w:type="dxa"/>
            <w:vAlign w:val="bottom"/>
          </w:tcPr>
          <w:p>
            <w:pPr>
              <w:jc w:val="right"/>
              <w:ind w:right="110"/>
              <w:spacing w:after="0"/>
              <w:rPr>
                <w:sz w:val="20"/>
                <w:szCs w:val="20"/>
                <w:color w:val="auto"/>
              </w:rPr>
            </w:pPr>
            <w:r>
              <w:rPr>
                <w:rFonts w:ascii="Arial" w:cs="Arial" w:eastAsia="Arial" w:hAnsi="Arial"/>
                <w:sz w:val="10"/>
                <w:szCs w:val="10"/>
                <w:b w:val="1"/>
                <w:bCs w:val="1"/>
                <w:color w:val="auto"/>
                <w:w w:val="85"/>
              </w:rPr>
              <w:t>Income</w:t>
            </w:r>
          </w:p>
        </w:tc>
        <w:tc>
          <w:tcPr>
            <w:tcW w:w="140" w:type="dxa"/>
            <w:vAlign w:val="bottom"/>
          </w:tcPr>
          <w:p>
            <w:pPr>
              <w:spacing w:after="0"/>
              <w:rPr>
                <w:sz w:val="15"/>
                <w:szCs w:val="15"/>
                <w:color w:val="auto"/>
              </w:rPr>
            </w:pPr>
          </w:p>
        </w:tc>
        <w:tc>
          <w:tcPr>
            <w:tcW w:w="540" w:type="dxa"/>
            <w:vAlign w:val="bottom"/>
          </w:tcPr>
          <w:p>
            <w:pPr>
              <w:jc w:val="center"/>
              <w:ind w:right="130"/>
              <w:spacing w:after="0"/>
              <w:rPr>
                <w:sz w:val="20"/>
                <w:szCs w:val="20"/>
                <w:color w:val="auto"/>
              </w:rPr>
            </w:pPr>
            <w:r>
              <w:rPr>
                <w:rFonts w:ascii="Arial" w:cs="Arial" w:eastAsia="Arial" w:hAnsi="Arial"/>
                <w:sz w:val="10"/>
                <w:szCs w:val="10"/>
                <w:b w:val="1"/>
                <w:bCs w:val="1"/>
                <w:color w:val="auto"/>
                <w:w w:val="91"/>
              </w:rPr>
              <w:t>Income</w:t>
            </w:r>
          </w:p>
        </w:tc>
        <w:tc>
          <w:tcPr>
            <w:tcW w:w="120" w:type="dxa"/>
            <w:vAlign w:val="bottom"/>
          </w:tcPr>
          <w:p>
            <w:pPr>
              <w:spacing w:after="0"/>
              <w:rPr>
                <w:sz w:val="15"/>
                <w:szCs w:val="15"/>
                <w:color w:val="auto"/>
              </w:rPr>
            </w:pPr>
          </w:p>
        </w:tc>
        <w:tc>
          <w:tcPr>
            <w:tcW w:w="480" w:type="dxa"/>
            <w:vAlign w:val="bottom"/>
          </w:tcPr>
          <w:p>
            <w:pPr>
              <w:jc w:val="right"/>
              <w:ind w:right="110"/>
              <w:spacing w:after="0"/>
              <w:rPr>
                <w:sz w:val="20"/>
                <w:szCs w:val="20"/>
                <w:color w:val="auto"/>
              </w:rPr>
            </w:pPr>
            <w:r>
              <w:rPr>
                <w:rFonts w:ascii="Arial" w:cs="Arial" w:eastAsia="Arial" w:hAnsi="Arial"/>
                <w:sz w:val="10"/>
                <w:szCs w:val="10"/>
                <w:b w:val="1"/>
                <w:bCs w:val="1"/>
                <w:color w:val="auto"/>
                <w:w w:val="85"/>
              </w:rPr>
              <w:t>Income</w:t>
            </w:r>
          </w:p>
        </w:tc>
        <w:tc>
          <w:tcPr>
            <w:tcW w:w="740" w:type="dxa"/>
            <w:vAlign w:val="bottom"/>
            <w:gridSpan w:val="2"/>
          </w:tcPr>
          <w:p>
            <w:pPr>
              <w:jc w:val="right"/>
              <w:ind w:right="90"/>
              <w:spacing w:after="0"/>
              <w:rPr>
                <w:sz w:val="20"/>
                <w:szCs w:val="20"/>
                <w:color w:val="auto"/>
              </w:rPr>
            </w:pPr>
            <w:r>
              <w:rPr>
                <w:rFonts w:ascii="Arial" w:cs="Arial" w:eastAsia="Arial" w:hAnsi="Arial"/>
                <w:sz w:val="10"/>
                <w:szCs w:val="10"/>
                <w:b w:val="1"/>
                <w:bCs w:val="1"/>
                <w:color w:val="auto"/>
              </w:rPr>
              <w:t>Fee Income</w:t>
            </w:r>
          </w:p>
        </w:tc>
        <w:tc>
          <w:tcPr>
            <w:tcW w:w="0" w:type="dxa"/>
            <w:vAlign w:val="bottom"/>
          </w:tcPr>
          <w:p>
            <w:pPr>
              <w:spacing w:after="0"/>
              <w:rPr>
                <w:sz w:val="1"/>
                <w:szCs w:val="1"/>
                <w:color w:val="auto"/>
              </w:rPr>
            </w:pPr>
          </w:p>
        </w:tc>
      </w:tr>
      <w:tr>
        <w:trPr>
          <w:trHeight w:val="1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Control Investments</w:t>
            </w: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1860" w:type="dxa"/>
            <w:vAlign w:val="bottom"/>
          </w:tcPr>
          <w:p>
            <w:pPr>
              <w:spacing w:after="0"/>
              <w:rPr>
                <w:sz w:val="20"/>
                <w:szCs w:val="20"/>
                <w:color w:val="auto"/>
              </w:rPr>
            </w:pPr>
            <w:r>
              <w:rPr>
                <w:rFonts w:ascii="Arial" w:cs="Arial" w:eastAsia="Arial" w:hAnsi="Arial"/>
                <w:sz w:val="10"/>
                <w:szCs w:val="10"/>
                <w:color w:val="auto"/>
              </w:rPr>
              <w:t>US GreenFiber, LLC</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5,223</w:t>
            </w:r>
          </w:p>
        </w:tc>
        <w:tc>
          <w:tcPr>
            <w:tcW w:w="180" w:type="dxa"/>
            <w:vAlign w:val="bottom"/>
          </w:tcPr>
          <w:p>
            <w:pPr>
              <w:ind w:left="1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 xml:space="preserve">(5,223 </w:t>
            </w:r>
            <w:r>
              <w:rPr>
                <w:rFonts w:ascii="Arial" w:cs="Arial" w:eastAsia="Arial" w:hAnsi="Arial"/>
                <w:sz w:val="19"/>
                <w:szCs w:val="19"/>
                <w:color w:val="auto"/>
                <w:vertAlign w:val="subscript"/>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 xml:space="preserve">(5,223 </w:t>
            </w:r>
            <w:r>
              <w:rPr>
                <w:rFonts w:ascii="Arial" w:cs="Arial" w:eastAsia="Arial" w:hAnsi="Arial"/>
                <w:sz w:val="19"/>
                <w:szCs w:val="19"/>
                <w:color w:val="auto"/>
                <w:vertAlign w:val="subscript"/>
              </w:rPr>
              <w:t>)</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5,222</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8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 Control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5,223</w:t>
            </w:r>
          </w:p>
        </w:tc>
        <w:tc>
          <w:tcPr>
            <w:tcW w:w="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 xml:space="preserve">(5,223 </w:t>
            </w:r>
            <w:r>
              <w:rPr>
                <w:rFonts w:ascii="Arial" w:cs="Arial" w:eastAsia="Arial" w:hAnsi="Arial"/>
                <w:sz w:val="19"/>
                <w:szCs w:val="19"/>
                <w:color w:val="auto"/>
                <w:vertAlign w:val="subscript"/>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 xml:space="preserve">(5,223 </w:t>
            </w:r>
            <w:r>
              <w:rPr>
                <w:rFonts w:ascii="Arial" w:cs="Arial" w:eastAsia="Arial" w:hAnsi="Arial"/>
                <w:sz w:val="19"/>
                <w:szCs w:val="19"/>
                <w:color w:val="auto"/>
                <w:vertAlign w:val="subscript"/>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5,222</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6"/>
        </w:trPr>
        <w:tc>
          <w:tcPr>
            <w:tcW w:w="186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20"/>
                <w:szCs w:val="20"/>
                <w:color w:val="auto"/>
              </w:rPr>
            </w:pPr>
            <w:r>
              <w:rPr>
                <w:rFonts w:ascii="Arial" w:cs="Arial" w:eastAsia="Arial" w:hAnsi="Arial"/>
                <w:sz w:val="10"/>
                <w:szCs w:val="10"/>
                <w:b w:val="1"/>
                <w:bCs w:val="1"/>
                <w:color w:val="auto"/>
              </w:rPr>
              <w:t>Affiliate Investments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60" w:type="dxa"/>
            <w:vAlign w:val="bottom"/>
            <w:shd w:val="clear" w:color="auto" w:fill="CCEEFF"/>
          </w:tcPr>
          <w:p>
            <w:pPr>
              <w:spacing w:after="0"/>
              <w:rPr>
                <w:sz w:val="20"/>
                <w:szCs w:val="20"/>
                <w:color w:val="auto"/>
              </w:rPr>
            </w:pPr>
            <w:r>
              <w:rPr>
                <w:rFonts w:ascii="Arial" w:cs="Arial" w:eastAsia="Arial" w:hAnsi="Arial"/>
                <w:sz w:val="10"/>
                <w:szCs w:val="10"/>
                <w:color w:val="auto"/>
                <w:w w:val="95"/>
              </w:rPr>
              <w:t>Applegate Greenfiber Intermediate Inc. (fka</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9,602</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24,387</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2,100</w:t>
            </w: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26,487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2,100</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1,071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US GreenFiber, LLC)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continue"/>
            <w:shd w:val="clear" w:color="auto" w:fill="CCEEFF"/>
          </w:tcPr>
          <w:p>
            <w:pPr>
              <w:spacing w:after="0"/>
              <w:rPr>
                <w:sz w:val="9"/>
                <w:szCs w:val="9"/>
                <w:color w:val="auto"/>
              </w:rPr>
            </w:pP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20" w:type="dxa"/>
            <w:vAlign w:val="bottom"/>
            <w:vMerge w:val="continue"/>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continue"/>
            <w:shd w:val="clear" w:color="auto" w:fill="CCEEFF"/>
          </w:tcPr>
          <w:p>
            <w:pPr>
              <w:spacing w:after="0"/>
              <w:rPr>
                <w:sz w:val="9"/>
                <w:szCs w:val="9"/>
                <w:color w:val="auto"/>
              </w:rPr>
            </w:pPr>
          </w:p>
        </w:tc>
        <w:tc>
          <w:tcPr>
            <w:tcW w:w="18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40" w:type="dxa"/>
            <w:vAlign w:val="bottom"/>
            <w:vMerge w:val="continue"/>
            <w:shd w:val="clear" w:color="auto" w:fill="CCEEFF"/>
          </w:tcPr>
          <w:p>
            <w:pPr>
              <w:spacing w:after="0"/>
              <w:rPr>
                <w:sz w:val="9"/>
                <w:szCs w:val="9"/>
                <w:color w:val="auto"/>
              </w:rPr>
            </w:pPr>
          </w:p>
        </w:tc>
        <w:tc>
          <w:tcPr>
            <w:tcW w:w="140" w:type="dxa"/>
            <w:vAlign w:val="bottom"/>
            <w:vMerge w:val="restart"/>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vMerge w:val="continue"/>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80" w:type="dxa"/>
            <w:vAlign w:val="bottom"/>
            <w:vMerge w:val="continue"/>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continue"/>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3"/>
        </w:trPr>
        <w:tc>
          <w:tcPr>
            <w:tcW w:w="186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5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54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5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6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5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42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1860" w:type="dxa"/>
            <w:vAlign w:val="bottom"/>
          </w:tcPr>
          <w:p>
            <w:pPr>
              <w:spacing w:after="0"/>
              <w:rPr>
                <w:sz w:val="20"/>
                <w:szCs w:val="20"/>
                <w:color w:val="auto"/>
              </w:rPr>
            </w:pPr>
            <w:r>
              <w:rPr>
                <w:rFonts w:ascii="Arial" w:cs="Arial" w:eastAsia="Arial" w:hAnsi="Arial"/>
                <w:sz w:val="10"/>
                <w:szCs w:val="10"/>
                <w:color w:val="auto"/>
              </w:rPr>
              <w:t>CP Communications, LLC</w:t>
            </w:r>
          </w:p>
        </w:tc>
        <w:tc>
          <w:tcPr>
            <w:tcW w:w="16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5,861</w:t>
            </w:r>
          </w:p>
        </w:tc>
        <w:tc>
          <w:tcPr>
            <w:tcW w:w="16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8,306</w:t>
            </w:r>
          </w:p>
        </w:tc>
        <w:tc>
          <w:tcPr>
            <w:tcW w:w="160" w:type="dxa"/>
            <w:vAlign w:val="bottom"/>
          </w:tcPr>
          <w:p>
            <w:pPr>
              <w:spacing w:after="0"/>
              <w:rPr>
                <w:sz w:val="24"/>
                <w:szCs w:val="24"/>
                <w:color w:val="auto"/>
              </w:rPr>
            </w:pP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125</w:t>
            </w:r>
          </w:p>
        </w:tc>
        <w:tc>
          <w:tcPr>
            <w:tcW w:w="180" w:type="dxa"/>
            <w:vAlign w:val="bottom"/>
          </w:tcPr>
          <w:p>
            <w:pPr>
              <w:spacing w:after="0"/>
              <w:rPr>
                <w:sz w:val="24"/>
                <w:szCs w:val="24"/>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 xml:space="preserve">(1,999 </w:t>
            </w:r>
            <w:r>
              <w:rPr>
                <w:rFonts w:ascii="Arial" w:cs="Arial" w:eastAsia="Arial" w:hAnsi="Arial"/>
                <w:sz w:val="19"/>
                <w:szCs w:val="19"/>
                <w:color w:val="auto"/>
                <w:vertAlign w:val="subscript"/>
              </w:rPr>
              <w:t>)</w:t>
            </w:r>
          </w:p>
        </w:tc>
        <w:tc>
          <w:tcPr>
            <w:tcW w:w="14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6,432</w:t>
            </w:r>
          </w:p>
        </w:tc>
        <w:tc>
          <w:tcPr>
            <w:tcW w:w="160" w:type="dxa"/>
            <w:vAlign w:val="bottom"/>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108</w:t>
            </w:r>
          </w:p>
        </w:tc>
        <w:tc>
          <w:tcPr>
            <w:tcW w:w="140" w:type="dxa"/>
            <w:vAlign w:val="bottom"/>
          </w:tcPr>
          <w:p>
            <w:pPr>
              <w:spacing w:after="0"/>
              <w:rPr>
                <w:sz w:val="24"/>
                <w:szCs w:val="24"/>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1,041</w:t>
            </w:r>
          </w:p>
        </w:tc>
        <w:tc>
          <w:tcPr>
            <w:tcW w:w="14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24"/>
                <w:szCs w:val="24"/>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Medsurant Holdings, LLC</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9,863</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10,963</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 xml:space="preserve">(20,518 </w:t>
            </w:r>
            <w:r>
              <w:rPr>
                <w:rFonts w:ascii="Arial" w:cs="Arial" w:eastAsia="Arial" w:hAnsi="Arial"/>
                <w:sz w:val="19"/>
                <w:szCs w:val="19"/>
                <w:color w:val="auto"/>
                <w:vertAlign w:val="subscript"/>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308</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10,963</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 xml:space="preserve">(6,982 </w:t>
            </w:r>
            <w:r>
              <w:rPr>
                <w:rFonts w:ascii="Arial" w:cs="Arial" w:eastAsia="Arial" w:hAnsi="Arial"/>
                <w:sz w:val="19"/>
                <w:szCs w:val="19"/>
                <w:color w:val="auto"/>
                <w:vertAlign w:val="subscript"/>
              </w:rPr>
              <w:t>)</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867</w:t>
            </w: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860" w:type="dxa"/>
            <w:vAlign w:val="bottom"/>
            <w:vMerge w:val="restart"/>
          </w:tcPr>
          <w:p>
            <w:pPr>
              <w:spacing w:after="0"/>
              <w:rPr>
                <w:sz w:val="20"/>
                <w:szCs w:val="20"/>
                <w:color w:val="auto"/>
              </w:rPr>
            </w:pPr>
            <w:r>
              <w:rPr>
                <w:rFonts w:ascii="Arial" w:cs="Arial" w:eastAsia="Arial" w:hAnsi="Arial"/>
                <w:sz w:val="10"/>
                <w:szCs w:val="10"/>
                <w:color w:val="auto"/>
              </w:rPr>
              <w:t>Pfanstiehl, Inc.</w:t>
            </w:r>
          </w:p>
        </w:tc>
        <w:tc>
          <w:tcPr>
            <w:tcW w:w="160" w:type="dxa"/>
            <w:vAlign w:val="bottom"/>
          </w:tcPr>
          <w:p>
            <w:pPr>
              <w:spacing w:after="0"/>
              <w:rPr>
                <w:sz w:val="21"/>
                <w:szCs w:val="2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39,923</w:t>
            </w:r>
          </w:p>
        </w:tc>
        <w:tc>
          <w:tcPr>
            <w:tcW w:w="160" w:type="dxa"/>
            <w:vAlign w:val="bottom"/>
          </w:tcPr>
          <w:p>
            <w:pPr>
              <w:spacing w:after="0"/>
              <w:rPr>
                <w:sz w:val="21"/>
                <w:szCs w:val="21"/>
                <w:color w:val="auto"/>
              </w:rPr>
            </w:pP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1,072</w:t>
            </w:r>
          </w:p>
        </w:tc>
        <w:tc>
          <w:tcPr>
            <w:tcW w:w="180" w:type="dxa"/>
            <w:vAlign w:val="bottom"/>
          </w:tcPr>
          <w:p>
            <w:pPr>
              <w:spacing w:after="0"/>
              <w:rPr>
                <w:sz w:val="21"/>
                <w:szCs w:val="21"/>
                <w:color w:val="auto"/>
              </w:rPr>
            </w:pPr>
          </w:p>
        </w:tc>
        <w:tc>
          <w:tcPr>
            <w:tcW w:w="54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40,995</w:t>
            </w:r>
          </w:p>
        </w:tc>
        <w:tc>
          <w:tcPr>
            <w:tcW w:w="160" w:type="dxa"/>
            <w:vAlign w:val="bottom"/>
          </w:tcPr>
          <w:p>
            <w:pPr>
              <w:spacing w:after="0"/>
              <w:rPr>
                <w:sz w:val="21"/>
                <w:szCs w:val="21"/>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1,072</w:t>
            </w:r>
          </w:p>
        </w:tc>
        <w:tc>
          <w:tcPr>
            <w:tcW w:w="140" w:type="dxa"/>
            <w:vAlign w:val="bottom"/>
          </w:tcPr>
          <w:p>
            <w:pPr>
              <w:spacing w:after="0"/>
              <w:rPr>
                <w:sz w:val="21"/>
                <w:szCs w:val="21"/>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522</w:t>
            </w:r>
          </w:p>
        </w:tc>
        <w:tc>
          <w:tcPr>
            <w:tcW w:w="320" w:type="dxa"/>
            <w:vAlign w:val="bottom"/>
          </w:tcPr>
          <w:p>
            <w:pPr>
              <w:spacing w:after="0"/>
              <w:rPr>
                <w:sz w:val="21"/>
                <w:szCs w:val="21"/>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18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PIPCO, LLC</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9,000</w:t>
            </w: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9,766</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 xml:space="preserve">(67 </w:t>
            </w:r>
            <w:r>
              <w:rPr>
                <w:rFonts w:ascii="Arial" w:cs="Arial" w:eastAsia="Arial" w:hAnsi="Arial"/>
                <w:sz w:val="19"/>
                <w:szCs w:val="19"/>
                <w:color w:val="auto"/>
                <w:vertAlign w:val="subscript"/>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9,699</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15</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54</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199</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20"/>
                <w:szCs w:val="20"/>
                <w:color w:val="auto"/>
              </w:rPr>
            </w:pPr>
            <w:r>
              <w:rPr>
                <w:rFonts w:ascii="Arial" w:cs="Arial" w:eastAsia="Arial" w:hAnsi="Arial"/>
                <w:sz w:val="10"/>
                <w:szCs w:val="10"/>
                <w:color w:val="auto"/>
              </w:rPr>
              <w:t>Spectra A&amp;D Acquisition, Inc. (fka FDS</w:t>
            </w:r>
          </w:p>
        </w:tc>
        <w:tc>
          <w:tcPr>
            <w:tcW w:w="160" w:type="dxa"/>
            <w:vAlign w:val="bottom"/>
          </w:tcPr>
          <w:p>
            <w:pPr>
              <w:spacing w:after="0"/>
              <w:rPr>
                <w:sz w:val="12"/>
                <w:szCs w:val="12"/>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28,435</w:t>
            </w:r>
          </w:p>
        </w:tc>
        <w:tc>
          <w:tcPr>
            <w:tcW w:w="160" w:type="dxa"/>
            <w:vAlign w:val="bottom"/>
          </w:tcPr>
          <w:p>
            <w:pPr>
              <w:spacing w:after="0"/>
              <w:rPr>
                <w:sz w:val="12"/>
                <w:szCs w:val="12"/>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0"/>
                <w:szCs w:val="10"/>
                <w:color w:val="auto"/>
              </w:rPr>
              <w:t>14,921</w:t>
            </w:r>
          </w:p>
        </w:tc>
        <w:tc>
          <w:tcPr>
            <w:tcW w:w="16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0"/>
                <w:szCs w:val="10"/>
                <w:color w:val="auto"/>
              </w:rPr>
              <w:t>17,838</w:t>
            </w:r>
          </w:p>
        </w:tc>
        <w:tc>
          <w:tcPr>
            <w:tcW w:w="180" w:type="dxa"/>
            <w:vAlign w:val="bottom"/>
          </w:tcPr>
          <w:p>
            <w:pPr>
              <w:spacing w:after="0"/>
              <w:rPr>
                <w:sz w:val="12"/>
                <w:szCs w:val="12"/>
                <w:color w:val="auto"/>
              </w:rPr>
            </w:pPr>
          </w:p>
        </w:tc>
        <w:tc>
          <w:tcPr>
            <w:tcW w:w="540" w:type="dxa"/>
            <w:vAlign w:val="bottom"/>
            <w:vMerge w:val="restart"/>
          </w:tcPr>
          <w:p>
            <w:pPr>
              <w:jc w:val="right"/>
              <w:ind w:right="11"/>
              <w:spacing w:after="0"/>
              <w:rPr>
                <w:sz w:val="20"/>
                <w:szCs w:val="20"/>
                <w:color w:val="auto"/>
              </w:rPr>
            </w:pPr>
            <w:r>
              <w:rPr>
                <w:rFonts w:ascii="Arial" w:cs="Arial" w:eastAsia="Arial" w:hAnsi="Arial"/>
                <w:sz w:val="10"/>
                <w:szCs w:val="10"/>
                <w:color w:val="auto"/>
              </w:rPr>
              <w:t xml:space="preserve">(1,562 </w:t>
            </w:r>
            <w:r>
              <w:rPr>
                <w:rFonts w:ascii="Arial" w:cs="Arial" w:eastAsia="Arial" w:hAnsi="Arial"/>
                <w:sz w:val="19"/>
                <w:szCs w:val="19"/>
                <w:color w:val="auto"/>
                <w:vertAlign w:val="subscript"/>
              </w:rPr>
              <w:t>)</w:t>
            </w:r>
          </w:p>
        </w:tc>
        <w:tc>
          <w:tcPr>
            <w:tcW w:w="140" w:type="dxa"/>
            <w:vAlign w:val="bottom"/>
          </w:tcPr>
          <w:p>
            <w:pPr>
              <w:spacing w:after="0"/>
              <w:rPr>
                <w:sz w:val="12"/>
                <w:szCs w:val="12"/>
                <w:color w:val="auto"/>
              </w:rPr>
            </w:pPr>
          </w:p>
        </w:tc>
        <w:tc>
          <w:tcPr>
            <w:tcW w:w="520" w:type="dxa"/>
            <w:vAlign w:val="bottom"/>
            <w:vMerge w:val="restart"/>
          </w:tcPr>
          <w:p>
            <w:pPr>
              <w:jc w:val="right"/>
              <w:ind w:right="50"/>
              <w:spacing w:after="0"/>
              <w:rPr>
                <w:sz w:val="20"/>
                <w:szCs w:val="20"/>
                <w:color w:val="auto"/>
              </w:rPr>
            </w:pPr>
            <w:r>
              <w:rPr>
                <w:rFonts w:ascii="Arial" w:cs="Arial" w:eastAsia="Arial" w:hAnsi="Arial"/>
                <w:sz w:val="10"/>
                <w:szCs w:val="10"/>
                <w:color w:val="auto"/>
              </w:rPr>
              <w:t>31,197</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0"/>
                <w:szCs w:val="10"/>
                <w:color w:val="auto"/>
              </w:rPr>
              <w:t>2,877</w:t>
            </w:r>
          </w:p>
        </w:tc>
        <w:tc>
          <w:tcPr>
            <w:tcW w:w="140" w:type="dxa"/>
            <w:vAlign w:val="bottom"/>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0"/>
                <w:szCs w:val="10"/>
                <w:color w:val="auto"/>
              </w:rPr>
              <w:t>2,453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0"/>
                <w:szCs w:val="10"/>
                <w:color w:val="auto"/>
              </w:rPr>
              <w:t>690</w:t>
            </w:r>
          </w:p>
        </w:tc>
        <w:tc>
          <w:tcPr>
            <w:tcW w:w="0" w:type="dxa"/>
            <w:vAlign w:val="bottom"/>
          </w:tcPr>
          <w:p>
            <w:pPr>
              <w:spacing w:after="0"/>
              <w:rPr>
                <w:sz w:val="1"/>
                <w:szCs w:val="1"/>
                <w:color w:val="auto"/>
              </w:rPr>
            </w:pPr>
          </w:p>
        </w:tc>
      </w:tr>
      <w:tr>
        <w:trPr>
          <w:trHeight w:val="150"/>
        </w:trPr>
        <w:tc>
          <w:tcPr>
            <w:tcW w:w="1860" w:type="dxa"/>
            <w:vAlign w:val="bottom"/>
          </w:tcPr>
          <w:p>
            <w:pPr>
              <w:spacing w:after="0"/>
              <w:rPr>
                <w:sz w:val="20"/>
                <w:szCs w:val="20"/>
                <w:color w:val="auto"/>
              </w:rPr>
            </w:pPr>
            <w:r>
              <w:rPr>
                <w:rFonts w:ascii="Arial" w:cs="Arial" w:eastAsia="Arial" w:hAnsi="Arial"/>
                <w:sz w:val="10"/>
                <w:szCs w:val="10"/>
                <w:color w:val="auto"/>
              </w:rPr>
              <w:t>Avionics Corp.)</w:t>
            </w: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60" w:type="dxa"/>
            <w:vAlign w:val="bottom"/>
            <w:shd w:val="clear" w:color="auto" w:fill="CCEEFF"/>
          </w:tcPr>
          <w:p>
            <w:pPr>
              <w:spacing w:after="0"/>
              <w:rPr>
                <w:sz w:val="20"/>
                <w:szCs w:val="20"/>
                <w:color w:val="auto"/>
              </w:rPr>
            </w:pPr>
            <w:r>
              <w:rPr>
                <w:rFonts w:ascii="Arial" w:cs="Arial" w:eastAsia="Arial" w:hAnsi="Arial"/>
                <w:sz w:val="10"/>
                <w:szCs w:val="10"/>
                <w:color w:val="auto"/>
              </w:rPr>
              <w:t>Steward Holding LLC (dba Steward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4,624</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 xml:space="preserve">(727 </w:t>
            </w:r>
            <w:r>
              <w:rPr>
                <w:rFonts w:ascii="Arial" w:cs="Arial" w:eastAsia="Arial" w:hAnsi="Arial"/>
                <w:sz w:val="19"/>
                <w:szCs w:val="19"/>
                <w:color w:val="auto"/>
                <w:vertAlign w:val="subscript"/>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3,897</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 xml:space="preserve">(728 </w:t>
            </w:r>
            <w:r>
              <w:rPr>
                <w:rFonts w:ascii="Arial" w:cs="Arial" w:eastAsia="Arial" w:hAnsi="Arial"/>
                <w:sz w:val="19"/>
                <w:szCs w:val="19"/>
                <w:color w:val="auto"/>
                <w:vertAlign w:val="subscript"/>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Advanced Materials)</w:t>
            </w: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3"/>
        </w:trPr>
        <w:tc>
          <w:tcPr>
            <w:tcW w:w="1860" w:type="dxa"/>
            <w:vAlign w:val="bottom"/>
            <w:vMerge w:val="restart"/>
          </w:tcPr>
          <w:p>
            <w:pPr>
              <w:spacing w:after="0"/>
              <w:rPr>
                <w:sz w:val="20"/>
                <w:szCs w:val="20"/>
                <w:color w:val="auto"/>
              </w:rPr>
            </w:pPr>
            <w:r>
              <w:rPr>
                <w:rFonts w:ascii="Arial" w:cs="Arial" w:eastAsia="Arial" w:hAnsi="Arial"/>
                <w:sz w:val="10"/>
                <w:szCs w:val="10"/>
                <w:b w:val="1"/>
                <w:bCs w:val="1"/>
                <w:color w:val="auto"/>
              </w:rPr>
              <w:t>Total Affiliate Investments</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52,898</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102,024</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41,864</w:t>
            </w:r>
          </w:p>
        </w:tc>
        <w:tc>
          <w:tcPr>
            <w:tcW w:w="180" w:type="dxa"/>
            <w:vAlign w:val="bottom"/>
          </w:tcPr>
          <w:p>
            <w:pPr>
              <w:ind w:left="1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 xml:space="preserve">(24,873 </w:t>
            </w:r>
            <w:r>
              <w:rPr>
                <w:rFonts w:ascii="Arial" w:cs="Arial" w:eastAsia="Arial" w:hAnsi="Arial"/>
                <w:sz w:val="19"/>
                <w:szCs w:val="19"/>
                <w:color w:val="auto"/>
                <w:vertAlign w:val="subscript"/>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50"/>
              <w:spacing w:after="0"/>
              <w:rPr>
                <w:sz w:val="20"/>
                <w:szCs w:val="20"/>
                <w:color w:val="auto"/>
              </w:rPr>
            </w:pPr>
            <w:r>
              <w:rPr>
                <w:rFonts w:ascii="Arial" w:cs="Arial" w:eastAsia="Arial" w:hAnsi="Arial"/>
                <w:sz w:val="10"/>
                <w:szCs w:val="10"/>
                <w:color w:val="auto"/>
              </w:rPr>
              <w:t>119,015</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10,963</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 xml:space="preserve">(1,538 </w:t>
            </w:r>
            <w:r>
              <w:rPr>
                <w:rFonts w:ascii="Arial" w:cs="Arial" w:eastAsia="Arial" w:hAnsi="Arial"/>
                <w:sz w:val="19"/>
                <w:szCs w:val="19"/>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4,619</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1,555</w:t>
            </w:r>
          </w:p>
        </w:tc>
        <w:tc>
          <w:tcPr>
            <w:tcW w:w="32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909</w:t>
            </w:r>
          </w:p>
        </w:tc>
        <w:tc>
          <w:tcPr>
            <w:tcW w:w="0" w:type="dxa"/>
            <w:vAlign w:val="bottom"/>
          </w:tcPr>
          <w:p>
            <w:pPr>
              <w:spacing w:after="0"/>
              <w:rPr>
                <w:sz w:val="1"/>
                <w:szCs w:val="1"/>
                <w:color w:val="auto"/>
              </w:rPr>
            </w:pPr>
          </w:p>
        </w:tc>
      </w:tr>
      <w:tr>
        <w:trPr>
          <w:trHeight w:val="45"/>
        </w:trPr>
        <w:tc>
          <w:tcPr>
            <w:tcW w:w="18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-2854325</wp:posOffset>
            </wp:positionV>
            <wp:extent cx="248094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809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-2267585</wp:posOffset>
            </wp:positionV>
            <wp:extent cx="591121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11215" cy="635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-1957070</wp:posOffset>
            </wp:positionV>
            <wp:extent cx="46609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660900" cy="635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-1750695</wp:posOffset>
            </wp:positionV>
            <wp:extent cx="4717415" cy="285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17415" cy="28575"/>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-220345</wp:posOffset>
            </wp:positionV>
            <wp:extent cx="471741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17415" cy="635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-14605</wp:posOffset>
            </wp:positionV>
            <wp:extent cx="4660900" cy="285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60900" cy="28575"/>
                    </a:xfrm>
                    <a:prstGeom prst="rect">
                      <a:avLst/>
                    </a:prstGeom>
                    <a:noFill/>
                  </pic:spPr>
                </pic:pic>
              </a:graphicData>
            </a:graphic>
          </wp:anchor>
        </w:drawing>
      </w:r>
    </w:p>
    <w:p>
      <w:pPr>
        <w:spacing w:after="0" w:line="377" w:lineRule="exact"/>
        <w:rPr>
          <w:sz w:val="20"/>
          <w:szCs w:val="20"/>
          <w:color w:val="auto"/>
        </w:rPr>
      </w:pPr>
    </w:p>
    <w:p>
      <w:pPr>
        <w:ind w:left="286" w:right="580" w:hanging="286"/>
        <w:spacing w:after="0" w:line="303" w:lineRule="auto"/>
        <w:tabs>
          <w:tab w:leader="none" w:pos="28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investment type, industry, ownership detail for equity investments, interest rate and maturity date for debt investments, and if the investment is income producing is disclosed in the consolidated schedule of investments.</w:t>
      </w:r>
    </w:p>
    <w:p>
      <w:pPr>
        <w:spacing w:after="0" w:line="29" w:lineRule="exact"/>
        <w:rPr>
          <w:rFonts w:ascii="Arial" w:cs="Arial" w:eastAsia="Arial" w:hAnsi="Arial"/>
          <w:sz w:val="16"/>
          <w:szCs w:val="16"/>
          <w:color w:val="auto"/>
        </w:rPr>
      </w:pPr>
    </w:p>
    <w:p>
      <w:pPr>
        <w:jc w:val="both"/>
        <w:ind w:left="286" w:right="200" w:hanging="286"/>
        <w:spacing w:after="0" w:line="364" w:lineRule="auto"/>
        <w:tabs>
          <w:tab w:leader="none" w:pos="286" w:val="left"/>
        </w:tabs>
        <w:numPr>
          <w:ilvl w:val="0"/>
          <w:numId w:val="14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4"/>
          <w:szCs w:val="14"/>
          <w:color w:val="auto"/>
        </w:rPr>
      </w:pPr>
    </w:p>
    <w:p>
      <w:pPr>
        <w:ind w:left="286" w:right="420" w:hanging="286"/>
        <w:spacing w:after="0" w:line="308" w:lineRule="auto"/>
        <w:tabs>
          <w:tab w:leader="none" w:pos="28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26" w:lineRule="exact"/>
        <w:rPr>
          <w:rFonts w:ascii="Arial" w:cs="Arial" w:eastAsia="Arial" w:hAnsi="Arial"/>
          <w:sz w:val="16"/>
          <w:szCs w:val="16"/>
          <w:color w:val="auto"/>
        </w:rPr>
      </w:pPr>
    </w:p>
    <w:p>
      <w:pPr>
        <w:ind w:left="286" w:right="140" w:hanging="286"/>
        <w:spacing w:after="0" w:line="309" w:lineRule="auto"/>
        <w:tabs>
          <w:tab w:leader="none" w:pos="28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200" w:lineRule="exact"/>
        <w:rPr>
          <w:sz w:val="20"/>
          <w:szCs w:val="20"/>
          <w:color w:val="auto"/>
        </w:rPr>
      </w:pPr>
    </w:p>
    <w:p>
      <w:pPr>
        <w:jc w:val="both"/>
        <w:ind w:left="6" w:right="60" w:firstLine="400"/>
        <w:spacing w:after="0" w:line="307" w:lineRule="auto"/>
        <w:rPr>
          <w:sz w:val="20"/>
          <w:szCs w:val="20"/>
          <w:color w:val="auto"/>
        </w:rPr>
      </w:pPr>
      <w:r>
        <w:rPr>
          <w:rFonts w:ascii="Arial" w:cs="Arial" w:eastAsia="Arial" w:hAnsi="Arial"/>
          <w:sz w:val="20"/>
          <w:szCs w:val="20"/>
          <w:color w:val="auto"/>
        </w:rPr>
        <w:t>The table below represents the fair value of control and affiliate investments as of December 31, 2023 and any additions and reductions made to such investments during the year ended December 31, 2024, including the total investment income earned on such investments during the year.</w:t>
      </w: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gridSpan w:val="5"/>
          </w:tcPr>
          <w:p>
            <w:pPr>
              <w:jc w:val="right"/>
              <w:ind w:right="15"/>
              <w:spacing w:after="0"/>
              <w:rPr>
                <w:sz w:val="20"/>
                <w:szCs w:val="20"/>
                <w:color w:val="auto"/>
              </w:rPr>
            </w:pPr>
            <w:r>
              <w:rPr>
                <w:rFonts w:ascii="Arial" w:cs="Arial" w:eastAsia="Arial" w:hAnsi="Arial"/>
                <w:sz w:val="10"/>
                <w:szCs w:val="10"/>
                <w:b w:val="1"/>
                <w:bCs w:val="1"/>
                <w:color w:val="auto"/>
              </w:rPr>
              <w:t>Year Ended December 31, 2024</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800" w:type="dxa"/>
            <w:vAlign w:val="bottom"/>
            <w:gridSpan w:val="2"/>
          </w:tcPr>
          <w:p>
            <w:pPr>
              <w:jc w:val="center"/>
              <w:ind w:left="10"/>
              <w:spacing w:after="0"/>
              <w:rPr>
                <w:sz w:val="20"/>
                <w:szCs w:val="20"/>
                <w:color w:val="auto"/>
              </w:rPr>
            </w:pPr>
            <w:r>
              <w:rPr>
                <w:rFonts w:ascii="Arial" w:cs="Arial" w:eastAsia="Arial" w:hAnsi="Arial"/>
                <w:sz w:val="10"/>
                <w:szCs w:val="10"/>
                <w:b w:val="1"/>
                <w:bCs w:val="1"/>
                <w:color w:val="auto"/>
                <w:w w:val="86"/>
              </w:rPr>
              <w:t>December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ind w:right="130"/>
              <w:spacing w:after="0"/>
              <w:rPr>
                <w:sz w:val="20"/>
                <w:szCs w:val="20"/>
                <w:color w:val="auto"/>
              </w:rPr>
            </w:pPr>
            <w:r>
              <w:rPr>
                <w:rFonts w:ascii="Arial" w:cs="Arial" w:eastAsia="Arial" w:hAnsi="Arial"/>
                <w:sz w:val="10"/>
                <w:szCs w:val="10"/>
                <w:b w:val="1"/>
                <w:bCs w:val="1"/>
                <w:color w:val="auto"/>
                <w:w w:val="87"/>
              </w:rPr>
              <w:t>31, 2024</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ind w:right="152"/>
              <w:spacing w:after="0"/>
              <w:rPr>
                <w:sz w:val="20"/>
                <w:szCs w:val="20"/>
                <w:color w:val="auto"/>
              </w:rPr>
            </w:pPr>
            <w:r>
              <w:rPr>
                <w:rFonts w:ascii="Arial" w:cs="Arial" w:eastAsia="Arial" w:hAnsi="Arial"/>
                <w:sz w:val="10"/>
                <w:szCs w:val="10"/>
                <w:b w:val="1"/>
                <w:bCs w:val="1"/>
                <w:color w:val="auto"/>
                <w:w w:val="99"/>
              </w:rPr>
              <w:t>Net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ind w:right="130"/>
              <w:spacing w:after="0"/>
              <w:rPr>
                <w:sz w:val="20"/>
                <w:szCs w:val="20"/>
                <w:color w:val="auto"/>
              </w:rPr>
            </w:pPr>
            <w:r>
              <w:rPr>
                <w:rFonts w:ascii="Arial" w:cs="Arial" w:eastAsia="Arial" w:hAnsi="Arial"/>
                <w:sz w:val="10"/>
                <w:szCs w:val="10"/>
                <w:b w:val="1"/>
                <w:bCs w:val="1"/>
                <w:color w:val="auto"/>
                <w:w w:val="89"/>
              </w:rPr>
              <w:t>Principal</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Realized</w:t>
            </w: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Net Change in</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Payment-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800" w:type="dxa"/>
            <w:vAlign w:val="bottom"/>
            <w:gridSpan w:val="2"/>
          </w:tcPr>
          <w:p>
            <w:pPr>
              <w:jc w:val="center"/>
              <w:ind w:left="10"/>
              <w:spacing w:after="0"/>
              <w:rPr>
                <w:sz w:val="20"/>
                <w:szCs w:val="20"/>
                <w:color w:val="auto"/>
              </w:rPr>
            </w:pPr>
            <w:r>
              <w:rPr>
                <w:rFonts w:ascii="Arial" w:cs="Arial" w:eastAsia="Arial" w:hAnsi="Arial"/>
                <w:sz w:val="10"/>
                <w:szCs w:val="10"/>
                <w:b w:val="1"/>
                <w:bCs w:val="1"/>
                <w:color w:val="auto"/>
                <w:w w:val="95"/>
              </w:rPr>
              <w:t>Amount -</w:t>
            </w: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December</w:t>
            </w:r>
          </w:p>
        </w:tc>
        <w:tc>
          <w:tcPr>
            <w:tcW w:w="160" w:type="dxa"/>
            <w:vAlign w:val="bottom"/>
          </w:tcPr>
          <w:p>
            <w:pPr>
              <w:spacing w:after="0"/>
              <w:rPr>
                <w:sz w:val="13"/>
                <w:szCs w:val="13"/>
                <w:color w:val="auto"/>
              </w:rPr>
            </w:pPr>
          </w:p>
        </w:tc>
        <w:tc>
          <w:tcPr>
            <w:tcW w:w="500" w:type="dxa"/>
            <w:vAlign w:val="bottom"/>
          </w:tcPr>
          <w:p>
            <w:pPr>
              <w:jc w:val="center"/>
              <w:ind w:right="152"/>
              <w:spacing w:after="0"/>
              <w:rPr>
                <w:sz w:val="20"/>
                <w:szCs w:val="20"/>
                <w:color w:val="auto"/>
              </w:rPr>
            </w:pPr>
            <w:r>
              <w:rPr>
                <w:rFonts w:ascii="Arial" w:cs="Arial" w:eastAsia="Arial" w:hAnsi="Arial"/>
                <w:sz w:val="10"/>
                <w:szCs w:val="10"/>
                <w:b w:val="1"/>
                <w:bCs w:val="1"/>
                <w:color w:val="auto"/>
                <w:w w:val="89"/>
              </w:rPr>
              <w:t>Gross</w:t>
            </w:r>
          </w:p>
        </w:tc>
        <w:tc>
          <w:tcPr>
            <w:tcW w:w="180" w:type="dxa"/>
            <w:vAlign w:val="bottom"/>
          </w:tcPr>
          <w:p>
            <w:pPr>
              <w:spacing w:after="0"/>
              <w:rPr>
                <w:sz w:val="13"/>
                <w:szCs w:val="13"/>
                <w:color w:val="auto"/>
              </w:rPr>
            </w:pPr>
          </w:p>
        </w:tc>
        <w:tc>
          <w:tcPr>
            <w:tcW w:w="540" w:type="dxa"/>
            <w:vAlign w:val="bottom"/>
          </w:tcPr>
          <w:p>
            <w:pPr>
              <w:jc w:val="right"/>
              <w:ind w:right="212"/>
              <w:spacing w:after="0"/>
              <w:rPr>
                <w:sz w:val="20"/>
                <w:szCs w:val="20"/>
                <w:color w:val="auto"/>
              </w:rPr>
            </w:pPr>
            <w:r>
              <w:rPr>
                <w:rFonts w:ascii="Arial" w:cs="Arial" w:eastAsia="Arial" w:hAnsi="Arial"/>
                <w:sz w:val="10"/>
                <w:szCs w:val="10"/>
                <w:b w:val="1"/>
                <w:bCs w:val="1"/>
                <w:color w:val="auto"/>
                <w:w w:val="89"/>
              </w:rPr>
              <w:t>Gross</w:t>
            </w:r>
          </w:p>
        </w:tc>
        <w:tc>
          <w:tcPr>
            <w:tcW w:w="680" w:type="dxa"/>
            <w:vAlign w:val="bottom"/>
            <w:gridSpan w:val="2"/>
          </w:tcPr>
          <w:p>
            <w:pPr>
              <w:jc w:val="center"/>
              <w:ind w:right="16"/>
              <w:spacing w:after="0"/>
              <w:rPr>
                <w:sz w:val="20"/>
                <w:szCs w:val="20"/>
                <w:color w:val="auto"/>
              </w:rPr>
            </w:pPr>
            <w:r>
              <w:rPr>
                <w:rFonts w:ascii="Arial" w:cs="Arial" w:eastAsia="Arial" w:hAnsi="Arial"/>
                <w:sz w:val="10"/>
                <w:szCs w:val="10"/>
                <w:b w:val="1"/>
                <w:bCs w:val="1"/>
                <w:color w:val="auto"/>
                <w:w w:val="86"/>
              </w:rPr>
              <w:t>December</w:t>
            </w:r>
          </w:p>
        </w:tc>
        <w:tc>
          <w:tcPr>
            <w:tcW w:w="160" w:type="dxa"/>
            <w:vAlign w:val="bottom"/>
          </w:tcPr>
          <w:p>
            <w:pPr>
              <w:spacing w:after="0"/>
              <w:rPr>
                <w:sz w:val="13"/>
                <w:szCs w:val="13"/>
                <w:color w:val="auto"/>
              </w:rPr>
            </w:pPr>
          </w:p>
        </w:tc>
        <w:tc>
          <w:tcPr>
            <w:tcW w:w="480" w:type="dxa"/>
            <w:vAlign w:val="bottom"/>
          </w:tcPr>
          <w:p>
            <w:pPr>
              <w:jc w:val="center"/>
              <w:ind w:right="152"/>
              <w:spacing w:after="0"/>
              <w:rPr>
                <w:sz w:val="20"/>
                <w:szCs w:val="20"/>
                <w:color w:val="auto"/>
              </w:rPr>
            </w:pPr>
            <w:r>
              <w:rPr>
                <w:rFonts w:ascii="Arial" w:cs="Arial" w:eastAsia="Arial" w:hAnsi="Arial"/>
                <w:sz w:val="10"/>
                <w:szCs w:val="10"/>
                <w:b w:val="1"/>
                <w:bCs w:val="1"/>
                <w:color w:val="auto"/>
                <w:w w:val="86"/>
              </w:rPr>
              <w:t>Gains</w:t>
            </w:r>
          </w:p>
        </w:tc>
        <w:tc>
          <w:tcPr>
            <w:tcW w:w="140" w:type="dxa"/>
            <w:vAlign w:val="bottom"/>
          </w:tcPr>
          <w:p>
            <w:pPr>
              <w:spacing w:after="0"/>
              <w:rPr>
                <w:sz w:val="13"/>
                <w:szCs w:val="13"/>
                <w:color w:val="auto"/>
              </w:rPr>
            </w:pPr>
          </w:p>
        </w:tc>
        <w:tc>
          <w:tcPr>
            <w:tcW w:w="700" w:type="dxa"/>
            <w:vAlign w:val="bottom"/>
          </w:tcPr>
          <w:p>
            <w:pPr>
              <w:jc w:val="right"/>
              <w:ind w:right="170"/>
              <w:spacing w:after="0"/>
              <w:rPr>
                <w:sz w:val="20"/>
                <w:szCs w:val="20"/>
                <w:color w:val="auto"/>
              </w:rPr>
            </w:pPr>
            <w:r>
              <w:rPr>
                <w:rFonts w:ascii="Arial" w:cs="Arial" w:eastAsia="Arial" w:hAnsi="Arial"/>
                <w:sz w:val="10"/>
                <w:szCs w:val="10"/>
                <w:b w:val="1"/>
                <w:bCs w:val="1"/>
                <w:color w:val="auto"/>
                <w:w w:val="90"/>
              </w:rPr>
              <w:t>Unrealized</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center"/>
              <w:ind w:right="175"/>
              <w:spacing w:after="0"/>
              <w:rPr>
                <w:sz w:val="20"/>
                <w:szCs w:val="20"/>
                <w:color w:val="auto"/>
              </w:rPr>
            </w:pPr>
            <w:r>
              <w:rPr>
                <w:rFonts w:ascii="Arial" w:cs="Arial" w:eastAsia="Arial" w:hAnsi="Arial"/>
                <w:sz w:val="10"/>
                <w:szCs w:val="10"/>
                <w:b w:val="1"/>
                <w:bCs w:val="1"/>
                <w:color w:val="auto"/>
                <w:w w:val="97"/>
              </w:rPr>
              <w:t>in-kind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ind w:right="150"/>
              <w:spacing w:after="0"/>
              <w:rPr>
                <w:sz w:val="20"/>
                <w:szCs w:val="20"/>
                <w:color w:val="auto"/>
              </w:rPr>
            </w:pPr>
            <w:r>
              <w:rPr>
                <w:rFonts w:ascii="Arial" w:cs="Arial" w:eastAsia="Arial" w:hAnsi="Arial"/>
                <w:sz w:val="10"/>
                <w:szCs w:val="10"/>
                <w:b w:val="1"/>
                <w:bCs w:val="1"/>
                <w:color w:val="auto"/>
                <w:w w:val="89"/>
              </w:rPr>
              <w:t>Debt</w:t>
            </w:r>
          </w:p>
        </w:tc>
        <w:tc>
          <w:tcPr>
            <w:tcW w:w="160" w:type="dxa"/>
            <w:vAlign w:val="bottom"/>
          </w:tcPr>
          <w:p>
            <w:pPr>
              <w:spacing w:after="0"/>
              <w:rPr>
                <w:sz w:val="13"/>
                <w:szCs w:val="13"/>
                <w:color w:val="auto"/>
              </w:rPr>
            </w:pPr>
          </w:p>
        </w:tc>
        <w:tc>
          <w:tcPr>
            <w:tcW w:w="580" w:type="dxa"/>
            <w:vAlign w:val="bottom"/>
          </w:tcPr>
          <w:p>
            <w:pPr>
              <w:jc w:val="center"/>
              <w:ind w:right="136"/>
              <w:spacing w:after="0"/>
              <w:rPr>
                <w:sz w:val="20"/>
                <w:szCs w:val="20"/>
                <w:color w:val="auto"/>
              </w:rPr>
            </w:pPr>
            <w:r>
              <w:rPr>
                <w:rFonts w:ascii="Arial" w:cs="Arial" w:eastAsia="Arial" w:hAnsi="Arial"/>
                <w:sz w:val="10"/>
                <w:szCs w:val="10"/>
                <w:b w:val="1"/>
                <w:bCs w:val="1"/>
                <w:color w:val="auto"/>
                <w:w w:val="92"/>
              </w:rPr>
              <w:t>31, 2023</w:t>
            </w:r>
          </w:p>
        </w:tc>
        <w:tc>
          <w:tcPr>
            <w:tcW w:w="6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0"/>
              </w:rPr>
              <w:t>Additions</w:t>
            </w: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Reductions</w:t>
            </w:r>
          </w:p>
        </w:tc>
        <w:tc>
          <w:tcPr>
            <w:tcW w:w="120" w:type="dxa"/>
            <w:vAlign w:val="bottom"/>
          </w:tcPr>
          <w:p>
            <w:pPr>
              <w:spacing w:after="0"/>
              <w:rPr>
                <w:sz w:val="13"/>
                <w:szCs w:val="13"/>
                <w:color w:val="auto"/>
              </w:rPr>
            </w:pPr>
          </w:p>
        </w:tc>
        <w:tc>
          <w:tcPr>
            <w:tcW w:w="560" w:type="dxa"/>
            <w:vAlign w:val="bottom"/>
          </w:tcPr>
          <w:p>
            <w:pPr>
              <w:jc w:val="center"/>
              <w:ind w:right="136"/>
              <w:spacing w:after="0"/>
              <w:rPr>
                <w:sz w:val="20"/>
                <w:szCs w:val="20"/>
                <w:color w:val="auto"/>
              </w:rPr>
            </w:pPr>
            <w:r>
              <w:rPr>
                <w:rFonts w:ascii="Arial" w:cs="Arial" w:eastAsia="Arial" w:hAnsi="Arial"/>
                <w:sz w:val="10"/>
                <w:szCs w:val="10"/>
                <w:b w:val="1"/>
                <w:bCs w:val="1"/>
                <w:color w:val="auto"/>
                <w:w w:val="87"/>
              </w:rPr>
              <w:t>31, 2024</w:t>
            </w:r>
          </w:p>
        </w:tc>
        <w:tc>
          <w:tcPr>
            <w:tcW w:w="6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2"/>
              </w:rPr>
              <w:t>(Losses)</w:t>
            </w:r>
          </w:p>
        </w:tc>
        <w:tc>
          <w:tcPr>
            <w:tcW w:w="840" w:type="dxa"/>
            <w:vAlign w:val="bottom"/>
            <w:gridSpan w:val="2"/>
          </w:tcPr>
          <w:p>
            <w:pPr>
              <w:jc w:val="right"/>
              <w:ind w:right="130"/>
              <w:spacing w:after="0"/>
              <w:rPr>
                <w:sz w:val="20"/>
                <w:szCs w:val="20"/>
                <w:color w:val="auto"/>
              </w:rPr>
            </w:pPr>
            <w:r>
              <w:rPr>
                <w:rFonts w:ascii="Arial" w:cs="Arial" w:eastAsia="Arial" w:hAnsi="Arial"/>
                <w:sz w:val="10"/>
                <w:szCs w:val="10"/>
                <w:b w:val="1"/>
                <w:bCs w:val="1"/>
                <w:color w:val="auto"/>
              </w:rPr>
              <w:t>Appreciation</w:t>
            </w:r>
          </w:p>
        </w:tc>
        <w:tc>
          <w:tcPr>
            <w:tcW w:w="580" w:type="dxa"/>
            <w:vAlign w:val="bottom"/>
            <w:gridSpan w:val="2"/>
          </w:tcPr>
          <w:p>
            <w:pPr>
              <w:jc w:val="right"/>
              <w:ind w:right="96"/>
              <w:spacing w:after="0"/>
              <w:rPr>
                <w:sz w:val="20"/>
                <w:szCs w:val="20"/>
                <w:color w:val="auto"/>
              </w:rPr>
            </w:pPr>
            <w:r>
              <w:rPr>
                <w:rFonts w:ascii="Arial" w:cs="Arial" w:eastAsia="Arial" w:hAnsi="Arial"/>
                <w:sz w:val="10"/>
                <w:szCs w:val="10"/>
                <w:b w:val="1"/>
                <w:bCs w:val="1"/>
                <w:color w:val="auto"/>
              </w:rPr>
              <w:t>Interest</w:t>
            </w:r>
          </w:p>
        </w:tc>
        <w:tc>
          <w:tcPr>
            <w:tcW w:w="700" w:type="dxa"/>
            <w:vAlign w:val="bottom"/>
            <w:gridSpan w:val="2"/>
          </w:tcPr>
          <w:p>
            <w:pPr>
              <w:jc w:val="center"/>
              <w:ind w:right="35"/>
              <w:spacing w:after="0"/>
              <w:rPr>
                <w:sz w:val="20"/>
                <w:szCs w:val="20"/>
                <w:color w:val="auto"/>
              </w:rPr>
            </w:pPr>
            <w:r>
              <w:rPr>
                <w:rFonts w:ascii="Arial" w:cs="Arial" w:eastAsia="Arial" w:hAnsi="Arial"/>
                <w:sz w:val="10"/>
                <w:szCs w:val="10"/>
                <w:b w:val="1"/>
                <w:bCs w:val="1"/>
                <w:color w:val="auto"/>
                <w:w w:val="93"/>
              </w:rPr>
              <w:t>Interest</w:t>
            </w:r>
          </w:p>
        </w:tc>
        <w:tc>
          <w:tcPr>
            <w:tcW w:w="580" w:type="dxa"/>
            <w:vAlign w:val="bottom"/>
            <w:gridSpan w:val="2"/>
          </w:tcPr>
          <w:p>
            <w:pPr>
              <w:jc w:val="right"/>
              <w:ind w:right="96"/>
              <w:spacing w:after="0"/>
              <w:rPr>
                <w:sz w:val="20"/>
                <w:szCs w:val="20"/>
                <w:color w:val="auto"/>
              </w:rPr>
            </w:pPr>
            <w:r>
              <w:rPr>
                <w:rFonts w:ascii="Arial" w:cs="Arial" w:eastAsia="Arial" w:hAnsi="Arial"/>
                <w:sz w:val="10"/>
                <w:szCs w:val="10"/>
                <w:b w:val="1"/>
                <w:bCs w:val="1"/>
                <w:color w:val="auto"/>
                <w:w w:val="99"/>
              </w:rPr>
              <w:t>Dividend</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20"/>
                <w:szCs w:val="20"/>
                <w:color w:val="auto"/>
              </w:rPr>
            </w:pPr>
            <w:r>
              <w:rPr>
                <w:rFonts w:ascii="Arial" w:cs="Arial" w:eastAsia="Arial" w:hAnsi="Arial"/>
                <w:sz w:val="10"/>
                <w:szCs w:val="10"/>
                <w:b w:val="1"/>
                <w:bCs w:val="1"/>
                <w:color w:val="auto"/>
              </w:rPr>
              <w:t xml:space="preserve">Portfolio Company </w:t>
            </w:r>
            <w:r>
              <w:rPr>
                <w:rFonts w:ascii="Arial" w:cs="Arial" w:eastAsia="Arial" w:hAnsi="Arial"/>
                <w:sz w:val="13"/>
                <w:szCs w:val="13"/>
                <w:b w:val="1"/>
                <w:bCs w:val="1"/>
                <w:color w:val="auto"/>
                <w:vertAlign w:val="superscript"/>
              </w:rPr>
              <w:t>(1)</w:t>
            </w:r>
          </w:p>
        </w:tc>
        <w:tc>
          <w:tcPr>
            <w:tcW w:w="800" w:type="dxa"/>
            <w:vAlign w:val="bottom"/>
            <w:gridSpan w:val="2"/>
          </w:tcPr>
          <w:p>
            <w:pPr>
              <w:jc w:val="center"/>
              <w:ind w:left="30"/>
              <w:spacing w:after="0"/>
              <w:rPr>
                <w:sz w:val="20"/>
                <w:szCs w:val="20"/>
                <w:color w:val="auto"/>
              </w:rPr>
            </w:pPr>
            <w:r>
              <w:rPr>
                <w:rFonts w:ascii="Arial" w:cs="Arial" w:eastAsia="Arial" w:hAnsi="Arial"/>
                <w:sz w:val="10"/>
                <w:szCs w:val="10"/>
                <w:b w:val="1"/>
                <w:bCs w:val="1"/>
                <w:color w:val="auto"/>
                <w:w w:val="89"/>
              </w:rPr>
              <w:t>Investments</w:t>
            </w: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160" w:type="dxa"/>
            <w:vAlign w:val="bottom"/>
          </w:tcPr>
          <w:p>
            <w:pPr>
              <w:spacing w:after="0"/>
              <w:rPr>
                <w:sz w:val="15"/>
                <w:szCs w:val="15"/>
                <w:color w:val="auto"/>
              </w:rPr>
            </w:pPr>
          </w:p>
        </w:tc>
        <w:tc>
          <w:tcPr>
            <w:tcW w:w="500" w:type="dxa"/>
            <w:vAlign w:val="bottom"/>
          </w:tcPr>
          <w:p>
            <w:pPr>
              <w:jc w:val="center"/>
              <w:ind w:right="132"/>
              <w:spacing w:after="0"/>
              <w:rPr>
                <w:sz w:val="20"/>
                <w:szCs w:val="20"/>
                <w:color w:val="auto"/>
              </w:rPr>
            </w:pPr>
            <w:r>
              <w:rPr>
                <w:rFonts w:ascii="Arial" w:cs="Arial" w:eastAsia="Arial" w:hAnsi="Arial"/>
                <w:sz w:val="7"/>
                <w:szCs w:val="7"/>
                <w:b w:val="1"/>
                <w:bCs w:val="1"/>
                <w:color w:val="auto"/>
                <w:w w:val="92"/>
              </w:rPr>
              <w:t>(2)</w:t>
            </w:r>
          </w:p>
        </w:tc>
        <w:tc>
          <w:tcPr>
            <w:tcW w:w="180" w:type="dxa"/>
            <w:vAlign w:val="bottom"/>
          </w:tcPr>
          <w:p>
            <w:pPr>
              <w:spacing w:after="0"/>
              <w:rPr>
                <w:sz w:val="15"/>
                <w:szCs w:val="15"/>
                <w:color w:val="auto"/>
              </w:rPr>
            </w:pPr>
          </w:p>
        </w:tc>
        <w:tc>
          <w:tcPr>
            <w:tcW w:w="540" w:type="dxa"/>
            <w:vAlign w:val="bottom"/>
          </w:tcPr>
          <w:p>
            <w:pPr>
              <w:jc w:val="right"/>
              <w:ind w:right="292"/>
              <w:spacing w:after="0"/>
              <w:rPr>
                <w:sz w:val="20"/>
                <w:szCs w:val="20"/>
                <w:color w:val="auto"/>
              </w:rPr>
            </w:pPr>
            <w:r>
              <w:rPr>
                <w:rFonts w:ascii="Arial" w:cs="Arial" w:eastAsia="Arial" w:hAnsi="Arial"/>
                <w:sz w:val="7"/>
                <w:szCs w:val="7"/>
                <w:b w:val="1"/>
                <w:bCs w:val="1"/>
                <w:color w:val="auto"/>
              </w:rPr>
              <w:t>(3)</w:t>
            </w: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160" w:type="dxa"/>
            <w:vAlign w:val="bottom"/>
          </w:tcPr>
          <w:p>
            <w:pPr>
              <w:spacing w:after="0"/>
              <w:rPr>
                <w:sz w:val="15"/>
                <w:szCs w:val="15"/>
                <w:color w:val="auto"/>
              </w:rPr>
            </w:pPr>
          </w:p>
        </w:tc>
        <w:tc>
          <w:tcPr>
            <w:tcW w:w="480" w:type="dxa"/>
            <w:vAlign w:val="bottom"/>
          </w:tcPr>
          <w:p>
            <w:pPr>
              <w:jc w:val="center"/>
              <w:ind w:right="112"/>
              <w:spacing w:after="0"/>
              <w:rPr>
                <w:sz w:val="20"/>
                <w:szCs w:val="20"/>
                <w:color w:val="auto"/>
              </w:rPr>
            </w:pPr>
            <w:r>
              <w:rPr>
                <w:rFonts w:ascii="Arial" w:cs="Arial" w:eastAsia="Arial" w:hAnsi="Arial"/>
                <w:sz w:val="7"/>
                <w:szCs w:val="7"/>
                <w:b w:val="1"/>
                <w:bCs w:val="1"/>
                <w:color w:val="auto"/>
                <w:w w:val="92"/>
              </w:rPr>
              <w:t>(4)</w:t>
            </w: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(Depreciation)</w:t>
            </w:r>
          </w:p>
        </w:tc>
        <w:tc>
          <w:tcPr>
            <w:tcW w:w="120" w:type="dxa"/>
            <w:vAlign w:val="bottom"/>
          </w:tcPr>
          <w:p>
            <w:pPr>
              <w:spacing w:after="0"/>
              <w:rPr>
                <w:sz w:val="15"/>
                <w:szCs w:val="15"/>
                <w:color w:val="auto"/>
              </w:rPr>
            </w:pPr>
          </w:p>
        </w:tc>
        <w:tc>
          <w:tcPr>
            <w:tcW w:w="460" w:type="dxa"/>
            <w:vAlign w:val="bottom"/>
          </w:tcPr>
          <w:p>
            <w:pPr>
              <w:jc w:val="right"/>
              <w:ind w:right="96"/>
              <w:spacing w:after="0"/>
              <w:rPr>
                <w:sz w:val="20"/>
                <w:szCs w:val="20"/>
                <w:color w:val="auto"/>
              </w:rPr>
            </w:pPr>
            <w:r>
              <w:rPr>
                <w:rFonts w:ascii="Arial" w:cs="Arial" w:eastAsia="Arial" w:hAnsi="Arial"/>
                <w:sz w:val="10"/>
                <w:szCs w:val="10"/>
                <w:b w:val="1"/>
                <w:bCs w:val="1"/>
                <w:color w:val="auto"/>
                <w:w w:val="85"/>
              </w:rPr>
              <w:t>Income</w:t>
            </w:r>
          </w:p>
        </w:tc>
        <w:tc>
          <w:tcPr>
            <w:tcW w:w="160" w:type="dxa"/>
            <w:vAlign w:val="bottom"/>
          </w:tcPr>
          <w:p>
            <w:pPr>
              <w:spacing w:after="0"/>
              <w:rPr>
                <w:sz w:val="15"/>
                <w:szCs w:val="15"/>
                <w:color w:val="auto"/>
              </w:rPr>
            </w:pPr>
          </w:p>
        </w:tc>
        <w:tc>
          <w:tcPr>
            <w:tcW w:w="540" w:type="dxa"/>
            <w:vAlign w:val="bottom"/>
          </w:tcPr>
          <w:p>
            <w:pPr>
              <w:jc w:val="center"/>
              <w:ind w:right="175"/>
              <w:spacing w:after="0"/>
              <w:rPr>
                <w:sz w:val="20"/>
                <w:szCs w:val="20"/>
                <w:color w:val="auto"/>
              </w:rPr>
            </w:pPr>
            <w:r>
              <w:rPr>
                <w:rFonts w:ascii="Arial" w:cs="Arial" w:eastAsia="Arial" w:hAnsi="Arial"/>
                <w:sz w:val="10"/>
                <w:szCs w:val="10"/>
                <w:b w:val="1"/>
                <w:bCs w:val="1"/>
                <w:color w:val="auto"/>
                <w:w w:val="91"/>
              </w:rPr>
              <w:t>Income</w:t>
            </w:r>
          </w:p>
        </w:tc>
        <w:tc>
          <w:tcPr>
            <w:tcW w:w="100" w:type="dxa"/>
            <w:vAlign w:val="bottom"/>
          </w:tcPr>
          <w:p>
            <w:pPr>
              <w:spacing w:after="0"/>
              <w:rPr>
                <w:sz w:val="15"/>
                <w:szCs w:val="15"/>
                <w:color w:val="auto"/>
              </w:rPr>
            </w:pPr>
          </w:p>
        </w:tc>
        <w:tc>
          <w:tcPr>
            <w:tcW w:w="480" w:type="dxa"/>
            <w:vAlign w:val="bottom"/>
          </w:tcPr>
          <w:p>
            <w:pPr>
              <w:jc w:val="right"/>
              <w:ind w:right="116"/>
              <w:spacing w:after="0"/>
              <w:rPr>
                <w:sz w:val="20"/>
                <w:szCs w:val="20"/>
                <w:color w:val="auto"/>
              </w:rPr>
            </w:pPr>
            <w:r>
              <w:rPr>
                <w:rFonts w:ascii="Arial" w:cs="Arial" w:eastAsia="Arial" w:hAnsi="Arial"/>
                <w:sz w:val="10"/>
                <w:szCs w:val="10"/>
                <w:b w:val="1"/>
                <w:bCs w:val="1"/>
                <w:color w:val="auto"/>
                <w:w w:val="85"/>
              </w:rPr>
              <w:t>Income</w:t>
            </w:r>
          </w:p>
        </w:tc>
        <w:tc>
          <w:tcPr>
            <w:tcW w:w="720" w:type="dxa"/>
            <w:vAlign w:val="bottom"/>
            <w:gridSpan w:val="2"/>
          </w:tcPr>
          <w:p>
            <w:pPr>
              <w:jc w:val="right"/>
              <w:ind w:right="70"/>
              <w:spacing w:after="0"/>
              <w:rPr>
                <w:sz w:val="20"/>
                <w:szCs w:val="20"/>
                <w:color w:val="auto"/>
              </w:rPr>
            </w:pPr>
            <w:r>
              <w:rPr>
                <w:rFonts w:ascii="Arial" w:cs="Arial" w:eastAsia="Arial" w:hAnsi="Arial"/>
                <w:sz w:val="10"/>
                <w:szCs w:val="10"/>
                <w:b w:val="1"/>
                <w:bCs w:val="1"/>
                <w:color w:val="auto"/>
              </w:rPr>
              <w:t>Fee Income</w:t>
            </w:r>
          </w:p>
        </w:tc>
        <w:tc>
          <w:tcPr>
            <w:tcW w:w="0" w:type="dxa"/>
            <w:vAlign w:val="bottom"/>
          </w:tcPr>
          <w:p>
            <w:pPr>
              <w:spacing w:after="0"/>
              <w:rPr>
                <w:sz w:val="1"/>
                <w:szCs w:val="1"/>
                <w:color w:val="auto"/>
              </w:rPr>
            </w:pPr>
          </w:p>
        </w:tc>
      </w:tr>
      <w:tr>
        <w:trPr>
          <w:trHeight w:val="144"/>
        </w:trPr>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Control Investments</w:t>
            </w:r>
          </w:p>
        </w:tc>
        <w:tc>
          <w:tcPr>
            <w:tcW w:w="2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Arial" w:cs="Arial" w:eastAsia="Arial" w:hAnsi="Arial"/>
                <w:sz w:val="10"/>
                <w:szCs w:val="10"/>
                <w:color w:val="auto"/>
              </w:rPr>
              <w:t>US GreenFiber, LLC</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5,226</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ind w:left="28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ind w:left="100"/>
              <w:spacing w:after="0"/>
              <w:rPr>
                <w:sz w:val="20"/>
                <w:szCs w:val="20"/>
                <w:color w:val="auto"/>
              </w:rPr>
            </w:pPr>
            <w:r>
              <w:rPr>
                <w:rFonts w:ascii="Arial" w:cs="Arial" w:eastAsia="Arial" w:hAnsi="Arial"/>
                <w:sz w:val="5"/>
                <w:szCs w:val="5"/>
                <w:color w:val="auto"/>
                <w:w w:val="70"/>
              </w:rPr>
              <w:t>$</w:t>
            </w: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95"/>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56"/>
              <w:spacing w:after="0"/>
              <w:rPr>
                <w:sz w:val="20"/>
                <w:szCs w:val="20"/>
                <w:color w:val="auto"/>
              </w:rPr>
            </w:pPr>
            <w:r>
              <w:rPr>
                <w:rFonts w:ascii="Arial" w:cs="Arial" w:eastAsia="Arial" w:hAnsi="Arial"/>
                <w:sz w:val="10"/>
                <w:szCs w:val="10"/>
                <w:color w:val="auto"/>
              </w:rPr>
              <w:t>—</w:t>
            </w:r>
          </w:p>
        </w:tc>
        <w:tc>
          <w:tcPr>
            <w:tcW w:w="300" w:type="dxa"/>
            <w:vAlign w:val="bottom"/>
            <w:vMerge w:val="restart"/>
          </w:tcPr>
          <w:p>
            <w:pPr>
              <w:jc w:val="right"/>
              <w:ind w:right="11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1"/>
        </w:trPr>
        <w:tc>
          <w:tcPr>
            <w:tcW w:w="17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74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 Control Investments</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5,226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1740" w:type="dxa"/>
            <w:vAlign w:val="bottom"/>
            <w:vMerge w:val="continue"/>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740" w:type="dxa"/>
            <w:vAlign w:val="bottom"/>
            <w:gridSpan w:val="2"/>
            <w:vMerge w:val="continue"/>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720" w:type="dxa"/>
            <w:vAlign w:val="bottom"/>
            <w:gridSpan w:val="2"/>
            <w:vMerge w:val="continue"/>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620" w:type="dxa"/>
            <w:vAlign w:val="bottom"/>
            <w:gridSpan w:val="2"/>
            <w:vMerge w:val="continue"/>
            <w:shd w:val="clear" w:color="auto" w:fill="CCEEFF"/>
          </w:tcPr>
          <w:p>
            <w:pPr>
              <w:spacing w:after="0"/>
              <w:rPr>
                <w:sz w:val="3"/>
                <w:szCs w:val="3"/>
                <w:color w:val="auto"/>
              </w:rPr>
            </w:pPr>
          </w:p>
        </w:tc>
        <w:tc>
          <w:tcPr>
            <w:tcW w:w="640" w:type="dxa"/>
            <w:vAlign w:val="bottom"/>
            <w:gridSpan w:val="2"/>
            <w:vMerge w:val="continue"/>
            <w:shd w:val="clear" w:color="auto" w:fill="CCEEFF"/>
          </w:tcPr>
          <w:p>
            <w:pPr>
              <w:spacing w:after="0"/>
              <w:rPr>
                <w:sz w:val="3"/>
                <w:szCs w:val="3"/>
                <w:color w:val="auto"/>
              </w:rPr>
            </w:pPr>
          </w:p>
        </w:tc>
        <w:tc>
          <w:tcPr>
            <w:tcW w:w="780" w:type="dxa"/>
            <w:vAlign w:val="bottom"/>
            <w:gridSpan w:val="2"/>
            <w:vMerge w:val="continue"/>
            <w:shd w:val="clear" w:color="auto" w:fill="CCEEFF"/>
          </w:tcPr>
          <w:p>
            <w:pPr>
              <w:spacing w:after="0"/>
              <w:rPr>
                <w:sz w:val="3"/>
                <w:szCs w:val="3"/>
                <w:color w:val="auto"/>
              </w:rPr>
            </w:pPr>
          </w:p>
        </w:tc>
        <w:tc>
          <w:tcPr>
            <w:tcW w:w="4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17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40" w:type="dxa"/>
            <w:vAlign w:val="bottom"/>
          </w:tcPr>
          <w:p>
            <w:pPr>
              <w:spacing w:after="0"/>
              <w:rPr>
                <w:sz w:val="20"/>
                <w:szCs w:val="20"/>
                <w:color w:val="auto"/>
              </w:rPr>
            </w:pPr>
            <w:r>
              <w:rPr>
                <w:rFonts w:ascii="Arial" w:cs="Arial" w:eastAsia="Arial" w:hAnsi="Arial"/>
                <w:sz w:val="10"/>
                <w:szCs w:val="10"/>
                <w:b w:val="1"/>
                <w:bCs w:val="1"/>
                <w:color w:val="auto"/>
              </w:rPr>
              <w:t>Affiliate Investments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40" w:type="dxa"/>
            <w:vAlign w:val="bottom"/>
            <w:shd w:val="clear" w:color="auto" w:fill="CCEEFF"/>
          </w:tcPr>
          <w:p>
            <w:pPr>
              <w:spacing w:after="0"/>
              <w:rPr>
                <w:sz w:val="20"/>
                <w:szCs w:val="20"/>
                <w:color w:val="auto"/>
              </w:rPr>
            </w:pPr>
            <w:r>
              <w:rPr>
                <w:rFonts w:ascii="Arial" w:cs="Arial" w:eastAsia="Arial" w:hAnsi="Arial"/>
                <w:sz w:val="10"/>
                <w:szCs w:val="10"/>
                <w:color w:val="auto"/>
                <w:w w:val="99"/>
              </w:rPr>
              <w:t>Applegate Greenfiber Intermediate Inc.</w:t>
            </w:r>
          </w:p>
        </w:tc>
        <w:tc>
          <w:tcPr>
            <w:tcW w:w="2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9,602</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6"/>
              <w:spacing w:after="0"/>
              <w:rPr>
                <w:sz w:val="20"/>
                <w:szCs w:val="20"/>
                <w:color w:val="auto"/>
              </w:rPr>
            </w:pPr>
            <w:r>
              <w:rPr>
                <w:rFonts w:ascii="Arial" w:cs="Arial" w:eastAsia="Arial" w:hAnsi="Arial"/>
                <w:sz w:val="10"/>
                <w:szCs w:val="10"/>
                <w:color w:val="auto"/>
              </w:rPr>
              <w:t>24,590</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rPr>
              <w:t xml:space="preserve">(203 </w:t>
            </w:r>
            <w:r>
              <w:rPr>
                <w:rFonts w:ascii="Arial" w:cs="Arial" w:eastAsia="Arial" w:hAnsi="Arial"/>
                <w:sz w:val="19"/>
                <w:szCs w:val="19"/>
                <w:color w:val="auto"/>
                <w:vertAlign w:val="subscript"/>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6"/>
              <w:spacing w:after="0"/>
              <w:rPr>
                <w:sz w:val="20"/>
                <w:szCs w:val="20"/>
                <w:color w:val="auto"/>
              </w:rPr>
            </w:pPr>
            <w:r>
              <w:rPr>
                <w:rFonts w:ascii="Arial" w:cs="Arial" w:eastAsia="Arial" w:hAnsi="Arial"/>
                <w:sz w:val="10"/>
                <w:szCs w:val="10"/>
                <w:color w:val="auto"/>
              </w:rPr>
              <w:t>24,387</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 xml:space="preserve">(202 </w:t>
            </w:r>
            <w:r>
              <w:rPr>
                <w:rFonts w:ascii="Arial" w:cs="Arial" w:eastAsia="Arial" w:hAnsi="Arial"/>
                <w:sz w:val="19"/>
                <w:szCs w:val="19"/>
                <w:color w:val="auto"/>
                <w:vertAlign w:val="subscript"/>
              </w:rPr>
              <w:t>)</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56"/>
              <w:spacing w:after="0"/>
              <w:rPr>
                <w:sz w:val="20"/>
                <w:szCs w:val="20"/>
                <w:color w:val="auto"/>
              </w:rPr>
            </w:pPr>
            <w:r>
              <w:rPr>
                <w:rFonts w:ascii="Arial" w:cs="Arial" w:eastAsia="Arial" w:hAnsi="Arial"/>
                <w:sz w:val="10"/>
                <w:szCs w:val="10"/>
                <w:color w:val="auto"/>
              </w:rPr>
              <w:t>1,074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(fka US GreenFiber, LLC)</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3"/>
        </w:trPr>
        <w:tc>
          <w:tcPr>
            <w:tcW w:w="1740" w:type="dxa"/>
            <w:vAlign w:val="bottom"/>
          </w:tcPr>
          <w:p>
            <w:pPr>
              <w:spacing w:after="0"/>
              <w:rPr>
                <w:sz w:val="20"/>
                <w:szCs w:val="20"/>
                <w:color w:val="auto"/>
              </w:rPr>
            </w:pPr>
            <w:r>
              <w:rPr>
                <w:rFonts w:ascii="Arial" w:cs="Arial" w:eastAsia="Arial" w:hAnsi="Arial"/>
                <w:sz w:val="10"/>
                <w:szCs w:val="10"/>
                <w:color w:val="auto"/>
              </w:rPr>
              <w:t>CP Communications, LLC</w:t>
            </w:r>
          </w:p>
        </w:tc>
        <w:tc>
          <w:tcPr>
            <w:tcW w:w="2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7,859</w:t>
            </w:r>
          </w:p>
        </w:tc>
        <w:tc>
          <w:tcPr>
            <w:tcW w:w="160" w:type="dxa"/>
            <w:vAlign w:val="bottom"/>
          </w:tcPr>
          <w:p>
            <w:pPr>
              <w:spacing w:after="0"/>
              <w:rPr>
                <w:sz w:val="24"/>
                <w:szCs w:val="24"/>
                <w:color w:val="auto"/>
              </w:rPr>
            </w:pPr>
          </w:p>
        </w:tc>
        <w:tc>
          <w:tcPr>
            <w:tcW w:w="58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8,360</w:t>
            </w:r>
          </w:p>
        </w:tc>
        <w:tc>
          <w:tcPr>
            <w:tcW w:w="18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0"/>
                <w:szCs w:val="10"/>
                <w:color w:val="auto"/>
              </w:rPr>
              <w:t xml:space="preserve">(54 </w:t>
            </w:r>
            <w:r>
              <w:rPr>
                <w:rFonts w:ascii="Arial" w:cs="Arial" w:eastAsia="Arial" w:hAnsi="Arial"/>
                <w:sz w:val="19"/>
                <w:szCs w:val="19"/>
                <w:color w:val="auto"/>
                <w:vertAlign w:val="subscript"/>
              </w:rPr>
              <w:t>)</w:t>
            </w:r>
          </w:p>
        </w:tc>
        <w:tc>
          <w:tcPr>
            <w:tcW w:w="120" w:type="dxa"/>
            <w:vAlign w:val="bottom"/>
          </w:tcPr>
          <w:p>
            <w:pPr>
              <w:spacing w:after="0"/>
              <w:rPr>
                <w:sz w:val="24"/>
                <w:szCs w:val="24"/>
                <w:color w:val="auto"/>
              </w:rPr>
            </w:pPr>
          </w:p>
        </w:tc>
        <w:tc>
          <w:tcPr>
            <w:tcW w:w="560" w:type="dxa"/>
            <w:vAlign w:val="bottom"/>
          </w:tcPr>
          <w:p>
            <w:pPr>
              <w:jc w:val="right"/>
              <w:ind w:right="56"/>
              <w:spacing w:after="0"/>
              <w:rPr>
                <w:sz w:val="20"/>
                <w:szCs w:val="20"/>
                <w:color w:val="auto"/>
              </w:rPr>
            </w:pPr>
            <w:r>
              <w:rPr>
                <w:rFonts w:ascii="Arial" w:cs="Arial" w:eastAsia="Arial" w:hAnsi="Arial"/>
                <w:sz w:val="10"/>
                <w:szCs w:val="10"/>
                <w:color w:val="auto"/>
              </w:rPr>
              <w:t>8,306</w:t>
            </w:r>
          </w:p>
        </w:tc>
        <w:tc>
          <w:tcPr>
            <w:tcW w:w="16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460" w:type="dxa"/>
            <w:vAlign w:val="bottom"/>
          </w:tcPr>
          <w:p>
            <w:pPr>
              <w:jc w:val="right"/>
              <w:ind w:right="56"/>
              <w:spacing w:after="0"/>
              <w:rPr>
                <w:sz w:val="20"/>
                <w:szCs w:val="20"/>
                <w:color w:val="auto"/>
              </w:rPr>
            </w:pPr>
            <w:r>
              <w:rPr>
                <w:rFonts w:ascii="Arial" w:cs="Arial" w:eastAsia="Arial" w:hAnsi="Arial"/>
                <w:sz w:val="10"/>
                <w:szCs w:val="10"/>
                <w:color w:val="auto"/>
              </w:rPr>
              <w:t>88</w:t>
            </w:r>
          </w:p>
        </w:tc>
        <w:tc>
          <w:tcPr>
            <w:tcW w:w="160" w:type="dxa"/>
            <w:vAlign w:val="bottom"/>
          </w:tcPr>
          <w:p>
            <w:pPr>
              <w:spacing w:after="0"/>
              <w:rPr>
                <w:sz w:val="24"/>
                <w:szCs w:val="24"/>
                <w:color w:val="auto"/>
              </w:rPr>
            </w:pPr>
          </w:p>
        </w:tc>
        <w:tc>
          <w:tcPr>
            <w:tcW w:w="540" w:type="dxa"/>
            <w:vAlign w:val="bottom"/>
          </w:tcPr>
          <w:p>
            <w:pPr>
              <w:jc w:val="right"/>
              <w:ind w:right="95"/>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24"/>
                <w:szCs w:val="24"/>
                <w:color w:val="auto"/>
              </w:rPr>
            </w:pPr>
          </w:p>
        </w:tc>
        <w:tc>
          <w:tcPr>
            <w:tcW w:w="48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4"/>
                <w:szCs w:val="24"/>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163</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Medsurant Holdings, LLC</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0"/>
                <w:szCs w:val="10"/>
                <w:color w:val="auto"/>
              </w:rPr>
              <w:t>5,930</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4,262</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 xml:space="preserve">(329 </w:t>
            </w:r>
            <w:r>
              <w:rPr>
                <w:rFonts w:ascii="Arial" w:cs="Arial" w:eastAsia="Arial" w:hAnsi="Arial"/>
                <w:sz w:val="19"/>
                <w:szCs w:val="19"/>
                <w:color w:val="auto"/>
                <w:vertAlign w:val="subscript"/>
              </w:rPr>
              <w:t>)</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0"/>
                <w:szCs w:val="10"/>
                <w:color w:val="auto"/>
              </w:rPr>
              <w:t>9,863</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0"/>
                <w:szCs w:val="10"/>
                <w:color w:val="auto"/>
              </w:rPr>
              <w:t>4,261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0"/>
                <w:szCs w:val="10"/>
                <w:color w:val="auto"/>
              </w:rPr>
              <w:t>1,328</w:t>
            </w: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Arial" w:cs="Arial" w:eastAsia="Arial" w:hAnsi="Arial"/>
                <w:sz w:val="10"/>
                <w:szCs w:val="10"/>
                <w:color w:val="auto"/>
              </w:rPr>
              <w:t>Pfanstiehl, Inc.</w:t>
            </w:r>
          </w:p>
        </w:tc>
        <w:tc>
          <w:tcPr>
            <w:tcW w:w="240" w:type="dxa"/>
            <w:vAlign w:val="bottom"/>
          </w:tcPr>
          <w:p>
            <w:pPr>
              <w:spacing w:after="0"/>
              <w:rPr>
                <w:sz w:val="21"/>
                <w:szCs w:val="2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80" w:type="dxa"/>
            <w:vAlign w:val="bottom"/>
          </w:tcPr>
          <w:p>
            <w:pPr>
              <w:jc w:val="right"/>
              <w:ind w:right="56"/>
              <w:spacing w:after="0"/>
              <w:rPr>
                <w:sz w:val="20"/>
                <w:szCs w:val="20"/>
                <w:color w:val="auto"/>
              </w:rPr>
            </w:pPr>
            <w:r>
              <w:rPr>
                <w:rFonts w:ascii="Arial" w:cs="Arial" w:eastAsia="Arial" w:hAnsi="Arial"/>
                <w:sz w:val="10"/>
                <w:szCs w:val="10"/>
                <w:color w:val="auto"/>
              </w:rPr>
              <w:t>33,321</w:t>
            </w:r>
          </w:p>
        </w:tc>
        <w:tc>
          <w:tcPr>
            <w:tcW w:w="160" w:type="dxa"/>
            <w:vAlign w:val="bottom"/>
          </w:tcPr>
          <w:p>
            <w:pPr>
              <w:spacing w:after="0"/>
              <w:rPr>
                <w:sz w:val="21"/>
                <w:szCs w:val="21"/>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6,602</w:t>
            </w:r>
          </w:p>
        </w:tc>
        <w:tc>
          <w:tcPr>
            <w:tcW w:w="180" w:type="dxa"/>
            <w:vAlign w:val="bottom"/>
          </w:tcPr>
          <w:p>
            <w:pPr>
              <w:spacing w:after="0"/>
              <w:rPr>
                <w:sz w:val="21"/>
                <w:szCs w:val="21"/>
                <w:color w:val="auto"/>
              </w:rPr>
            </w:pPr>
          </w:p>
        </w:tc>
        <w:tc>
          <w:tcPr>
            <w:tcW w:w="5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560" w:type="dxa"/>
            <w:vAlign w:val="bottom"/>
          </w:tcPr>
          <w:p>
            <w:pPr>
              <w:jc w:val="right"/>
              <w:ind w:right="56"/>
              <w:spacing w:after="0"/>
              <w:rPr>
                <w:sz w:val="20"/>
                <w:szCs w:val="20"/>
                <w:color w:val="auto"/>
              </w:rPr>
            </w:pPr>
            <w:r>
              <w:rPr>
                <w:rFonts w:ascii="Arial" w:cs="Arial" w:eastAsia="Arial" w:hAnsi="Arial"/>
                <w:sz w:val="10"/>
                <w:szCs w:val="10"/>
                <w:color w:val="auto"/>
              </w:rPr>
              <w:t>39,923</w:t>
            </w:r>
          </w:p>
        </w:tc>
        <w:tc>
          <w:tcPr>
            <w:tcW w:w="160" w:type="dxa"/>
            <w:vAlign w:val="bottom"/>
          </w:tcPr>
          <w:p>
            <w:pPr>
              <w:spacing w:after="0"/>
              <w:rPr>
                <w:sz w:val="21"/>
                <w:szCs w:val="21"/>
                <w:color w:val="auto"/>
              </w:rPr>
            </w:pPr>
          </w:p>
        </w:tc>
        <w:tc>
          <w:tcPr>
            <w:tcW w:w="480" w:type="dxa"/>
            <w:vAlign w:val="bottom"/>
            <w:vMerge w:val="restart"/>
          </w:tcPr>
          <w:p>
            <w:pPr>
              <w:ind w:left="2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6,602</w:t>
            </w:r>
          </w:p>
        </w:tc>
        <w:tc>
          <w:tcPr>
            <w:tcW w:w="120" w:type="dxa"/>
            <w:vAlign w:val="bottom"/>
          </w:tcPr>
          <w:p>
            <w:pPr>
              <w:spacing w:after="0"/>
              <w:rPr>
                <w:sz w:val="21"/>
                <w:szCs w:val="21"/>
                <w:color w:val="auto"/>
              </w:rPr>
            </w:pPr>
          </w:p>
        </w:tc>
        <w:tc>
          <w:tcPr>
            <w:tcW w:w="460" w:type="dxa"/>
            <w:vAlign w:val="bottom"/>
          </w:tcPr>
          <w:p>
            <w:pPr>
              <w:jc w:val="right"/>
              <w:ind w:right="56"/>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40" w:type="dxa"/>
            <w:vAlign w:val="bottom"/>
            <w:vMerge w:val="restart"/>
          </w:tcPr>
          <w:p>
            <w:pPr>
              <w:jc w:val="right"/>
              <w:ind w:right="95"/>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480" w:type="dxa"/>
            <w:vAlign w:val="bottom"/>
          </w:tcPr>
          <w:p>
            <w:pPr>
              <w:jc w:val="right"/>
              <w:ind w:right="56"/>
              <w:spacing w:after="0"/>
              <w:rPr>
                <w:sz w:val="20"/>
                <w:szCs w:val="20"/>
                <w:color w:val="auto"/>
              </w:rPr>
            </w:pPr>
            <w:r>
              <w:rPr>
                <w:rFonts w:ascii="Arial" w:cs="Arial" w:eastAsia="Arial" w:hAnsi="Arial"/>
                <w:sz w:val="10"/>
                <w:szCs w:val="10"/>
                <w:color w:val="auto"/>
              </w:rPr>
              <w:t>348</w:t>
            </w:r>
          </w:p>
        </w:tc>
        <w:tc>
          <w:tcPr>
            <w:tcW w:w="300" w:type="dxa"/>
            <w:vAlign w:val="bottom"/>
          </w:tcPr>
          <w:p>
            <w:pPr>
              <w:spacing w:after="0"/>
              <w:rPr>
                <w:sz w:val="21"/>
                <w:szCs w:val="21"/>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1"/>
        </w:trPr>
        <w:tc>
          <w:tcPr>
            <w:tcW w:w="17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-2020570</wp:posOffset>
            </wp:positionV>
            <wp:extent cx="245554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555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-1433830</wp:posOffset>
            </wp:positionV>
            <wp:extent cx="591058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10580" cy="635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-1123315</wp:posOffset>
            </wp:positionV>
            <wp:extent cx="468693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686935" cy="635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-917575</wp:posOffset>
            </wp:positionV>
            <wp:extent cx="4744085" cy="28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44085" cy="28575"/>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19 / 24</w:t>
      </w:r>
    </w:p>
    <w:p>
      <w:pPr>
        <w:sectPr>
          <w:pgSz w:w="11900" w:h="16838" w:orient="portrait"/>
          <w:cols w:equalWidth="0" w:num="1">
            <w:col w:w="9406"/>
          </w:cols>
          <w:pgMar w:left="1254" w:top="1440" w:right="1246" w:bottom="0" w:gutter="0" w:footer="0" w:header="0"/>
          <w:type w:val="continuous"/>
        </w:sectPr>
      </w:pPr>
    </w:p>
    <w:bookmarkStart w:id="276" w:name="page277"/>
    <w:bookmarkEnd w:id="276"/>
    <w:tbl>
      <w:tblPr>
        <w:tblLayout w:type="fixed"/>
        <w:tblInd w:w="6" w:type="dxa"/>
        <w:tblCellMar>
          <w:top w:w="0" w:type="dxa"/>
          <w:left w:w="0" w:type="dxa"/>
          <w:bottom w:w="0" w:type="dxa"/>
          <w:right w:w="0" w:type="dxa"/>
        </w:tblCellMar>
      </w:tblPr>
      <w:tr>
        <w:trPr>
          <w:trHeight w:val="143"/>
        </w:trPr>
        <w:tc>
          <w:tcPr>
            <w:tcW w:w="1780" w:type="dxa"/>
            <w:vAlign w:val="bottom"/>
            <w:shd w:val="clear" w:color="auto" w:fill="CCEEFF"/>
          </w:tcPr>
          <w:p>
            <w:pPr>
              <w:spacing w:after="0"/>
              <w:rPr>
                <w:sz w:val="20"/>
                <w:szCs w:val="20"/>
                <w:color w:val="auto"/>
              </w:rPr>
            </w:pPr>
            <w:r>
              <w:rPr>
                <w:rFonts w:ascii="Arial" w:cs="Arial" w:eastAsia="Arial" w:hAnsi="Arial"/>
                <w:sz w:val="10"/>
                <w:szCs w:val="10"/>
                <w:color w:val="auto"/>
              </w:rPr>
              <w:t>Spectra A&amp;D Acquisition, Inc. (fka FDS</w:t>
            </w:r>
          </w:p>
        </w:tc>
        <w:tc>
          <w:tcPr>
            <w:tcW w:w="2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15,000</w:t>
            </w:r>
          </w:p>
        </w:tc>
        <w:tc>
          <w:tcPr>
            <w:tcW w:w="2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15,321</w:t>
            </w: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2,217</w:t>
            </w:r>
          </w:p>
        </w:tc>
        <w:tc>
          <w:tcPr>
            <w:tcW w:w="2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 xml:space="preserve">(2,617 </w:t>
            </w:r>
            <w:r>
              <w:rPr>
                <w:rFonts w:ascii="Arial" w:cs="Arial" w:eastAsia="Arial" w:hAnsi="Arial"/>
                <w:sz w:val="19"/>
                <w:szCs w:val="19"/>
                <w:color w:val="auto"/>
                <w:vertAlign w:val="subscript"/>
              </w:rPr>
              <w:t>)</w:t>
            </w:r>
          </w:p>
        </w:tc>
        <w:tc>
          <w:tcPr>
            <w:tcW w:w="6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14,921</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 xml:space="preserve">(2,617 </w:t>
            </w:r>
            <w:r>
              <w:rPr>
                <w:rFonts w:ascii="Arial" w:cs="Arial" w:eastAsia="Arial" w:hAnsi="Arial"/>
                <w:sz w:val="19"/>
                <w:szCs w:val="19"/>
                <w:color w:val="auto"/>
                <w:vertAlign w:val="subscript"/>
              </w:rPr>
              <w:t>)</w:t>
            </w: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2,371</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51"/>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Avionics Corp.)</w:t>
            </w:r>
          </w:p>
        </w:tc>
        <w:tc>
          <w:tcPr>
            <w:tcW w:w="2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80" w:type="dxa"/>
            <w:vAlign w:val="bottom"/>
          </w:tcPr>
          <w:p>
            <w:pPr>
              <w:spacing w:after="0"/>
              <w:rPr>
                <w:sz w:val="20"/>
                <w:szCs w:val="20"/>
                <w:color w:val="auto"/>
              </w:rPr>
            </w:pPr>
            <w:r>
              <w:rPr>
                <w:rFonts w:ascii="Arial" w:cs="Arial" w:eastAsia="Arial" w:hAnsi="Arial"/>
                <w:sz w:val="10"/>
                <w:szCs w:val="10"/>
                <w:color w:val="auto"/>
              </w:rPr>
              <w:t>Steward Holding LLC (dba Steward</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0"/>
                <w:szCs w:val="10"/>
                <w:color w:val="auto"/>
              </w:rPr>
              <w:t>4,714</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color w:val="auto"/>
              </w:rPr>
              <w:t xml:space="preserve">(90 </w:t>
            </w:r>
            <w:r>
              <w:rPr>
                <w:rFonts w:ascii="Arial" w:cs="Arial" w:eastAsia="Arial" w:hAnsi="Arial"/>
                <w:sz w:val="19"/>
                <w:szCs w:val="19"/>
                <w:color w:val="auto"/>
                <w:vertAlign w:val="subscript"/>
              </w:rPr>
              <w:t>)</w:t>
            </w:r>
          </w:p>
        </w:tc>
        <w:tc>
          <w:tcPr>
            <w:tcW w:w="680" w:type="dxa"/>
            <w:vAlign w:val="bottom"/>
            <w:vMerge w:val="restart"/>
          </w:tcPr>
          <w:p>
            <w:pPr>
              <w:jc w:val="right"/>
              <w:ind w:right="50"/>
              <w:spacing w:after="0"/>
              <w:rPr>
                <w:sz w:val="20"/>
                <w:szCs w:val="20"/>
                <w:color w:val="auto"/>
              </w:rPr>
            </w:pPr>
            <w:r>
              <w:rPr>
                <w:rFonts w:ascii="Arial" w:cs="Arial" w:eastAsia="Arial" w:hAnsi="Arial"/>
                <w:sz w:val="10"/>
                <w:szCs w:val="10"/>
                <w:color w:val="auto"/>
              </w:rPr>
              <w:t>4,624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0"/>
                <w:szCs w:val="10"/>
                <w:color w:val="auto"/>
              </w:rPr>
              <w:t xml:space="preserve">(90 </w:t>
            </w:r>
            <w:r>
              <w:rPr>
                <w:rFonts w:ascii="Arial" w:cs="Arial" w:eastAsia="Arial" w:hAnsi="Arial"/>
                <w:sz w:val="19"/>
                <w:szCs w:val="19"/>
                <w:color w:val="auto"/>
                <w:vertAlign w:val="subscript"/>
              </w:rPr>
              <w:t>)</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0"/>
                <w:szCs w:val="10"/>
                <w:color w:val="auto"/>
              </w:rPr>
              <w:t>154</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780" w:type="dxa"/>
            <w:vAlign w:val="bottom"/>
          </w:tcPr>
          <w:p>
            <w:pPr>
              <w:spacing w:after="0"/>
              <w:rPr>
                <w:sz w:val="20"/>
                <w:szCs w:val="20"/>
                <w:color w:val="auto"/>
              </w:rPr>
            </w:pPr>
            <w:r>
              <w:rPr>
                <w:rFonts w:ascii="Arial" w:cs="Arial" w:eastAsia="Arial" w:hAnsi="Arial"/>
                <w:sz w:val="10"/>
                <w:szCs w:val="10"/>
                <w:color w:val="auto"/>
              </w:rPr>
              <w:t>Advanced Materials)</w:t>
            </w:r>
          </w:p>
        </w:tc>
        <w:tc>
          <w:tcPr>
            <w:tcW w:w="28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3"/>
                <w:szCs w:val="13"/>
                <w:color w:val="auto"/>
              </w:rPr>
            </w:pPr>
          </w:p>
        </w:tc>
        <w:tc>
          <w:tcPr>
            <w:tcW w:w="3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78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Total Affiliate Investments</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32,461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83,876</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21,441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 xml:space="preserve">(3,293 </w:t>
            </w:r>
            <w:r>
              <w:rPr>
                <w:rFonts w:ascii="Arial" w:cs="Arial" w:eastAsia="Arial" w:hAnsi="Arial"/>
                <w:sz w:val="19"/>
                <w:szCs w:val="19"/>
                <w:color w:val="auto"/>
                <w:vertAlign w:val="subscript"/>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102,024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7,954</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 xml:space="preserve">   3,533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1,830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183</w:t>
            </w:r>
          </w:p>
        </w:tc>
        <w:tc>
          <w:tcPr>
            <w:tcW w:w="0" w:type="dxa"/>
            <w:vAlign w:val="bottom"/>
          </w:tcPr>
          <w:p>
            <w:pPr>
              <w:spacing w:after="0"/>
              <w:rPr>
                <w:sz w:val="1"/>
                <w:szCs w:val="1"/>
                <w:color w:val="auto"/>
              </w:rPr>
            </w:pPr>
          </w:p>
        </w:tc>
      </w:tr>
      <w:tr>
        <w:trPr>
          <w:trHeight w:val="45"/>
        </w:trPr>
        <w:tc>
          <w:tcPr>
            <w:tcW w:w="178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-233680</wp:posOffset>
            </wp:positionV>
            <wp:extent cx="4686935"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686935" cy="6350"/>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-27940</wp:posOffset>
            </wp:positionV>
            <wp:extent cx="4744085" cy="285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44085" cy="28575"/>
                    </a:xfrm>
                    <a:prstGeom prst="rect">
                      <a:avLst/>
                    </a:prstGeom>
                    <a:noFill/>
                  </pic:spPr>
                </pic:pic>
              </a:graphicData>
            </a:graphic>
          </wp:anchor>
        </w:drawing>
      </w:r>
    </w:p>
    <w:p>
      <w:pPr>
        <w:spacing w:after="0" w:line="356" w:lineRule="exact"/>
        <w:rPr>
          <w:sz w:val="20"/>
          <w:szCs w:val="20"/>
          <w:color w:val="auto"/>
        </w:rPr>
      </w:pPr>
    </w:p>
    <w:p>
      <w:pPr>
        <w:ind w:left="286" w:right="580" w:hanging="286"/>
        <w:spacing w:after="0" w:line="303" w:lineRule="auto"/>
        <w:tabs>
          <w:tab w:leader="none" w:pos="2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investment type, industry, ownership detail for equity investments, interest rate and maturity date for debt investments, and if the investment is income producing is disclosed in the consolidated schedule of investments.</w:t>
      </w:r>
    </w:p>
    <w:p>
      <w:pPr>
        <w:spacing w:after="0" w:line="29" w:lineRule="exact"/>
        <w:rPr>
          <w:rFonts w:ascii="Arial" w:cs="Arial" w:eastAsia="Arial" w:hAnsi="Arial"/>
          <w:sz w:val="16"/>
          <w:szCs w:val="16"/>
          <w:color w:val="auto"/>
        </w:rPr>
      </w:pPr>
    </w:p>
    <w:p>
      <w:pPr>
        <w:jc w:val="both"/>
        <w:ind w:left="286" w:right="200" w:hanging="286"/>
        <w:spacing w:after="0" w:line="364" w:lineRule="auto"/>
        <w:tabs>
          <w:tab w:leader="none" w:pos="286" w:val="left"/>
        </w:tabs>
        <w:numPr>
          <w:ilvl w:val="0"/>
          <w:numId w:val="142"/>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4"/>
          <w:szCs w:val="14"/>
          <w:color w:val="auto"/>
        </w:rPr>
      </w:pPr>
    </w:p>
    <w:p>
      <w:pPr>
        <w:ind w:left="286" w:right="420" w:hanging="286"/>
        <w:spacing w:after="0" w:line="308" w:lineRule="auto"/>
        <w:tabs>
          <w:tab w:leader="none" w:pos="2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26" w:lineRule="exact"/>
        <w:rPr>
          <w:rFonts w:ascii="Arial" w:cs="Arial" w:eastAsia="Arial" w:hAnsi="Arial"/>
          <w:sz w:val="16"/>
          <w:szCs w:val="16"/>
          <w:color w:val="auto"/>
        </w:rPr>
      </w:pPr>
    </w:p>
    <w:p>
      <w:pPr>
        <w:ind w:left="286" w:right="140" w:hanging="286"/>
        <w:spacing w:after="0" w:line="309" w:lineRule="auto"/>
        <w:tabs>
          <w:tab w:leader="none" w:pos="2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31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4. Fair Value Measurements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Investments</w:t>
      </w:r>
    </w:p>
    <w:p>
      <w:pPr>
        <w:spacing w:after="0" w:line="260" w:lineRule="exact"/>
        <w:rPr>
          <w:sz w:val="20"/>
          <w:szCs w:val="20"/>
          <w:color w:val="auto"/>
        </w:rPr>
      </w:pPr>
    </w:p>
    <w:p>
      <w:pPr>
        <w:jc w:val="both"/>
        <w:ind w:left="6" w:right="20" w:firstLine="400"/>
        <w:spacing w:after="0" w:line="329" w:lineRule="auto"/>
        <w:rPr>
          <w:sz w:val="20"/>
          <w:szCs w:val="20"/>
          <w:color w:val="auto"/>
        </w:rPr>
      </w:pPr>
      <w:r>
        <w:rPr>
          <w:rFonts w:ascii="Arial" w:cs="Arial" w:eastAsia="Arial" w:hAnsi="Arial"/>
          <w:sz w:val="19"/>
          <w:szCs w:val="19"/>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jc w:val="center"/>
        <w:ind w:right="-5"/>
        <w:spacing w:after="0" w:line="234" w:lineRule="auto"/>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20 / 24</w:t>
      </w:r>
    </w:p>
    <w:p>
      <w:pPr>
        <w:sectPr>
          <w:pgSz w:w="11900" w:h="16838" w:orient="portrait"/>
          <w:cols w:equalWidth="0" w:num="1">
            <w:col w:w="9406"/>
          </w:cols>
          <w:pgMar w:left="1254" w:top="1133" w:right="1246" w:bottom="0" w:gutter="0" w:footer="0" w:header="0"/>
          <w:type w:val="continuous"/>
        </w:sectPr>
      </w:pPr>
    </w:p>
    <w:bookmarkStart w:id="277" w:name="page278"/>
    <w:bookmarkEnd w:id="277"/>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Inputs are unadjusted, quoted prices in active markets for identical assets as of the measurement date.</w:t>
      </w:r>
    </w:p>
    <w:p>
      <w:pPr>
        <w:spacing w:after="0" w:line="285"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i w:val="1"/>
          <w:iCs w:val="1"/>
          <w:color w:val="auto"/>
        </w:rPr>
        <w:t xml:space="preserve">Level 2 </w:t>
      </w:r>
      <w:r>
        <w:rPr>
          <w:rFonts w:ascii="Arial" w:cs="Arial" w:eastAsia="Arial" w:hAnsi="Arial"/>
          <w:sz w:val="20"/>
          <w:szCs w:val="20"/>
          <w:color w:val="auto"/>
        </w:rPr>
        <w:t>— Inputs include quoted prices for similar assets in active markets, or that are quoted prices for</w:t>
      </w:r>
      <w:r>
        <w:rPr>
          <w:rFonts w:ascii="Arial" w:cs="Arial" w:eastAsia="Arial" w:hAnsi="Arial"/>
          <w:sz w:val="20"/>
          <w:szCs w:val="20"/>
          <w:i w:val="1"/>
          <w:iCs w:val="1"/>
          <w:color w:val="auto"/>
        </w:rPr>
        <w:t xml:space="preserve"> </w:t>
      </w:r>
      <w:r>
        <w:rPr>
          <w:rFonts w:ascii="Arial" w:cs="Arial" w:eastAsia="Arial" w:hAnsi="Arial"/>
          <w:sz w:val="20"/>
          <w:szCs w:val="20"/>
          <w:color w:val="auto"/>
        </w:rPr>
        <w:t>identical or similar assets in markets that are not active and inputs that are observable, either directly or indirectly, for substantially the full term, if applicable, of the investment.</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73"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December 31, 2025. Therefore, the Company values such portfolio investments at fair value, as determined in good faith by the Board, using Level 3 inputs with the exception of money market funds that were valued using Level 1 inputs as of December 31, 2025.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67" w:lineRule="exact"/>
        <w:rPr>
          <w:sz w:val="20"/>
          <w:szCs w:val="20"/>
          <w:color w:val="auto"/>
        </w:rPr>
      </w:pPr>
    </w:p>
    <w:p>
      <w:pPr>
        <w:ind w:firstLine="400"/>
        <w:spacing w:after="0" w:line="302" w:lineRule="auto"/>
        <w:rPr>
          <w:sz w:val="20"/>
          <w:szCs w:val="20"/>
          <w:color w:val="auto"/>
        </w:rPr>
      </w:pPr>
      <w:r>
        <w:rPr>
          <w:rFonts w:ascii="Arial" w:cs="Arial" w:eastAsia="Arial" w:hAnsi="Arial"/>
          <w:sz w:val="20"/>
          <w:szCs w:val="20"/>
          <w:color w:val="auto"/>
        </w:rPr>
        <w:t>With respect to investments for which market quotations are not readily available, the Board undertakes a multi-step valuation process each quarter, as described below:</w:t>
      </w:r>
    </w:p>
    <w:p>
      <w:pPr>
        <w:spacing w:after="0" w:line="351" w:lineRule="exact"/>
        <w:rPr>
          <w:sz w:val="20"/>
          <w:szCs w:val="20"/>
          <w:color w:val="auto"/>
        </w:rPr>
      </w:pPr>
    </w:p>
    <w:p>
      <w:pPr>
        <w:ind w:left="860" w:right="20" w:hanging="443"/>
        <w:spacing w:after="0" w:line="307" w:lineRule="auto"/>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quarterly valuation process begins with each portfolio company or investment being initially evaluated and rated by the investment professionals of the Investment Advisor responsible for the portfolio investment;</w:t>
      </w:r>
    </w:p>
    <w:p>
      <w:pPr>
        <w:spacing w:after="0" w:line="347" w:lineRule="exact"/>
        <w:rPr>
          <w:rFonts w:ascii="Arial" w:cs="Arial" w:eastAsia="Arial" w:hAnsi="Arial"/>
          <w:sz w:val="20"/>
          <w:szCs w:val="20"/>
          <w:color w:val="auto"/>
        </w:rPr>
      </w:pPr>
    </w:p>
    <w:p>
      <w:pPr>
        <w:ind w:left="840" w:right="220" w:hanging="431"/>
        <w:spacing w:after="0" w:line="302" w:lineRule="auto"/>
        <w:tabs>
          <w:tab w:leader="none" w:pos="8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preliminary valuation conclusions are then documented and discussed with the investment committee of the Investment Advisor;</w:t>
      </w:r>
    </w:p>
    <w:p>
      <w:pPr>
        <w:spacing w:after="0" w:line="351" w:lineRule="exact"/>
        <w:rPr>
          <w:rFonts w:ascii="Arial" w:cs="Arial" w:eastAsia="Arial" w:hAnsi="Arial"/>
          <w:sz w:val="20"/>
          <w:szCs w:val="20"/>
          <w:color w:val="auto"/>
        </w:rPr>
      </w:pPr>
    </w:p>
    <w:p>
      <w:pPr>
        <w:ind w:left="860" w:right="140" w:hanging="443"/>
        <w:spacing w:after="0" w:line="329" w:lineRule="auto"/>
        <w:tabs>
          <w:tab w:leader="none" w:pos="8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24</w:t>
      </w:r>
    </w:p>
    <w:p>
      <w:pPr>
        <w:sectPr>
          <w:pgSz w:w="11900" w:h="16838" w:orient="portrait"/>
          <w:cols w:equalWidth="0" w:num="1">
            <w:col w:w="9400"/>
          </w:cols>
          <w:pgMar w:left="1260" w:top="1440" w:right="1246" w:bottom="0" w:gutter="0" w:footer="0" w:header="0"/>
          <w:type w:val="continuous"/>
        </w:sectPr>
      </w:pPr>
    </w:p>
    <w:bookmarkStart w:id="278" w:name="page279"/>
    <w:bookmarkEnd w:id="278"/>
    <w:p>
      <w:pPr>
        <w:ind w:left="860" w:right="60" w:hanging="443"/>
        <w:spacing w:after="0" w:line="307" w:lineRule="auto"/>
        <w:tabs>
          <w:tab w:leader="none" w:pos="8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347" w:lineRule="exact"/>
        <w:rPr>
          <w:rFonts w:ascii="Arial" w:cs="Arial" w:eastAsia="Arial" w:hAnsi="Arial"/>
          <w:sz w:val="20"/>
          <w:szCs w:val="20"/>
          <w:color w:val="auto"/>
        </w:rPr>
      </w:pPr>
    </w:p>
    <w:p>
      <w:pPr>
        <w:jc w:val="both"/>
        <w:ind w:left="860" w:right="140" w:hanging="443"/>
        <w:spacing w:after="0" w:line="307" w:lineRule="auto"/>
        <w:tabs>
          <w:tab w:leader="none" w:pos="8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317" w:lineRule="exact"/>
        <w:rPr>
          <w:sz w:val="20"/>
          <w:szCs w:val="20"/>
          <w:color w:val="auto"/>
        </w:rPr>
      </w:pPr>
    </w:p>
    <w:p>
      <w:pPr>
        <w:jc w:val="both"/>
        <w:ind w:firstLine="401"/>
        <w:spacing w:after="0" w:line="309" w:lineRule="auto"/>
        <w:rPr>
          <w:sz w:val="20"/>
          <w:szCs w:val="20"/>
          <w:color w:val="auto"/>
        </w:rPr>
      </w:pPr>
      <w:r>
        <w:rPr>
          <w:rFonts w:ascii="Arial" w:cs="Arial" w:eastAsia="Arial" w:hAnsi="Arial"/>
          <w:sz w:val="20"/>
          <w:szCs w:val="20"/>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96" w:lineRule="exact"/>
        <w:rPr>
          <w:sz w:val="20"/>
          <w:szCs w:val="20"/>
          <w:color w:val="auto"/>
        </w:rPr>
      </w:pPr>
    </w:p>
    <w:p>
      <w:pPr>
        <w:jc w:val="both"/>
        <w:ind w:right="40" w:firstLine="401"/>
        <w:spacing w:after="0" w:line="330" w:lineRule="auto"/>
        <w:rPr>
          <w:sz w:val="20"/>
          <w:szCs w:val="20"/>
          <w:color w:val="auto"/>
        </w:rPr>
      </w:pPr>
      <w:r>
        <w:rPr>
          <w:rFonts w:ascii="Arial" w:cs="Arial" w:eastAsia="Arial" w:hAnsi="Arial"/>
          <w:sz w:val="19"/>
          <w:szCs w:val="19"/>
          <w:color w:val="auto"/>
        </w:rPr>
        <w:t>The Board consulted with the independent third-party valuation firm(s) in arriving at our determination of fair value for 21 and 21 of our portfolio company investments representing 26.7% and 27.5% of the total portfolio investments at fair value (exclusive of new portfolio company investments made during the three months ended December 31, 2025 and 2024, respectively) as of December 31, 2025 and 2024, respectively.</w:t>
      </w:r>
    </w:p>
    <w:p>
      <w:pPr>
        <w:spacing w:after="0" w:line="178" w:lineRule="exact"/>
        <w:rPr>
          <w:sz w:val="20"/>
          <w:szCs w:val="20"/>
          <w:color w:val="auto"/>
        </w:rPr>
      </w:pPr>
    </w:p>
    <w:p>
      <w:pPr>
        <w:jc w:val="both"/>
        <w:ind w:right="40" w:firstLine="400"/>
        <w:spacing w:after="0" w:line="311" w:lineRule="auto"/>
        <w:rPr>
          <w:sz w:val="20"/>
          <w:szCs w:val="20"/>
          <w:color w:val="auto"/>
        </w:rPr>
      </w:pPr>
      <w:r>
        <w:rPr>
          <w:rFonts w:ascii="Arial" w:cs="Arial" w:eastAsia="Arial" w:hAnsi="Arial"/>
          <w:sz w:val="20"/>
          <w:szCs w:val="20"/>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24</w:t>
      </w:r>
    </w:p>
    <w:p>
      <w:pPr>
        <w:sectPr>
          <w:pgSz w:w="11900" w:h="16838" w:orient="portrait"/>
          <w:cols w:equalWidth="0" w:num="1">
            <w:col w:w="9380"/>
          </w:cols>
          <w:pgMar w:left="1260" w:top="1173" w:right="1266" w:bottom="0" w:gutter="0" w:footer="0" w:header="0"/>
          <w:type w:val="continuous"/>
        </w:sectPr>
      </w:pPr>
    </w:p>
    <w:bookmarkStart w:id="279" w:name="page280"/>
    <w:bookmarkEnd w:id="279"/>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40" w:firstLine="400"/>
        <w:spacing w:after="0" w:line="309" w:lineRule="auto"/>
        <w:rPr>
          <w:sz w:val="20"/>
          <w:szCs w:val="20"/>
          <w:color w:val="auto"/>
        </w:rPr>
      </w:pPr>
      <w:r>
        <w:rPr>
          <w:rFonts w:ascii="Arial" w:cs="Arial" w:eastAsia="Arial" w:hAnsi="Arial"/>
          <w:sz w:val="20"/>
          <w:szCs w:val="20"/>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96" w:lineRule="exact"/>
        <w:rPr>
          <w:sz w:val="20"/>
          <w:szCs w:val="20"/>
          <w:color w:val="auto"/>
        </w:rPr>
      </w:pPr>
    </w:p>
    <w:p>
      <w:pPr>
        <w:jc w:val="both"/>
        <w:ind w:right="20" w:firstLine="401"/>
        <w:spacing w:after="0" w:line="348" w:lineRule="auto"/>
        <w:rPr>
          <w:sz w:val="20"/>
          <w:szCs w:val="20"/>
          <w:color w:val="auto"/>
        </w:rPr>
      </w:pPr>
      <w:r>
        <w:rPr>
          <w:rFonts w:ascii="Arial" w:cs="Arial" w:eastAsia="Arial" w:hAnsi="Arial"/>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78" w:lineRule="exact"/>
        <w:rPr>
          <w:sz w:val="20"/>
          <w:szCs w:val="20"/>
          <w:color w:val="auto"/>
        </w:rPr>
      </w:pPr>
    </w:p>
    <w:p>
      <w:pPr>
        <w:jc w:val="both"/>
        <w:ind w:right="20" w:firstLine="401"/>
        <w:spacing w:after="0" w:line="311" w:lineRule="auto"/>
        <w:rPr>
          <w:sz w:val="20"/>
          <w:szCs w:val="20"/>
          <w:color w:val="auto"/>
        </w:rPr>
      </w:pPr>
      <w:r>
        <w:rPr>
          <w:rFonts w:ascii="Arial" w:cs="Arial" w:eastAsia="Arial" w:hAnsi="Arial"/>
          <w:sz w:val="20"/>
          <w:szCs w:val="20"/>
          <w:color w:val="auto"/>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98" w:lineRule="exact"/>
        <w:rPr>
          <w:sz w:val="20"/>
          <w:szCs w:val="20"/>
          <w:color w:val="auto"/>
        </w:rPr>
      </w:pPr>
    </w:p>
    <w:p>
      <w:pPr>
        <w:jc w:val="both"/>
        <w:ind w:firstLine="400"/>
        <w:spacing w:after="0" w:line="329" w:lineRule="auto"/>
        <w:rPr>
          <w:sz w:val="20"/>
          <w:szCs w:val="20"/>
          <w:color w:val="auto"/>
        </w:rPr>
      </w:pPr>
      <w:r>
        <w:rPr>
          <w:rFonts w:ascii="Arial" w:cs="Arial" w:eastAsia="Arial" w:hAnsi="Arial"/>
          <w:sz w:val="19"/>
          <w:szCs w:val="19"/>
          <w:color w:val="auto"/>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24</w:t>
      </w:r>
    </w:p>
    <w:p>
      <w:pPr>
        <w:sectPr>
          <w:pgSz w:w="11900" w:h="16838" w:orient="portrait"/>
          <w:cols w:equalWidth="0" w:num="1">
            <w:col w:w="9380"/>
          </w:cols>
          <w:pgMar w:left="1260" w:top="1440" w:right="1266" w:bottom="0" w:gutter="0" w:footer="0" w:header="0"/>
          <w:type w:val="continuous"/>
        </w:sectPr>
      </w:pPr>
    </w:p>
    <w:bookmarkStart w:id="280" w:name="page281"/>
    <w:bookmarkEnd w:id="280"/>
    <w:p>
      <w:pPr>
        <w:ind w:right="60" w:firstLine="400"/>
        <w:spacing w:after="0" w:line="302" w:lineRule="auto"/>
        <w:rPr>
          <w:sz w:val="20"/>
          <w:szCs w:val="20"/>
          <w:color w:val="auto"/>
        </w:rPr>
      </w:pPr>
      <w:r>
        <w:rPr>
          <w:rFonts w:ascii="Arial" w:cs="Arial" w:eastAsia="Arial" w:hAnsi="Arial"/>
          <w:sz w:val="20"/>
          <w:szCs w:val="20"/>
          <w:color w:val="auto"/>
        </w:rPr>
        <w:t>The following tables present fair value measurements of investments by major class according to the fair value hierarchy: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December 31, 2025</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80"/>
        </w:trPr>
        <w:tc>
          <w:tcPr>
            <w:tcW w:w="2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136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46"/>
        </w:trPr>
        <w:tc>
          <w:tcPr>
            <w:tcW w:w="28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80"/>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Lien Debt</w:t>
            </w:r>
          </w:p>
        </w:tc>
        <w:tc>
          <w:tcPr>
            <w:tcW w:w="15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1,019,063</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7"/>
              </w:rPr>
              <w:t>1,019,063</w:t>
            </w:r>
          </w:p>
        </w:tc>
      </w:tr>
      <w:tr>
        <w:trPr>
          <w:trHeight w:val="264"/>
        </w:trPr>
        <w:tc>
          <w:tcPr>
            <w:tcW w:w="28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22"/>
                <w:szCs w:val="22"/>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68,929</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68,929</w:t>
            </w:r>
          </w:p>
        </w:tc>
      </w:tr>
      <w:tr>
        <w:trPr>
          <w:trHeight w:val="36"/>
        </w:trPr>
        <w:tc>
          <w:tcPr>
            <w:tcW w:w="2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Subordinated Debt</w:t>
            </w:r>
          </w:p>
        </w:tc>
        <w:tc>
          <w:tcPr>
            <w:tcW w:w="15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94,412</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94,412</w:t>
            </w:r>
          </w:p>
        </w:tc>
      </w:tr>
      <w:tr>
        <w:trPr>
          <w:trHeight w:val="264"/>
        </w:trPr>
        <w:tc>
          <w:tcPr>
            <w:tcW w:w="2860" w:type="dxa"/>
            <w:vAlign w:val="bottom"/>
          </w:tcPr>
          <w:p>
            <w:pPr>
              <w:spacing w:after="0"/>
              <w:rPr>
                <w:sz w:val="20"/>
                <w:szCs w:val="20"/>
                <w:color w:val="auto"/>
              </w:rPr>
            </w:pPr>
            <w:r>
              <w:rPr>
                <w:rFonts w:ascii="Arial" w:cs="Arial" w:eastAsia="Arial" w:hAnsi="Arial"/>
                <w:sz w:val="18"/>
                <w:szCs w:val="18"/>
                <w:color w:val="auto"/>
              </w:rPr>
              <w:t>Equity</w:t>
            </w:r>
          </w:p>
        </w:tc>
        <w:tc>
          <w:tcPr>
            <w:tcW w:w="1520" w:type="dxa"/>
            <w:vAlign w:val="bottom"/>
          </w:tcPr>
          <w:p>
            <w:pPr>
              <w:spacing w:after="0"/>
              <w:rPr>
                <w:sz w:val="22"/>
                <w:szCs w:val="22"/>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142,111</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142,111</w:t>
            </w:r>
          </w:p>
        </w:tc>
      </w:tr>
      <w:tr>
        <w:trPr>
          <w:trHeight w:val="36"/>
        </w:trPr>
        <w:tc>
          <w:tcPr>
            <w:tcW w:w="2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5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r>
      <w:tr>
        <w:trPr>
          <w:trHeight w:val="274"/>
        </w:trPr>
        <w:tc>
          <w:tcPr>
            <w:tcW w:w="2860" w:type="dxa"/>
            <w:vAlign w:val="bottom"/>
          </w:tcPr>
          <w:p>
            <w:pPr>
              <w:spacing w:after="0"/>
              <w:rPr>
                <w:sz w:val="20"/>
                <w:szCs w:val="20"/>
                <w:color w:val="auto"/>
              </w:rPr>
            </w:pPr>
            <w:r>
              <w:rPr>
                <w:rFonts w:ascii="Arial" w:cs="Arial" w:eastAsia="Arial" w:hAnsi="Arial"/>
                <w:sz w:val="18"/>
                <w:szCs w:val="18"/>
                <w:color w:val="auto"/>
              </w:rPr>
              <w:t>Money Market Funds</w:t>
            </w:r>
          </w:p>
        </w:tc>
        <w:tc>
          <w:tcPr>
            <w:tcW w:w="1520" w:type="dxa"/>
            <w:vAlign w:val="bottom"/>
          </w:tcPr>
          <w:p>
            <w:pPr>
              <w:spacing w:after="0"/>
              <w:rPr>
                <w:sz w:val="23"/>
                <w:szCs w:val="23"/>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68,974</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-1310005</wp:posOffset>
            </wp:positionV>
            <wp:extent cx="321183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11830"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-1132205</wp:posOffset>
            </wp:positionV>
            <wp:extent cx="321183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11830"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16510</wp:posOffset>
            </wp:positionV>
            <wp:extent cx="321183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11830"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24</w:t>
      </w:r>
    </w:p>
    <w:p>
      <w:pPr>
        <w:sectPr>
          <w:pgSz w:w="11900" w:h="16838" w:orient="portrait"/>
          <w:cols w:equalWidth="0" w:num="1">
            <w:col w:w="9400"/>
          </w:cols>
          <w:pgMar w:left="1260" w:top="1173" w:right="1246" w:bottom="0" w:gutter="0" w:footer="0" w:header="0"/>
          <w:type w:val="continuous"/>
        </w:sectPr>
      </w:pPr>
    </w:p>
    <w:bookmarkStart w:id="281" w:name="page282"/>
    <w:bookmarkEnd w:id="281"/>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3"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68,974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3"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1,324,753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3"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1,393,727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2024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0"/>
        </w:trPr>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4"/>
                <w:szCs w:val="24"/>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310"/>
        </w:trPr>
        <w:tc>
          <w:tcPr>
            <w:tcW w:w="2900" w:type="dxa"/>
            <w:vAlign w:val="bottom"/>
          </w:tcPr>
          <w:p>
            <w:pPr>
              <w:spacing w:after="0"/>
              <w:rPr>
                <w:sz w:val="20"/>
                <w:szCs w:val="20"/>
                <w:color w:val="auto"/>
              </w:rPr>
            </w:pPr>
            <w:r>
              <w:rPr>
                <w:rFonts w:ascii="Arial" w:cs="Arial" w:eastAsia="Arial" w:hAnsi="Arial"/>
                <w:sz w:val="18"/>
                <w:szCs w:val="18"/>
                <w:color w:val="auto"/>
              </w:rPr>
              <w:t>First Lien Debt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718,120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718,120</w:t>
            </w:r>
          </w:p>
        </w:tc>
      </w:tr>
      <w:tr>
        <w:trPr>
          <w:trHeight w:val="36"/>
        </w:trPr>
        <w:tc>
          <w:tcPr>
            <w:tcW w:w="2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Second Lien Debt</w:t>
            </w:r>
          </w:p>
        </w:tc>
        <w:tc>
          <w:tcPr>
            <w:tcW w:w="15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83,543</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83,543</w:t>
            </w:r>
          </w:p>
        </w:tc>
      </w:tr>
      <w:tr>
        <w:trPr>
          <w:trHeight w:val="264"/>
        </w:trPr>
        <w:tc>
          <w:tcPr>
            <w:tcW w:w="2900" w:type="dxa"/>
            <w:vAlign w:val="bottom"/>
          </w:tcPr>
          <w:p>
            <w:pPr>
              <w:spacing w:after="0"/>
              <w:rPr>
                <w:sz w:val="20"/>
                <w:szCs w:val="20"/>
                <w:color w:val="auto"/>
              </w:rPr>
            </w:pPr>
            <w:r>
              <w:rPr>
                <w:rFonts w:ascii="Arial" w:cs="Arial" w:eastAsia="Arial" w:hAnsi="Arial"/>
                <w:sz w:val="18"/>
                <w:szCs w:val="18"/>
                <w:color w:val="auto"/>
              </w:rPr>
              <w:t>Subordinated Debt</w:t>
            </w:r>
          </w:p>
        </w:tc>
        <w:tc>
          <w:tcPr>
            <w:tcW w:w="1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142,839</w:t>
            </w: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142,839</w:t>
            </w:r>
          </w:p>
        </w:tc>
      </w:tr>
      <w:tr>
        <w:trPr>
          <w:trHeight w:val="36"/>
        </w:trPr>
        <w:tc>
          <w:tcPr>
            <w:tcW w:w="2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w:t>
            </w:r>
          </w:p>
        </w:tc>
        <w:tc>
          <w:tcPr>
            <w:tcW w:w="15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138,371</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138,371</w:t>
            </w:r>
          </w:p>
        </w:tc>
      </w:tr>
      <w:tr>
        <w:trPr>
          <w:trHeight w:val="264"/>
        </w:trPr>
        <w:tc>
          <w:tcPr>
            <w:tcW w:w="2900" w:type="dxa"/>
            <w:vAlign w:val="bottom"/>
          </w:tcPr>
          <w:p>
            <w:pPr>
              <w:spacing w:after="0"/>
              <w:rPr>
                <w:sz w:val="20"/>
                <w:szCs w:val="20"/>
                <w:color w:val="auto"/>
              </w:rPr>
            </w:pPr>
            <w:r>
              <w:rPr>
                <w:rFonts w:ascii="Arial" w:cs="Arial" w:eastAsia="Arial" w:hAnsi="Arial"/>
                <w:sz w:val="18"/>
                <w:szCs w:val="18"/>
                <w:color w:val="auto"/>
              </w:rPr>
              <w:t>Warrants</w:t>
            </w:r>
          </w:p>
        </w:tc>
        <w:tc>
          <w:tcPr>
            <w:tcW w:w="1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7,633</w:t>
            </w: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7,633</w:t>
            </w:r>
          </w:p>
        </w:tc>
      </w:tr>
      <w:tr>
        <w:trPr>
          <w:trHeight w:val="36"/>
        </w:trPr>
        <w:tc>
          <w:tcPr>
            <w:tcW w:w="2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0"/>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5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48,715</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48,715</w:t>
            </w:r>
          </w:p>
        </w:tc>
      </w:tr>
      <w:tr>
        <w:trPr>
          <w:trHeight w:val="309"/>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48,715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1,090,506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1,139,221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-1529080</wp:posOffset>
            </wp:positionV>
            <wp:extent cx="315150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51505" cy="635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-1351280</wp:posOffset>
            </wp:positionV>
            <wp:extent cx="315150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51505" cy="635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-201930</wp:posOffset>
            </wp:positionV>
            <wp:extent cx="321119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11195" cy="635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-5080</wp:posOffset>
            </wp:positionV>
            <wp:extent cx="3151505" cy="285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51505" cy="2857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19</w:t>
      </w:r>
    </w:p>
    <w:p>
      <w:pPr>
        <w:sectPr>
          <w:pgSz w:w="11900" w:h="16838" w:orient="portrait"/>
          <w:cols w:equalWidth="0" w:num="1">
            <w:col w:w="9400"/>
          </w:cols>
          <w:pgMar w:left="1260" w:top="1440" w:right="1246" w:bottom="0" w:gutter="0" w:footer="0" w:header="0"/>
          <w:type w:val="continuous"/>
        </w:sectPr>
      </w:pPr>
    </w:p>
    <w:bookmarkStart w:id="282" w:name="page283"/>
    <w:bookmarkEnd w:id="282"/>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20" w:firstLine="400"/>
        <w:spacing w:after="0" w:line="309" w:lineRule="auto"/>
        <w:rPr>
          <w:sz w:val="20"/>
          <w:szCs w:val="20"/>
          <w:color w:val="auto"/>
        </w:rPr>
      </w:pPr>
      <w:r>
        <w:rPr>
          <w:rFonts w:ascii="Arial" w:cs="Arial" w:eastAsia="Arial" w:hAnsi="Arial"/>
          <w:sz w:val="20"/>
          <w:szCs w:val="20"/>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2025 and 2024.</w:t>
      </w:r>
    </w:p>
    <w:p>
      <w:pPr>
        <w:spacing w:after="0" w:line="196" w:lineRule="exact"/>
        <w:rPr>
          <w:sz w:val="20"/>
          <w:szCs w:val="20"/>
          <w:color w:val="auto"/>
        </w:rPr>
      </w:pPr>
    </w:p>
    <w:p>
      <w:pPr>
        <w:jc w:val="both"/>
        <w:ind w:right="20" w:firstLine="400"/>
        <w:spacing w:after="0" w:line="363"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years ended December 31, 2025 and 2024:</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199326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993265" cy="635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Net realized gains (losses) on investments</w:t>
      </w:r>
    </w:p>
    <w:p>
      <w:pPr>
        <w:spacing w:after="0" w:line="130" w:lineRule="exact"/>
        <w:rPr>
          <w:sz w:val="20"/>
          <w:szCs w:val="20"/>
          <w:color w:val="auto"/>
        </w:rPr>
      </w:pPr>
    </w:p>
    <w:p>
      <w:pPr>
        <w:ind w:right="300"/>
        <w:spacing w:after="0" w:line="394" w:lineRule="auto"/>
        <w:rPr>
          <w:sz w:val="20"/>
          <w:szCs w:val="20"/>
          <w:color w:val="auto"/>
        </w:rPr>
      </w:pPr>
      <w:r>
        <w:rPr>
          <w:rFonts w:ascii="Arial" w:cs="Arial" w:eastAsia="Arial" w:hAnsi="Arial"/>
          <w:sz w:val="16"/>
          <w:szCs w:val="16"/>
          <w:color w:val="auto"/>
        </w:rPr>
        <w:t>Net change in unrealized appreciation (depreciation) on investments Purchase of investments</w:t>
      </w:r>
    </w:p>
    <w:p>
      <w:pPr>
        <w:spacing w:after="0" w:line="1"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color w:val="auto"/>
        </w:rPr>
        <w:t>Proceeds from sales and repayments of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Interest and dividend income paid-in-kind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loan origination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Accretion of loan origination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Accretion of original issue discount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2024</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Net realized gains (losses) on investments</w:t>
      </w:r>
    </w:p>
    <w:p>
      <w:pPr>
        <w:spacing w:after="0" w:line="130" w:lineRule="exact"/>
        <w:rPr>
          <w:sz w:val="20"/>
          <w:szCs w:val="20"/>
          <w:color w:val="auto"/>
        </w:rPr>
      </w:pPr>
    </w:p>
    <w:p>
      <w:pPr>
        <w:ind w:right="300"/>
        <w:spacing w:after="0" w:line="394" w:lineRule="auto"/>
        <w:rPr>
          <w:sz w:val="20"/>
          <w:szCs w:val="20"/>
          <w:color w:val="auto"/>
        </w:rPr>
      </w:pPr>
      <w:r>
        <w:rPr>
          <w:rFonts w:ascii="Arial" w:cs="Arial" w:eastAsia="Arial" w:hAnsi="Arial"/>
          <w:sz w:val="16"/>
          <w:szCs w:val="16"/>
          <w:color w:val="auto"/>
        </w:rPr>
        <w:t>Net change in unrealized appreciation (depreciation) on investments Purchase of investments</w:t>
      </w:r>
    </w:p>
    <w:p>
      <w:pPr>
        <w:spacing w:after="0" w:line="1"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color w:val="auto"/>
        </w:rPr>
        <w:t>Proceeds from sales and repayments of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Interest and dividend income paid-in-kind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loan origination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Accretion of loan origination fees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Accretion of original issue discount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Transfers by type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w w:val="82"/>
              </w:rPr>
              <w:t>Second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0"/>
        </w:trPr>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First Lien</w:t>
            </w:r>
          </w:p>
        </w:tc>
        <w:tc>
          <w:tcPr>
            <w:tcW w:w="18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Lien</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Subordinated</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84"/>
        </w:trPr>
        <w:tc>
          <w:tcPr>
            <w:tcW w:w="1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Debt</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Equity</w:t>
            </w: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32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578,140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119,561</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135,173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5"/>
              </w:rPr>
              <w:t>$120,007</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4,768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957,649</w:t>
            </w:r>
          </w:p>
        </w:tc>
      </w:tr>
      <w:tr>
        <w:trPr>
          <w:trHeight w:val="31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17,791</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(3,462)</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1,057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4,719</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2,865</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(6,241)</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318,608</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33,281</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21,966</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20,677</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394,532</w:t>
            </w:r>
          </w:p>
        </w:tc>
      </w:tr>
      <w:tr>
        <w:trPr>
          <w:trHeight w:val="55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(164,986)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(67,363)</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(19,689)</w:t>
            </w:r>
          </w:p>
        </w:tc>
        <w:tc>
          <w:tcPr>
            <w:tcW w:w="880" w:type="dxa"/>
            <w:vAlign w:val="bottom"/>
          </w:tcPr>
          <w:p>
            <w:pPr>
              <w:jc w:val="right"/>
              <w:spacing w:after="0"/>
              <w:rPr>
                <w:sz w:val="20"/>
                <w:szCs w:val="20"/>
                <w:color w:val="auto"/>
              </w:rPr>
            </w:pPr>
            <w:r>
              <w:rPr>
                <w:rFonts w:ascii="Arial" w:cs="Arial" w:eastAsia="Arial" w:hAnsi="Arial"/>
                <w:sz w:val="18"/>
                <w:szCs w:val="18"/>
                <w:color w:val="auto"/>
              </w:rPr>
              <w:t>(24,823)</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(276,861)</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2,520</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4,050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7,840</w:t>
            </w:r>
          </w:p>
        </w:tc>
      </w:tr>
      <w:tr>
        <w:trPr>
          <w:trHeight w:val="31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(2,569)</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2,172</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1,110</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32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718,120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83,543</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142,839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5"/>
              </w:rPr>
              <w:t>$138,371</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7,633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1,090,506</w:t>
            </w:r>
          </w:p>
        </w:tc>
      </w:tr>
      <w:tr>
        <w:trPr>
          <w:trHeight w:val="31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(14,498)</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(5,203)</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14,959</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8,116</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6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25,425</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(3,835)</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w:t>
            </w:r>
          </w:p>
        </w:tc>
        <w:tc>
          <w:tcPr>
            <w:tcW w:w="880" w:type="dxa"/>
            <w:vAlign w:val="bottom"/>
          </w:tcPr>
          <w:p>
            <w:pPr>
              <w:jc w:val="right"/>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(5,261)</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10,110</w:t>
            </w:r>
          </w:p>
        </w:tc>
      </w:tr>
      <w:tr>
        <w:trPr>
          <w:trHeight w:val="306"/>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462,576</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13,601</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4,021</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17,839</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498,162</w:t>
            </w:r>
          </w:p>
        </w:tc>
      </w:tr>
      <w:tr>
        <w:trPr>
          <w:trHeight w:val="563"/>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(186,590)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(53,992)</w:t>
            </w:r>
          </w:p>
        </w:tc>
        <w:tc>
          <w:tcPr>
            <w:tcW w:w="880" w:type="dxa"/>
            <w:vAlign w:val="bottom"/>
          </w:tcPr>
          <w:p>
            <w:pPr>
              <w:jc w:val="right"/>
              <w:spacing w:after="0"/>
              <w:rPr>
                <w:sz w:val="20"/>
                <w:szCs w:val="20"/>
                <w:color w:val="auto"/>
              </w:rPr>
            </w:pPr>
            <w:r>
              <w:rPr>
                <w:rFonts w:ascii="Arial" w:cs="Arial" w:eastAsia="Arial" w:hAnsi="Arial"/>
                <w:sz w:val="18"/>
                <w:szCs w:val="18"/>
                <w:color w:val="auto"/>
              </w:rPr>
              <w:t>(24,526)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(10,375)</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(288,002)</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4,926</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2,963</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2,977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10,866</w:t>
            </w:r>
          </w:p>
        </w:tc>
      </w:tr>
      <w:tr>
        <w:trPr>
          <w:trHeight w:val="31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2,714</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314"/>
        </w:trPr>
        <w:tc>
          <w:tcPr>
            <w:tcW w:w="12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9,645</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(9,645)</w:t>
            </w:r>
          </w:p>
        </w:tc>
        <w:tc>
          <w:tcPr>
            <w:tcW w:w="2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1,019,063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68,929</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94,412</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5"/>
              </w:rPr>
              <w:t>$142,111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1,324,753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-4674235</wp:posOffset>
            </wp:positionV>
            <wp:extent cx="5967730" cy="4726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7730" cy="472630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-4674235</wp:posOffset>
            </wp:positionV>
            <wp:extent cx="5967730" cy="4726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67730" cy="472630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3020" w:space="220"/>
            <w:col w:w="6120"/>
          </w:cols>
          <w:pgMar w:left="1260" w:top="1440" w:right="1286" w:bottom="0" w:gutter="0" w:footer="0" w:header="0"/>
          <w:type w:val="continuous"/>
        </w:sectPr>
      </w:pPr>
    </w:p>
    <w:p>
      <w:pPr>
        <w:spacing w:after="0" w:line="356" w:lineRule="exact"/>
        <w:rPr>
          <w:sz w:val="20"/>
          <w:szCs w:val="20"/>
          <w:color w:val="auto"/>
        </w:rPr>
      </w:pPr>
    </w:p>
    <w:p>
      <w:pPr>
        <w:jc w:val="both"/>
        <w:ind w:right="40" w:firstLine="400"/>
        <w:spacing w:after="0" w:line="307" w:lineRule="auto"/>
        <w:rPr>
          <w:sz w:val="20"/>
          <w:szCs w:val="20"/>
          <w:color w:val="auto"/>
        </w:rPr>
      </w:pPr>
      <w:r>
        <w:rPr>
          <w:rFonts w:ascii="Arial" w:cs="Arial" w:eastAsia="Arial" w:hAnsi="Arial"/>
          <w:sz w:val="20"/>
          <w:szCs w:val="20"/>
          <w:color w:val="auto"/>
        </w:rPr>
        <w:t>Net change in unrealized appreciation/(depreciation) of $(6,912) and $984 for the years ended December 31, 2025 and 2024, respectively, were attributable to Level 3 investments held at December 31, 2025 and 2024, respectively.</w:t>
      </w:r>
    </w:p>
    <w:p>
      <w:pPr>
        <w:sectPr>
          <w:pgSz w:w="11900" w:h="16838" w:orient="portrait"/>
          <w:cols w:equalWidth="0" w:num="1">
            <w:col w:w="9360"/>
          </w:cols>
          <w:pgMar w:left="1260" w:top="1440"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 / 19</w:t>
      </w:r>
    </w:p>
    <w:p>
      <w:pPr>
        <w:sectPr>
          <w:pgSz w:w="11900" w:h="16838" w:orient="portrait"/>
          <w:cols w:equalWidth="0" w:num="1">
            <w:col w:w="9360"/>
          </w:cols>
          <w:pgMar w:left="1260" w:top="1440" w:right="1286" w:bottom="0" w:gutter="0" w:footer="0" w:header="0"/>
          <w:type w:val="continuous"/>
        </w:sectPr>
      </w:pPr>
    </w:p>
    <w:bookmarkStart w:id="283" w:name="page284"/>
    <w:bookmarkEnd w:id="283"/>
    <w:p>
      <w:pPr>
        <w:jc w:val="both"/>
        <w:ind w:firstLine="400"/>
        <w:spacing w:after="0" w:line="309" w:lineRule="auto"/>
        <w:rPr>
          <w:sz w:val="20"/>
          <w:szCs w:val="20"/>
          <w:color w:val="auto"/>
        </w:rPr>
      </w:pPr>
      <w:r>
        <w:rPr>
          <w:rFonts w:ascii="Arial" w:cs="Arial" w:eastAsia="Arial" w:hAnsi="Arial"/>
          <w:sz w:val="20"/>
          <w:szCs w:val="20"/>
          <w:color w:val="auto"/>
        </w:rPr>
        <w:t>The following tables summarize the significant unobservable inputs by valuation technique used to determine the fair value of the Company’s Level 3 debt and equity investments as of December 31, 2025 and 2024. The tables are not intended to be all-inclusive, but instead capture the significant unobservable inputs relevant to the Company’s determination of fair values.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19</w:t>
      </w:r>
    </w:p>
    <w:p>
      <w:pPr>
        <w:sectPr>
          <w:pgSz w:w="11900" w:h="16838" w:orient="portrait"/>
          <w:cols w:equalWidth="0" w:num="1">
            <w:col w:w="9380"/>
          </w:cols>
          <w:pgMar w:left="1260" w:top="1173" w:right="1266" w:bottom="0" w:gutter="0" w:footer="0" w:header="0"/>
          <w:type w:val="continuous"/>
        </w:sectPr>
      </w:pPr>
    </w:p>
    <w:bookmarkStart w:id="284" w:name="page285"/>
    <w:bookmarkEnd w:id="284"/>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80" w:type="dxa"/>
            <w:vAlign w:val="bottom"/>
            <w:gridSpan w:val="3"/>
          </w:tcPr>
          <w:p>
            <w:pPr>
              <w:jc w:val="center"/>
              <w:spacing w:after="0"/>
              <w:rPr>
                <w:sz w:val="20"/>
                <w:szCs w:val="20"/>
                <w:color w:val="auto"/>
              </w:rPr>
            </w:pPr>
            <w:r>
              <w:rPr>
                <w:rFonts w:ascii="Arial" w:cs="Arial" w:eastAsia="Arial" w:hAnsi="Arial"/>
                <w:sz w:val="20"/>
                <w:szCs w:val="20"/>
                <w:b w:val="1"/>
                <w:bCs w:val="1"/>
                <w:color w:val="auto"/>
              </w:rPr>
              <w:t>FIDUS INVESTMENT CORPORATION</w:t>
            </w:r>
          </w:p>
        </w:tc>
      </w:tr>
      <w:tr>
        <w:trPr>
          <w:trHeight w:val="300"/>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gridSpan w:val="3"/>
          </w:tcPr>
          <w:p>
            <w:pPr>
              <w:jc w:val="center"/>
              <w:spacing w:after="0"/>
              <w:rPr>
                <w:sz w:val="20"/>
                <w:szCs w:val="20"/>
                <w:color w:val="auto"/>
              </w:rPr>
            </w:pPr>
            <w:r>
              <w:rPr>
                <w:rFonts w:ascii="Arial" w:cs="Arial" w:eastAsia="Arial" w:hAnsi="Arial"/>
                <w:sz w:val="20"/>
                <w:szCs w:val="20"/>
                <w:b w:val="1"/>
                <w:bCs w:val="1"/>
                <w:color w:val="auto"/>
                <w:w w:val="88"/>
              </w:rPr>
              <w:t>Notes to Consolidated Financial Statements</w:t>
            </w:r>
          </w:p>
        </w:tc>
      </w:tr>
      <w:tr>
        <w:trPr>
          <w:trHeight w:val="300"/>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gridSpan w:val="3"/>
          </w:tcPr>
          <w:p>
            <w:pPr>
              <w:jc w:val="center"/>
              <w:spacing w:after="0"/>
              <w:rPr>
                <w:sz w:val="20"/>
                <w:szCs w:val="20"/>
                <w:color w:val="auto"/>
              </w:rPr>
            </w:pPr>
            <w:r>
              <w:rPr>
                <w:rFonts w:ascii="Arial" w:cs="Arial" w:eastAsia="Arial" w:hAnsi="Arial"/>
                <w:sz w:val="20"/>
                <w:szCs w:val="20"/>
                <w:b w:val="1"/>
                <w:bCs w:val="1"/>
                <w:color w:val="auto"/>
                <w:w w:val="88"/>
              </w:rPr>
              <w:t>(in thousands, except shares and per share data)</w:t>
            </w:r>
          </w:p>
        </w:tc>
      </w:tr>
      <w:tr>
        <w:trPr>
          <w:trHeight w:val="439"/>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center"/>
              <w:ind w:right="128"/>
              <w:spacing w:after="0"/>
              <w:rPr>
                <w:sz w:val="20"/>
                <w:szCs w:val="20"/>
                <w:color w:val="auto"/>
              </w:rPr>
            </w:pPr>
            <w:r>
              <w:rPr>
                <w:rFonts w:ascii="Arial" w:cs="Arial" w:eastAsia="Arial" w:hAnsi="Arial"/>
                <w:sz w:val="18"/>
                <w:szCs w:val="18"/>
                <w:b w:val="1"/>
                <w:bCs w:val="1"/>
                <w:color w:val="auto"/>
                <w:w w:val="95"/>
              </w:rPr>
              <w:t>Fair Value at</w:t>
            </w:r>
          </w:p>
        </w:tc>
        <w:tc>
          <w:tcPr>
            <w:tcW w:w="1840" w:type="dxa"/>
            <w:vAlign w:val="bottom"/>
          </w:tcPr>
          <w:p>
            <w:pPr>
              <w:ind w:left="620"/>
              <w:spacing w:after="0"/>
              <w:rPr>
                <w:sz w:val="20"/>
                <w:szCs w:val="20"/>
                <w:color w:val="auto"/>
              </w:rPr>
            </w:pPr>
            <w:r>
              <w:rPr>
                <w:rFonts w:ascii="Arial" w:cs="Arial" w:eastAsia="Arial" w:hAnsi="Arial"/>
                <w:sz w:val="18"/>
                <w:szCs w:val="18"/>
                <w:b w:val="1"/>
                <w:bCs w:val="1"/>
                <w:color w:val="auto"/>
              </w:rPr>
              <w:t>Valuation</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Unobservable</w:t>
            </w: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center"/>
              <w:ind w:right="188"/>
              <w:spacing w:after="0"/>
              <w:rPr>
                <w:sz w:val="20"/>
                <w:szCs w:val="20"/>
                <w:color w:val="auto"/>
              </w:rPr>
            </w:pPr>
            <w:r>
              <w:rPr>
                <w:rFonts w:ascii="Arial" w:cs="Arial" w:eastAsia="Arial" w:hAnsi="Arial"/>
                <w:sz w:val="18"/>
                <w:szCs w:val="18"/>
                <w:b w:val="1"/>
                <w:bCs w:val="1"/>
                <w:color w:val="auto"/>
                <w:w w:val="88"/>
              </w:rPr>
              <w:t>December 31,</w:t>
            </w: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center"/>
              <w:ind w:right="148"/>
              <w:spacing w:after="0"/>
              <w:rPr>
                <w:sz w:val="20"/>
                <w:szCs w:val="20"/>
                <w:color w:val="auto"/>
              </w:rPr>
            </w:pPr>
            <w:r>
              <w:rPr>
                <w:rFonts w:ascii="Arial" w:cs="Arial" w:eastAsia="Arial" w:hAnsi="Arial"/>
                <w:sz w:val="18"/>
                <w:szCs w:val="18"/>
                <w:b w:val="1"/>
                <w:bCs w:val="1"/>
                <w:color w:val="auto"/>
                <w:w w:val="89"/>
              </w:rPr>
              <w:t>2025</w:t>
            </w:r>
          </w:p>
        </w:tc>
        <w:tc>
          <w:tcPr>
            <w:tcW w:w="1840" w:type="dxa"/>
            <w:vAlign w:val="bottom"/>
          </w:tcPr>
          <w:p>
            <w:pPr>
              <w:ind w:left="560"/>
              <w:spacing w:after="0"/>
              <w:rPr>
                <w:sz w:val="20"/>
                <w:szCs w:val="20"/>
                <w:color w:val="auto"/>
              </w:rPr>
            </w:pPr>
            <w:r>
              <w:rPr>
                <w:rFonts w:ascii="Arial" w:cs="Arial" w:eastAsia="Arial" w:hAnsi="Arial"/>
                <w:sz w:val="18"/>
                <w:szCs w:val="18"/>
                <w:b w:val="1"/>
                <w:bCs w:val="1"/>
                <w:color w:val="auto"/>
              </w:rPr>
              <w:t>Techniques</w:t>
            </w:r>
          </w:p>
        </w:tc>
        <w:tc>
          <w:tcPr>
            <w:tcW w:w="2020" w:type="dxa"/>
            <w:vAlign w:val="bottom"/>
          </w:tcPr>
          <w:p>
            <w:pPr>
              <w:ind w:left="1060"/>
              <w:spacing w:after="0"/>
              <w:rPr>
                <w:sz w:val="20"/>
                <w:szCs w:val="20"/>
                <w:color w:val="auto"/>
              </w:rPr>
            </w:pPr>
            <w:r>
              <w:rPr>
                <w:rFonts w:ascii="Arial" w:cs="Arial" w:eastAsia="Arial" w:hAnsi="Arial"/>
                <w:sz w:val="18"/>
                <w:szCs w:val="18"/>
                <w:b w:val="1"/>
                <w:bCs w:val="1"/>
                <w:color w:val="auto"/>
              </w:rPr>
              <w:t>Inputs</w:t>
            </w:r>
          </w:p>
        </w:tc>
      </w:tr>
      <w:tr>
        <w:trPr>
          <w:trHeight w:val="294"/>
        </w:trPr>
        <w:tc>
          <w:tcPr>
            <w:tcW w:w="1780" w:type="dxa"/>
            <w:vAlign w:val="bottom"/>
          </w:tcPr>
          <w:p>
            <w:pPr>
              <w:spacing w:after="0"/>
              <w:rPr>
                <w:sz w:val="20"/>
                <w:szCs w:val="20"/>
                <w:color w:val="auto"/>
              </w:rPr>
            </w:pPr>
            <w:r>
              <w:rPr>
                <w:rFonts w:ascii="Arial" w:cs="Arial" w:eastAsia="Arial" w:hAnsi="Arial"/>
                <w:sz w:val="18"/>
                <w:szCs w:val="18"/>
                <w:b w:val="1"/>
                <w:bCs w:val="1"/>
                <w:color w:val="auto"/>
              </w:rPr>
              <w:t>Debt investments: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w w:val="89"/>
              </w:rPr>
              <w:t>Weighted average cost of</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First Lien Debt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1,019,063</w:t>
            </w:r>
          </w:p>
        </w:tc>
        <w:tc>
          <w:tcPr>
            <w:tcW w:w="1840" w:type="dxa"/>
            <w:vAlign w:val="bottom"/>
          </w:tcPr>
          <w:p>
            <w:pPr>
              <w:ind w:left="120"/>
              <w:spacing w:after="0"/>
              <w:rPr>
                <w:sz w:val="20"/>
                <w:szCs w:val="20"/>
                <w:color w:val="auto"/>
              </w:rPr>
            </w:pPr>
            <w:r>
              <w:rPr>
                <w:rFonts w:ascii="Arial" w:cs="Arial" w:eastAsia="Arial" w:hAnsi="Arial"/>
                <w:sz w:val="18"/>
                <w:szCs w:val="18"/>
                <w:color w:val="auto"/>
                <w:w w:val="99"/>
              </w:rPr>
              <w:t>Discounted cash flow</w:t>
            </w:r>
          </w:p>
        </w:tc>
        <w:tc>
          <w:tcPr>
            <w:tcW w:w="2020" w:type="dxa"/>
            <w:vAlign w:val="bottom"/>
          </w:tcPr>
          <w:p>
            <w:pPr>
              <w:ind w:left="180"/>
              <w:spacing w:after="0"/>
              <w:rPr>
                <w:sz w:val="20"/>
                <w:szCs w:val="20"/>
                <w:color w:val="auto"/>
              </w:rPr>
            </w:pPr>
            <w:r>
              <w:rPr>
                <w:rFonts w:ascii="Arial" w:cs="Arial" w:eastAsia="Arial" w:hAnsi="Arial"/>
                <w:sz w:val="18"/>
                <w:szCs w:val="18"/>
                <w:color w:val="auto"/>
              </w:rPr>
              <w:t>capital</w:t>
            </w:r>
          </w:p>
        </w:tc>
      </w:tr>
      <w:tr>
        <w:trPr>
          <w:trHeight w:val="629"/>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w w:val="89"/>
              </w:rPr>
              <w:t>Weighted average cost of</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67,453</w:t>
            </w:r>
          </w:p>
        </w:tc>
        <w:tc>
          <w:tcPr>
            <w:tcW w:w="1840" w:type="dxa"/>
            <w:vAlign w:val="bottom"/>
          </w:tcPr>
          <w:p>
            <w:pPr>
              <w:ind w:left="120"/>
              <w:spacing w:after="0"/>
              <w:rPr>
                <w:sz w:val="20"/>
                <w:szCs w:val="20"/>
                <w:color w:val="auto"/>
              </w:rPr>
            </w:pPr>
            <w:r>
              <w:rPr>
                <w:rFonts w:ascii="Arial" w:cs="Arial" w:eastAsia="Arial" w:hAnsi="Arial"/>
                <w:sz w:val="18"/>
                <w:szCs w:val="18"/>
                <w:color w:val="auto"/>
                <w:w w:val="99"/>
              </w:rPr>
              <w:t>Discounted cash flow</w:t>
            </w:r>
          </w:p>
        </w:tc>
        <w:tc>
          <w:tcPr>
            <w:tcW w:w="2020" w:type="dxa"/>
            <w:vAlign w:val="bottom"/>
          </w:tcPr>
          <w:p>
            <w:pPr>
              <w:ind w:left="180"/>
              <w:spacing w:after="0"/>
              <w:rPr>
                <w:sz w:val="20"/>
                <w:szCs w:val="20"/>
                <w:color w:val="auto"/>
              </w:rPr>
            </w:pPr>
            <w:r>
              <w:rPr>
                <w:rFonts w:ascii="Arial" w:cs="Arial" w:eastAsia="Arial" w:hAnsi="Arial"/>
                <w:sz w:val="18"/>
                <w:szCs w:val="18"/>
                <w:color w:val="auto"/>
              </w:rPr>
              <w:t>capital</w:t>
            </w:r>
          </w:p>
        </w:tc>
      </w:tr>
      <w:tr>
        <w:trPr>
          <w:trHeight w:val="61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1,476</w:t>
            </w:r>
          </w:p>
        </w:tc>
        <w:tc>
          <w:tcPr>
            <w:tcW w:w="1840" w:type="dxa"/>
            <w:vAlign w:val="bottom"/>
          </w:tcPr>
          <w:p>
            <w:pPr>
              <w:ind w:left="120"/>
              <w:spacing w:after="0"/>
              <w:rPr>
                <w:sz w:val="20"/>
                <w:szCs w:val="20"/>
                <w:color w:val="auto"/>
              </w:rPr>
            </w:pPr>
            <w:r>
              <w:rPr>
                <w:rFonts w:ascii="Arial" w:cs="Arial" w:eastAsia="Arial" w:hAnsi="Arial"/>
                <w:sz w:val="18"/>
                <w:szCs w:val="18"/>
                <w:color w:val="auto"/>
              </w:rPr>
              <w:t>Option pricing</w:t>
            </w:r>
          </w:p>
        </w:tc>
        <w:tc>
          <w:tcPr>
            <w:tcW w:w="2020" w:type="dxa"/>
            <w:vAlign w:val="bottom"/>
          </w:tcPr>
          <w:p>
            <w:pPr>
              <w:ind w:left="180"/>
              <w:spacing w:after="0"/>
              <w:rPr>
                <w:sz w:val="20"/>
                <w:szCs w:val="20"/>
                <w:color w:val="auto"/>
              </w:rPr>
            </w:pPr>
            <w:r>
              <w:rPr>
                <w:rFonts w:ascii="Arial" w:cs="Arial" w:eastAsia="Arial" w:hAnsi="Arial"/>
                <w:sz w:val="18"/>
                <w:szCs w:val="18"/>
                <w:color w:val="auto"/>
              </w:rPr>
              <w:t>Volatility of credit</w:t>
            </w: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EBITDA multiples</w:t>
            </w:r>
          </w:p>
        </w:tc>
      </w:tr>
      <w:tr>
        <w:trPr>
          <w:trHeight w:val="629"/>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w w:val="89"/>
              </w:rPr>
              <w:t>Weighted average cost of</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94,204</w:t>
            </w:r>
          </w:p>
        </w:tc>
        <w:tc>
          <w:tcPr>
            <w:tcW w:w="1840" w:type="dxa"/>
            <w:vAlign w:val="bottom"/>
          </w:tcPr>
          <w:p>
            <w:pPr>
              <w:ind w:left="120"/>
              <w:spacing w:after="0"/>
              <w:rPr>
                <w:sz w:val="20"/>
                <w:szCs w:val="20"/>
                <w:color w:val="auto"/>
              </w:rPr>
            </w:pPr>
            <w:r>
              <w:rPr>
                <w:rFonts w:ascii="Arial" w:cs="Arial" w:eastAsia="Arial" w:hAnsi="Arial"/>
                <w:sz w:val="18"/>
                <w:szCs w:val="18"/>
                <w:color w:val="auto"/>
                <w:w w:val="99"/>
              </w:rPr>
              <w:t>Discounted cash flow</w:t>
            </w:r>
          </w:p>
        </w:tc>
        <w:tc>
          <w:tcPr>
            <w:tcW w:w="2020" w:type="dxa"/>
            <w:vAlign w:val="bottom"/>
          </w:tcPr>
          <w:p>
            <w:pPr>
              <w:ind w:left="180"/>
              <w:spacing w:after="0"/>
              <w:rPr>
                <w:sz w:val="20"/>
                <w:szCs w:val="20"/>
                <w:color w:val="auto"/>
              </w:rPr>
            </w:pPr>
            <w:r>
              <w:rPr>
                <w:rFonts w:ascii="Arial" w:cs="Arial" w:eastAsia="Arial" w:hAnsi="Arial"/>
                <w:sz w:val="18"/>
                <w:szCs w:val="18"/>
                <w:color w:val="auto"/>
              </w:rPr>
              <w:t>capital</w:t>
            </w: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208</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EBITDA multiples</w:t>
            </w:r>
          </w:p>
        </w:tc>
      </w:tr>
      <w:tr>
        <w:trPr>
          <w:trHeight w:val="569"/>
        </w:trPr>
        <w:tc>
          <w:tcPr>
            <w:tcW w:w="178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133,216</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EBITDA multiples</w:t>
            </w: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8,826</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Revenue multiples</w:t>
            </w:r>
          </w:p>
        </w:tc>
      </w:tr>
      <w:tr>
        <w:trPr>
          <w:trHeight w:val="34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Probability weighted</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69</w:t>
            </w:r>
          </w:p>
        </w:tc>
        <w:tc>
          <w:tcPr>
            <w:tcW w:w="1840" w:type="dxa"/>
            <w:vAlign w:val="bottom"/>
          </w:tcPr>
          <w:p>
            <w:pPr>
              <w:ind w:left="120"/>
              <w:spacing w:after="0"/>
              <w:rPr>
                <w:sz w:val="20"/>
                <w:szCs w:val="20"/>
                <w:color w:val="auto"/>
              </w:rPr>
            </w:pPr>
            <w:r>
              <w:rPr>
                <w:rFonts w:ascii="Arial" w:cs="Arial" w:eastAsia="Arial" w:hAnsi="Arial"/>
                <w:sz w:val="18"/>
                <w:szCs w:val="18"/>
                <w:color w:val="auto"/>
              </w:rPr>
              <w:t>expected return</w:t>
            </w:r>
          </w:p>
        </w:tc>
        <w:tc>
          <w:tcPr>
            <w:tcW w:w="2020" w:type="dxa"/>
            <w:vAlign w:val="bottom"/>
          </w:tcPr>
          <w:p>
            <w:pPr>
              <w:ind w:left="180"/>
              <w:spacing w:after="0"/>
              <w:rPr>
                <w:sz w:val="20"/>
                <w:szCs w:val="20"/>
                <w:color w:val="auto"/>
              </w:rPr>
            </w:pPr>
            <w:r>
              <w:rPr>
                <w:rFonts w:ascii="Arial" w:cs="Arial" w:eastAsia="Arial" w:hAnsi="Arial"/>
                <w:sz w:val="18"/>
                <w:szCs w:val="18"/>
                <w:color w:val="auto"/>
              </w:rPr>
              <w:t>Probability</w:t>
            </w:r>
          </w:p>
        </w:tc>
      </w:tr>
      <w:tr>
        <w:trPr>
          <w:trHeight w:val="569"/>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Warrants</w:t>
            </w: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EBITDA multiples</w:t>
            </w:r>
          </w:p>
        </w:tc>
      </w:tr>
      <w:tr>
        <w:trPr>
          <w:trHeight w:val="28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84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2020" w:type="dxa"/>
            <w:vAlign w:val="bottom"/>
          </w:tcPr>
          <w:p>
            <w:pPr>
              <w:ind w:left="180"/>
              <w:spacing w:after="0"/>
              <w:rPr>
                <w:sz w:val="20"/>
                <w:szCs w:val="20"/>
                <w:color w:val="auto"/>
              </w:rPr>
            </w:pPr>
            <w:r>
              <w:rPr>
                <w:rFonts w:ascii="Arial" w:cs="Arial" w:eastAsia="Arial" w:hAnsi="Arial"/>
                <w:sz w:val="18"/>
                <w:szCs w:val="18"/>
                <w:color w:val="auto"/>
              </w:rPr>
              <w:t>Revenue multiples</w:t>
            </w:r>
          </w:p>
        </w:tc>
      </w:tr>
      <w:tr>
        <w:trPr>
          <w:trHeight w:val="344"/>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Probability weighted</w:t>
            </w:r>
          </w:p>
        </w:tc>
        <w:tc>
          <w:tcPr>
            <w:tcW w:w="2020" w:type="dxa"/>
            <w:vAlign w:val="bottom"/>
          </w:tcPr>
          <w:p>
            <w:pPr>
              <w:spacing w:after="0"/>
              <w:rPr>
                <w:sz w:val="24"/>
                <w:szCs w:val="24"/>
                <w:color w:val="auto"/>
              </w:rPr>
            </w:pPr>
          </w:p>
        </w:tc>
      </w:tr>
      <w:tr>
        <w:trPr>
          <w:trHeight w:val="270"/>
        </w:trPr>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238</w:t>
            </w:r>
          </w:p>
        </w:tc>
        <w:tc>
          <w:tcPr>
            <w:tcW w:w="1840" w:type="dxa"/>
            <w:vAlign w:val="bottom"/>
          </w:tcPr>
          <w:p>
            <w:pPr>
              <w:ind w:left="120"/>
              <w:spacing w:after="0"/>
              <w:rPr>
                <w:sz w:val="20"/>
                <w:szCs w:val="20"/>
                <w:color w:val="auto"/>
              </w:rPr>
            </w:pPr>
            <w:r>
              <w:rPr>
                <w:rFonts w:ascii="Arial" w:cs="Arial" w:eastAsia="Arial" w:hAnsi="Arial"/>
                <w:sz w:val="18"/>
                <w:szCs w:val="18"/>
                <w:color w:val="auto"/>
              </w:rPr>
              <w:t>expected return</w:t>
            </w:r>
          </w:p>
        </w:tc>
        <w:tc>
          <w:tcPr>
            <w:tcW w:w="2020" w:type="dxa"/>
            <w:vAlign w:val="bottom"/>
          </w:tcPr>
          <w:p>
            <w:pPr>
              <w:ind w:left="180"/>
              <w:spacing w:after="0"/>
              <w:rPr>
                <w:sz w:val="20"/>
                <w:szCs w:val="20"/>
                <w:color w:val="auto"/>
              </w:rPr>
            </w:pPr>
            <w:r>
              <w:rPr>
                <w:rFonts w:ascii="Arial" w:cs="Arial" w:eastAsia="Arial" w:hAnsi="Arial"/>
                <w:sz w:val="18"/>
                <w:szCs w:val="18"/>
                <w:color w:val="auto"/>
              </w:rPr>
              <w:t>Probability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-5519420</wp:posOffset>
            </wp:positionV>
            <wp:extent cx="5967730" cy="51530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7730" cy="515302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(1) Unobservable inputs were weighted by the relative fair value of the instruments.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Fair Value at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Valuation</w:t>
            </w:r>
          </w:p>
        </w:tc>
        <w:tc>
          <w:tcPr>
            <w:tcW w:w="194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Unobservable</w:t>
            </w:r>
          </w:p>
        </w:tc>
      </w:tr>
      <w:tr>
        <w:trPr>
          <w:trHeight w:val="284"/>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December 31,</w:t>
            </w: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Techniques</w:t>
            </w:r>
          </w:p>
        </w:tc>
        <w:tc>
          <w:tcPr>
            <w:tcW w:w="194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Inputs</w:t>
            </w:r>
          </w:p>
        </w:tc>
      </w:tr>
      <w:tr>
        <w:trPr>
          <w:trHeight w:val="294"/>
        </w:trPr>
        <w:tc>
          <w:tcPr>
            <w:tcW w:w="1720" w:type="dxa"/>
            <w:vAlign w:val="bottom"/>
          </w:tcPr>
          <w:p>
            <w:pPr>
              <w:spacing w:after="0"/>
              <w:rPr>
                <w:sz w:val="20"/>
                <w:szCs w:val="20"/>
                <w:color w:val="auto"/>
              </w:rPr>
            </w:pPr>
            <w:r>
              <w:rPr>
                <w:rFonts w:ascii="Arial" w:cs="Arial" w:eastAsia="Arial" w:hAnsi="Arial"/>
                <w:sz w:val="18"/>
                <w:szCs w:val="18"/>
                <w:b w:val="1"/>
                <w:bCs w:val="1"/>
                <w:color w:val="auto"/>
              </w:rPr>
              <w:t>Debt investments:</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4"/>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w w:val="89"/>
              </w:rPr>
              <w:t>Weighted average cost of</w:t>
            </w:r>
          </w:p>
        </w:tc>
      </w:tr>
      <w:tr>
        <w:trPr>
          <w:trHeight w:val="270"/>
        </w:trPr>
        <w:tc>
          <w:tcPr>
            <w:tcW w:w="1720" w:type="dxa"/>
            <w:vAlign w:val="bottom"/>
          </w:tcPr>
          <w:p>
            <w:pPr>
              <w:ind w:left="20"/>
              <w:spacing w:after="0"/>
              <w:rPr>
                <w:sz w:val="20"/>
                <w:szCs w:val="20"/>
                <w:color w:val="auto"/>
              </w:rPr>
            </w:pPr>
            <w:r>
              <w:rPr>
                <w:rFonts w:ascii="Arial" w:cs="Arial" w:eastAsia="Arial" w:hAnsi="Arial"/>
                <w:sz w:val="18"/>
                <w:szCs w:val="18"/>
                <w:color w:val="auto"/>
              </w:rPr>
              <w:t>First Lien Debt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714,595</w:t>
            </w:r>
          </w:p>
        </w:tc>
        <w:tc>
          <w:tcPr>
            <w:tcW w:w="1800" w:type="dxa"/>
            <w:vAlign w:val="bottom"/>
          </w:tcPr>
          <w:p>
            <w:pPr>
              <w:ind w:left="120"/>
              <w:spacing w:after="0"/>
              <w:rPr>
                <w:sz w:val="20"/>
                <w:szCs w:val="20"/>
                <w:color w:val="auto"/>
              </w:rPr>
            </w:pPr>
            <w:r>
              <w:rPr>
                <w:rFonts w:ascii="Arial" w:cs="Arial" w:eastAsia="Arial" w:hAnsi="Arial"/>
                <w:sz w:val="18"/>
                <w:szCs w:val="18"/>
                <w:color w:val="auto"/>
                <w:w w:val="97"/>
              </w:rPr>
              <w:t>Discounted cash flow</w:t>
            </w:r>
          </w:p>
        </w:tc>
        <w:tc>
          <w:tcPr>
            <w:tcW w:w="1940" w:type="dxa"/>
            <w:vAlign w:val="bottom"/>
          </w:tcPr>
          <w:p>
            <w:pPr>
              <w:ind w:left="100"/>
              <w:spacing w:after="0"/>
              <w:rPr>
                <w:sz w:val="20"/>
                <w:szCs w:val="20"/>
                <w:color w:val="auto"/>
              </w:rPr>
            </w:pPr>
            <w:r>
              <w:rPr>
                <w:rFonts w:ascii="Arial" w:cs="Arial" w:eastAsia="Arial" w:hAnsi="Arial"/>
                <w:sz w:val="18"/>
                <w:szCs w:val="18"/>
                <w:color w:val="auto"/>
              </w:rPr>
              <w:t>capital</w:t>
            </w:r>
          </w:p>
        </w:tc>
      </w:tr>
      <w:tr>
        <w:trPr>
          <w:trHeight w:val="284"/>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194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3,525</w:t>
            </w:r>
          </w:p>
        </w:tc>
        <w:tc>
          <w:tcPr>
            <w:tcW w:w="180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1940" w:type="dxa"/>
            <w:vAlign w:val="bottom"/>
          </w:tcPr>
          <w:p>
            <w:pPr>
              <w:ind w:left="100"/>
              <w:spacing w:after="0"/>
              <w:rPr>
                <w:sz w:val="20"/>
                <w:szCs w:val="20"/>
                <w:color w:val="auto"/>
              </w:rPr>
            </w:pPr>
            <w:r>
              <w:rPr>
                <w:rFonts w:ascii="Arial" w:cs="Arial" w:eastAsia="Arial" w:hAnsi="Arial"/>
                <w:sz w:val="18"/>
                <w:szCs w:val="18"/>
                <w:color w:val="auto"/>
              </w:rPr>
              <w:t>Asset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5967730" cy="389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7730" cy="389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-905510</wp:posOffset>
            </wp:positionV>
            <wp:extent cx="358076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807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Range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(weighted average)</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84455</wp:posOffset>
            </wp:positionV>
            <wp:extent cx="97155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71550" cy="6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7.2% - 62.9%</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(13.7%)</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12.8% - 22.5%</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(15.5%)</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70.0% - 70.0%</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(70.0%)</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6.0x - 6.0x (6.0x)</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11.5% - 20.0%</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(13.9%)</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6.0x - 6.0x (6.0x)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1.3x - 22.0x (9.7x)</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0.4x - 8.5x (5.7x)</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10.0% - 25.0%</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3.5x - 3.5x (3.5x)</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1.5x - 1.5x (1.5x)</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10.0% - 25.0%</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Range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(weighted average)</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98869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88695" cy="6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7.8% - 26.2%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(14.5%)</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1.0x - 1.0x (1.0x)</w:t>
      </w:r>
    </w:p>
    <w:p>
      <w:pPr>
        <w:spacing w:after="0" w:line="208" w:lineRule="exact"/>
        <w:rPr>
          <w:sz w:val="20"/>
          <w:szCs w:val="20"/>
          <w:color w:val="auto"/>
        </w:rPr>
      </w:pPr>
    </w:p>
    <w:p>
      <w:pPr>
        <w:sectPr>
          <w:pgSz w:w="11900" w:h="16838" w:orient="portrait"/>
          <w:cols w:equalWidth="0" w:num="2">
            <w:col w:w="7300" w:space="540"/>
            <w:col w:w="1500"/>
          </w:cols>
          <w:pgMar w:left="1260" w:top="1440" w:right="1306" w:bottom="0" w:gutter="0" w:footer="0" w:header="0"/>
        </w:sect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 / 19</w:t>
      </w:r>
    </w:p>
    <w:p>
      <w:pPr>
        <w:sectPr>
          <w:pgSz w:w="11900" w:h="16838" w:orient="portrait"/>
          <w:cols w:equalWidth="0" w:num="1">
            <w:col w:w="9340"/>
          </w:cols>
          <w:pgMar w:left="1260" w:top="1440" w:right="1306" w:bottom="0" w:gutter="0" w:footer="0" w:header="0"/>
          <w:type w:val="continuous"/>
        </w:sectPr>
      </w:pPr>
    </w:p>
    <w:bookmarkStart w:id="285" w:name="page286"/>
    <w:bookmarkEnd w:id="285"/>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803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7730" cy="18034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w w:val="97"/>
              </w:rPr>
              <w:t>Discounted cash flow</w:t>
            </w:r>
          </w:p>
        </w:tc>
        <w:tc>
          <w:tcPr>
            <w:tcW w:w="1940" w:type="dxa"/>
            <w:vAlign w:val="bottom"/>
          </w:tcPr>
          <w:p>
            <w:pPr>
              <w:ind w:left="100"/>
              <w:spacing w:after="0"/>
              <w:rPr>
                <w:sz w:val="20"/>
                <w:szCs w:val="20"/>
                <w:color w:val="auto"/>
              </w:rPr>
            </w:pPr>
            <w:r>
              <w:rPr>
                <w:rFonts w:ascii="Arial" w:cs="Arial" w:eastAsia="Arial" w:hAnsi="Arial"/>
                <w:sz w:val="18"/>
                <w:szCs w:val="18"/>
                <w:color w:val="auto"/>
                <w:w w:val="89"/>
              </w:rPr>
              <w:t>Weighted average cost of</w:t>
            </w:r>
          </w:p>
        </w:tc>
        <w:tc>
          <w:tcPr>
            <w:tcW w:w="0" w:type="dxa"/>
            <w:vAlign w:val="bottom"/>
          </w:tcPr>
          <w:p>
            <w:pPr>
              <w:spacing w:after="0"/>
              <w:rPr>
                <w:sz w:val="1"/>
                <w:szCs w:val="1"/>
                <w:color w:val="auto"/>
              </w:rPr>
            </w:pPr>
          </w:p>
        </w:tc>
      </w:tr>
      <w:tr>
        <w:trPr>
          <w:trHeight w:val="174"/>
        </w:trPr>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Second Lien Debt</w:t>
            </w: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79,106</w:t>
            </w:r>
          </w:p>
        </w:tc>
        <w:tc>
          <w:tcPr>
            <w:tcW w:w="1800" w:type="dxa"/>
            <w:vAlign w:val="bottom"/>
          </w:tcPr>
          <w:p>
            <w:pPr>
              <w:ind w:left="120"/>
              <w:spacing w:after="0"/>
              <w:rPr>
                <w:sz w:val="20"/>
                <w:szCs w:val="20"/>
                <w:color w:val="auto"/>
              </w:rPr>
            </w:pPr>
            <w:r>
              <w:rPr>
                <w:rFonts w:ascii="Arial" w:cs="Arial" w:eastAsia="Arial" w:hAnsi="Arial"/>
                <w:sz w:val="12"/>
                <w:szCs w:val="12"/>
                <w:color w:val="auto"/>
              </w:rPr>
              <w:t>(2)</w:t>
            </w:r>
          </w:p>
        </w:tc>
        <w:tc>
          <w:tcPr>
            <w:tcW w:w="1940" w:type="dxa"/>
            <w:vAlign w:val="bottom"/>
            <w:vMerge w:val="restart"/>
          </w:tcPr>
          <w:p>
            <w:pPr>
              <w:ind w:left="10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96"/>
        </w:trPr>
        <w:tc>
          <w:tcPr>
            <w:tcW w:w="21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4"/>
        </w:trPr>
        <w:tc>
          <w:tcPr>
            <w:tcW w:w="216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4,437</w:t>
            </w:r>
          </w:p>
        </w:tc>
        <w:tc>
          <w:tcPr>
            <w:tcW w:w="1800" w:type="dxa"/>
            <w:vAlign w:val="bottom"/>
          </w:tcPr>
          <w:p>
            <w:pPr>
              <w:ind w:left="120"/>
              <w:spacing w:after="0"/>
              <w:rPr>
                <w:sz w:val="20"/>
                <w:szCs w:val="20"/>
                <w:color w:val="auto"/>
              </w:rPr>
            </w:pPr>
            <w:r>
              <w:rPr>
                <w:rFonts w:ascii="Arial" w:cs="Arial" w:eastAsia="Arial" w:hAnsi="Arial"/>
                <w:sz w:val="18"/>
                <w:szCs w:val="18"/>
                <w:color w:val="auto"/>
              </w:rPr>
              <w:t>Option Pricing</w:t>
            </w:r>
          </w:p>
        </w:tc>
        <w:tc>
          <w:tcPr>
            <w:tcW w:w="1940" w:type="dxa"/>
            <w:vAlign w:val="bottom"/>
          </w:tcPr>
          <w:p>
            <w:pPr>
              <w:ind w:left="100"/>
              <w:spacing w:after="0"/>
              <w:rPr>
                <w:sz w:val="20"/>
                <w:szCs w:val="20"/>
                <w:color w:val="auto"/>
              </w:rPr>
            </w:pPr>
            <w:r>
              <w:rPr>
                <w:rFonts w:ascii="Arial" w:cs="Arial" w:eastAsia="Arial" w:hAnsi="Arial"/>
                <w:sz w:val="18"/>
                <w:szCs w:val="18"/>
                <w:color w:val="auto"/>
              </w:rPr>
              <w:t>Volatility of credit</w:t>
            </w:r>
          </w:p>
        </w:tc>
        <w:tc>
          <w:tcPr>
            <w:tcW w:w="0" w:type="dxa"/>
            <w:vAlign w:val="bottom"/>
          </w:tcPr>
          <w:p>
            <w:pPr>
              <w:spacing w:after="0"/>
              <w:rPr>
                <w:sz w:val="1"/>
                <w:szCs w:val="1"/>
                <w:color w:val="auto"/>
              </w:rPr>
            </w:pPr>
          </w:p>
        </w:tc>
      </w:tr>
      <w:tr>
        <w:trPr>
          <w:trHeight w:val="629"/>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ind w:left="100"/>
              <w:spacing w:after="0"/>
              <w:rPr>
                <w:sz w:val="20"/>
                <w:szCs w:val="20"/>
                <w:color w:val="auto"/>
              </w:rPr>
            </w:pPr>
            <w:r>
              <w:rPr>
                <w:rFonts w:ascii="Arial" w:cs="Arial" w:eastAsia="Arial" w:hAnsi="Arial"/>
                <w:sz w:val="18"/>
                <w:szCs w:val="18"/>
                <w:color w:val="auto"/>
                <w:w w:val="89"/>
              </w:rPr>
              <w:t>Weighted average cost of</w:t>
            </w:r>
          </w:p>
        </w:tc>
        <w:tc>
          <w:tcPr>
            <w:tcW w:w="0" w:type="dxa"/>
            <w:vAlign w:val="bottom"/>
          </w:tcPr>
          <w:p>
            <w:pPr>
              <w:spacing w:after="0"/>
              <w:rPr>
                <w:sz w:val="1"/>
                <w:szCs w:val="1"/>
                <w:color w:val="auto"/>
              </w:rPr>
            </w:pP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142,839</w:t>
            </w:r>
          </w:p>
        </w:tc>
        <w:tc>
          <w:tcPr>
            <w:tcW w:w="1800" w:type="dxa"/>
            <w:vAlign w:val="bottom"/>
          </w:tcPr>
          <w:p>
            <w:pPr>
              <w:ind w:left="120"/>
              <w:spacing w:after="0"/>
              <w:rPr>
                <w:sz w:val="20"/>
                <w:szCs w:val="20"/>
                <w:color w:val="auto"/>
              </w:rPr>
            </w:pPr>
            <w:r>
              <w:rPr>
                <w:rFonts w:ascii="Arial" w:cs="Arial" w:eastAsia="Arial" w:hAnsi="Arial"/>
                <w:sz w:val="18"/>
                <w:szCs w:val="18"/>
                <w:color w:val="auto"/>
                <w:w w:val="97"/>
              </w:rPr>
              <w:t>Discounted cash flow</w:t>
            </w:r>
          </w:p>
        </w:tc>
        <w:tc>
          <w:tcPr>
            <w:tcW w:w="1940" w:type="dxa"/>
            <w:vAlign w:val="bottom"/>
          </w:tcPr>
          <w:p>
            <w:pPr>
              <w:ind w:left="10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853"/>
        </w:trPr>
        <w:tc>
          <w:tcPr>
            <w:tcW w:w="216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Equity</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132,741</w:t>
            </w:r>
          </w:p>
        </w:tc>
        <w:tc>
          <w:tcPr>
            <w:tcW w:w="180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1940" w:type="dxa"/>
            <w:vAlign w:val="bottom"/>
          </w:tcPr>
          <w:p>
            <w:pPr>
              <w:ind w:left="100"/>
              <w:spacing w:after="0"/>
              <w:rPr>
                <w:sz w:val="20"/>
                <w:szCs w:val="20"/>
                <w:color w:val="auto"/>
              </w:rPr>
            </w:pPr>
            <w:r>
              <w:rPr>
                <w:rFonts w:ascii="Arial" w:cs="Arial" w:eastAsia="Arial" w:hAnsi="Arial"/>
                <w:sz w:val="18"/>
                <w:szCs w:val="18"/>
                <w:color w:val="auto"/>
              </w:rPr>
              <w:t>EBITDA multiples</w:t>
            </w: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5,630</w:t>
            </w:r>
          </w:p>
        </w:tc>
        <w:tc>
          <w:tcPr>
            <w:tcW w:w="180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1940" w:type="dxa"/>
            <w:vAlign w:val="bottom"/>
          </w:tcPr>
          <w:p>
            <w:pPr>
              <w:ind w:left="100"/>
              <w:spacing w:after="0"/>
              <w:rPr>
                <w:sz w:val="20"/>
                <w:szCs w:val="20"/>
                <w:color w:val="auto"/>
              </w:rPr>
            </w:pPr>
            <w:r>
              <w:rPr>
                <w:rFonts w:ascii="Arial" w:cs="Arial" w:eastAsia="Arial" w:hAnsi="Arial"/>
                <w:sz w:val="18"/>
                <w:szCs w:val="18"/>
                <w:color w:val="auto"/>
              </w:rPr>
              <w:t>Revenue multiples</w:t>
            </w:r>
          </w:p>
        </w:tc>
        <w:tc>
          <w:tcPr>
            <w:tcW w:w="0" w:type="dxa"/>
            <w:vAlign w:val="bottom"/>
          </w:tcPr>
          <w:p>
            <w:pPr>
              <w:spacing w:after="0"/>
              <w:rPr>
                <w:sz w:val="1"/>
                <w:szCs w:val="1"/>
                <w:color w:val="auto"/>
              </w:rPr>
            </w:pPr>
          </w:p>
        </w:tc>
      </w:tr>
      <w:tr>
        <w:trPr>
          <w:trHeight w:val="569"/>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7,633</w:t>
            </w:r>
          </w:p>
        </w:tc>
        <w:tc>
          <w:tcPr>
            <w:tcW w:w="180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1940" w:type="dxa"/>
            <w:vAlign w:val="bottom"/>
          </w:tcPr>
          <w:p>
            <w:pPr>
              <w:ind w:left="100"/>
              <w:spacing w:after="0"/>
              <w:rPr>
                <w:sz w:val="20"/>
                <w:szCs w:val="20"/>
                <w:color w:val="auto"/>
              </w:rPr>
            </w:pPr>
            <w:r>
              <w:rPr>
                <w:rFonts w:ascii="Arial" w:cs="Arial" w:eastAsia="Arial" w:hAnsi="Arial"/>
                <w:sz w:val="18"/>
                <w:szCs w:val="18"/>
                <w:color w:val="auto"/>
              </w:rPr>
              <w:t>EBITDA multiples</w:t>
            </w: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Enterprise value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Pr>
          <w:p>
            <w:pPr>
              <w:ind w:left="120"/>
              <w:spacing w:after="0"/>
              <w:rPr>
                <w:sz w:val="20"/>
                <w:szCs w:val="20"/>
                <w:color w:val="auto"/>
              </w:rPr>
            </w:pPr>
            <w:r>
              <w:rPr>
                <w:rFonts w:ascii="Arial" w:cs="Arial" w:eastAsia="Arial" w:hAnsi="Arial"/>
                <w:sz w:val="18"/>
                <w:szCs w:val="18"/>
                <w:color w:val="auto"/>
              </w:rPr>
              <w:t>waterfall</w:t>
            </w:r>
          </w:p>
        </w:tc>
        <w:tc>
          <w:tcPr>
            <w:tcW w:w="1940" w:type="dxa"/>
            <w:vAlign w:val="bottom"/>
          </w:tcPr>
          <w:p>
            <w:pPr>
              <w:ind w:left="100"/>
              <w:spacing w:after="0"/>
              <w:rPr>
                <w:sz w:val="20"/>
                <w:szCs w:val="20"/>
                <w:color w:val="auto"/>
              </w:rPr>
            </w:pPr>
            <w:r>
              <w:rPr>
                <w:rFonts w:ascii="Arial" w:cs="Arial" w:eastAsia="Arial" w:hAnsi="Arial"/>
                <w:sz w:val="18"/>
                <w:szCs w:val="18"/>
                <w:color w:val="auto"/>
              </w:rPr>
              <w:t>Revenue multiples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-3067685</wp:posOffset>
            </wp:positionV>
            <wp:extent cx="5967730" cy="389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7730" cy="389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-2496820</wp:posOffset>
            </wp:positionV>
            <wp:extent cx="5967730" cy="389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7730" cy="389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-1926590</wp:posOffset>
            </wp:positionV>
            <wp:extent cx="5967730" cy="1803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-1565275</wp:posOffset>
            </wp:positionV>
            <wp:extent cx="5967730" cy="3517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7730" cy="3517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-861060</wp:posOffset>
            </wp:positionV>
            <wp:extent cx="5967730" cy="1803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-328295</wp:posOffset>
            </wp:positionV>
            <wp:extent cx="5967730" cy="3517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7730"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13.4% - 55.5%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(20.7%)</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85.0% - 85.0%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(85.0%)</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 - 20.0%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3.5x - 30.0x (11.0x)</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0.8x - 9.0x (6.6x)</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3.5x - 3.5x (3.5x)</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4.0x - 4.0x (4.0x)</w:t>
      </w:r>
    </w:p>
    <w:p>
      <w:pPr>
        <w:spacing w:after="0" w:line="112" w:lineRule="exact"/>
        <w:rPr>
          <w:sz w:val="20"/>
          <w:szCs w:val="20"/>
          <w:color w:val="auto"/>
        </w:rPr>
      </w:pPr>
    </w:p>
    <w:p>
      <w:pPr>
        <w:sectPr>
          <w:pgSz w:w="11900" w:h="16838" w:orient="portrait"/>
          <w:cols w:equalWidth="0" w:num="2">
            <w:col w:w="7246" w:space="600"/>
            <w:col w:w="1520"/>
          </w:cols>
          <w:pgMar w:left="1254" w:top="1440" w:right="1286" w:bottom="0" w:gutter="0" w:footer="0" w:header="0"/>
        </w:sectPr>
      </w:pPr>
    </w:p>
    <w:p>
      <w:pPr>
        <w:ind w:left="226" w:hanging="226"/>
        <w:spacing w:after="0"/>
        <w:tabs>
          <w:tab w:leader="none" w:pos="22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Unobservable inputs were weighted by the relative fair value of the instruments.</w:t>
      </w:r>
    </w:p>
    <w:p>
      <w:pPr>
        <w:spacing w:after="0" w:line="116" w:lineRule="exact"/>
        <w:rPr>
          <w:rFonts w:ascii="Arial" w:cs="Arial" w:eastAsia="Arial" w:hAnsi="Arial"/>
          <w:sz w:val="16"/>
          <w:szCs w:val="16"/>
          <w:color w:val="auto"/>
        </w:rPr>
      </w:pPr>
    </w:p>
    <w:p>
      <w:pPr>
        <w:ind w:left="226" w:hanging="226"/>
        <w:spacing w:after="0"/>
        <w:tabs>
          <w:tab w:leader="none" w:pos="22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Includes $9.6 million of debt investments which were valued using a trading discount to par.</w:t>
      </w:r>
    </w:p>
    <w:p>
      <w:pPr>
        <w:spacing w:after="0" w:line="268" w:lineRule="exact"/>
        <w:rPr>
          <w:sz w:val="20"/>
          <w:szCs w:val="20"/>
          <w:color w:val="auto"/>
        </w:rPr>
      </w:pPr>
    </w:p>
    <w:p>
      <w:pPr>
        <w:jc w:val="both"/>
        <w:ind w:left="6" w:firstLine="400"/>
        <w:spacing w:after="0" w:line="307" w:lineRule="auto"/>
        <w:rPr>
          <w:sz w:val="20"/>
          <w:szCs w:val="20"/>
          <w:color w:val="auto"/>
        </w:rPr>
      </w:pPr>
      <w:r>
        <w:rPr>
          <w:rFonts w:ascii="Arial" w:cs="Arial" w:eastAsia="Arial" w:hAnsi="Arial"/>
          <w:sz w:val="20"/>
          <w:szCs w:val="20"/>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97" w:lineRule="exact"/>
        <w:rPr>
          <w:sz w:val="20"/>
          <w:szCs w:val="20"/>
          <w:color w:val="auto"/>
        </w:rPr>
      </w:pPr>
    </w:p>
    <w:p>
      <w:pPr>
        <w:jc w:val="both"/>
        <w:ind w:left="6" w:right="20" w:firstLine="400"/>
        <w:spacing w:after="0" w:line="307" w:lineRule="auto"/>
        <w:rPr>
          <w:sz w:val="20"/>
          <w:szCs w:val="20"/>
          <w:color w:val="auto"/>
        </w:rPr>
      </w:pPr>
      <w:r>
        <w:rPr>
          <w:rFonts w:ascii="Arial" w:cs="Arial" w:eastAsia="Arial" w:hAnsi="Arial"/>
          <w:sz w:val="20"/>
          <w:szCs w:val="20"/>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97" w:lineRule="exact"/>
        <w:rPr>
          <w:sz w:val="20"/>
          <w:szCs w:val="20"/>
          <w:color w:val="auto"/>
        </w:rPr>
      </w:pPr>
    </w:p>
    <w:p>
      <w:pPr>
        <w:jc w:val="both"/>
        <w:ind w:left="6" w:right="20" w:firstLine="400"/>
        <w:spacing w:after="0" w:line="307" w:lineRule="auto"/>
        <w:rPr>
          <w:sz w:val="20"/>
          <w:szCs w:val="20"/>
          <w:color w:val="auto"/>
        </w:rPr>
      </w:pPr>
      <w:r>
        <w:rPr>
          <w:rFonts w:ascii="Arial" w:cs="Arial" w:eastAsia="Arial" w:hAnsi="Arial"/>
          <w:sz w:val="20"/>
          <w:szCs w:val="20"/>
          <w:color w:val="auto"/>
        </w:rPr>
        <w:t>The significant unobservable input used in determining fair value under the option pricing technique (or Black Scholes model) is volatility. Significant increases (or decreases) in this input could result in significantly higher (or lower) fair value estimates.</w:t>
      </w:r>
    </w:p>
    <w:p>
      <w:pPr>
        <w:spacing w:after="0" w:line="188"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440"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 / 19</w:t>
      </w:r>
    </w:p>
    <w:p>
      <w:pPr>
        <w:sectPr>
          <w:pgSz w:w="11900" w:h="16838" w:orient="portrait"/>
          <w:cols w:equalWidth="0" w:num="1">
            <w:col w:w="9366"/>
          </w:cols>
          <w:pgMar w:left="1254" w:top="1440" w:right="1286" w:bottom="0" w:gutter="0" w:footer="0" w:header="0"/>
          <w:type w:val="continuous"/>
        </w:sectPr>
      </w:pPr>
    </w:p>
    <w:bookmarkStart w:id="286" w:name="page287"/>
    <w:bookmarkEnd w:id="286"/>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00" w:lineRule="exact"/>
        <w:rPr>
          <w:sz w:val="20"/>
          <w:szCs w:val="20"/>
          <w:color w:val="auto"/>
        </w:rPr>
      </w:pPr>
    </w:p>
    <w:p>
      <w:pPr>
        <w:jc w:val="both"/>
        <w:ind w:left="6" w:right="60" w:firstLine="400"/>
        <w:spacing w:after="0" w:line="307" w:lineRule="auto"/>
        <w:rPr>
          <w:sz w:val="20"/>
          <w:szCs w:val="20"/>
          <w:color w:val="auto"/>
        </w:rPr>
      </w:pPr>
      <w:r>
        <w:rPr>
          <w:rFonts w:ascii="Arial" w:cs="Arial" w:eastAsia="Arial" w:hAnsi="Arial"/>
          <w:sz w:val="20"/>
          <w:szCs w:val="20"/>
          <w:color w:val="auto"/>
        </w:rPr>
        <w:t>The significant unobservable input used in determining fair value under the probability weighted expected return technique is probability. Significant increases (or decreases) in this input could result in significantly higher (or lower) fair value estimates.</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Other Financial Assets and Liabilities</w:t>
      </w:r>
    </w:p>
    <w:p>
      <w:pPr>
        <w:spacing w:after="0" w:line="260" w:lineRule="exact"/>
        <w:rPr>
          <w:sz w:val="20"/>
          <w:szCs w:val="20"/>
          <w:color w:val="auto"/>
        </w:rPr>
      </w:pPr>
    </w:p>
    <w:p>
      <w:pPr>
        <w:jc w:val="both"/>
        <w:ind w:left="6" w:right="40" w:firstLine="450"/>
        <w:spacing w:after="0" w:line="311" w:lineRule="auto"/>
        <w:rPr>
          <w:sz w:val="20"/>
          <w:szCs w:val="20"/>
          <w:color w:val="auto"/>
        </w:rPr>
      </w:pPr>
      <w:r>
        <w:rPr>
          <w:rFonts w:ascii="Arial" w:cs="Arial" w:eastAsia="Arial" w:hAnsi="Arial"/>
          <w:sz w:val="20"/>
          <w:szCs w:val="20"/>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Revolving Credit Facility (as defined in Note 6), the SPV Credit Facility (as defined in Note 6), the SBA debentures, and the Notes (as defined in Note 6) are recorded at their respective carrying values.</w:t>
      </w:r>
    </w:p>
    <w:p>
      <w:pPr>
        <w:spacing w:after="0" w:line="192" w:lineRule="exact"/>
        <w:rPr>
          <w:sz w:val="20"/>
          <w:szCs w:val="20"/>
          <w:color w:val="auto"/>
        </w:rPr>
      </w:pPr>
    </w:p>
    <w:p>
      <w:pPr>
        <w:ind w:left="406"/>
        <w:spacing w:after="0"/>
        <w:rPr>
          <w:sz w:val="20"/>
          <w:szCs w:val="20"/>
          <w:color w:val="auto"/>
        </w:rPr>
      </w:pPr>
      <w:r>
        <w:rPr>
          <w:rFonts w:ascii="Arial" w:cs="Arial" w:eastAsia="Arial" w:hAnsi="Arial"/>
          <w:sz w:val="19"/>
          <w:szCs w:val="19"/>
          <w:color w:val="auto"/>
        </w:rPr>
        <w:t>The following tables summarize the carrying value and fair value of the Company’s debt obligations as of</w:t>
      </w:r>
    </w:p>
    <w:p>
      <w:pPr>
        <w:spacing w:after="0" w:line="72" w:lineRule="exact"/>
        <w:rPr>
          <w:sz w:val="20"/>
          <w:szCs w:val="20"/>
          <w:color w:val="auto"/>
        </w:rPr>
      </w:pPr>
    </w:p>
    <w:p>
      <w:pPr>
        <w:ind w:left="6"/>
        <w:spacing w:after="0"/>
        <w:rPr>
          <w:sz w:val="20"/>
          <w:szCs w:val="20"/>
          <w:color w:val="auto"/>
        </w:rPr>
      </w:pPr>
      <w:r>
        <w:rPr>
          <w:rFonts w:ascii="Arial" w:cs="Arial" w:eastAsia="Arial" w:hAnsi="Arial"/>
          <w:sz w:val="20"/>
          <w:szCs w:val="20"/>
          <w:color w:val="auto"/>
        </w:rPr>
        <w:t>December 31, 2025 and 2024:</w:t>
      </w:r>
    </w:p>
    <w:p>
      <w:pPr>
        <w:spacing w:after="0" w:line="269" w:lineRule="exact"/>
        <w:rPr>
          <w:sz w:val="20"/>
          <w:szCs w:val="20"/>
          <w:color w:val="auto"/>
        </w:rPr>
      </w:pPr>
    </w:p>
    <w:tbl>
      <w:tblPr>
        <w:tblLayout w:type="fixed"/>
        <w:tblInd w:w="6" w:type="dxa"/>
        <w:tblCellMar>
          <w:top w:w="0" w:type="dxa"/>
          <w:left w:w="0" w:type="dxa"/>
          <w:bottom w:w="0" w:type="dxa"/>
          <w:right w:w="0" w:type="dxa"/>
        </w:tblCellMar>
      </w:tblPr>
      <w:tr>
        <w:trPr>
          <w:trHeight w:val="326"/>
        </w:trPr>
        <w:tc>
          <w:tcPr>
            <w:tcW w:w="3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w w:val="98"/>
              </w:rPr>
              <w:t>December 31, 2025</w:t>
            </w:r>
            <w:r>
              <w:rPr>
                <w:rFonts w:ascii="Arial" w:cs="Arial" w:eastAsia="Arial" w:hAnsi="Arial"/>
                <w:sz w:val="26"/>
                <w:szCs w:val="26"/>
                <w:b w:val="1"/>
                <w:bCs w:val="1"/>
                <w:color w:val="auto"/>
                <w:w w:val="98"/>
                <w:vertAlign w:val="superscript"/>
              </w:rPr>
              <w:t>(5)</w:t>
            </w:r>
          </w:p>
        </w:tc>
        <w:tc>
          <w:tcPr>
            <w:tcW w:w="240" w:type="dxa"/>
            <w:vAlign w:val="bottom"/>
          </w:tcPr>
          <w:p>
            <w:pPr>
              <w:spacing w:after="0"/>
              <w:rPr>
                <w:sz w:val="24"/>
                <w:szCs w:val="24"/>
                <w:color w:val="auto"/>
              </w:rPr>
            </w:pPr>
          </w:p>
        </w:tc>
        <w:tc>
          <w:tcPr>
            <w:tcW w:w="248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w w:val="98"/>
              </w:rPr>
              <w:t>December 31, 2024</w:t>
            </w:r>
            <w:r>
              <w:rPr>
                <w:rFonts w:ascii="Arial" w:cs="Arial" w:eastAsia="Arial" w:hAnsi="Arial"/>
                <w:sz w:val="26"/>
                <w:szCs w:val="26"/>
                <w:b w:val="1"/>
                <w:bCs w:val="1"/>
                <w:color w:val="auto"/>
                <w:w w:val="98"/>
                <w:vertAlign w:val="superscript"/>
              </w:rPr>
              <w:t>(5)</w:t>
            </w:r>
          </w:p>
        </w:tc>
      </w:tr>
      <w:tr>
        <w:trPr>
          <w:trHeight w:val="253"/>
        </w:trPr>
        <w:tc>
          <w:tcPr>
            <w:tcW w:w="3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ind w:right="200"/>
              <w:spacing w:after="0"/>
              <w:rPr>
                <w:sz w:val="20"/>
                <w:szCs w:val="20"/>
                <w:color w:val="auto"/>
              </w:rPr>
            </w:pPr>
            <w:r>
              <w:rPr>
                <w:rFonts w:ascii="Arial" w:cs="Arial" w:eastAsia="Arial" w:hAnsi="Arial"/>
                <w:sz w:val="20"/>
                <w:szCs w:val="20"/>
                <w:b w:val="1"/>
                <w:bCs w:val="1"/>
                <w:color w:val="auto"/>
                <w:w w:val="97"/>
              </w:rPr>
              <w:t>Carrying</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20"/>
              <w:spacing w:after="0"/>
              <w:rPr>
                <w:sz w:val="20"/>
                <w:szCs w:val="20"/>
                <w:color w:val="auto"/>
              </w:rPr>
            </w:pPr>
            <w:r>
              <w:rPr>
                <w:rFonts w:ascii="Arial" w:cs="Arial" w:eastAsia="Arial" w:hAnsi="Arial"/>
                <w:sz w:val="20"/>
                <w:szCs w:val="20"/>
                <w:b w:val="1"/>
                <w:bCs w:val="1"/>
                <w:color w:val="auto"/>
                <w:w w:val="94"/>
              </w:rPr>
              <w:t>Carrying</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51"/>
        </w:trPr>
        <w:tc>
          <w:tcPr>
            <w:tcW w:w="3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Arial" w:cs="Arial" w:eastAsia="Arial" w:hAnsi="Arial"/>
                <w:sz w:val="20"/>
                <w:szCs w:val="20"/>
                <w:b w:val="1"/>
                <w:bCs w:val="1"/>
                <w:color w:val="auto"/>
                <w:w w:val="97"/>
              </w:rPr>
              <w:t xml:space="preserve">Value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4"/>
                <w:szCs w:val="24"/>
                <w:color w:val="auto"/>
              </w:rPr>
            </w:pPr>
          </w:p>
        </w:tc>
        <w:tc>
          <w:tcPr>
            <w:tcW w:w="1140" w:type="dxa"/>
            <w:vAlign w:val="bottom"/>
          </w:tcPr>
          <w:p>
            <w:pPr>
              <w:jc w:val="right"/>
              <w:ind w:right="120"/>
              <w:spacing w:after="0"/>
              <w:rPr>
                <w:sz w:val="20"/>
                <w:szCs w:val="20"/>
                <w:color w:val="auto"/>
              </w:rPr>
            </w:pPr>
            <w:r>
              <w:rPr>
                <w:rFonts w:ascii="Arial" w:cs="Arial" w:eastAsia="Arial" w:hAnsi="Arial"/>
                <w:sz w:val="20"/>
                <w:szCs w:val="20"/>
                <w:b w:val="1"/>
                <w:bCs w:val="1"/>
                <w:color w:val="auto"/>
                <w:w w:val="94"/>
              </w:rPr>
              <w:t>Fair Value</w:t>
            </w:r>
          </w:p>
        </w:tc>
        <w:tc>
          <w:tcPr>
            <w:tcW w:w="24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Arial" w:cs="Arial" w:eastAsia="Arial" w:hAnsi="Arial"/>
                <w:sz w:val="20"/>
                <w:szCs w:val="20"/>
                <w:b w:val="1"/>
                <w:bCs w:val="1"/>
                <w:color w:val="auto"/>
                <w:w w:val="97"/>
              </w:rPr>
              <w:t xml:space="preserve">Value </w:t>
            </w:r>
            <w:r>
              <w:rPr>
                <w:rFonts w:ascii="Arial" w:cs="Arial" w:eastAsia="Arial" w:hAnsi="Arial"/>
                <w:sz w:val="26"/>
                <w:szCs w:val="26"/>
                <w:b w:val="1"/>
                <w:bCs w:val="1"/>
                <w:color w:val="auto"/>
                <w:w w:val="97"/>
                <w:vertAlign w:val="superscript"/>
              </w:rPr>
              <w:t>(1)</w:t>
            </w:r>
          </w:p>
        </w:tc>
        <w:tc>
          <w:tcPr>
            <w:tcW w:w="200" w:type="dxa"/>
            <w:vAlign w:val="bottom"/>
          </w:tcPr>
          <w:p>
            <w:pPr>
              <w:spacing w:after="0"/>
              <w:rPr>
                <w:sz w:val="24"/>
                <w:szCs w:val="24"/>
                <w:color w:val="auto"/>
              </w:rPr>
            </w:pPr>
          </w:p>
        </w:tc>
        <w:tc>
          <w:tcPr>
            <w:tcW w:w="1160" w:type="dxa"/>
            <w:vAlign w:val="bottom"/>
          </w:tcPr>
          <w:p>
            <w:pPr>
              <w:jc w:val="right"/>
              <w:ind w:right="120"/>
              <w:spacing w:after="0"/>
              <w:rPr>
                <w:sz w:val="20"/>
                <w:szCs w:val="20"/>
                <w:color w:val="auto"/>
              </w:rPr>
            </w:pPr>
            <w:r>
              <w:rPr>
                <w:rFonts w:ascii="Arial" w:cs="Arial" w:eastAsia="Arial" w:hAnsi="Arial"/>
                <w:sz w:val="20"/>
                <w:szCs w:val="20"/>
                <w:b w:val="1"/>
                <w:bCs w:val="1"/>
                <w:color w:val="auto"/>
                <w:w w:val="96"/>
              </w:rPr>
              <w:t>Fair Value</w:t>
            </w:r>
          </w:p>
        </w:tc>
      </w:tr>
      <w:tr>
        <w:trPr>
          <w:trHeight w:val="314"/>
        </w:trPr>
        <w:tc>
          <w:tcPr>
            <w:tcW w:w="3640" w:type="dxa"/>
            <w:vAlign w:val="bottom"/>
            <w:shd w:val="clear" w:color="auto" w:fill="CCEEFF"/>
          </w:tcPr>
          <w:p>
            <w:pPr>
              <w:spacing w:after="0"/>
              <w:rPr>
                <w:sz w:val="20"/>
                <w:szCs w:val="20"/>
                <w:color w:val="auto"/>
              </w:rPr>
            </w:pPr>
            <w:r>
              <w:rPr>
                <w:rFonts w:ascii="Arial" w:cs="Arial" w:eastAsia="Arial" w:hAnsi="Arial"/>
                <w:sz w:val="20"/>
                <w:szCs w:val="20"/>
                <w:color w:val="auto"/>
              </w:rPr>
              <w:t xml:space="preserve">SBA debentures </w:t>
            </w:r>
            <w:r>
              <w:rPr>
                <w:rFonts w:ascii="Arial" w:cs="Arial" w:eastAsia="Arial" w:hAnsi="Arial"/>
                <w:sz w:val="26"/>
                <w:szCs w:val="26"/>
                <w:color w:val="auto"/>
                <w:vertAlign w:val="superscript"/>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237,500</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237,500</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175,000</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175,000</w:t>
            </w:r>
          </w:p>
        </w:tc>
      </w:tr>
      <w:tr>
        <w:trPr>
          <w:trHeight w:val="314"/>
        </w:trPr>
        <w:tc>
          <w:tcPr>
            <w:tcW w:w="3640" w:type="dxa"/>
            <w:vAlign w:val="bottom"/>
          </w:tcPr>
          <w:p>
            <w:pPr>
              <w:spacing w:after="0"/>
              <w:rPr>
                <w:sz w:val="20"/>
                <w:szCs w:val="20"/>
                <w:color w:val="auto"/>
              </w:rPr>
            </w:pPr>
            <w:r>
              <w:rPr>
                <w:rFonts w:ascii="Arial" w:cs="Arial" w:eastAsia="Arial" w:hAnsi="Arial"/>
                <w:sz w:val="20"/>
                <w:szCs w:val="20"/>
                <w:color w:val="auto"/>
              </w:rPr>
              <w:t xml:space="preserve">Revolving Credit Facility borrowings </w:t>
            </w:r>
            <w:r>
              <w:rPr>
                <w:rFonts w:ascii="Arial" w:cs="Arial" w:eastAsia="Arial" w:hAnsi="Arial"/>
                <w:sz w:val="26"/>
                <w:szCs w:val="26"/>
                <w:color w:val="auto"/>
                <w:vertAlign w:val="superscript"/>
              </w:rPr>
              <w:t>(3)</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45,000</w:t>
            </w:r>
          </w:p>
        </w:tc>
        <w:tc>
          <w:tcPr>
            <w:tcW w:w="20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45,000</w:t>
            </w:r>
          </w:p>
        </w:tc>
      </w:tr>
      <w:tr>
        <w:trPr>
          <w:trHeight w:val="314"/>
        </w:trPr>
        <w:tc>
          <w:tcPr>
            <w:tcW w:w="3640" w:type="dxa"/>
            <w:vAlign w:val="bottom"/>
            <w:shd w:val="clear" w:color="auto" w:fill="CCEEFF"/>
          </w:tcPr>
          <w:p>
            <w:pPr>
              <w:spacing w:after="0"/>
              <w:rPr>
                <w:sz w:val="20"/>
                <w:szCs w:val="20"/>
                <w:color w:val="auto"/>
              </w:rPr>
            </w:pPr>
            <w:r>
              <w:rPr>
                <w:rFonts w:ascii="Arial" w:cs="Arial" w:eastAsia="Arial" w:hAnsi="Arial"/>
                <w:sz w:val="20"/>
                <w:szCs w:val="20"/>
                <w:color w:val="auto"/>
              </w:rPr>
              <w:t xml:space="preserve">SPV Credit Facility borrowings </w:t>
            </w:r>
            <w:r>
              <w:rPr>
                <w:rFonts w:ascii="Arial" w:cs="Arial" w:eastAsia="Arial" w:hAnsi="Arial"/>
                <w:sz w:val="26"/>
                <w:szCs w:val="26"/>
                <w:color w:val="auto"/>
                <w:vertAlign w:val="superscript"/>
              </w:rPr>
              <w:t>(3)</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83,850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83,850</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r>
      <w:tr>
        <w:trPr>
          <w:trHeight w:val="314"/>
        </w:trPr>
        <w:tc>
          <w:tcPr>
            <w:tcW w:w="3640" w:type="dxa"/>
            <w:vAlign w:val="bottom"/>
          </w:tcPr>
          <w:p>
            <w:pPr>
              <w:spacing w:after="0"/>
              <w:rPr>
                <w:sz w:val="20"/>
                <w:szCs w:val="20"/>
                <w:color w:val="auto"/>
              </w:rPr>
            </w:pPr>
            <w:r>
              <w:rPr>
                <w:rFonts w:ascii="Arial" w:cs="Arial" w:eastAsia="Arial" w:hAnsi="Arial"/>
                <w:sz w:val="20"/>
                <w:szCs w:val="20"/>
                <w:color w:val="auto"/>
              </w:rPr>
              <w:t xml:space="preserve">January 2026 Notes </w:t>
            </w:r>
            <w:r>
              <w:rPr>
                <w:rFonts w:ascii="Arial" w:cs="Arial" w:eastAsia="Arial" w:hAnsi="Arial"/>
                <w:sz w:val="26"/>
                <w:szCs w:val="26"/>
                <w:color w:val="auto"/>
                <w:vertAlign w:val="superscript"/>
              </w:rPr>
              <w:t>(4)</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125,000</w:t>
            </w:r>
          </w:p>
        </w:tc>
        <w:tc>
          <w:tcPr>
            <w:tcW w:w="20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120,188</w:t>
            </w:r>
          </w:p>
        </w:tc>
      </w:tr>
      <w:tr>
        <w:trPr>
          <w:trHeight w:val="314"/>
        </w:trPr>
        <w:tc>
          <w:tcPr>
            <w:tcW w:w="3640" w:type="dxa"/>
            <w:vAlign w:val="bottom"/>
            <w:shd w:val="clear" w:color="auto" w:fill="CCEEFF"/>
          </w:tcPr>
          <w:p>
            <w:pPr>
              <w:spacing w:after="0"/>
              <w:rPr>
                <w:sz w:val="20"/>
                <w:szCs w:val="20"/>
                <w:color w:val="auto"/>
              </w:rPr>
            </w:pPr>
            <w:r>
              <w:rPr>
                <w:rFonts w:ascii="Arial" w:cs="Arial" w:eastAsia="Arial" w:hAnsi="Arial"/>
                <w:sz w:val="20"/>
                <w:szCs w:val="20"/>
                <w:color w:val="auto"/>
              </w:rPr>
              <w:t xml:space="preserve">November 2026 Notes </w:t>
            </w:r>
            <w:r>
              <w:rPr>
                <w:rFonts w:ascii="Arial" w:cs="Arial" w:eastAsia="Arial" w:hAnsi="Arial"/>
                <w:sz w:val="26"/>
                <w:szCs w:val="26"/>
                <w:color w:val="auto"/>
                <w:vertAlign w:val="superscript"/>
              </w:rPr>
              <w:t>(4)</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125,000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120,455</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125,000</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114,293</w:t>
            </w:r>
          </w:p>
        </w:tc>
      </w:tr>
      <w:tr>
        <w:trPr>
          <w:trHeight w:val="324"/>
        </w:trPr>
        <w:tc>
          <w:tcPr>
            <w:tcW w:w="3640" w:type="dxa"/>
            <w:vAlign w:val="bottom"/>
          </w:tcPr>
          <w:p>
            <w:pPr>
              <w:spacing w:after="0"/>
              <w:rPr>
                <w:sz w:val="20"/>
                <w:szCs w:val="20"/>
                <w:color w:val="auto"/>
              </w:rPr>
            </w:pPr>
            <w:r>
              <w:rPr>
                <w:rFonts w:ascii="Arial" w:cs="Arial" w:eastAsia="Arial" w:hAnsi="Arial"/>
                <w:sz w:val="20"/>
                <w:szCs w:val="20"/>
                <w:color w:val="auto"/>
              </w:rPr>
              <w:t xml:space="preserve">March 2030 Notes </w:t>
            </w:r>
            <w:r>
              <w:rPr>
                <w:rFonts w:ascii="Arial" w:cs="Arial" w:eastAsia="Arial" w:hAnsi="Arial"/>
                <w:sz w:val="26"/>
                <w:szCs w:val="26"/>
                <w:color w:val="auto"/>
                <w:vertAlign w:val="superscript"/>
              </w:rPr>
              <w:t>(4)</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200,000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191,957</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19"/>
        </w:trPr>
        <w:tc>
          <w:tcPr>
            <w:tcW w:w="3640" w:type="dxa"/>
            <w:vAlign w:val="bottom"/>
            <w:shd w:val="clear" w:color="auto" w:fill="CCEEFF"/>
          </w:tcPr>
          <w:p>
            <w:pPr>
              <w:spacing w:after="0"/>
              <w:rPr>
                <w:sz w:val="20"/>
                <w:szCs w:val="20"/>
                <w:color w:val="auto"/>
              </w:rPr>
            </w:pPr>
            <w:r>
              <w:rPr>
                <w:rFonts w:ascii="Arial" w:cs="Arial" w:eastAsia="Arial" w:hAnsi="Arial"/>
                <w:sz w:val="20"/>
                <w:szCs w:val="20"/>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646,350</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633,762</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470,000</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454,481</w:t>
            </w:r>
          </w:p>
        </w:tc>
      </w:tr>
      <w:tr>
        <w:trPr>
          <w:trHeight w:val="41"/>
        </w:trPr>
        <w:tc>
          <w:tcPr>
            <w:tcW w:w="36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-1834515</wp:posOffset>
            </wp:positionV>
            <wp:extent cx="332041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20415" cy="635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-1438275</wp:posOffset>
            </wp:positionV>
            <wp:extent cx="332041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20415" cy="635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-233680</wp:posOffset>
            </wp:positionV>
            <wp:extent cx="332041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20415" cy="635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-27940</wp:posOffset>
            </wp:positionV>
            <wp:extent cx="3379470" cy="285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79470" cy="28575"/>
                    </a:xfrm>
                    <a:prstGeom prst="rect">
                      <a:avLst/>
                    </a:prstGeom>
                    <a:noFill/>
                  </pic:spPr>
                </pic:pic>
              </a:graphicData>
            </a:graphic>
          </wp:anchor>
        </w:drawing>
      </w:r>
    </w:p>
    <w:p>
      <w:pPr>
        <w:spacing w:after="0" w:line="47" w:lineRule="exact"/>
        <w:rPr>
          <w:sz w:val="20"/>
          <w:szCs w:val="20"/>
          <w:color w:val="auto"/>
        </w:rPr>
      </w:pPr>
    </w:p>
    <w:p>
      <w:pPr>
        <w:ind w:left="406" w:hanging="406"/>
        <w:spacing w:after="0"/>
        <w:tabs>
          <w:tab w:leader="none" w:pos="40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Carrying value represents the outstanding principal balance of the debt obligation.</w:t>
      </w:r>
    </w:p>
    <w:p>
      <w:pPr>
        <w:spacing w:after="0" w:line="123" w:lineRule="exact"/>
        <w:rPr>
          <w:rFonts w:ascii="Arial" w:cs="Arial" w:eastAsia="Arial" w:hAnsi="Arial"/>
          <w:sz w:val="16"/>
          <w:szCs w:val="16"/>
          <w:color w:val="auto"/>
        </w:rPr>
      </w:pPr>
    </w:p>
    <w:p>
      <w:pPr>
        <w:jc w:val="both"/>
        <w:ind w:left="406" w:right="40" w:hanging="406"/>
        <w:spacing w:after="0" w:line="386" w:lineRule="auto"/>
        <w:tabs>
          <w:tab w:leader="none" w:pos="40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2" w:lineRule="exact"/>
        <w:rPr>
          <w:rFonts w:ascii="Arial" w:cs="Arial" w:eastAsia="Arial" w:hAnsi="Arial"/>
          <w:sz w:val="16"/>
          <w:szCs w:val="16"/>
          <w:color w:val="auto"/>
        </w:rPr>
      </w:pPr>
    </w:p>
    <w:p>
      <w:pPr>
        <w:ind w:left="406" w:right="60" w:hanging="406"/>
        <w:spacing w:after="0" w:line="381" w:lineRule="auto"/>
        <w:tabs>
          <w:tab w:leader="none" w:pos="40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fair value of the Revolving Credit Facility and the SPV Credit Facility, if valued under ASC Topic 820, are based on a market yield approach and current interest rates, which are Level 3 inputs to the market yield model.</w:t>
      </w:r>
    </w:p>
    <w:p>
      <w:pPr>
        <w:spacing w:after="0" w:line="15" w:lineRule="exact"/>
        <w:rPr>
          <w:rFonts w:ascii="Arial" w:cs="Arial" w:eastAsia="Arial" w:hAnsi="Arial"/>
          <w:sz w:val="16"/>
          <w:szCs w:val="16"/>
          <w:color w:val="auto"/>
        </w:rPr>
      </w:pPr>
    </w:p>
    <w:p>
      <w:pPr>
        <w:jc w:val="both"/>
        <w:ind w:left="406" w:right="60" w:hanging="406"/>
        <w:spacing w:after="0" w:line="386" w:lineRule="auto"/>
        <w:tabs>
          <w:tab w:leader="none" w:pos="40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fair value of the January 2026 Notes (as defined in Note 6), the November 2026 Notes (as defined in Note 6), and the March 2030 Notes (as defined in Note 6) are estimated by discounting the remaining payments using current market rates for similar instruments and considering such factors as the legal maturity date, which are Level 3 inputs under ASC Topic 820.</w:t>
      </w:r>
    </w:p>
    <w:p>
      <w:pPr>
        <w:spacing w:after="0" w:line="4" w:lineRule="exact"/>
        <w:rPr>
          <w:rFonts w:ascii="Arial" w:cs="Arial" w:eastAsia="Arial" w:hAnsi="Arial"/>
          <w:sz w:val="16"/>
          <w:szCs w:val="16"/>
          <w:color w:val="auto"/>
        </w:rPr>
      </w:pPr>
    </w:p>
    <w:p>
      <w:pPr>
        <w:ind w:left="406" w:hanging="406"/>
        <w:spacing w:after="0"/>
        <w:tabs>
          <w:tab w:leader="none" w:pos="40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Totals exclude $12,000 and $13,674 of Secured Borrowings as of December 31, 2025 and December 31, 2024, respectively.</w:t>
      </w:r>
    </w:p>
    <w:p>
      <w:pPr>
        <w:spacing w:after="0" w:line="388" w:lineRule="exact"/>
        <w:rPr>
          <w:sz w:val="20"/>
          <w:szCs w:val="20"/>
          <w:color w:val="auto"/>
        </w:rPr>
      </w:pPr>
    </w:p>
    <w:p>
      <w:pPr>
        <w:ind w:left="6" w:right="80" w:firstLine="401"/>
        <w:spacing w:after="0" w:line="302" w:lineRule="auto"/>
        <w:rPr>
          <w:sz w:val="20"/>
          <w:szCs w:val="20"/>
          <w:color w:val="auto"/>
        </w:rPr>
      </w:pPr>
      <w:r>
        <w:rPr>
          <w:rFonts w:ascii="Arial" w:cs="Arial" w:eastAsia="Arial" w:hAnsi="Arial"/>
          <w:sz w:val="20"/>
          <w:szCs w:val="20"/>
          <w:color w:val="auto"/>
        </w:rPr>
        <w:t>The following table summarizes the inputs used to value the Company’s debt obligations if measured at fair value as of December 31, 2025 and 2024:</w:t>
      </w:r>
    </w:p>
    <w:p>
      <w:pPr>
        <w:spacing w:after="0" w:line="4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5480" w:type="dxa"/>
            <w:vAlign w:val="bottom"/>
            <w:gridSpan w:val="2"/>
          </w:tcPr>
          <w:p>
            <w:pPr>
              <w:ind w:left="3460"/>
              <w:spacing w:after="0"/>
              <w:rPr>
                <w:sz w:val="20"/>
                <w:szCs w:val="20"/>
                <w:color w:val="auto"/>
              </w:rPr>
            </w:pPr>
            <w:r>
              <w:rPr>
                <w:rFonts w:ascii="Arial" w:cs="Arial" w:eastAsia="Arial" w:hAnsi="Arial"/>
                <w:sz w:val="20"/>
                <w:szCs w:val="20"/>
                <w:b w:val="1"/>
                <w:bCs w:val="1"/>
                <w:color w:val="auto"/>
              </w:rPr>
              <w:t>Fair Value</w:t>
            </w:r>
          </w:p>
        </w:tc>
        <w:tc>
          <w:tcPr>
            <w:tcW w:w="320" w:type="dxa"/>
            <w:vAlign w:val="bottom"/>
          </w:tcPr>
          <w:p>
            <w:pPr>
              <w:spacing w:after="0"/>
              <w:rPr>
                <w:sz w:val="19"/>
                <w:szCs w:val="19"/>
                <w:color w:val="auto"/>
              </w:rPr>
            </w:pPr>
          </w:p>
        </w:tc>
      </w:tr>
      <w:tr>
        <w:trPr>
          <w:trHeight w:val="310"/>
        </w:trPr>
        <w:tc>
          <w:tcPr>
            <w:tcW w:w="3600" w:type="dxa"/>
            <w:vAlign w:val="bottom"/>
          </w:tcPr>
          <w:p>
            <w:pPr>
              <w:spacing w:after="0"/>
              <w:rPr>
                <w:sz w:val="24"/>
                <w:szCs w:val="24"/>
                <w:color w:val="auto"/>
              </w:rPr>
            </w:pPr>
          </w:p>
        </w:tc>
        <w:tc>
          <w:tcPr>
            <w:tcW w:w="3580" w:type="dxa"/>
            <w:vAlign w:val="bottom"/>
          </w:tcPr>
          <w:p>
            <w:pPr>
              <w:jc w:val="center"/>
              <w:ind w:left="2260"/>
              <w:spacing w:after="0"/>
              <w:rPr>
                <w:sz w:val="20"/>
                <w:szCs w:val="20"/>
                <w:color w:val="auto"/>
              </w:rPr>
            </w:pPr>
            <w:r>
              <w:rPr>
                <w:rFonts w:ascii="Arial" w:cs="Arial" w:eastAsia="Arial" w:hAnsi="Arial"/>
                <w:sz w:val="20"/>
                <w:szCs w:val="20"/>
                <w:b w:val="1"/>
                <w:bCs w:val="1"/>
                <w:color w:val="auto"/>
                <w:w w:val="90"/>
              </w:rPr>
              <w:t>December 31,</w:t>
            </w:r>
          </w:p>
        </w:tc>
        <w:tc>
          <w:tcPr>
            <w:tcW w:w="1900" w:type="dxa"/>
            <w:vAlign w:val="bottom"/>
          </w:tcPr>
          <w:p>
            <w:pPr>
              <w:jc w:val="center"/>
              <w:ind w:left="600"/>
              <w:spacing w:after="0"/>
              <w:rPr>
                <w:sz w:val="20"/>
                <w:szCs w:val="20"/>
                <w:color w:val="auto"/>
              </w:rPr>
            </w:pPr>
            <w:r>
              <w:rPr>
                <w:rFonts w:ascii="Arial" w:cs="Arial" w:eastAsia="Arial" w:hAnsi="Arial"/>
                <w:sz w:val="20"/>
                <w:szCs w:val="20"/>
                <w:b w:val="1"/>
                <w:bCs w:val="1"/>
                <w:color w:val="auto"/>
                <w:w w:val="89"/>
              </w:rPr>
              <w:t>December 31,</w:t>
            </w:r>
          </w:p>
        </w:tc>
        <w:tc>
          <w:tcPr>
            <w:tcW w:w="320" w:type="dxa"/>
            <w:vAlign w:val="bottom"/>
          </w:tcPr>
          <w:p>
            <w:pPr>
              <w:spacing w:after="0"/>
              <w:rPr>
                <w:sz w:val="24"/>
                <w:szCs w:val="24"/>
                <w:color w:val="auto"/>
              </w:rPr>
            </w:pPr>
          </w:p>
        </w:tc>
      </w:tr>
      <w:tr>
        <w:trPr>
          <w:trHeight w:val="300"/>
        </w:trPr>
        <w:tc>
          <w:tcPr>
            <w:tcW w:w="3600" w:type="dxa"/>
            <w:vAlign w:val="bottom"/>
          </w:tcPr>
          <w:p>
            <w:pPr>
              <w:spacing w:after="0"/>
              <w:rPr>
                <w:sz w:val="20"/>
                <w:szCs w:val="20"/>
                <w:color w:val="auto"/>
              </w:rPr>
            </w:pPr>
            <w:r>
              <w:rPr>
                <w:rFonts w:ascii="Arial" w:cs="Arial" w:eastAsia="Arial" w:hAnsi="Arial"/>
                <w:sz w:val="20"/>
                <w:szCs w:val="20"/>
                <w:b w:val="1"/>
                <w:bCs w:val="1"/>
                <w:color w:val="auto"/>
              </w:rPr>
              <w:t>Valuation Inputs</w:t>
            </w:r>
          </w:p>
        </w:tc>
        <w:tc>
          <w:tcPr>
            <w:tcW w:w="3580" w:type="dxa"/>
            <w:vAlign w:val="bottom"/>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1900" w:type="dxa"/>
            <w:vAlign w:val="bottom"/>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320" w:type="dxa"/>
            <w:vAlign w:val="bottom"/>
          </w:tcPr>
          <w:p>
            <w:pPr>
              <w:spacing w:after="0"/>
              <w:rPr>
                <w:sz w:val="24"/>
                <w:szCs w:val="24"/>
                <w:color w:val="auto"/>
              </w:rPr>
            </w:pPr>
          </w:p>
        </w:tc>
      </w:tr>
      <w:tr>
        <w:trPr>
          <w:trHeight w:val="51"/>
        </w:trPr>
        <w:tc>
          <w:tcPr>
            <w:tcW w:w="36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59"/>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Level 1</w:t>
            </w:r>
          </w:p>
        </w:tc>
        <w:tc>
          <w:tcPr>
            <w:tcW w:w="3580" w:type="dxa"/>
            <w:vAlign w:val="bottom"/>
            <w:shd w:val="clear" w:color="auto" w:fill="CFF0FC"/>
          </w:tcPr>
          <w:p>
            <w:pPr>
              <w:jc w:val="right"/>
              <w:ind w:right="1240"/>
              <w:spacing w:after="0"/>
              <w:rPr>
                <w:sz w:val="20"/>
                <w:szCs w:val="20"/>
                <w:color w:val="auto"/>
              </w:rPr>
            </w:pPr>
            <w:r>
              <w:rPr>
                <w:rFonts w:ascii="Arial" w:cs="Arial" w:eastAsia="Arial" w:hAnsi="Arial"/>
                <w:sz w:val="20"/>
                <w:szCs w:val="20"/>
                <w:color w:val="auto"/>
              </w:rPr>
              <w:t>$</w:t>
            </w:r>
          </w:p>
        </w:tc>
        <w:tc>
          <w:tcPr>
            <w:tcW w:w="1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   $</w:t>
            </w:r>
          </w:p>
        </w:tc>
        <w:tc>
          <w:tcPr>
            <w:tcW w:w="32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r>
      <w:tr>
        <w:trPr>
          <w:trHeight w:val="41"/>
        </w:trPr>
        <w:tc>
          <w:tcPr>
            <w:tcW w:w="3600" w:type="dxa"/>
            <w:vAlign w:val="bottom"/>
            <w:shd w:val="clear" w:color="auto" w:fill="CFF0FC"/>
          </w:tcPr>
          <w:p>
            <w:pPr>
              <w:spacing w:after="0"/>
              <w:rPr>
                <w:sz w:val="3"/>
                <w:szCs w:val="3"/>
                <w:color w:val="auto"/>
              </w:rPr>
            </w:pPr>
          </w:p>
        </w:tc>
        <w:tc>
          <w:tcPr>
            <w:tcW w:w="3580" w:type="dxa"/>
            <w:vAlign w:val="bottom"/>
            <w:shd w:val="clear" w:color="auto" w:fill="CFF0FC"/>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-583565</wp:posOffset>
            </wp:positionV>
            <wp:extent cx="225425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2542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-196215</wp:posOffset>
            </wp:positionV>
            <wp:extent cx="590804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08040"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19</w:t>
      </w:r>
    </w:p>
    <w:p>
      <w:pPr>
        <w:sectPr>
          <w:pgSz w:w="11900" w:h="16838" w:orient="portrait"/>
          <w:cols w:equalWidth="0" w:num="1">
            <w:col w:w="9406"/>
          </w:cols>
          <w:pgMar w:left="1254" w:top="1440" w:right="1246" w:bottom="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20"/>
                <w:szCs w:val="20"/>
                <w:color w:val="auto"/>
              </w:rPr>
              <w:t>Level 2</w:t>
            </w:r>
          </w:p>
        </w:tc>
        <w:tc>
          <w:tcPr>
            <w:tcW w:w="312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1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0"/>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Level 3</w:t>
            </w:r>
          </w:p>
        </w:tc>
        <w:tc>
          <w:tcPr>
            <w:tcW w:w="3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633,762</w:t>
            </w:r>
          </w:p>
        </w:tc>
        <w:tc>
          <w:tcPr>
            <w:tcW w:w="6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454,481</w:t>
            </w:r>
          </w:p>
        </w:tc>
      </w:tr>
      <w:tr>
        <w:trPr>
          <w:trHeight w:val="304"/>
        </w:trPr>
        <w:tc>
          <w:tcPr>
            <w:tcW w:w="3180" w:type="dxa"/>
            <w:vAlign w:val="bottom"/>
          </w:tcPr>
          <w:p>
            <w:pPr>
              <w:spacing w:after="0"/>
              <w:rPr>
                <w:sz w:val="20"/>
                <w:szCs w:val="20"/>
                <w:color w:val="auto"/>
              </w:rPr>
            </w:pPr>
            <w:r>
              <w:rPr>
                <w:rFonts w:ascii="Arial" w:cs="Arial" w:eastAsia="Arial" w:hAnsi="Arial"/>
                <w:sz w:val="20"/>
                <w:szCs w:val="20"/>
                <w:color w:val="auto"/>
              </w:rPr>
              <w:t>Total</w:t>
            </w:r>
          </w:p>
        </w:tc>
        <w:tc>
          <w:tcPr>
            <w:tcW w:w="31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0"/>
              <w:spacing w:after="0"/>
              <w:rPr>
                <w:sz w:val="20"/>
                <w:szCs w:val="20"/>
                <w:color w:val="auto"/>
              </w:rPr>
            </w:pPr>
            <w:r>
              <w:rPr>
                <w:rFonts w:ascii="Arial" w:cs="Arial" w:eastAsia="Arial" w:hAnsi="Arial"/>
                <w:sz w:val="20"/>
                <w:szCs w:val="20"/>
                <w:color w:val="auto"/>
              </w:rPr>
              <w:t>633,762</w:t>
            </w:r>
          </w:p>
        </w:tc>
        <w:tc>
          <w:tcPr>
            <w:tcW w:w="68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454,481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-198755</wp:posOffset>
            </wp:positionV>
            <wp:extent cx="231394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13940" cy="635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-1905</wp:posOffset>
            </wp:positionV>
            <wp:extent cx="2254250" cy="285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2542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Related Party Transactions</w:t>
      </w:r>
    </w:p>
    <w:p>
      <w:pPr>
        <w:spacing w:after="0" w:line="260" w:lineRule="exact"/>
        <w:rPr>
          <w:sz w:val="20"/>
          <w:szCs w:val="20"/>
          <w:color w:val="auto"/>
        </w:rPr>
      </w:pPr>
    </w:p>
    <w:p>
      <w:pPr>
        <w:jc w:val="both"/>
        <w:ind w:right="60" w:firstLine="401"/>
        <w:spacing w:after="0" w:line="329" w:lineRule="auto"/>
        <w:rPr>
          <w:sz w:val="20"/>
          <w:szCs w:val="20"/>
          <w:color w:val="auto"/>
        </w:rPr>
      </w:pPr>
      <w:r>
        <w:rPr>
          <w:rFonts w:ascii="Arial" w:cs="Arial" w:eastAsia="Arial" w:hAnsi="Arial"/>
          <w:sz w:val="19"/>
          <w:szCs w:val="19"/>
          <w:i w:val="1"/>
          <w:iCs w:val="1"/>
          <w:color w:val="auto"/>
        </w:rPr>
        <w:t xml:space="preserve">Investment Advisory Agreement: </w:t>
      </w:r>
      <w:r>
        <w:rPr>
          <w:rFonts w:ascii="Arial" w:cs="Arial" w:eastAsia="Arial" w:hAnsi="Arial"/>
          <w:sz w:val="19"/>
          <w:szCs w:val="19"/>
          <w:color w:val="auto"/>
        </w:rPr>
        <w:t>The Company has entered into an Investment Advisory Agreement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Advisor. Most recently, on June 11, 2025, the Board approved the renewal of the Investment Advisory Agreement for the period from June 20, 2025 through June 20, 2026.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jc w:val="center"/>
        <w:spacing w:after="0" w:line="232" w:lineRule="auto"/>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19</w:t>
      </w:r>
    </w:p>
    <w:p>
      <w:pPr>
        <w:sectPr>
          <w:pgSz w:w="11900" w:h="16838" w:orient="portrait"/>
          <w:cols w:equalWidth="0" w:num="1">
            <w:col w:w="9400"/>
          </w:cols>
          <w:pgMar w:left="1260" w:top="1163" w:right="1246" w:bottom="0" w:gutter="0" w:footer="0" w:header="0"/>
          <w:type w:val="continuous"/>
        </w:sectPr>
      </w:pPr>
    </w:p>
    <w:bookmarkStart w:id="288" w:name="page289"/>
    <w:bookmarkEnd w:id="288"/>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color w:val="auto"/>
        </w:rPr>
        <w:t>The base management fee is calculated at an annual rate of 1.75% based on the average value of total assets (other than restricted cash and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years ended December 31, 2025, 2024 and 2023 totaled $20,932, $18,855, and $16,288, respectively. The base management fee waiver was $230, $264, and $287 for the years ended December 31, 2025, 2024, and 2023, respectively. As of December 31, 2025 and 2024, the base management fee payable (net of the base management fee waiver) was $5,596 and $4,805, respectively.</w:t>
      </w:r>
    </w:p>
    <w:p>
      <w:pPr>
        <w:spacing w:after="0" w:line="185" w:lineRule="exact"/>
        <w:rPr>
          <w:sz w:val="20"/>
          <w:szCs w:val="20"/>
          <w:color w:val="auto"/>
        </w:rPr>
      </w:pPr>
    </w:p>
    <w:p>
      <w:pPr>
        <w:jc w:val="both"/>
        <w:ind w:right="40" w:firstLine="401"/>
        <w:spacing w:after="0" w:line="349" w:lineRule="auto"/>
        <w:rPr>
          <w:sz w:val="20"/>
          <w:szCs w:val="20"/>
          <w:color w:val="auto"/>
        </w:rPr>
      </w:pPr>
      <w:r>
        <w:rPr>
          <w:rFonts w:ascii="Arial" w:cs="Arial" w:eastAsia="Arial" w:hAnsi="Arial"/>
          <w:sz w:val="18"/>
          <w:szCs w:val="18"/>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68" w:lineRule="exact"/>
        <w:rPr>
          <w:sz w:val="20"/>
          <w:szCs w:val="20"/>
          <w:color w:val="auto"/>
        </w:rPr>
      </w:pPr>
    </w:p>
    <w:p>
      <w:pPr>
        <w:jc w:val="both"/>
        <w:ind w:right="40" w:firstLine="401"/>
        <w:spacing w:after="0" w:line="329" w:lineRule="auto"/>
        <w:rPr>
          <w:sz w:val="20"/>
          <w:szCs w:val="20"/>
          <w:color w:val="auto"/>
        </w:rPr>
      </w:pPr>
      <w:r>
        <w:rPr>
          <w:rFonts w:ascii="Arial" w:cs="Arial" w:eastAsia="Arial" w:hAnsi="Arial"/>
          <w:sz w:val="19"/>
          <w:szCs w:val="19"/>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3" w:lineRule="exact"/>
        <w:rPr>
          <w:sz w:val="20"/>
          <w:szCs w:val="20"/>
          <w:color w:val="auto"/>
        </w:rPr>
      </w:pPr>
    </w:p>
    <w:p>
      <w:pPr>
        <w:jc w:val="both"/>
        <w:ind w:firstLine="401"/>
        <w:spacing w:after="0" w:line="350" w:lineRule="auto"/>
        <w:rPr>
          <w:sz w:val="20"/>
          <w:szCs w:val="20"/>
          <w:color w:val="auto"/>
        </w:rPr>
      </w:pPr>
      <w:r>
        <w:rPr>
          <w:rFonts w:ascii="Arial" w:cs="Arial" w:eastAsia="Arial" w:hAnsi="Arial"/>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69" w:lineRule="exact"/>
        <w:rPr>
          <w:sz w:val="20"/>
          <w:szCs w:val="20"/>
          <w:color w:val="auto"/>
        </w:rPr>
      </w:pPr>
    </w:p>
    <w:p>
      <w:pPr>
        <w:ind w:right="60" w:firstLine="400"/>
        <w:spacing w:after="0" w:line="302" w:lineRule="auto"/>
        <w:rPr>
          <w:sz w:val="20"/>
          <w:szCs w:val="20"/>
          <w:color w:val="auto"/>
        </w:rPr>
      </w:pPr>
      <w:r>
        <w:rPr>
          <w:rFonts w:ascii="Arial" w:cs="Arial" w:eastAsia="Arial" w:hAnsi="Arial"/>
          <w:sz w:val="20"/>
          <w:szCs w:val="20"/>
          <w:color w:val="auto"/>
        </w:rPr>
        <w:t>The Company pays the Investment Advisor an incentive fee with respect to pre-incentive fee net investment income in each calendar quarter as follows:</w:t>
      </w:r>
    </w:p>
    <w:p>
      <w:pPr>
        <w:spacing w:after="0" w:line="231" w:lineRule="exact"/>
        <w:rPr>
          <w:sz w:val="20"/>
          <w:szCs w:val="20"/>
          <w:color w:val="auto"/>
        </w:rPr>
      </w:pPr>
    </w:p>
    <w:p>
      <w:pPr>
        <w:ind w:left="860" w:right="340" w:hanging="441"/>
        <w:spacing w:after="0" w:line="302" w:lineRule="auto"/>
        <w:tabs>
          <w:tab w:leader="none" w:pos="8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no incentive fee in any calendar quarter in which the pre-incentive fee net investment income does not exceed the hurdle rate of 2.0%;</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19</w:t>
      </w:r>
    </w:p>
    <w:p>
      <w:pPr>
        <w:sectPr>
          <w:pgSz w:w="11900" w:h="16838" w:orient="portrait"/>
          <w:cols w:equalWidth="0" w:num="1">
            <w:col w:w="9380"/>
          </w:cols>
          <w:pgMar w:left="1260" w:top="1440" w:right="1266" w:bottom="0" w:gutter="0" w:footer="0" w:header="0"/>
          <w:type w:val="continuous"/>
        </w:sectPr>
      </w:pPr>
    </w:p>
    <w:bookmarkStart w:id="289" w:name="page290"/>
    <w:bookmarkEnd w:id="289"/>
    <w:p>
      <w:pPr>
        <w:ind w:left="860" w:right="80" w:hanging="441"/>
        <w:spacing w:after="0" w:line="347" w:lineRule="auto"/>
        <w:tabs>
          <w:tab w:leader="none" w:pos="8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4" w:lineRule="exact"/>
        <w:rPr>
          <w:rFonts w:ascii="Arial" w:cs="Arial" w:eastAsia="Arial" w:hAnsi="Arial"/>
          <w:sz w:val="18"/>
          <w:szCs w:val="18"/>
          <w:color w:val="auto"/>
        </w:rPr>
      </w:pPr>
    </w:p>
    <w:p>
      <w:pPr>
        <w:ind w:left="860" w:right="420" w:hanging="441"/>
        <w:spacing w:after="0" w:line="302" w:lineRule="auto"/>
        <w:tabs>
          <w:tab w:leader="none" w:pos="8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20.0% of the amount of the Company’s pre-incentive fee net investment income, if any, that exceeds 2.5% in any calendar quarter.</w:t>
      </w:r>
    </w:p>
    <w:p>
      <w:pPr>
        <w:spacing w:after="0" w:line="201" w:lineRule="exact"/>
        <w:rPr>
          <w:sz w:val="20"/>
          <w:szCs w:val="20"/>
          <w:color w:val="auto"/>
        </w:rPr>
      </w:pPr>
    </w:p>
    <w:p>
      <w:pPr>
        <w:jc w:val="both"/>
        <w:ind w:firstLine="400"/>
        <w:spacing w:after="0" w:line="310" w:lineRule="auto"/>
        <w:rPr>
          <w:sz w:val="20"/>
          <w:szCs w:val="20"/>
          <w:color w:val="auto"/>
        </w:rPr>
      </w:pPr>
      <w:r>
        <w:rPr>
          <w:rFonts w:ascii="Arial" w:cs="Arial" w:eastAsia="Arial" w:hAnsi="Arial"/>
          <w:sz w:val="20"/>
          <w:szCs w:val="20"/>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2025, 2024 and 2023 totaled $18,540, $18,549, and $16,529, respectively. As of December 31, 2025 and 2024, the income incentive fee payable was $4,721 and $4,477, respectively.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19</w:t>
      </w:r>
    </w:p>
    <w:p>
      <w:pPr>
        <w:sectPr>
          <w:pgSz w:w="11900" w:h="16838" w:orient="portrait"/>
          <w:cols w:equalWidth="0" w:num="1">
            <w:col w:w="9340"/>
          </w:cols>
          <w:pgMar w:left="1260" w:top="1173" w:right="1306" w:bottom="0" w:gutter="0" w:footer="0" w:header="0"/>
          <w:type w:val="continuous"/>
        </w:sectPr>
      </w:pPr>
    </w:p>
    <w:bookmarkStart w:id="290" w:name="page291"/>
    <w:bookmarkEnd w:id="290"/>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firstLine="401"/>
        <w:spacing w:after="0" w:line="348" w:lineRule="auto"/>
        <w:rPr>
          <w:sz w:val="20"/>
          <w:szCs w:val="20"/>
          <w:color w:val="auto"/>
        </w:rPr>
      </w:pPr>
      <w:r>
        <w:rPr>
          <w:rFonts w:ascii="Arial" w:cs="Arial" w:eastAsia="Arial" w:hAnsi="Arial"/>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December 31, 2025 and 2024, none of the capital gains incentive fee was payable in cash (as cumulative aggregate realized capital gains and losses on investments exceeded aggregate unrealized capital depreciation on investments plus realized losses on extinguishment of debt). The aggregate amount of capital gains incentive fees paid from the IPO through December 31, 2025 was $17,577.</w:t>
      </w:r>
    </w:p>
    <w:p>
      <w:pPr>
        <w:spacing w:after="0" w:line="178"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years ended December 31, 2025, 2024 and 2023 was $1,711, $731, and $2,405, respectively. As of December 31, 2025 and 2024, the accrued capital gains incentive fee payable was $16,414 and $14,703, respectively.</w:t>
      </w:r>
    </w:p>
    <w:p>
      <w:pPr>
        <w:spacing w:after="0" w:line="185" w:lineRule="exact"/>
        <w:rPr>
          <w:sz w:val="20"/>
          <w:szCs w:val="20"/>
          <w:color w:val="auto"/>
        </w:rPr>
      </w:pPr>
    </w:p>
    <w:p>
      <w:pPr>
        <w:jc w:val="both"/>
        <w:ind w:firstLine="401"/>
        <w:spacing w:after="0" w:line="329" w:lineRule="auto"/>
        <w:rPr>
          <w:sz w:val="20"/>
          <w:szCs w:val="20"/>
          <w:color w:val="auto"/>
        </w:rPr>
      </w:pPr>
      <w:r>
        <w:rPr>
          <w:rFonts w:ascii="Arial" w:cs="Arial" w:eastAsia="Arial" w:hAnsi="Arial"/>
          <w:sz w:val="19"/>
          <w:szCs w:val="19"/>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 / 19</w:t>
      </w:r>
    </w:p>
    <w:p>
      <w:pPr>
        <w:sectPr>
          <w:pgSz w:w="11900" w:h="16838" w:orient="portrait"/>
          <w:cols w:equalWidth="0" w:num="1">
            <w:col w:w="9340"/>
          </w:cols>
          <w:pgMar w:left="1260" w:top="1440" w:right="1306" w:bottom="0" w:gutter="0" w:footer="0" w:header="0"/>
          <w:type w:val="continuous"/>
        </w:sectPr>
      </w:pPr>
    </w:p>
    <w:bookmarkStart w:id="291" w:name="page292"/>
    <w:bookmarkEnd w:id="291"/>
    <w:p>
      <w:pPr>
        <w:jc w:val="both"/>
        <w:ind w:firstLine="401"/>
        <w:spacing w:after="0" w:line="348" w:lineRule="auto"/>
        <w:rPr>
          <w:sz w:val="20"/>
          <w:szCs w:val="20"/>
          <w:color w:val="auto"/>
        </w:rPr>
      </w:pPr>
      <w:r>
        <w:rPr>
          <w:rFonts w:ascii="Arial" w:cs="Arial" w:eastAsia="Arial" w:hAnsi="Arial"/>
          <w:sz w:val="18"/>
          <w:szCs w:val="18"/>
          <w:i w:val="1"/>
          <w:iCs w:val="1"/>
          <w:color w:val="auto"/>
        </w:rPr>
        <w:t xml:space="preserve">Administration Agreement: </w:t>
      </w:r>
      <w:r>
        <w:rPr>
          <w:rFonts w:ascii="Arial" w:cs="Arial" w:eastAsia="Arial" w:hAnsi="Arial"/>
          <w:sz w:val="18"/>
          <w:szCs w:val="18"/>
          <w:color w:val="auto"/>
        </w:rPr>
        <w:t>The Company also entered into an administration agreement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Investment Advisor. Most recently, on June 11, 2025, the Board approved the renewal of the Administration Agreement for the period from June 20, 2025 through June 20, 2026.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Administration Agreement, administrative service expenses for the years ended December 31, 2025, 2024 and 2023 were $2,672, $2,598 and $2,353, respectively. As of December 31, 2025 and 2024, the accrued administrative service expense payable was $993 and $934,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Debt</w:t>
      </w:r>
    </w:p>
    <w:p>
      <w:pPr>
        <w:spacing w:after="0" w:line="260" w:lineRule="exact"/>
        <w:rPr>
          <w:sz w:val="20"/>
          <w:szCs w:val="20"/>
          <w:color w:val="auto"/>
        </w:rPr>
      </w:pPr>
    </w:p>
    <w:p>
      <w:pPr>
        <w:jc w:val="both"/>
        <w:ind w:firstLine="401"/>
        <w:spacing w:after="0" w:line="310" w:lineRule="auto"/>
        <w:rPr>
          <w:sz w:val="20"/>
          <w:szCs w:val="20"/>
          <w:color w:val="auto"/>
        </w:rPr>
      </w:pPr>
      <w:r>
        <w:rPr>
          <w:rFonts w:ascii="Arial" w:cs="Arial" w:eastAsia="Arial" w:hAnsi="Arial"/>
          <w:sz w:val="20"/>
          <w:szCs w:val="20"/>
          <w:i w:val="1"/>
          <w:iCs w:val="1"/>
          <w:color w:val="auto"/>
        </w:rPr>
        <w:t>Revolving Credit Facility</w:t>
      </w:r>
      <w:r>
        <w:rPr>
          <w:rFonts w:ascii="Arial" w:cs="Arial" w:eastAsia="Arial" w:hAnsi="Arial"/>
          <w:sz w:val="20"/>
          <w:szCs w:val="20"/>
          <w:color w:val="auto"/>
        </w:rPr>
        <w:t>: On June 16, 2014, FIC entered into a senior secured revolving credit agreement (as</w:t>
      </w:r>
      <w:r>
        <w:rPr>
          <w:rFonts w:ascii="Arial" w:cs="Arial" w:eastAsia="Arial" w:hAnsi="Arial"/>
          <w:sz w:val="20"/>
          <w:szCs w:val="20"/>
          <w:i w:val="1"/>
          <w:iCs w:val="1"/>
          <w:color w:val="auto"/>
        </w:rPr>
        <w:t xml:space="preserve"> </w:t>
      </w:r>
      <w:r>
        <w:rPr>
          <w:rFonts w:ascii="Arial" w:cs="Arial" w:eastAsia="Arial" w:hAnsi="Arial"/>
          <w:sz w:val="20"/>
          <w:szCs w:val="20"/>
          <w:color w:val="auto"/>
        </w:rPr>
        <w:t>amended from time to time, the “Revolving Credit Agreement” and the senior secured revolving credit facility thereunder, the “Revolving Credit Facility”) with ING Capital LLC (“ING”), as the administrative agent, collateral agent, and lender. The Revolving Credit Facility was secured by certain portfolio investments held by the Company, except for the assets held by the SBIC Funds.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19</w:t>
      </w:r>
    </w:p>
    <w:p>
      <w:pPr>
        <w:sectPr>
          <w:pgSz w:w="11900" w:h="16838" w:orient="portrait"/>
          <w:cols w:equalWidth="0" w:num="1">
            <w:col w:w="9340"/>
          </w:cols>
          <w:pgMar w:left="1260" w:top="1173" w:right="1306" w:bottom="0" w:gutter="0" w:footer="0" w:header="0"/>
          <w:type w:val="continuous"/>
        </w:sectPr>
      </w:pPr>
    </w:p>
    <w:bookmarkStart w:id="292" w:name="page293"/>
    <w:bookmarkEnd w:id="292"/>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right="20" w:firstLine="401"/>
        <w:spacing w:after="0" w:line="311" w:lineRule="auto"/>
        <w:rPr>
          <w:sz w:val="20"/>
          <w:szCs w:val="20"/>
          <w:color w:val="auto"/>
        </w:rPr>
      </w:pPr>
      <w:r>
        <w:rPr>
          <w:rFonts w:ascii="Arial" w:cs="Arial" w:eastAsia="Arial" w:hAnsi="Arial"/>
          <w:sz w:val="20"/>
          <w:szCs w:val="20"/>
          <w:color w:val="auto"/>
        </w:rPr>
        <w:t>Concurrently with entering into the SPV Credit Agreement (as described below), on October 16, 2025, the Company terminated in full (i) the Revolving Credit Agreement and (ii) the amended and restated guarantee, pledge and security agreement, dated as of April 24, 2019 (as amended from time to time, the “Guarantee and Security Agreement”), by and among the Company,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obligations and liabilities of the Company to the lending parties thereunder, including, without limitation, payments of principal and interest, other fees, breakage costs and other amounts owing to the lending parties.</w:t>
      </w:r>
    </w:p>
    <w:p>
      <w:pPr>
        <w:spacing w:after="0" w:line="198" w:lineRule="exact"/>
        <w:rPr>
          <w:sz w:val="20"/>
          <w:szCs w:val="20"/>
          <w:color w:val="auto"/>
        </w:rPr>
      </w:pPr>
    </w:p>
    <w:p>
      <w:pPr>
        <w:jc w:val="both"/>
        <w:ind w:right="20" w:firstLine="401"/>
        <w:spacing w:after="0" w:line="330" w:lineRule="auto"/>
        <w:rPr>
          <w:sz w:val="20"/>
          <w:szCs w:val="20"/>
          <w:color w:val="auto"/>
        </w:rPr>
      </w:pPr>
      <w:r>
        <w:rPr>
          <w:rFonts w:ascii="Arial" w:cs="Arial" w:eastAsia="Arial" w:hAnsi="Arial"/>
          <w:sz w:val="19"/>
          <w:szCs w:val="19"/>
          <w:color w:val="auto"/>
        </w:rPr>
        <w:t>The total commitments available under the Revolving Credit Facility was $140.0 million. Under the Revolving Credit Agreement, the Company paid a commitment fee that varied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w:t>
      </w:r>
    </w:p>
    <w:p>
      <w:pPr>
        <w:spacing w:after="0" w:line="168" w:lineRule="exact"/>
        <w:rPr>
          <w:sz w:val="20"/>
          <w:szCs w:val="20"/>
          <w:color w:val="auto"/>
        </w:rPr>
      </w:pPr>
    </w:p>
    <w:p>
      <w:pPr>
        <w:ind w:left="400"/>
        <w:spacing w:after="0"/>
        <w:tabs>
          <w:tab w:leader="none" w:pos="4780" w:val="left"/>
        </w:tabs>
        <w:rPr>
          <w:sz w:val="20"/>
          <w:szCs w:val="20"/>
          <w:color w:val="auto"/>
        </w:rPr>
      </w:pPr>
      <w:r>
        <w:rPr>
          <w:rFonts w:ascii="Arial" w:cs="Arial" w:eastAsia="Arial" w:hAnsi="Arial"/>
          <w:sz w:val="20"/>
          <w:szCs w:val="20"/>
          <w:i w:val="1"/>
          <w:iCs w:val="1"/>
          <w:color w:val="auto"/>
        </w:rPr>
        <w:t>SPV</w:t>
      </w:r>
      <w:r>
        <w:rPr>
          <w:sz w:val="20"/>
          <w:szCs w:val="20"/>
          <w:color w:val="auto"/>
        </w:rPr>
        <w:tab/>
      </w:r>
      <w:r>
        <w:rPr>
          <w:rFonts w:ascii="Arial" w:cs="Arial" w:eastAsia="Arial" w:hAnsi="Arial"/>
          <w:sz w:val="20"/>
          <w:szCs w:val="20"/>
          <w:i w:val="1"/>
          <w:iCs w:val="1"/>
          <w:color w:val="auto"/>
        </w:rPr>
        <w:t>Credit</w:t>
      </w:r>
    </w:p>
    <w:p>
      <w:pPr>
        <w:spacing w:after="0" w:line="80" w:lineRule="exact"/>
        <w:rPr>
          <w:sz w:val="20"/>
          <w:szCs w:val="20"/>
          <w:color w:val="auto"/>
        </w:rPr>
      </w:pPr>
    </w:p>
    <w:p>
      <w:pPr>
        <w:jc w:val="both"/>
        <w:spacing w:after="0" w:line="348" w:lineRule="auto"/>
        <w:rPr>
          <w:sz w:val="20"/>
          <w:szCs w:val="20"/>
          <w:color w:val="auto"/>
        </w:rPr>
      </w:pPr>
      <w:r>
        <w:rPr>
          <w:rFonts w:ascii="Arial" w:cs="Arial" w:eastAsia="Arial" w:hAnsi="Arial"/>
          <w:sz w:val="18"/>
          <w:szCs w:val="18"/>
          <w:i w:val="1"/>
          <w:iCs w:val="1"/>
          <w:color w:val="auto"/>
        </w:rPr>
        <w:t>Facility</w:t>
      </w:r>
      <w:r>
        <w:rPr>
          <w:rFonts w:ascii="Arial" w:cs="Arial" w:eastAsia="Arial" w:hAnsi="Arial"/>
          <w:sz w:val="18"/>
          <w:szCs w:val="18"/>
          <w:color w:val="auto"/>
        </w:rPr>
        <w:t>: On October 16, 2025, the Company entered into a credit and security agreement (the “SPV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relating to a special purpose vehicle credit facility (the “SPV Credit Facility” and together with the Revolving Credit Facility, the “Credit Facilities”) by and among FIC Funding, LLC (the “SPV”), as borrower, the Company,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$175,000 of initial commitments, and has an accordion feature that allows for an increase of the total commitments to up to $250,000, subject to certain conditions (including the consent of the Administrative Agent). On December 22, 2025, the total commitments available under the SPV Credit Facility was increased from $175,000 to $225,000 pursuant to the accordion feature. The SPV Credit Facility has a reinvestment period until October 16, 2029 and matures on October 16, 2030. The advances under the SPV Credit Facility bear interest, subject to the Company’s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spacing w:after="0" w:line="177" w:lineRule="exact"/>
        <w:rPr>
          <w:sz w:val="20"/>
          <w:szCs w:val="20"/>
          <w:color w:val="auto"/>
        </w:rPr>
      </w:pPr>
    </w:p>
    <w:p>
      <w:pPr>
        <w:jc w:val="both"/>
        <w:ind w:right="20" w:firstLine="401"/>
        <w:spacing w:after="0" w:line="352" w:lineRule="auto"/>
        <w:rPr>
          <w:sz w:val="20"/>
          <w:szCs w:val="20"/>
          <w:color w:val="auto"/>
        </w:rPr>
      </w:pPr>
      <w:r>
        <w:rPr>
          <w:rFonts w:ascii="Arial" w:cs="Arial" w:eastAsia="Arial" w:hAnsi="Arial"/>
          <w:sz w:val="18"/>
          <w:szCs w:val="18"/>
          <w:color w:val="auto"/>
        </w:rPr>
        <w:t>Amounts available to borrow under the SPV Credit Facility are subject to a minimum borrowing/collateral base that applies an advance rate to certain investments held by the SPV. The SPV is subject to limitations with respect to the investments securing the SPV Credit Facility, including, but not limited to, restrictions on sector concentrations, loan size, payment frequency and status and collateral interests, as well as restrictions on portfolio company</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 / 19</w:t>
      </w:r>
    </w:p>
    <w:p>
      <w:pPr>
        <w:sectPr>
          <w:pgSz w:w="11900" w:h="16838" w:orient="portrait"/>
          <w:cols w:equalWidth="0" w:num="1">
            <w:col w:w="9360"/>
          </w:cols>
          <w:pgMar w:left="1260" w:top="1440" w:right="1286" w:bottom="0" w:gutter="0" w:footer="0" w:header="0"/>
          <w:type w:val="continuous"/>
        </w:sectPr>
      </w:pPr>
    </w:p>
    <w:bookmarkStart w:id="293" w:name="page294"/>
    <w:bookmarkEnd w:id="293"/>
    <w:p>
      <w:pPr>
        <w:jc w:val="both"/>
        <w:ind w:right="80"/>
        <w:spacing w:after="0" w:line="309" w:lineRule="auto"/>
        <w:rPr>
          <w:sz w:val="20"/>
          <w:szCs w:val="20"/>
          <w:color w:val="auto"/>
        </w:rPr>
      </w:pPr>
      <w:r>
        <w:rPr>
          <w:rFonts w:ascii="Arial" w:cs="Arial" w:eastAsia="Arial" w:hAnsi="Arial"/>
          <w:sz w:val="20"/>
          <w:szCs w:val="20"/>
          <w:color w:val="auto"/>
        </w:rPr>
        <w:t>leverage, which may also affect the borrowing base and therefore amounts available to borrow. The SPV Credit Facility is secured primarily by a pledge of 100% of the equity interest in the SPV held by the Company and the SPV’s assets, which consist of certain bank loans or securities. As of December 31, 2025, the remaining available borrowing base on the SPV Credit Facility was $102,208.</w:t>
      </w:r>
    </w:p>
    <w:p>
      <w:pPr>
        <w:spacing w:after="0" w:line="196" w:lineRule="exact"/>
        <w:rPr>
          <w:sz w:val="20"/>
          <w:szCs w:val="20"/>
          <w:color w:val="auto"/>
        </w:rPr>
      </w:pPr>
    </w:p>
    <w:p>
      <w:pPr>
        <w:jc w:val="both"/>
        <w:ind w:right="60" w:firstLine="400"/>
        <w:spacing w:after="0" w:line="352"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These covenants are subject to important limitations and exceptions that are described in the documents governing the SPV Credit Facility. As of December 31, 2025, the Company was in compliance in all material respects with the terms of the SPV Credit Agreement.</w:t>
      </w:r>
    </w:p>
    <w:p>
      <w:pPr>
        <w:spacing w:after="0" w:line="166" w:lineRule="exact"/>
        <w:rPr>
          <w:sz w:val="20"/>
          <w:szCs w:val="20"/>
          <w:color w:val="auto"/>
        </w:rPr>
      </w:pPr>
    </w:p>
    <w:p>
      <w:pPr>
        <w:jc w:val="both"/>
        <w:ind w:right="80" w:firstLine="400"/>
        <w:spacing w:after="0" w:line="302" w:lineRule="auto"/>
        <w:rPr>
          <w:sz w:val="20"/>
          <w:szCs w:val="20"/>
          <w:color w:val="auto"/>
        </w:rPr>
      </w:pPr>
      <w:r>
        <w:rPr>
          <w:rFonts w:ascii="Arial" w:cs="Arial" w:eastAsia="Arial" w:hAnsi="Arial"/>
          <w:sz w:val="20"/>
          <w:szCs w:val="20"/>
          <w:i w:val="1"/>
          <w:iCs w:val="1"/>
          <w:color w:val="auto"/>
        </w:rPr>
        <w:t xml:space="preserve">SBA debentures: </w:t>
      </w:r>
      <w:r>
        <w:rPr>
          <w:rFonts w:ascii="Arial" w:cs="Arial" w:eastAsia="Arial" w:hAnsi="Arial"/>
          <w:sz w:val="20"/>
          <w:szCs w:val="20"/>
          <w:color w:val="auto"/>
        </w:rPr>
        <w:t>The SBIC Funds use debenture leverage provided through the SBA to fund a portion of its</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purchases.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Under the SBA debenture program, the SBA commits to purchase debentures issued by SBICs; such debentures</w:t>
      </w:r>
    </w:p>
    <w:p>
      <w:pPr>
        <w:spacing w:after="0" w:line="105"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have 10-year terms with the entire principal balance due at maturity and are guaranteed by the SBA. Interest on SBA debentures is payable semi-annually on March 1 and September 1. As of December 31, 2025 and 2024, approved and unused SBA debenture commitments were $84,000 and $175,000, respectively. The SBA may limit the amount that may be drawn each year under any SBA debenture commitments, and each issuance of leverage is conditioned on such SBIC Fund’s full compliance, as determined by the SBA, with the terms and conditions under SBA regulations.</w:t>
      </w: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As of December 31, 2025 and 2024, the Company’s issued and outstanding SBA debentures mature as follows: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19</w:t>
      </w:r>
    </w:p>
    <w:p>
      <w:pPr>
        <w:sectPr>
          <w:pgSz w:w="11900" w:h="16838" w:orient="portrait"/>
          <w:cols w:equalWidth="0" w:num="1">
            <w:col w:w="9400"/>
          </w:cols>
          <w:pgMar w:left="1260" w:top="1173" w:right="1246" w:bottom="0" w:gutter="0" w:footer="0" w:header="0"/>
          <w:type w:val="continuous"/>
        </w:sectPr>
      </w:pPr>
    </w:p>
    <w:bookmarkStart w:id="294" w:name="page295"/>
    <w:bookmarkEnd w:id="294"/>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3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2460" w:type="dxa"/>
            <w:vAlign w:val="bottom"/>
          </w:tcPr>
          <w:p>
            <w:pPr>
              <w:ind w:left="920"/>
              <w:spacing w:after="0"/>
              <w:rPr>
                <w:sz w:val="20"/>
                <w:szCs w:val="20"/>
                <w:color w:val="auto"/>
              </w:rPr>
            </w:pPr>
            <w:r>
              <w:rPr>
                <w:rFonts w:ascii="Arial" w:cs="Arial" w:eastAsia="Arial" w:hAnsi="Arial"/>
                <w:sz w:val="20"/>
                <w:szCs w:val="20"/>
                <w:b w:val="1"/>
                <w:bCs w:val="1"/>
                <w:color w:val="auto"/>
              </w:rPr>
              <w:t>Pooling</w:t>
            </w:r>
          </w:p>
        </w:tc>
        <w:tc>
          <w:tcPr>
            <w:tcW w:w="1700" w:type="dxa"/>
            <w:vAlign w:val="bottom"/>
          </w:tcPr>
          <w:p>
            <w:pPr>
              <w:jc w:val="center"/>
              <w:ind w:left="180"/>
              <w:spacing w:after="0"/>
              <w:rPr>
                <w:sz w:val="20"/>
                <w:szCs w:val="20"/>
                <w:color w:val="auto"/>
              </w:rPr>
            </w:pPr>
            <w:r>
              <w:rPr>
                <w:rFonts w:ascii="Arial" w:cs="Arial" w:eastAsia="Arial" w:hAnsi="Arial"/>
                <w:sz w:val="20"/>
                <w:szCs w:val="20"/>
                <w:b w:val="1"/>
                <w:bCs w:val="1"/>
                <w:color w:val="auto"/>
              </w:rPr>
              <w:t>Maturity</w:t>
            </w:r>
          </w:p>
        </w:tc>
        <w:tc>
          <w:tcPr>
            <w:tcW w:w="1640" w:type="dxa"/>
            <w:vAlign w:val="bottom"/>
          </w:tcPr>
          <w:p>
            <w:pPr>
              <w:jc w:val="right"/>
              <w:ind w:right="420"/>
              <w:spacing w:after="0"/>
              <w:rPr>
                <w:sz w:val="20"/>
                <w:szCs w:val="20"/>
                <w:color w:val="auto"/>
              </w:rPr>
            </w:pPr>
            <w:r>
              <w:rPr>
                <w:rFonts w:ascii="Arial" w:cs="Arial" w:eastAsia="Arial" w:hAnsi="Arial"/>
                <w:sz w:val="20"/>
                <w:szCs w:val="20"/>
                <w:b w:val="1"/>
                <w:bCs w:val="1"/>
                <w:color w:val="auto"/>
              </w:rPr>
              <w:t>Fixed</w:t>
            </w:r>
          </w:p>
        </w:tc>
        <w:tc>
          <w:tcPr>
            <w:tcW w:w="520" w:type="dxa"/>
            <w:vAlign w:val="bottom"/>
          </w:tcPr>
          <w:p>
            <w:pPr>
              <w:spacing w:after="0"/>
              <w:rPr>
                <w:sz w:val="19"/>
                <w:szCs w:val="19"/>
                <w:color w:val="auto"/>
              </w:rPr>
            </w:pPr>
          </w:p>
        </w:tc>
        <w:tc>
          <w:tcPr>
            <w:tcW w:w="1440" w:type="dxa"/>
            <w:vAlign w:val="bottom"/>
          </w:tcPr>
          <w:p>
            <w:pPr>
              <w:jc w:val="right"/>
              <w:ind w:right="160"/>
              <w:spacing w:after="0"/>
              <w:rPr>
                <w:sz w:val="20"/>
                <w:szCs w:val="20"/>
                <w:color w:val="auto"/>
              </w:rPr>
            </w:pPr>
            <w:r>
              <w:rPr>
                <w:rFonts w:ascii="Arial" w:cs="Arial" w:eastAsia="Arial" w:hAnsi="Arial"/>
                <w:sz w:val="20"/>
                <w:szCs w:val="20"/>
                <w:b w:val="1"/>
                <w:bCs w:val="1"/>
                <w:color w:val="auto"/>
                <w:w w:val="89"/>
              </w:rPr>
              <w:t>December 31,</w:t>
            </w:r>
          </w:p>
        </w:tc>
        <w:tc>
          <w:tcPr>
            <w:tcW w:w="260" w:type="dxa"/>
            <w:vAlign w:val="bottom"/>
          </w:tcPr>
          <w:p>
            <w:pPr>
              <w:spacing w:after="0"/>
              <w:rPr>
                <w:sz w:val="19"/>
                <w:szCs w:val="19"/>
                <w:color w:val="auto"/>
              </w:rPr>
            </w:pPr>
          </w:p>
        </w:tc>
        <w:tc>
          <w:tcPr>
            <w:tcW w:w="1380" w:type="dxa"/>
            <w:vAlign w:val="bottom"/>
          </w:tcPr>
          <w:p>
            <w:pPr>
              <w:jc w:val="right"/>
              <w:ind w:right="120"/>
              <w:spacing w:after="0"/>
              <w:rPr>
                <w:sz w:val="20"/>
                <w:szCs w:val="20"/>
                <w:color w:val="auto"/>
              </w:rPr>
            </w:pPr>
            <w:r>
              <w:rPr>
                <w:rFonts w:ascii="Arial" w:cs="Arial" w:eastAsia="Arial" w:hAnsi="Arial"/>
                <w:sz w:val="20"/>
                <w:szCs w:val="20"/>
                <w:b w:val="1"/>
                <w:bCs w:val="1"/>
                <w:color w:val="auto"/>
                <w:w w:val="87"/>
              </w:rPr>
              <w:t>December 31,</w:t>
            </w:r>
          </w:p>
        </w:tc>
      </w:tr>
      <w:tr>
        <w:trPr>
          <w:trHeight w:val="365"/>
        </w:trPr>
        <w:tc>
          <w:tcPr>
            <w:tcW w:w="2460" w:type="dxa"/>
            <w:vAlign w:val="bottom"/>
          </w:tcPr>
          <w:p>
            <w:pPr>
              <w:ind w:left="940"/>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6"/>
                <w:szCs w:val="26"/>
                <w:b w:val="1"/>
                <w:bCs w:val="1"/>
                <w:color w:val="auto"/>
                <w:vertAlign w:val="superscript"/>
              </w:rPr>
              <w:t>(1)</w:t>
            </w:r>
          </w:p>
        </w:tc>
        <w:tc>
          <w:tcPr>
            <w:tcW w:w="1700" w:type="dxa"/>
            <w:vAlign w:val="bottom"/>
          </w:tcPr>
          <w:p>
            <w:pPr>
              <w:jc w:val="center"/>
              <w:ind w:left="200"/>
              <w:spacing w:after="0"/>
              <w:rPr>
                <w:sz w:val="20"/>
                <w:szCs w:val="20"/>
                <w:color w:val="auto"/>
              </w:rPr>
            </w:pPr>
            <w:r>
              <w:rPr>
                <w:rFonts w:ascii="Arial" w:cs="Arial" w:eastAsia="Arial" w:hAnsi="Arial"/>
                <w:sz w:val="20"/>
                <w:szCs w:val="20"/>
                <w:b w:val="1"/>
                <w:bCs w:val="1"/>
                <w:color w:val="auto"/>
                <w:w w:val="92"/>
              </w:rPr>
              <w:t>Date</w:t>
            </w:r>
          </w:p>
        </w:tc>
        <w:tc>
          <w:tcPr>
            <w:tcW w:w="1640" w:type="dxa"/>
            <w:vAlign w:val="bottom"/>
          </w:tcPr>
          <w:p>
            <w:pPr>
              <w:jc w:val="right"/>
              <w:ind w:right="100"/>
              <w:spacing w:after="0"/>
              <w:rPr>
                <w:sz w:val="20"/>
                <w:szCs w:val="20"/>
                <w:color w:val="auto"/>
              </w:rPr>
            </w:pPr>
            <w:r>
              <w:rPr>
                <w:rFonts w:ascii="Arial" w:cs="Arial" w:eastAsia="Arial" w:hAnsi="Arial"/>
                <w:sz w:val="20"/>
                <w:szCs w:val="20"/>
                <w:b w:val="1"/>
                <w:bCs w:val="1"/>
                <w:color w:val="auto"/>
              </w:rPr>
              <w:t>Interest Rate</w:t>
            </w:r>
          </w:p>
        </w:tc>
        <w:tc>
          <w:tcPr>
            <w:tcW w:w="520" w:type="dxa"/>
            <w:vAlign w:val="bottom"/>
          </w:tcPr>
          <w:p>
            <w:pPr>
              <w:spacing w:after="0"/>
              <w:rPr>
                <w:sz w:val="24"/>
                <w:szCs w:val="24"/>
                <w:color w:val="auto"/>
              </w:rPr>
            </w:pPr>
          </w:p>
        </w:tc>
        <w:tc>
          <w:tcPr>
            <w:tcW w:w="1440" w:type="dxa"/>
            <w:vAlign w:val="bottom"/>
          </w:tcPr>
          <w:p>
            <w:pPr>
              <w:jc w:val="right"/>
              <w:ind w:right="56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1380" w:type="dxa"/>
            <w:vAlign w:val="bottom"/>
          </w:tcPr>
          <w:p>
            <w:pPr>
              <w:jc w:val="right"/>
              <w:ind w:right="500"/>
              <w:spacing w:after="0"/>
              <w:rPr>
                <w:sz w:val="20"/>
                <w:szCs w:val="20"/>
                <w:color w:val="auto"/>
              </w:rPr>
            </w:pPr>
            <w:r>
              <w:rPr>
                <w:rFonts w:ascii="Arial" w:cs="Arial" w:eastAsia="Arial" w:hAnsi="Arial"/>
                <w:sz w:val="20"/>
                <w:szCs w:val="20"/>
                <w:b w:val="1"/>
                <w:bCs w:val="1"/>
                <w:color w:val="auto"/>
              </w:rPr>
              <w:t>2024</w:t>
            </w: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9/25/2019</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9/1/2029</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2.377</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w:t>
            </w: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7,500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7,500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3/25/2020</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3/1/2030</w:t>
            </w:r>
          </w:p>
        </w:tc>
        <w:tc>
          <w:tcPr>
            <w:tcW w:w="1640" w:type="dxa"/>
            <w:vAlign w:val="bottom"/>
          </w:tcPr>
          <w:p>
            <w:pPr>
              <w:jc w:val="right"/>
              <w:spacing w:after="0"/>
              <w:rPr>
                <w:sz w:val="20"/>
                <w:szCs w:val="20"/>
                <w:color w:val="auto"/>
              </w:rPr>
            </w:pPr>
            <w:r>
              <w:rPr>
                <w:rFonts w:ascii="Arial" w:cs="Arial" w:eastAsia="Arial" w:hAnsi="Arial"/>
                <w:sz w:val="20"/>
                <w:szCs w:val="20"/>
                <w:color w:val="auto"/>
              </w:rPr>
              <w:t>2.172</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6,000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6,000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9/22/2021</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9/1/2031</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1.398</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11,500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11,500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3/23/2022</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3/1/2032</w:t>
            </w:r>
          </w:p>
        </w:tc>
        <w:tc>
          <w:tcPr>
            <w:tcW w:w="1640" w:type="dxa"/>
            <w:vAlign w:val="bottom"/>
          </w:tcPr>
          <w:p>
            <w:pPr>
              <w:jc w:val="right"/>
              <w:spacing w:after="0"/>
              <w:rPr>
                <w:sz w:val="20"/>
                <w:szCs w:val="20"/>
                <w:color w:val="auto"/>
              </w:rPr>
            </w:pPr>
            <w:r>
              <w:rPr>
                <w:rFonts w:ascii="Arial" w:cs="Arial" w:eastAsia="Arial" w:hAnsi="Arial"/>
                <w:sz w:val="20"/>
                <w:szCs w:val="20"/>
                <w:color w:val="auto"/>
              </w:rPr>
              <w:t>3.209</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43,000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43,500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9/21/2022</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9/1/2032</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4.533</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17,500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17,500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5.439</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4,000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4,000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5.341</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5.341</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3,000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3,000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5.439</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5.439</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5,000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5,000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5.341</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3/22/2023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5.341</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4,000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4,000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9/20/2023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5.861</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9/20/2023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9/1/2033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5.861</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12,000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9/20/2023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5.861</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9/20/2023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9/1/2033</w:t>
            </w:r>
          </w:p>
        </w:tc>
        <w:tc>
          <w:tcPr>
            <w:tcW w:w="1640" w:type="dxa"/>
            <w:vAlign w:val="bottom"/>
          </w:tcPr>
          <w:p>
            <w:pPr>
              <w:jc w:val="right"/>
              <w:spacing w:after="0"/>
              <w:rPr>
                <w:sz w:val="20"/>
                <w:szCs w:val="20"/>
                <w:color w:val="auto"/>
              </w:rPr>
            </w:pPr>
            <w:r>
              <w:rPr>
                <w:rFonts w:ascii="Arial" w:cs="Arial" w:eastAsia="Arial" w:hAnsi="Arial"/>
                <w:sz w:val="20"/>
                <w:szCs w:val="20"/>
                <w:color w:val="auto"/>
              </w:rPr>
              <w:t>5.861</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8,000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9/20/2023</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9/1/2033</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5.735</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3/20/2024</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3/1/2034</w:t>
            </w:r>
          </w:p>
        </w:tc>
        <w:tc>
          <w:tcPr>
            <w:tcW w:w="1640" w:type="dxa"/>
            <w:vAlign w:val="bottom"/>
          </w:tcPr>
          <w:p>
            <w:pPr>
              <w:jc w:val="right"/>
              <w:spacing w:after="0"/>
              <w:rPr>
                <w:sz w:val="20"/>
                <w:szCs w:val="20"/>
                <w:color w:val="auto"/>
              </w:rPr>
            </w:pPr>
            <w:r>
              <w:rPr>
                <w:rFonts w:ascii="Arial" w:cs="Arial" w:eastAsia="Arial" w:hAnsi="Arial"/>
                <w:sz w:val="20"/>
                <w:szCs w:val="20"/>
                <w:color w:val="auto"/>
              </w:rPr>
              <w:t>5.082</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3,000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3,000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3/20/2024</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3/1/2034</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5.082</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12,000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3/20/2024</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3/1/2034</w:t>
            </w:r>
          </w:p>
        </w:tc>
        <w:tc>
          <w:tcPr>
            <w:tcW w:w="1640" w:type="dxa"/>
            <w:vAlign w:val="bottom"/>
          </w:tcPr>
          <w:p>
            <w:pPr>
              <w:jc w:val="right"/>
              <w:spacing w:after="0"/>
              <w:rPr>
                <w:sz w:val="20"/>
                <w:szCs w:val="20"/>
                <w:color w:val="auto"/>
              </w:rPr>
            </w:pPr>
            <w:r>
              <w:rPr>
                <w:rFonts w:ascii="Arial" w:cs="Arial" w:eastAsia="Arial" w:hAnsi="Arial"/>
                <w:sz w:val="20"/>
                <w:szCs w:val="20"/>
                <w:color w:val="auto"/>
              </w:rPr>
              <w:t>5.082</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2,000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2,000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3/20/2024</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3/1/2034</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5.082</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2,000</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3/20/2024</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3/1/2034</w:t>
            </w:r>
          </w:p>
        </w:tc>
        <w:tc>
          <w:tcPr>
            <w:tcW w:w="1640" w:type="dxa"/>
            <w:vAlign w:val="bottom"/>
          </w:tcPr>
          <w:p>
            <w:pPr>
              <w:jc w:val="right"/>
              <w:spacing w:after="0"/>
              <w:rPr>
                <w:sz w:val="20"/>
                <w:szCs w:val="20"/>
                <w:color w:val="auto"/>
              </w:rPr>
            </w:pPr>
            <w:r>
              <w:rPr>
                <w:rFonts w:ascii="Arial" w:cs="Arial" w:eastAsia="Arial" w:hAnsi="Arial"/>
                <w:sz w:val="20"/>
                <w:szCs w:val="20"/>
                <w:color w:val="auto"/>
              </w:rPr>
              <w:t>5.082</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3,000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3,000</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3/26/2025</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3/1/2035</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5.310</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19,500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92"/>
              </w:rPr>
              <w:t>9/25/2025</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9/1/2035</w:t>
            </w:r>
          </w:p>
        </w:tc>
        <w:tc>
          <w:tcPr>
            <w:tcW w:w="1640" w:type="dxa"/>
            <w:vAlign w:val="bottom"/>
          </w:tcPr>
          <w:p>
            <w:pPr>
              <w:jc w:val="right"/>
              <w:spacing w:after="0"/>
              <w:rPr>
                <w:sz w:val="20"/>
                <w:szCs w:val="20"/>
                <w:color w:val="auto"/>
              </w:rPr>
            </w:pPr>
            <w:r>
              <w:rPr>
                <w:rFonts w:ascii="Arial" w:cs="Arial" w:eastAsia="Arial" w:hAnsi="Arial"/>
                <w:sz w:val="20"/>
                <w:szCs w:val="20"/>
                <w:color w:val="auto"/>
              </w:rPr>
              <w:t>4.879</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10,000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9/25/2025</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9/1/2035</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4.879</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10,000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(2)</w:t>
            </w:r>
          </w:p>
        </w:tc>
        <w:tc>
          <w:tcPr>
            <w:tcW w:w="1640" w:type="dxa"/>
            <w:vAlign w:val="bottom"/>
          </w:tcPr>
          <w:p>
            <w:pPr>
              <w:jc w:val="right"/>
              <w:spacing w:after="0"/>
              <w:rPr>
                <w:sz w:val="20"/>
                <w:szCs w:val="20"/>
                <w:color w:val="auto"/>
              </w:rPr>
            </w:pPr>
            <w:r>
              <w:rPr>
                <w:rFonts w:ascii="Arial" w:cs="Arial" w:eastAsia="Arial" w:hAnsi="Arial"/>
                <w:sz w:val="20"/>
                <w:szCs w:val="20"/>
                <w:color w:val="auto"/>
              </w:rPr>
              <w:t>(2)</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5,000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(2)</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3,500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46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1700" w:type="dxa"/>
            <w:vAlign w:val="bottom"/>
          </w:tcPr>
          <w:p>
            <w:pPr>
              <w:jc w:val="center"/>
              <w:ind w:left="180"/>
              <w:spacing w:after="0"/>
              <w:rPr>
                <w:sz w:val="20"/>
                <w:szCs w:val="20"/>
                <w:color w:val="auto"/>
              </w:rPr>
            </w:pPr>
            <w:r>
              <w:rPr>
                <w:rFonts w:ascii="Arial" w:cs="Arial" w:eastAsia="Arial" w:hAnsi="Arial"/>
                <w:sz w:val="20"/>
                <w:szCs w:val="20"/>
                <w:color w:val="auto"/>
                <w:w w:val="89"/>
              </w:rPr>
              <w:t>(3)</w:t>
            </w:r>
          </w:p>
        </w:tc>
        <w:tc>
          <w:tcPr>
            <w:tcW w:w="1640" w:type="dxa"/>
            <w:vAlign w:val="bottom"/>
          </w:tcPr>
          <w:p>
            <w:pPr>
              <w:jc w:val="right"/>
              <w:spacing w:after="0"/>
              <w:rPr>
                <w:sz w:val="20"/>
                <w:szCs w:val="20"/>
                <w:color w:val="auto"/>
              </w:rPr>
            </w:pPr>
            <w:r>
              <w:rPr>
                <w:rFonts w:ascii="Arial" w:cs="Arial" w:eastAsia="Arial" w:hAnsi="Arial"/>
                <w:sz w:val="20"/>
                <w:szCs w:val="20"/>
                <w:color w:val="auto"/>
              </w:rPr>
              <w:t>(3)</w:t>
            </w:r>
          </w:p>
        </w:tc>
        <w:tc>
          <w:tcPr>
            <w:tcW w:w="520" w:type="dxa"/>
            <w:vAlign w:val="bottom"/>
          </w:tcPr>
          <w:p>
            <w:pPr>
              <w:spacing w:after="0"/>
              <w:rPr>
                <w:sz w:val="23"/>
                <w:szCs w:val="23"/>
                <w:color w:val="auto"/>
              </w:rPr>
            </w:pP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13,000</w:t>
            </w:r>
          </w:p>
        </w:tc>
        <w:tc>
          <w:tcPr>
            <w:tcW w:w="26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04"/>
        </w:trPr>
        <w:tc>
          <w:tcPr>
            <w:tcW w:w="2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(4)</w:t>
            </w:r>
          </w:p>
        </w:tc>
        <w:tc>
          <w:tcPr>
            <w:tcW w:w="170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w w:val="89"/>
              </w:rPr>
              <w:t>(4)</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5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30,000</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460" w:type="dxa"/>
            <w:vAlign w:val="bottom"/>
          </w:tcPr>
          <w:p>
            <w:pPr>
              <w:spacing w:after="0"/>
              <w:rPr>
                <w:sz w:val="20"/>
                <w:szCs w:val="20"/>
                <w:color w:val="auto"/>
              </w:rPr>
            </w:pPr>
            <w:r>
              <w:rPr>
                <w:rFonts w:ascii="Arial" w:cs="Arial" w:eastAsia="Arial" w:hAnsi="Arial"/>
                <w:sz w:val="20"/>
                <w:szCs w:val="20"/>
                <w:color w:val="auto"/>
              </w:rPr>
              <w:t>Total outstanding SBA</w:t>
            </w:r>
          </w:p>
        </w:tc>
        <w:tc>
          <w:tcPr>
            <w:tcW w:w="17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300"/>
        </w:trPr>
        <w:tc>
          <w:tcPr>
            <w:tcW w:w="2460" w:type="dxa"/>
            <w:vAlign w:val="bottom"/>
          </w:tcPr>
          <w:p>
            <w:pPr>
              <w:spacing w:after="0"/>
              <w:rPr>
                <w:sz w:val="20"/>
                <w:szCs w:val="20"/>
                <w:color w:val="auto"/>
              </w:rPr>
            </w:pPr>
            <w:r>
              <w:rPr>
                <w:rFonts w:ascii="Arial" w:cs="Arial" w:eastAsia="Arial" w:hAnsi="Arial"/>
                <w:sz w:val="20"/>
                <w:szCs w:val="20"/>
                <w:color w:val="auto"/>
              </w:rPr>
              <w:t>debentures</w:t>
            </w: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60"/>
              <w:spacing w:after="0"/>
              <w:rPr>
                <w:sz w:val="20"/>
                <w:szCs w:val="20"/>
                <w:color w:val="auto"/>
              </w:rPr>
            </w:pPr>
            <w:r>
              <w:rPr>
                <w:rFonts w:ascii="Arial" w:cs="Arial" w:eastAsia="Arial" w:hAnsi="Arial"/>
                <w:sz w:val="20"/>
                <w:szCs w:val="20"/>
                <w:color w:val="auto"/>
              </w:rPr>
              <w:t>237,500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0"/>
              <w:spacing w:after="0"/>
              <w:rPr>
                <w:sz w:val="20"/>
                <w:szCs w:val="20"/>
                <w:color w:val="auto"/>
              </w:rPr>
            </w:pPr>
            <w:r>
              <w:rPr>
                <w:rFonts w:ascii="Arial" w:cs="Arial" w:eastAsia="Arial" w:hAnsi="Arial"/>
                <w:sz w:val="20"/>
                <w:szCs w:val="20"/>
                <w:color w:val="auto"/>
              </w:rPr>
              <w:t>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-6165850</wp:posOffset>
            </wp:positionV>
            <wp:extent cx="590804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-370205</wp:posOffset>
            </wp:positionV>
            <wp:extent cx="201168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11680" cy="635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-1905</wp:posOffset>
            </wp:positionV>
            <wp:extent cx="1952625" cy="285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952625" cy="28575"/>
                    </a:xfrm>
                    <a:prstGeom prst="rect">
                      <a:avLst/>
                    </a:prstGeom>
                    <a:noFill/>
                  </pic:spPr>
                </pic:pic>
              </a:graphicData>
            </a:graphic>
          </wp:anchor>
        </w:drawing>
      </w:r>
    </w:p>
    <w:p>
      <w:pPr>
        <w:spacing w:after="0" w:line="382" w:lineRule="exact"/>
        <w:rPr>
          <w:sz w:val="20"/>
          <w:szCs w:val="20"/>
          <w:color w:val="auto"/>
        </w:rPr>
      </w:pPr>
    </w:p>
    <w:p>
      <w:pPr>
        <w:ind w:left="406" w:right="360" w:hanging="406"/>
        <w:spacing w:after="0" w:line="303" w:lineRule="auto"/>
        <w:tabs>
          <w:tab w:leader="none" w:pos="40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SBA has two scheduled pooling dates for debentures (in March and in September). Certain debentures funded during the reporting periods may not be pooled until the subsequent pooling date.</w:t>
      </w:r>
    </w:p>
    <w:p>
      <w:pPr>
        <w:spacing w:after="0" w:line="58" w:lineRule="exact"/>
        <w:rPr>
          <w:rFonts w:ascii="Arial" w:cs="Arial" w:eastAsia="Arial" w:hAnsi="Arial"/>
          <w:sz w:val="16"/>
          <w:szCs w:val="16"/>
          <w:color w:val="auto"/>
        </w:rPr>
      </w:pPr>
    </w:p>
    <w:p>
      <w:pPr>
        <w:jc w:val="both"/>
        <w:ind w:left="406" w:right="60" w:hanging="406"/>
        <w:spacing w:after="0" w:line="236" w:lineRule="auto"/>
        <w:tabs>
          <w:tab w:leader="none" w:pos="406" w:val="left"/>
        </w:tabs>
        <w:numPr>
          <w:ilvl w:val="0"/>
          <w:numId w:val="149"/>
        </w:numPr>
        <w:rPr>
          <w:rFonts w:ascii="Arial" w:cs="Arial" w:eastAsia="Arial" w:hAnsi="Arial"/>
          <w:sz w:val="28"/>
          <w:szCs w:val="28"/>
          <w:color w:val="auto"/>
          <w:vertAlign w:val="superscript"/>
        </w:rPr>
      </w:pPr>
      <w:r>
        <w:rPr>
          <w:rFonts w:ascii="Arial" w:cs="Arial" w:eastAsia="Arial" w:hAnsi="Arial"/>
          <w:sz w:val="14"/>
          <w:szCs w:val="14"/>
          <w:color w:val="auto"/>
        </w:rPr>
        <w:t>The Company issued SBA debentures which will pool in March 2026. Until the pooling date, the debentures bear interest at a fixed interim interest rate of 4.74%. The Company expects the current interim interest rates will reset to a higher long-term fixed rate on the pooling date.</w:t>
      </w:r>
    </w:p>
    <w:p>
      <w:pPr>
        <w:spacing w:after="0" w:line="125" w:lineRule="exact"/>
        <w:rPr>
          <w:rFonts w:ascii="Arial" w:cs="Arial" w:eastAsia="Arial" w:hAnsi="Arial"/>
          <w:sz w:val="28"/>
          <w:szCs w:val="28"/>
          <w:color w:val="auto"/>
          <w:vertAlign w:val="superscript"/>
        </w:rPr>
      </w:pPr>
    </w:p>
    <w:p>
      <w:pPr>
        <w:jc w:val="both"/>
        <w:ind w:left="406" w:right="60" w:hanging="406"/>
        <w:spacing w:after="0" w:line="236" w:lineRule="auto"/>
        <w:tabs>
          <w:tab w:leader="none" w:pos="406" w:val="left"/>
        </w:tabs>
        <w:numPr>
          <w:ilvl w:val="0"/>
          <w:numId w:val="149"/>
        </w:numPr>
        <w:rPr>
          <w:rFonts w:ascii="Arial" w:cs="Arial" w:eastAsia="Arial" w:hAnsi="Arial"/>
          <w:sz w:val="28"/>
          <w:szCs w:val="28"/>
          <w:color w:val="auto"/>
          <w:vertAlign w:val="superscript"/>
        </w:rPr>
      </w:pPr>
      <w:r>
        <w:rPr>
          <w:rFonts w:ascii="Arial" w:cs="Arial" w:eastAsia="Arial" w:hAnsi="Arial"/>
          <w:sz w:val="14"/>
          <w:szCs w:val="14"/>
          <w:color w:val="auto"/>
        </w:rPr>
        <w:t>The Company issued SBA debentures which will pool in March 2026. Until the pooling date, the debentures bear interest at a fixed interim interest rate of 4.73%. The Company expects the current interim interest rates will reset to a higher long-term fixed rate on the pooling date.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14 / 19</w:t>
      </w:r>
    </w:p>
    <w:p>
      <w:pPr>
        <w:sectPr>
          <w:pgSz w:w="11900" w:h="16838" w:orient="portrait"/>
          <w:cols w:equalWidth="0" w:num="1">
            <w:col w:w="9406"/>
          </w:cols>
          <w:pgMar w:left="1254" w:top="1440" w:right="1246" w:bottom="0" w:gutter="0" w:footer="0" w:header="0"/>
          <w:type w:val="continuous"/>
        </w:sectPr>
      </w:pPr>
    </w:p>
    <w:bookmarkStart w:id="295" w:name="page296"/>
    <w:bookmarkEnd w:id="295"/>
    <w:p>
      <w:pPr>
        <w:jc w:val="both"/>
        <w:ind w:left="406" w:hanging="406"/>
        <w:spacing w:after="0" w:line="236" w:lineRule="auto"/>
        <w:tabs>
          <w:tab w:leader="none" w:pos="406" w:val="left"/>
        </w:tabs>
        <w:numPr>
          <w:ilvl w:val="0"/>
          <w:numId w:val="150"/>
        </w:numPr>
        <w:rPr>
          <w:rFonts w:ascii="Arial" w:cs="Arial" w:eastAsia="Arial" w:hAnsi="Arial"/>
          <w:sz w:val="28"/>
          <w:szCs w:val="28"/>
          <w:color w:val="auto"/>
          <w:vertAlign w:val="superscript"/>
        </w:rPr>
      </w:pPr>
      <w:r>
        <w:rPr>
          <w:rFonts w:ascii="Arial" w:cs="Arial" w:eastAsia="Arial" w:hAnsi="Arial"/>
          <w:sz w:val="14"/>
          <w:szCs w:val="14"/>
          <w:color w:val="auto"/>
        </w:rPr>
        <w:t>The Company issued SBA debentures which will pool in March 2026. Until the pooling date, the debentures bear interest at a fixed interim interest rate of 4.55%. The Company expects the current interim interest rates will reset to a higher long-term fixed rate on the pooling date.</w:t>
      </w:r>
    </w:p>
    <w:p>
      <w:pPr>
        <w:spacing w:after="0" w:line="269" w:lineRule="exact"/>
        <w:rPr>
          <w:sz w:val="20"/>
          <w:szCs w:val="20"/>
          <w:color w:val="auto"/>
        </w:rPr>
      </w:pPr>
    </w:p>
    <w:p>
      <w:pPr>
        <w:jc w:val="both"/>
        <w:ind w:left="6" w:firstLine="392"/>
        <w:spacing w:after="0" w:line="326" w:lineRule="auto"/>
        <w:rPr>
          <w:sz w:val="20"/>
          <w:szCs w:val="20"/>
          <w:color w:val="auto"/>
        </w:rPr>
      </w:pPr>
      <w:r>
        <w:rPr>
          <w:rFonts w:ascii="Arial" w:cs="Arial" w:eastAsia="Arial" w:hAnsi="Arial"/>
          <w:sz w:val="20"/>
          <w:szCs w:val="20"/>
          <w:i w:val="1"/>
          <w:iCs w:val="1"/>
          <w:color w:val="auto"/>
        </w:rPr>
        <w:t xml:space="preserve">Notes: </w:t>
      </w:r>
      <w:r>
        <w:rPr>
          <w:rFonts w:ascii="Arial" w:cs="Arial" w:eastAsia="Arial" w:hAnsi="Arial"/>
          <w:sz w:val="20"/>
          <w:szCs w:val="20"/>
          <w:color w:val="auto"/>
        </w:rPr>
        <w:t>The term “Notes” refers to collectively to the January 2026 Notes, the November 2026 Notes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March 2030 Notes. The Notes are the Company’s direct unsecured obligations, rank pari passu with the Company’s other outstanding and future unsecured unsubordinated indebtedness and are effectively or structurally subordinated to all of the Company’s existing and future secured indebtedness, including borrowings under the SPV Credit Facility and the SBA debentures.</w:t>
      </w:r>
    </w:p>
    <w:p>
      <w:pPr>
        <w:spacing w:after="0" w:line="178" w:lineRule="exact"/>
        <w:rPr>
          <w:sz w:val="20"/>
          <w:szCs w:val="20"/>
          <w:color w:val="auto"/>
        </w:rPr>
      </w:pPr>
    </w:p>
    <w:p>
      <w:pPr>
        <w:jc w:val="both"/>
        <w:ind w:left="6" w:firstLine="392"/>
        <w:spacing w:after="0" w:line="350" w:lineRule="auto"/>
        <w:rPr>
          <w:sz w:val="20"/>
          <w:szCs w:val="20"/>
          <w:color w:val="auto"/>
        </w:rPr>
      </w:pPr>
      <w:r>
        <w:rPr>
          <w:rFonts w:ascii="Arial" w:cs="Arial" w:eastAsia="Arial" w:hAnsi="Arial"/>
          <w:sz w:val="18"/>
          <w:szCs w:val="18"/>
          <w:color w:val="auto"/>
        </w:rPr>
        <w:t>On December 23, 2020, the Company closed the offering of $125,000 in aggregate principal amount of its 4.75% notes due 2026 (the “January 2026 Notes”). The total net proceeds to the Company from the January 2026 Notes, based on a public offering price of 100.00% of par, after deducting underwriting discounts of $2,500 and offering expenses of $366, were $122,134. The maturity date of the January 2026 Notes was January 31, 2026 and the January 2026 Notes bore interest at a rate of 4.75%. On May 21, 2025, the Company redeemed $25,000 of the $125,000 aggregate principal amount on the January 2026 Notes, resulting in a realized loss on extinguishment of debt of $75. On November 3, 2025, the Company fully redeemed the remaining $100,000 in aggregate principal amount of the January 2026 Notes, resulting in a realized loss on extinguishment of debt of $112.</w:t>
      </w:r>
    </w:p>
    <w:p>
      <w:pPr>
        <w:spacing w:after="0" w:line="165" w:lineRule="exact"/>
        <w:rPr>
          <w:sz w:val="20"/>
          <w:szCs w:val="20"/>
          <w:color w:val="auto"/>
        </w:rPr>
      </w:pPr>
    </w:p>
    <w:p>
      <w:pPr>
        <w:jc w:val="both"/>
        <w:ind w:left="6" w:firstLine="392"/>
        <w:spacing w:after="0" w:line="347" w:lineRule="auto"/>
        <w:rPr>
          <w:sz w:val="20"/>
          <w:szCs w:val="20"/>
          <w:color w:val="auto"/>
        </w:rPr>
      </w:pPr>
      <w:r>
        <w:rPr>
          <w:rFonts w:ascii="Arial" w:cs="Arial" w:eastAsia="Arial" w:hAnsi="Arial"/>
          <w:sz w:val="18"/>
          <w:szCs w:val="18"/>
          <w:color w:val="auto"/>
        </w:rPr>
        <w:t>On October 8, 2021, the Company closed the offering of $125,000 in aggregate principal amount of its 3.50% notes due 2026 (the “November 2026 Notes”). The total net proceeds to the Company from the November 2026 Notes, based on a public offering price of 99.996% of par, after deducting underwriting discounts of $2,500 and offering expenses of $318, were $122,177. The November 2026 Notes will mature on November 15, 2026 and bear interest at a rate of 3.50%. The November 2026 Notes may be redeemed in whole or</w:t>
      </w:r>
    </w:p>
    <w:p>
      <w:pPr>
        <w:jc w:val="center"/>
        <w:ind w:right="-45"/>
        <w:spacing w:after="0" w:line="233" w:lineRule="auto"/>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20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15 / 19</w:t>
      </w:r>
    </w:p>
    <w:p>
      <w:pPr>
        <w:sectPr>
          <w:pgSz w:w="11900" w:h="16838" w:orient="portrait"/>
          <w:cols w:equalWidth="0" w:num="1">
            <w:col w:w="9346"/>
          </w:cols>
          <w:pgMar w:left="1254" w:top="1208" w:right="1306" w:bottom="0" w:gutter="0" w:footer="0" w:header="0"/>
          <w:type w:val="continuous"/>
        </w:sectPr>
      </w:pPr>
    </w:p>
    <w:bookmarkStart w:id="296" w:name="page297"/>
    <w:bookmarkEnd w:id="296"/>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178" w:lineRule="exact"/>
        <w:rPr>
          <w:sz w:val="20"/>
          <w:szCs w:val="20"/>
          <w:color w:val="auto"/>
        </w:rPr>
      </w:pPr>
    </w:p>
    <w:p>
      <w:pPr>
        <w:jc w:val="both"/>
        <w:ind w:right="60" w:firstLine="392"/>
        <w:spacing w:after="0" w:line="348" w:lineRule="auto"/>
        <w:rPr>
          <w:sz w:val="20"/>
          <w:szCs w:val="20"/>
          <w:color w:val="auto"/>
        </w:rPr>
      </w:pPr>
      <w:r>
        <w:rPr>
          <w:rFonts w:ascii="Arial" w:cs="Arial" w:eastAsia="Arial" w:hAnsi="Arial"/>
          <w:sz w:val="18"/>
          <w:szCs w:val="18"/>
          <w:color w:val="auto"/>
        </w:rPr>
        <w:t>On March 19, 2025, the Company closed the offering of $100,000 in aggregate principal amount of its 6.75% notes due 2030 (the “Existing March 2030 Notes”). The total net proceeds to the Company from the Existing March 2030 Notes, based on a public offering price of 99.29954% of par, after deducting underwriting discounts of $2,000 and offering expenses of $354, were $96,946. On October 3, 2025, the Company issued an additional $100,000 in aggregate principal amount of the 6.75% notes due 2030 (the “Additional March 2030 Notes” and together with the Existing March 2030 Notes, the “March 2030 Notes”). The total net proceeds to us from the Additional March 2030 Notes, based on a public offering price of 100.705% of par, after deducting underwriting discounts of $1,500 and offering expenses of $329, was $98,876. The Additional March 2030 Notes are treated as a single series with the Existing March 2030 Notes under the indenture and have the same terms as the Initial March 2030 Notes (except the issue date, the offering price and the initial interest payment date). Upon issuance of the Additional March 2030 Notes, the outstanding aggregate principal amount of the March 2030 Notes was $200,000.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The Company does not intend to list the March 2030 Notes on any securities exchange or automated dealer quotation system.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Secured Borrowing</w:t>
      </w:r>
    </w:p>
    <w:p>
      <w:pPr>
        <w:spacing w:after="0" w:line="260" w:lineRule="exact"/>
        <w:rPr>
          <w:sz w:val="20"/>
          <w:szCs w:val="20"/>
          <w:color w:val="auto"/>
        </w:rPr>
      </w:pPr>
    </w:p>
    <w:p>
      <w:pPr>
        <w:jc w:val="both"/>
        <w:ind w:right="60" w:firstLine="386"/>
        <w:spacing w:after="0" w:line="311" w:lineRule="auto"/>
        <w:rPr>
          <w:sz w:val="20"/>
          <w:szCs w:val="20"/>
          <w:color w:val="auto"/>
        </w:rPr>
      </w:pPr>
      <w:r>
        <w:rPr>
          <w:rFonts w:ascii="Arial" w:cs="Arial" w:eastAsia="Arial" w:hAnsi="Arial"/>
          <w:sz w:val="20"/>
          <w:szCs w:val="20"/>
          <w:color w:val="auto"/>
        </w:rPr>
        <w:t>As of December 31, 2025 and December 31, 2024, the carrying value of secured borrowings totaled $12,000 and $13,674, respectively, and the fair value of the associated loans included in investments was $11,995 and $13,505,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7.9% and 8.6% as of December 31, 2025 and 2024,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Securities</w:t>
      </w:r>
    </w:p>
    <w:p>
      <w:pPr>
        <w:spacing w:after="0" w:line="260" w:lineRule="exact"/>
        <w:rPr>
          <w:sz w:val="20"/>
          <w:szCs w:val="20"/>
          <w:color w:val="auto"/>
        </w:rPr>
      </w:pPr>
    </w:p>
    <w:p>
      <w:pPr>
        <w:jc w:val="both"/>
        <w:ind w:right="20" w:firstLine="392"/>
        <w:spacing w:after="0" w:line="350" w:lineRule="auto"/>
        <w:rPr>
          <w:sz w:val="20"/>
          <w:szCs w:val="20"/>
          <w:color w:val="auto"/>
        </w:rPr>
      </w:pPr>
      <w:r>
        <w:rPr>
          <w:rFonts w:ascii="Arial" w:cs="Arial" w:eastAsia="Arial" w:hAnsi="Arial"/>
          <w:sz w:val="18"/>
          <w:szCs w:val="18"/>
          <w:color w:val="auto"/>
        </w:rPr>
        <w:t>As of December 31, 2025, and December 31, 2024, the aggregate amount outstanding of the senior securities (including secured borrowings) issued by the Company was $420,850 and $308,674, respectively, for which our asset coverage was 276.3% and 312.4%,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the Company’s consolidated total assets, less all liabilities and indebtedness not represented by senior securities, divided by total senior securities representing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and Financing Expenses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19</w:t>
      </w:r>
    </w:p>
    <w:p>
      <w:pPr>
        <w:sectPr>
          <w:pgSz w:w="11900" w:h="16838" w:orient="portrait"/>
          <w:cols w:equalWidth="0" w:num="1">
            <w:col w:w="9400"/>
          </w:cols>
          <w:pgMar w:left="1260" w:top="1440" w:right="1246" w:bottom="0" w:gutter="0" w:footer="0" w:header="0"/>
          <w:type w:val="continuous"/>
        </w:sectPr>
      </w:pPr>
    </w:p>
    <w:bookmarkStart w:id="297" w:name="page298"/>
    <w:bookmarkEnd w:id="297"/>
    <w:p>
      <w:pPr>
        <w:ind w:right="60" w:firstLine="392"/>
        <w:spacing w:after="0" w:line="363" w:lineRule="auto"/>
        <w:rPr>
          <w:sz w:val="20"/>
          <w:szCs w:val="20"/>
          <w:color w:val="auto"/>
        </w:rPr>
      </w:pPr>
      <w:r>
        <w:rPr>
          <w:rFonts w:ascii="Arial" w:cs="Arial" w:eastAsia="Arial" w:hAnsi="Arial"/>
          <w:sz w:val="18"/>
          <w:szCs w:val="18"/>
          <w:color w:val="auto"/>
        </w:rPr>
        <w:t>Interest and fees related to the Company’s debt for the years ended December 31, 2025, 2024 and 2023 that are included in interest and financing expenses on the consolidated statements of operations,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Year Ended December 31, 2025</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SBA</w:t>
            </w:r>
          </w:p>
        </w:tc>
        <w:tc>
          <w:tcPr>
            <w:tcW w:w="1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Credit</w:t>
            </w:r>
          </w:p>
        </w:tc>
        <w:tc>
          <w:tcPr>
            <w:tcW w:w="240" w:type="dxa"/>
            <w:vAlign w:val="bottom"/>
          </w:tcPr>
          <w:p>
            <w:pPr>
              <w:spacing w:after="0"/>
              <w:rPr>
                <w:sz w:val="24"/>
                <w:szCs w:val="24"/>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2"/>
              </w:rPr>
              <w:t>Secured</w:t>
            </w:r>
          </w:p>
        </w:tc>
        <w:tc>
          <w:tcPr>
            <w:tcW w:w="260" w:type="dxa"/>
            <w:vAlign w:val="bottom"/>
          </w:tcPr>
          <w:p>
            <w:pPr>
              <w:spacing w:after="0"/>
              <w:rPr>
                <w:sz w:val="24"/>
                <w:szCs w:val="24"/>
                <w:color w:val="auto"/>
              </w:rPr>
            </w:pP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79"/>
              </w:rPr>
              <w:t>Notes</w:t>
            </w:r>
          </w:p>
        </w:tc>
        <w:tc>
          <w:tcPr>
            <w:tcW w:w="200" w:type="dxa"/>
            <w:vAlign w:val="bottom"/>
          </w:tcPr>
          <w:p>
            <w:pPr>
              <w:spacing w:after="0"/>
              <w:rPr>
                <w:sz w:val="24"/>
                <w:szCs w:val="24"/>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6"/>
              </w:rPr>
              <w:t>Debentures</w:t>
            </w:r>
          </w:p>
        </w:tc>
        <w:tc>
          <w:tcPr>
            <w:tcW w:w="118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Facilities</w:t>
            </w:r>
          </w:p>
        </w:tc>
        <w:tc>
          <w:tcPr>
            <w:tcW w:w="140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rPr>
              <w:t>Borrowings</w:t>
            </w: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Stated interest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8,452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3,369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15,802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Amortization of deferred financing costs</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819</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1,518</w:t>
            </w: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86"/>
        </w:trPr>
        <w:tc>
          <w:tcPr>
            <w:tcW w:w="3120" w:type="dxa"/>
            <w:vAlign w:val="bottom"/>
          </w:tcPr>
          <w:p>
            <w:pPr>
              <w:spacing w:after="0"/>
              <w:rPr>
                <w:sz w:val="20"/>
                <w:szCs w:val="20"/>
                <w:color w:val="auto"/>
              </w:rPr>
            </w:pPr>
            <w:r>
              <w:rPr>
                <w:rFonts w:ascii="Arial" w:cs="Arial" w:eastAsia="Arial" w:hAnsi="Arial"/>
                <w:sz w:val="18"/>
                <w:szCs w:val="18"/>
                <w:color w:val="auto"/>
              </w:rPr>
              <w:t>Total interest and financing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9,271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3,802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17,320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31,614</w:t>
            </w: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stated interest rate,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 end</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6.345%</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314"/>
        </w:trPr>
        <w:tc>
          <w:tcPr>
            <w:tcW w:w="3120" w:type="dxa"/>
            <w:vAlign w:val="bottom"/>
          </w:tcPr>
          <w:p>
            <w:pPr>
              <w:spacing w:after="0"/>
              <w:rPr>
                <w:sz w:val="20"/>
                <w:szCs w:val="20"/>
                <w:color w:val="auto"/>
              </w:rPr>
            </w:pPr>
            <w:r>
              <w:rPr>
                <w:rFonts w:ascii="Arial" w:cs="Arial" w:eastAsia="Arial" w:hAnsi="Arial"/>
                <w:sz w:val="18"/>
                <w:szCs w:val="18"/>
                <w:color w:val="auto"/>
              </w:rPr>
              <w:t xml:space="preserve">Effective interest rate </w:t>
            </w:r>
            <w:r>
              <w:rPr>
                <w:rFonts w:ascii="Arial" w:cs="Arial" w:eastAsia="Arial" w:hAnsi="Arial"/>
                <w:sz w:val="24"/>
                <w:szCs w:val="24"/>
                <w:color w:val="auto"/>
                <w:vertAlign w:val="superscript"/>
              </w:rPr>
              <w:t>(1)</w:t>
            </w: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4.722%</w:t>
            </w:r>
          </w:p>
        </w:tc>
        <w:tc>
          <w:tcPr>
            <w:tcW w:w="1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6.646%</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7.917%</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5.940%</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4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Unused commitment fee rate, period end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0.500%</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6"/>
        </w:trPr>
        <w:tc>
          <w:tcPr>
            <w:tcW w:w="3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-1901825</wp:posOffset>
            </wp:positionV>
            <wp:extent cx="3767455" cy="3644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767455" cy="364490"/>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-1137920</wp:posOffset>
            </wp:positionV>
            <wp:extent cx="387223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2230" cy="6350"/>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-931545</wp:posOffset>
            </wp:positionV>
            <wp:extent cx="3767455" cy="285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767455" cy="2857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19</w:t>
      </w:r>
    </w:p>
    <w:p>
      <w:pPr>
        <w:sectPr>
          <w:pgSz w:w="11900" w:h="16838" w:orient="portrait"/>
          <w:cols w:equalWidth="0" w:num="1">
            <w:col w:w="9400"/>
          </w:cols>
          <w:pgMar w:left="1260" w:top="1173" w:right="1246" w:bottom="0" w:gutter="0" w:footer="0" w:header="0"/>
          <w:type w:val="continuous"/>
        </w:sectPr>
      </w:pPr>
    </w:p>
    <w:bookmarkStart w:id="298" w:name="page299"/>
    <w:bookmarkEnd w:id="298"/>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3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Year Ended December 31, 2024</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89"/>
              </w:rPr>
              <w:t>SBA</w:t>
            </w:r>
          </w:p>
        </w:tc>
        <w:tc>
          <w:tcPr>
            <w:tcW w:w="12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Revolving</w:t>
            </w:r>
          </w:p>
        </w:tc>
        <w:tc>
          <w:tcPr>
            <w:tcW w:w="220" w:type="dxa"/>
            <w:vAlign w:val="bottom"/>
          </w:tcPr>
          <w:p>
            <w:pPr>
              <w:spacing w:after="0"/>
              <w:rPr>
                <w:sz w:val="24"/>
                <w:szCs w:val="24"/>
                <w:color w:val="auto"/>
              </w:rPr>
            </w:pPr>
          </w:p>
        </w:tc>
        <w:tc>
          <w:tcPr>
            <w:tcW w:w="108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87"/>
              </w:rPr>
              <w:t>Secured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6"/>
              </w:rPr>
              <w:t>Credit</w:t>
            </w: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5"/>
              </w:rPr>
              <w:t>Notes</w:t>
            </w:r>
          </w:p>
        </w:tc>
        <w:tc>
          <w:tcPr>
            <w:tcW w:w="220" w:type="dxa"/>
            <w:vAlign w:val="bottom"/>
          </w:tcPr>
          <w:p>
            <w:pPr>
              <w:spacing w:after="0"/>
              <w:rPr>
                <w:sz w:val="11"/>
                <w:szCs w:val="11"/>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Debentures</w:t>
            </w: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30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89"/>
              </w:rPr>
              <w:t>Borrowings</w:t>
            </w: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330"/>
              <w:spacing w:after="0"/>
              <w:rPr>
                <w:sz w:val="20"/>
                <w:szCs w:val="20"/>
                <w:color w:val="auto"/>
              </w:rPr>
            </w:pPr>
            <w:r>
              <w:rPr>
                <w:rFonts w:ascii="Arial" w:cs="Arial" w:eastAsia="Arial" w:hAnsi="Arial"/>
                <w:sz w:val="18"/>
                <w:szCs w:val="18"/>
                <w:b w:val="1"/>
                <w:bCs w:val="1"/>
                <w:color w:val="auto"/>
                <w:w w:val="93"/>
              </w:rPr>
              <w:t>Facility</w:t>
            </w: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22,288</w:t>
            </w:r>
          </w:p>
        </w:tc>
        <w:tc>
          <w:tcPr>
            <w:tcW w:w="0" w:type="dxa"/>
            <w:vAlign w:val="bottom"/>
          </w:tcPr>
          <w:p>
            <w:pPr>
              <w:spacing w:after="0"/>
              <w:rPr>
                <w:sz w:val="1"/>
                <w:szCs w:val="1"/>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8"/>
                <w:szCs w:val="18"/>
                <w:color w:val="auto"/>
                <w:w w:val="98"/>
              </w:rPr>
              <w:t>Amortization of deferred financing costs</w:t>
            </w:r>
          </w:p>
        </w:tc>
        <w:tc>
          <w:tcPr>
            <w:tcW w:w="36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24,398</w:t>
            </w:r>
          </w:p>
        </w:tc>
        <w:tc>
          <w:tcPr>
            <w:tcW w:w="0" w:type="dxa"/>
            <w:vAlign w:val="bottom"/>
          </w:tcPr>
          <w:p>
            <w:pPr>
              <w:spacing w:after="0"/>
              <w:rPr>
                <w:sz w:val="1"/>
                <w:szCs w:val="1"/>
                <w:color w:val="auto"/>
              </w:rPr>
            </w:pPr>
          </w:p>
        </w:tc>
      </w:tr>
      <w:tr>
        <w:trPr>
          <w:trHeight w:val="74"/>
        </w:trPr>
        <w:tc>
          <w:tcPr>
            <w:tcW w:w="3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Arial" w:cs="Arial" w:eastAsia="Arial" w:hAnsi="Arial"/>
                <w:sz w:val="18"/>
                <w:szCs w:val="18"/>
                <w:color w:val="auto"/>
              </w:rPr>
              <w:t>Weighted average stated interest rate,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period end</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4.316%</w:t>
            </w:r>
          </w:p>
        </w:tc>
        <w:tc>
          <w:tcPr>
            <w:tcW w:w="200" w:type="dxa"/>
            <w:vAlign w:val="bottom"/>
          </w:tcPr>
          <w:p>
            <w:pPr>
              <w:spacing w:after="0"/>
              <w:rPr>
                <w:sz w:val="23"/>
                <w:szCs w:val="23"/>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Effective interest rate </w:t>
            </w:r>
            <w:r>
              <w:rPr>
                <w:rFonts w:ascii="Arial" w:cs="Arial" w:eastAsia="Arial" w:hAnsi="Arial"/>
                <w:sz w:val="24"/>
                <w:szCs w:val="24"/>
                <w:color w:val="auto"/>
                <w:vertAlign w:val="superscript"/>
              </w:rPr>
              <w:t>(1)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7.420%</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Arial" w:cs="Arial" w:eastAsia="Arial" w:hAnsi="Arial"/>
                <w:sz w:val="18"/>
                <w:szCs w:val="18"/>
                <w:color w:val="auto"/>
                <w:w w:val="95"/>
              </w:rPr>
              <w:t>Unused commitment fee rate, period end</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120" w:type="dxa"/>
            <w:vAlign w:val="bottom"/>
          </w:tcPr>
          <w:p>
            <w:pPr>
              <w:spacing w:after="0"/>
              <w:rPr>
                <w:sz w:val="20"/>
                <w:szCs w:val="20"/>
                <w:color w:val="auto"/>
              </w:rPr>
            </w:pPr>
            <w:r>
              <w:rPr>
                <w:rFonts w:ascii="Arial" w:cs="Arial" w:eastAsia="Arial" w:hAnsi="Arial"/>
                <w:sz w:val="12"/>
                <w:szCs w:val="12"/>
                <w:color w:val="auto"/>
              </w:rPr>
              <w:t>(2)</w:t>
            </w:r>
          </w:p>
        </w:tc>
        <w:tc>
          <w:tcPr>
            <w:tcW w:w="360" w:type="dxa"/>
            <w:vAlign w:val="bottom"/>
          </w:tcPr>
          <w:p>
            <w:pPr>
              <w:spacing w:after="0"/>
              <w:rPr>
                <w:sz w:val="15"/>
                <w:szCs w:val="15"/>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0.592%</w:t>
            </w:r>
          </w:p>
        </w:tc>
        <w:tc>
          <w:tcPr>
            <w:tcW w:w="220" w:type="dxa"/>
            <w:vAlign w:val="bottom"/>
          </w:tcPr>
          <w:p>
            <w:pPr>
              <w:spacing w:after="0"/>
              <w:rPr>
                <w:sz w:val="15"/>
                <w:szCs w:val="15"/>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4"/>
        </w:trPr>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Year Ended December 31, 2023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3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vMerge w:val="restart"/>
            <w:shd w:val="clear" w:color="auto" w:fill="CCEEFF"/>
          </w:tcPr>
          <w:p>
            <w:pPr>
              <w:jc w:val="center"/>
              <w:ind w:right="370"/>
              <w:spacing w:after="0"/>
              <w:rPr>
                <w:sz w:val="20"/>
                <w:szCs w:val="20"/>
                <w:color w:val="auto"/>
              </w:rPr>
            </w:pPr>
            <w:r>
              <w:rPr>
                <w:rFonts w:ascii="Arial" w:cs="Arial" w:eastAsia="Arial" w:hAnsi="Arial"/>
                <w:sz w:val="18"/>
                <w:szCs w:val="18"/>
                <w:b w:val="1"/>
                <w:bCs w:val="1"/>
                <w:color w:val="auto"/>
                <w:w w:val="89"/>
              </w:rPr>
              <w:t>SBA</w:t>
            </w:r>
          </w:p>
        </w:tc>
        <w:tc>
          <w:tcPr>
            <w:tcW w:w="128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8"/>
              </w:rPr>
              <w:t>Revolving</w:t>
            </w:r>
          </w:p>
        </w:tc>
        <w:tc>
          <w:tcPr>
            <w:tcW w:w="22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87"/>
              </w:rPr>
              <w:t>Secured</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ind w:right="370"/>
              <w:spacing w:after="0"/>
              <w:rPr>
                <w:sz w:val="20"/>
                <w:szCs w:val="20"/>
                <w:color w:val="auto"/>
              </w:rPr>
            </w:pPr>
            <w:r>
              <w:rPr>
                <w:rFonts w:ascii="Arial" w:cs="Arial" w:eastAsia="Arial" w:hAnsi="Arial"/>
                <w:sz w:val="18"/>
                <w:szCs w:val="18"/>
                <w:b w:val="1"/>
                <w:bCs w:val="1"/>
                <w:color w:val="auto"/>
                <w:w w:val="96"/>
              </w:rPr>
              <w:t>Credit</w:t>
            </w:r>
          </w:p>
        </w:tc>
        <w:tc>
          <w:tcPr>
            <w:tcW w:w="22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5"/>
              </w:rPr>
              <w:t>Notes</w:t>
            </w:r>
          </w:p>
        </w:tc>
        <w:tc>
          <w:tcPr>
            <w:tcW w:w="2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Debentures</w:t>
            </w:r>
          </w:p>
        </w:tc>
        <w:tc>
          <w:tcPr>
            <w:tcW w:w="20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Borrowings</w:t>
            </w:r>
          </w:p>
        </w:tc>
        <w:tc>
          <w:tcPr>
            <w:tcW w:w="2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ind w:right="330"/>
              <w:spacing w:after="0"/>
              <w:rPr>
                <w:sz w:val="20"/>
                <w:szCs w:val="20"/>
                <w:color w:val="auto"/>
              </w:rPr>
            </w:pPr>
            <w:r>
              <w:rPr>
                <w:rFonts w:ascii="Arial" w:cs="Arial" w:eastAsia="Arial" w:hAnsi="Arial"/>
                <w:sz w:val="18"/>
                <w:szCs w:val="18"/>
                <w:b w:val="1"/>
                <w:bCs w:val="1"/>
                <w:color w:val="auto"/>
                <w:w w:val="93"/>
              </w:rPr>
              <w:t>Facility</w:t>
            </w:r>
          </w:p>
        </w:tc>
        <w:tc>
          <w:tcPr>
            <w:tcW w:w="13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8"/>
                <w:szCs w:val="18"/>
                <w:color w:val="auto"/>
              </w:rPr>
              <w:t>Stated interest expense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6,914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1,739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10,313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Amortization of deferred financing costs</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86"/>
        </w:trPr>
        <w:tc>
          <w:tcPr>
            <w:tcW w:w="3120" w:type="dxa"/>
            <w:vAlign w:val="bottom"/>
          </w:tcPr>
          <w:p>
            <w:pPr>
              <w:spacing w:after="0"/>
              <w:rPr>
                <w:sz w:val="20"/>
                <w:szCs w:val="20"/>
                <w:color w:val="auto"/>
              </w:rPr>
            </w:pPr>
            <w:r>
              <w:rPr>
                <w:rFonts w:ascii="Arial" w:cs="Arial" w:eastAsia="Arial" w:hAnsi="Arial"/>
                <w:sz w:val="18"/>
                <w:szCs w:val="18"/>
                <w:color w:val="auto"/>
              </w:rPr>
              <w:t>Total interest and financing expenses</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7,647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11,429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22,749</w:t>
            </w: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stated interest rate,</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 end</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314"/>
        </w:trPr>
        <w:tc>
          <w:tcPr>
            <w:tcW w:w="3120" w:type="dxa"/>
            <w:vAlign w:val="bottom"/>
          </w:tcPr>
          <w:p>
            <w:pPr>
              <w:spacing w:after="0"/>
              <w:rPr>
                <w:sz w:val="20"/>
                <w:szCs w:val="20"/>
                <w:color w:val="auto"/>
              </w:rPr>
            </w:pPr>
            <w:r>
              <w:rPr>
                <w:rFonts w:ascii="Arial" w:cs="Arial" w:eastAsia="Arial" w:hAnsi="Arial"/>
                <w:sz w:val="18"/>
                <w:szCs w:val="18"/>
                <w:color w:val="auto"/>
              </w:rPr>
              <w:t xml:space="preserve">Effective interest rate </w:t>
            </w:r>
            <w:r>
              <w:rPr>
                <w:rFonts w:ascii="Arial" w:cs="Arial" w:eastAsia="Arial" w:hAnsi="Arial"/>
                <w:sz w:val="24"/>
                <w:szCs w:val="24"/>
                <w:color w:val="auto"/>
                <w:vertAlign w:val="superscript"/>
              </w:rPr>
              <w:t>(1)</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9.407%</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4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Unused commitment fee rate, period end</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(2)</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6"/>
        </w:trPr>
        <w:tc>
          <w:tcPr>
            <w:tcW w:w="3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-4537075</wp:posOffset>
            </wp:positionV>
            <wp:extent cx="3767455" cy="535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767455" cy="53594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-3601720</wp:posOffset>
            </wp:positionV>
            <wp:extent cx="376745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767455" cy="635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-3395345</wp:posOffset>
            </wp:positionV>
            <wp:extent cx="3871595" cy="285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1595" cy="285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-2073275</wp:posOffset>
            </wp:positionV>
            <wp:extent cx="3871595" cy="535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1595" cy="53594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-1137920</wp:posOffset>
            </wp:positionV>
            <wp:extent cx="387159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1595" cy="635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-931545</wp:posOffset>
            </wp:positionV>
            <wp:extent cx="3767455" cy="285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767455" cy="28575"/>
                    </a:xfrm>
                    <a:prstGeom prst="rect">
                      <a:avLst/>
                    </a:prstGeom>
                    <a:noFill/>
                  </pic:spPr>
                </pic:pic>
              </a:graphicData>
            </a:graphic>
          </wp:anchor>
        </w:drawing>
      </w:r>
    </w:p>
    <w:p>
      <w:pPr>
        <w:spacing w:after="0" w:line="26" w:lineRule="exact"/>
        <w:rPr>
          <w:sz w:val="20"/>
          <w:szCs w:val="20"/>
          <w:color w:val="auto"/>
        </w:rPr>
      </w:pPr>
    </w:p>
    <w:p>
      <w:pPr>
        <w:ind w:left="386" w:hanging="386"/>
        <w:spacing w:after="0"/>
        <w:tabs>
          <w:tab w:leader="none" w:pos="386" w:val="left"/>
        </w:tabs>
        <w:numPr>
          <w:ilvl w:val="0"/>
          <w:numId w:val="151"/>
        </w:numPr>
        <w:rPr>
          <w:rFonts w:ascii="Arial" w:cs="Arial" w:eastAsia="Arial" w:hAnsi="Arial"/>
          <w:sz w:val="14"/>
          <w:szCs w:val="14"/>
          <w:color w:val="auto"/>
        </w:rPr>
      </w:pPr>
      <w:r>
        <w:rPr>
          <w:rFonts w:ascii="Arial" w:cs="Arial" w:eastAsia="Arial" w:hAnsi="Arial"/>
          <w:sz w:val="16"/>
          <w:szCs w:val="16"/>
          <w:color w:val="auto"/>
        </w:rPr>
        <w:t>The effective interest rate is equal to the weighted average stated interest rate plus the amortization of deferred financing costs.</w:t>
      </w:r>
    </w:p>
    <w:p>
      <w:pPr>
        <w:spacing w:after="0" w:line="86" w:lineRule="exact"/>
        <w:rPr>
          <w:rFonts w:ascii="Arial" w:cs="Arial" w:eastAsia="Arial" w:hAnsi="Arial"/>
          <w:sz w:val="14"/>
          <w:szCs w:val="14"/>
          <w:color w:val="auto"/>
        </w:rPr>
      </w:pPr>
    </w:p>
    <w:p>
      <w:pPr>
        <w:ind w:left="386" w:hanging="386"/>
        <w:spacing w:after="0"/>
        <w:tabs>
          <w:tab w:leader="none" w:pos="386" w:val="left"/>
        </w:tabs>
        <w:numPr>
          <w:ilvl w:val="0"/>
          <w:numId w:val="151"/>
        </w:numPr>
        <w:rPr>
          <w:rFonts w:ascii="Arial" w:cs="Arial" w:eastAsia="Arial" w:hAnsi="Arial"/>
          <w:sz w:val="14"/>
          <w:szCs w:val="14"/>
          <w:color w:val="auto"/>
        </w:rPr>
      </w:pPr>
      <w:r>
        <w:rPr>
          <w:rFonts w:ascii="Arial" w:cs="Arial" w:eastAsia="Arial" w:hAnsi="Arial"/>
          <w:sz w:val="16"/>
          <w:szCs w:val="16"/>
          <w:color w:val="auto"/>
        </w:rPr>
        <w:t>The unused commitment fee rate is only applicable to the Credit Facilities.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Realized Losses on Extinguishment of Debt</w:t>
      </w:r>
    </w:p>
    <w:p>
      <w:pPr>
        <w:spacing w:after="0" w:line="260" w:lineRule="exact"/>
        <w:rPr>
          <w:sz w:val="20"/>
          <w:szCs w:val="20"/>
          <w:color w:val="auto"/>
        </w:rPr>
      </w:pPr>
    </w:p>
    <w:p>
      <w:pPr>
        <w:jc w:val="both"/>
        <w:ind w:left="6" w:right="60" w:firstLine="392"/>
        <w:spacing w:after="0" w:line="347" w:lineRule="auto"/>
        <w:rPr>
          <w:sz w:val="20"/>
          <w:szCs w:val="20"/>
          <w:color w:val="auto"/>
        </w:rPr>
      </w:pPr>
      <w:r>
        <w:rPr>
          <w:rFonts w:ascii="Arial" w:cs="Arial" w:eastAsia="Arial" w:hAnsi="Arial"/>
          <w:sz w:val="18"/>
          <w:szCs w:val="18"/>
          <w:color w:val="auto"/>
        </w:rPr>
        <w:t>During the years ended December 31, 2025, 2024, and 2023, the Company prepaid $28,500, $35,000, and $5,000 of SBA debentures, respectively, which were scheduled to mature on dates ranging from 2025 to 2033. During the year ended December 31, 2025, the Company redeemed $125,000 in aggregate principal amount of the issued and outstanding January 2026 Notes. On October 16, 2025, the Company terminated the Revolving Credit</w:t>
      </w:r>
    </w:p>
    <w:p>
      <w:pPr>
        <w:ind w:left="6"/>
        <w:spacing w:after="0"/>
        <w:tabs>
          <w:tab w:leader="none" w:pos="3266" w:val="left"/>
          <w:tab w:leader="none" w:pos="6306" w:val="left"/>
        </w:tabs>
        <w:rPr>
          <w:sz w:val="20"/>
          <w:szCs w:val="20"/>
          <w:color w:val="auto"/>
        </w:rPr>
      </w:pPr>
      <w:r>
        <w:rPr>
          <w:rFonts w:ascii="Arial" w:cs="Arial" w:eastAsia="Arial" w:hAnsi="Arial"/>
          <w:sz w:val="20"/>
          <w:szCs w:val="20"/>
          <w:color w:val="auto"/>
        </w:rPr>
        <w:t>Facility</w:t>
      </w:r>
      <w:r>
        <w:rPr>
          <w:sz w:val="20"/>
          <w:szCs w:val="20"/>
          <w:color w:val="auto"/>
        </w:rPr>
        <w:tab/>
      </w:r>
      <w:r>
        <w:rPr>
          <w:rFonts w:ascii="Arial" w:cs="Arial" w:eastAsia="Arial" w:hAnsi="Arial"/>
          <w:sz w:val="20"/>
          <w:szCs w:val="20"/>
          <w:color w:val="auto"/>
        </w:rPr>
        <w:t>with</w:t>
      </w:r>
      <w:r>
        <w:rPr>
          <w:sz w:val="20"/>
          <w:szCs w:val="20"/>
          <w:color w:val="auto"/>
        </w:rPr>
        <w:tab/>
      </w:r>
      <w:r>
        <w:rPr>
          <w:rFonts w:ascii="Arial" w:cs="Arial" w:eastAsia="Arial" w:hAnsi="Arial"/>
          <w:sz w:val="19"/>
          <w:szCs w:val="19"/>
          <w:color w:val="auto"/>
        </w:rPr>
        <w:t>ING.</w:t>
      </w:r>
    </w:p>
    <w:p>
      <w:pPr>
        <w:spacing w:after="0" w:line="81" w:lineRule="exact"/>
        <w:rPr>
          <w:sz w:val="20"/>
          <w:szCs w:val="20"/>
          <w:color w:val="auto"/>
        </w:rPr>
      </w:pPr>
    </w:p>
    <w:p>
      <w:pPr>
        <w:jc w:val="both"/>
        <w:ind w:left="6" w:right="60"/>
        <w:spacing w:after="0" w:line="307" w:lineRule="auto"/>
        <w:rPr>
          <w:sz w:val="20"/>
          <w:szCs w:val="20"/>
          <w:color w:val="auto"/>
        </w:rPr>
      </w:pPr>
      <w:r>
        <w:rPr>
          <w:rFonts w:ascii="Arial" w:cs="Arial" w:eastAsia="Arial" w:hAnsi="Arial"/>
          <w:sz w:val="20"/>
          <w:szCs w:val="20"/>
          <w:color w:val="auto"/>
        </w:rPr>
        <w:t>As a result of the foregoing, the Company recognized realized losses on extinguishment of debt of $899, $521, and $23 respectively, equal to the write-off of the related unamortized deferred financing costs, during the years ended December 31, 2025, 2024, and 2023.</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Deferred Financing Costs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18 / 19</w:t>
      </w:r>
    </w:p>
    <w:p>
      <w:pPr>
        <w:sectPr>
          <w:pgSz w:w="11900" w:h="16838" w:orient="portrait"/>
          <w:cols w:equalWidth="0" w:num="1">
            <w:col w:w="9406"/>
          </w:cols>
          <w:pgMar w:left="1254" w:top="1440" w:right="1246" w:bottom="0" w:gutter="0" w:footer="0" w:header="0"/>
          <w:type w:val="continuous"/>
        </w:sectPr>
      </w:pPr>
    </w:p>
    <w:bookmarkStart w:id="299" w:name="page300"/>
    <w:bookmarkEnd w:id="299"/>
    <w:p>
      <w:pPr>
        <w:jc w:val="both"/>
        <w:ind w:right="60" w:firstLine="392"/>
        <w:spacing w:after="0" w:line="309" w:lineRule="auto"/>
        <w:rPr>
          <w:sz w:val="20"/>
          <w:szCs w:val="20"/>
          <w:color w:val="auto"/>
        </w:rPr>
      </w:pPr>
      <w:r>
        <w:rPr>
          <w:rFonts w:ascii="Arial" w:cs="Arial" w:eastAsia="Arial" w:hAnsi="Arial"/>
          <w:sz w:val="20"/>
          <w:szCs w:val="20"/>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Revolving Credit Facility, the SPV Credit Facility, and the Notes as of December 31, 2025 and 2024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December 31, 2025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December 31, 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Revolving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right"/>
              <w:ind w:right="240"/>
              <w:spacing w:after="0"/>
              <w:rPr>
                <w:sz w:val="20"/>
                <w:szCs w:val="20"/>
                <w:color w:val="auto"/>
              </w:rPr>
            </w:pPr>
            <w:r>
              <w:rPr>
                <w:rFonts w:ascii="Arial" w:cs="Arial" w:eastAsia="Arial" w:hAnsi="Arial"/>
                <w:sz w:val="12"/>
                <w:szCs w:val="12"/>
                <w:b w:val="1"/>
                <w:bCs w:val="1"/>
                <w:color w:val="auto"/>
              </w:rPr>
              <w:t>SBA</w:t>
            </w:r>
          </w:p>
        </w:tc>
        <w:tc>
          <w:tcPr>
            <w:tcW w:w="20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Arial" w:cs="Arial" w:eastAsia="Arial" w:hAnsi="Arial"/>
                <w:sz w:val="12"/>
                <w:szCs w:val="12"/>
                <w:b w:val="1"/>
                <w:bCs w:val="1"/>
                <w:color w:val="auto"/>
              </w:rPr>
              <w:t>Credit</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center"/>
              <w:ind w:right="180"/>
              <w:spacing w:after="0"/>
              <w:rPr>
                <w:sz w:val="20"/>
                <w:szCs w:val="20"/>
                <w:color w:val="auto"/>
              </w:rPr>
            </w:pPr>
            <w:r>
              <w:rPr>
                <w:rFonts w:ascii="Arial" w:cs="Arial" w:eastAsia="Arial" w:hAnsi="Arial"/>
                <w:sz w:val="12"/>
                <w:szCs w:val="12"/>
                <w:b w:val="1"/>
                <w:bCs w:val="1"/>
                <w:color w:val="auto"/>
                <w:w w:val="86"/>
              </w:rPr>
              <w:t>SBA</w:t>
            </w:r>
          </w:p>
        </w:tc>
        <w:tc>
          <w:tcPr>
            <w:tcW w:w="160" w:type="dxa"/>
            <w:vAlign w:val="bottom"/>
          </w:tcPr>
          <w:p>
            <w:pPr>
              <w:spacing w:after="0"/>
              <w:rPr>
                <w:sz w:val="16"/>
                <w:szCs w:val="16"/>
                <w:color w:val="auto"/>
              </w:rPr>
            </w:pPr>
          </w:p>
        </w:tc>
        <w:tc>
          <w:tcPr>
            <w:tcW w:w="700" w:type="dxa"/>
            <w:vAlign w:val="bottom"/>
          </w:tcPr>
          <w:p>
            <w:pPr>
              <w:jc w:val="center"/>
              <w:ind w:right="100"/>
              <w:spacing w:after="0"/>
              <w:rPr>
                <w:sz w:val="20"/>
                <w:szCs w:val="20"/>
                <w:color w:val="auto"/>
              </w:rPr>
            </w:pPr>
            <w:r>
              <w:rPr>
                <w:rFonts w:ascii="Arial" w:cs="Arial" w:eastAsia="Arial" w:hAnsi="Arial"/>
                <w:sz w:val="12"/>
                <w:szCs w:val="12"/>
                <w:b w:val="1"/>
                <w:bCs w:val="1"/>
                <w:color w:val="auto"/>
                <w:w w:val="97"/>
              </w:rPr>
              <w:t>Credit</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Debentures</w:t>
            </w:r>
          </w:p>
        </w:tc>
        <w:tc>
          <w:tcPr>
            <w:tcW w:w="20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Facilities</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Notes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Debentures</w:t>
            </w:r>
          </w:p>
        </w:tc>
        <w:tc>
          <w:tcPr>
            <w:tcW w:w="160" w:type="dxa"/>
            <w:vAlign w:val="bottom"/>
          </w:tcPr>
          <w:p>
            <w:pPr>
              <w:spacing w:after="0"/>
              <w:rPr>
                <w:sz w:val="16"/>
                <w:szCs w:val="16"/>
                <w:color w:val="auto"/>
              </w:rPr>
            </w:pPr>
          </w:p>
        </w:tc>
        <w:tc>
          <w:tcPr>
            <w:tcW w:w="700" w:type="dxa"/>
            <w:vAlign w:val="bottom"/>
          </w:tcPr>
          <w:p>
            <w:pPr>
              <w:jc w:val="center"/>
              <w:ind w:right="100"/>
              <w:spacing w:after="0"/>
              <w:rPr>
                <w:sz w:val="20"/>
                <w:szCs w:val="20"/>
                <w:color w:val="auto"/>
              </w:rPr>
            </w:pPr>
            <w:r>
              <w:rPr>
                <w:rFonts w:ascii="Arial" w:cs="Arial" w:eastAsia="Arial" w:hAnsi="Arial"/>
                <w:sz w:val="12"/>
                <w:szCs w:val="12"/>
                <w:b w:val="1"/>
                <w:bCs w:val="1"/>
                <w:color w:val="auto"/>
                <w:w w:val="91"/>
              </w:rPr>
              <w:t>Facility</w:t>
            </w:r>
          </w:p>
        </w:tc>
        <w:tc>
          <w:tcPr>
            <w:tcW w:w="640" w:type="dxa"/>
            <w:vAlign w:val="bottom"/>
          </w:tcPr>
          <w:p>
            <w:pPr>
              <w:jc w:val="right"/>
              <w:ind w:right="20"/>
              <w:spacing w:after="0"/>
              <w:rPr>
                <w:sz w:val="20"/>
                <w:szCs w:val="20"/>
                <w:color w:val="auto"/>
              </w:rPr>
            </w:pPr>
            <w:r>
              <w:rPr>
                <w:rFonts w:ascii="Arial" w:cs="Arial" w:eastAsia="Arial" w:hAnsi="Arial"/>
                <w:sz w:val="12"/>
                <w:szCs w:val="12"/>
                <w:b w:val="1"/>
                <w:bCs w:val="1"/>
                <w:color w:val="auto"/>
              </w:rPr>
              <w:t>Notes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6"/>
        </w:trPr>
        <w:tc>
          <w:tcPr>
            <w:tcW w:w="2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60" w:type="dxa"/>
            <w:vAlign w:val="bottom"/>
            <w:shd w:val="clear" w:color="auto" w:fill="CCEEFF"/>
          </w:tcPr>
          <w:p>
            <w:pPr>
              <w:spacing w:after="0"/>
              <w:rPr>
                <w:sz w:val="20"/>
                <w:szCs w:val="20"/>
                <w:color w:val="auto"/>
              </w:rPr>
            </w:pPr>
            <w:r>
              <w:rPr>
                <w:rFonts w:ascii="Arial" w:cs="Arial" w:eastAsia="Arial" w:hAnsi="Arial"/>
                <w:sz w:val="12"/>
                <w:szCs w:val="12"/>
                <w:color w:val="auto"/>
              </w:rPr>
              <w:t>SBA debenture commitment fees</w:t>
            </w:r>
          </w:p>
        </w:tc>
        <w:tc>
          <w:tcPr>
            <w:tcW w:w="60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w:t>
            </w:r>
          </w:p>
        </w:tc>
        <w:tc>
          <w:tcPr>
            <w:tcW w:w="2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39"/>
        </w:trPr>
        <w:tc>
          <w:tcPr>
            <w:tcW w:w="20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vMerge w:val="continue"/>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700" w:type="dxa"/>
            <w:vAlign w:val="bottom"/>
            <w:tcBorders>
              <w:bottom w:val="single" w:sz="8" w:color="CCEEFF"/>
            </w:tcBorders>
            <w:vMerge w:val="continue"/>
            <w:shd w:val="clear" w:color="auto" w:fill="CCEEFF"/>
          </w:tcPr>
          <w:p>
            <w:pPr>
              <w:spacing w:after="0"/>
              <w:rPr>
                <w:sz w:val="3"/>
                <w:szCs w:val="3"/>
                <w:color w:val="auto"/>
              </w:rPr>
            </w:pPr>
          </w:p>
        </w:tc>
        <w:tc>
          <w:tcPr>
            <w:tcW w:w="64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0"/>
                <w:szCs w:val="20"/>
                <w:color w:val="auto"/>
              </w:rPr>
            </w:pPr>
            <w:r>
              <w:rPr>
                <w:rFonts w:ascii="Arial" w:cs="Arial" w:eastAsia="Arial" w:hAnsi="Arial"/>
                <w:sz w:val="12"/>
                <w:szCs w:val="12"/>
                <w:color w:val="auto"/>
              </w:rPr>
              <w:t>SBA debenture leverage fees</w:t>
            </w:r>
          </w:p>
        </w:tc>
        <w:tc>
          <w:tcPr>
            <w:tcW w:w="600" w:type="dxa"/>
            <w:vAlign w:val="bottom"/>
          </w:tcPr>
          <w:p>
            <w:pPr>
              <w:spacing w:after="0"/>
              <w:rPr>
                <w:sz w:val="22"/>
                <w:szCs w:val="22"/>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6,477</w:t>
            </w:r>
          </w:p>
        </w:tc>
        <w:tc>
          <w:tcPr>
            <w:tcW w:w="200" w:type="dxa"/>
            <w:vAlign w:val="bottom"/>
          </w:tcPr>
          <w:p>
            <w:pPr>
              <w:spacing w:after="0"/>
              <w:rPr>
                <w:sz w:val="22"/>
                <w:szCs w:val="22"/>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22"/>
                <w:szCs w:val="22"/>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6,477</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-765175</wp:posOffset>
            </wp:positionV>
            <wp:extent cx="423799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237990" cy="635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-388620</wp:posOffset>
            </wp:positionV>
            <wp:extent cx="423799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37990"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19</w:t>
      </w:r>
    </w:p>
    <w:p>
      <w:pPr>
        <w:sectPr>
          <w:pgSz w:w="11900" w:h="16838" w:orient="portrait"/>
          <w:cols w:equalWidth="0" w:num="1">
            <w:col w:w="9400"/>
          </w:cols>
          <w:pgMar w:left="1260" w:top="1173" w:right="1246" w:bottom="0" w:gutter="0" w:footer="0" w:header="0"/>
          <w:type w:val="continuous"/>
        </w:sectPr>
      </w:pPr>
    </w:p>
    <w:bookmarkStart w:id="300" w:name="page301"/>
    <w:bookmarkEnd w:id="300"/>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4,261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4,261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upfront fees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3,342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3,342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4,717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Notes underwriting discounts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8,505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8,505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11</w:t>
      </w:r>
    </w:p>
    <w:p>
      <w:pPr>
        <w:sectPr>
          <w:pgSz w:w="11900" w:h="16838" w:orient="portrait"/>
          <w:cols w:equalWidth="0" w:num="1">
            <w:col w:w="9400"/>
          </w:cols>
          <w:pgMar w:left="1260" w:top="1440" w:right="1246" w:bottom="0" w:gutter="0" w:footer="0" w:header="0"/>
          <w:type w:val="continuous"/>
        </w:sectPr>
      </w:pPr>
    </w:p>
    <w:bookmarkStart w:id="301" w:name="page302"/>
    <w:bookmarkEnd w:id="301"/>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5,005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5,005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Notes debt issue costs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1,361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1,361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685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685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Total deferred financing costs</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9,977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3,342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9,866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23,185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7,761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4,717</w:t>
      </w:r>
    </w:p>
    <w:p>
      <w:pPr>
        <w:sectPr>
          <w:pgSz w:w="11900" w:h="16838" w:orient="portrait"/>
          <w:cols w:equalWidth="0" w:num="1">
            <w:col w:w="9400"/>
          </w:cols>
          <w:pgMar w:left="1260" w:top="115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11</w:t>
      </w:r>
    </w:p>
    <w:p>
      <w:pPr>
        <w:sectPr>
          <w:pgSz w:w="11900" w:h="16838" w:orient="portrait"/>
          <w:cols w:equalWidth="0" w:num="1">
            <w:col w:w="9400"/>
          </w:cols>
          <w:pgMar w:left="1260" w:top="1150" w:right="1246" w:bottom="0" w:gutter="0" w:footer="0" w:header="0"/>
          <w:type w:val="continuous"/>
        </w:sectPr>
      </w:pPr>
    </w:p>
    <w:bookmarkStart w:id="302" w:name="page303"/>
    <w:bookmarkEnd w:id="302"/>
    <w:p>
      <w:pPr>
        <w:jc w:val="right"/>
        <w:spacing w:after="0"/>
        <w:rPr>
          <w:sz w:val="20"/>
          <w:szCs w:val="20"/>
          <w:color w:val="auto"/>
        </w:rPr>
      </w:pPr>
      <w:r>
        <w:rPr>
          <w:rFonts w:ascii="Arial" w:cs="Arial" w:eastAsia="Arial" w:hAnsi="Arial"/>
          <w:sz w:val="12"/>
          <w:szCs w:val="12"/>
          <w:color w:val="auto"/>
        </w:rPr>
        <w:t>5,690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18,168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Less: accumulated amortization</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(3,034</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(5,757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(8,910</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(1,660</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(3,671</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(4,052</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(9,383</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Unamortized deferred financing costs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6,943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4,109</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14,275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6,101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1,046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1,638</w:t>
      </w:r>
    </w:p>
    <w:p>
      <w:pPr>
        <w:sectPr>
          <w:pgSz w:w="11900" w:h="16838" w:orient="portrait"/>
          <w:cols w:equalWidth="0" w:num="1">
            <w:col w:w="9400"/>
          </w:cols>
          <w:pgMar w:left="1260" w:top="123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11</w:t>
      </w:r>
    </w:p>
    <w:p>
      <w:pPr>
        <w:sectPr>
          <w:pgSz w:w="11900" w:h="16838" w:orient="portrait"/>
          <w:cols w:equalWidth="0" w:num="1">
            <w:col w:w="9400"/>
          </w:cols>
          <w:pgMar w:left="1260" w:top="1237" w:right="1246" w:bottom="0" w:gutter="0" w:footer="0" w:header="0"/>
          <w:type w:val="continuous"/>
        </w:sectPr>
      </w:pPr>
    </w:p>
    <w:bookmarkStart w:id="303" w:name="page304"/>
    <w:bookmarkEnd w:id="303"/>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8,785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80" w:firstLine="400"/>
        <w:spacing w:after="0" w:line="309" w:lineRule="auto"/>
        <w:rPr>
          <w:sz w:val="20"/>
          <w:szCs w:val="20"/>
          <w:color w:val="auto"/>
        </w:rPr>
      </w:pPr>
      <w:r>
        <w:rPr>
          <w:rFonts w:ascii="Arial" w:cs="Arial" w:eastAsia="Arial" w:hAnsi="Arial"/>
          <w:sz w:val="20"/>
          <w:szCs w:val="20"/>
          <w:color w:val="auto"/>
        </w:rPr>
        <w:t>Unamortized deferred financing costs are presented as a direct offset to the SBA debentures, the Revolving Credit Facility, the SPV Credit Facility and the Notes liabilities on the consolidated statements of assets and liabilities. The following table summarizes the outstanding debt net of unamortized deferred financing costs 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9"/>
              </w:rPr>
              <w:t>December 31, 2025</w:t>
            </w:r>
            <w:r>
              <w:rPr>
                <w:rFonts w:ascii="Arial" w:cs="Arial" w:eastAsia="Arial" w:hAnsi="Arial"/>
                <w:sz w:val="16"/>
                <w:szCs w:val="16"/>
                <w:b w:val="1"/>
                <w:bCs w:val="1"/>
                <w:color w:val="auto"/>
                <w:w w:val="99"/>
                <w:vertAlign w:val="superscript"/>
              </w:rPr>
              <w:t>(1)</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7"/>
              </w:rPr>
              <w:t>December 31, 2024</w:t>
            </w:r>
            <w:r>
              <w:rPr>
                <w:rFonts w:ascii="Arial" w:cs="Arial" w:eastAsia="Arial" w:hAnsi="Arial"/>
                <w:sz w:val="16"/>
                <w:szCs w:val="16"/>
                <w:b w:val="1"/>
                <w:bCs w:val="1"/>
                <w:color w:val="auto"/>
                <w:w w:val="97"/>
                <w:vertAlign w:val="superscript"/>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Revolving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260"/>
              <w:spacing w:after="0"/>
              <w:rPr>
                <w:sz w:val="20"/>
                <w:szCs w:val="20"/>
                <w:color w:val="auto"/>
              </w:rPr>
            </w:pPr>
            <w:r>
              <w:rPr>
                <w:rFonts w:ascii="Arial" w:cs="Arial" w:eastAsia="Arial" w:hAnsi="Arial"/>
                <w:sz w:val="12"/>
                <w:szCs w:val="12"/>
                <w:b w:val="1"/>
                <w:bCs w:val="1"/>
                <w:color w:val="auto"/>
              </w:rPr>
              <w:t>SBA</w:t>
            </w:r>
          </w:p>
        </w:tc>
        <w:tc>
          <w:tcPr>
            <w:tcW w:w="160" w:type="dxa"/>
            <w:vAlign w:val="bottom"/>
          </w:tcPr>
          <w:p>
            <w:pPr>
              <w:spacing w:after="0"/>
              <w:rPr>
                <w:sz w:val="16"/>
                <w:szCs w:val="16"/>
                <w:color w:val="auto"/>
              </w:rPr>
            </w:pPr>
          </w:p>
        </w:tc>
        <w:tc>
          <w:tcPr>
            <w:tcW w:w="740" w:type="dxa"/>
            <w:vAlign w:val="bottom"/>
          </w:tcPr>
          <w:p>
            <w:pPr>
              <w:jc w:val="right"/>
              <w:ind w:right="260"/>
              <w:spacing w:after="0"/>
              <w:rPr>
                <w:sz w:val="20"/>
                <w:szCs w:val="20"/>
                <w:color w:val="auto"/>
              </w:rPr>
            </w:pPr>
            <w:r>
              <w:rPr>
                <w:rFonts w:ascii="Arial" w:cs="Arial" w:eastAsia="Arial" w:hAnsi="Arial"/>
                <w:sz w:val="12"/>
                <w:szCs w:val="12"/>
                <w:b w:val="1"/>
                <w:bCs w:val="1"/>
                <w:color w:val="auto"/>
              </w:rPr>
              <w:t>Credit</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280"/>
              <w:spacing w:after="0"/>
              <w:rPr>
                <w:sz w:val="20"/>
                <w:szCs w:val="20"/>
                <w:color w:val="auto"/>
              </w:rPr>
            </w:pPr>
            <w:r>
              <w:rPr>
                <w:rFonts w:ascii="Arial" w:cs="Arial" w:eastAsia="Arial" w:hAnsi="Arial"/>
                <w:sz w:val="12"/>
                <w:szCs w:val="12"/>
                <w:b w:val="1"/>
                <w:bCs w:val="1"/>
                <w:color w:val="auto"/>
              </w:rPr>
              <w:t>SBA</w:t>
            </w:r>
          </w:p>
        </w:tc>
        <w:tc>
          <w:tcPr>
            <w:tcW w:w="160" w:type="dxa"/>
            <w:vAlign w:val="bottom"/>
          </w:tcPr>
          <w:p>
            <w:pPr>
              <w:spacing w:after="0"/>
              <w:rPr>
                <w:sz w:val="16"/>
                <w:szCs w:val="16"/>
                <w:color w:val="auto"/>
              </w:rPr>
            </w:pPr>
          </w:p>
        </w:tc>
        <w:tc>
          <w:tcPr>
            <w:tcW w:w="660" w:type="dxa"/>
            <w:vAlign w:val="bottom"/>
          </w:tcPr>
          <w:p>
            <w:pPr>
              <w:jc w:val="center"/>
              <w:ind w:right="160"/>
              <w:spacing w:after="0"/>
              <w:rPr>
                <w:sz w:val="20"/>
                <w:szCs w:val="20"/>
                <w:color w:val="auto"/>
              </w:rPr>
            </w:pPr>
            <w:r>
              <w:rPr>
                <w:rFonts w:ascii="Arial" w:cs="Arial" w:eastAsia="Arial" w:hAnsi="Arial"/>
                <w:sz w:val="12"/>
                <w:szCs w:val="12"/>
                <w:b w:val="1"/>
                <w:bCs w:val="1"/>
                <w:color w:val="auto"/>
                <w:w w:val="92"/>
              </w:rPr>
              <w:t>Credit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Debentures</w:t>
            </w:r>
          </w:p>
        </w:tc>
        <w:tc>
          <w:tcPr>
            <w:tcW w:w="160" w:type="dxa"/>
            <w:vAlign w:val="bottom"/>
          </w:tcPr>
          <w:p>
            <w:pPr>
              <w:spacing w:after="0"/>
              <w:rPr>
                <w:sz w:val="16"/>
                <w:szCs w:val="16"/>
                <w:color w:val="auto"/>
              </w:rPr>
            </w:pPr>
          </w:p>
        </w:tc>
        <w:tc>
          <w:tcPr>
            <w:tcW w:w="740" w:type="dxa"/>
            <w:vAlign w:val="bottom"/>
          </w:tcPr>
          <w:p>
            <w:pPr>
              <w:jc w:val="right"/>
              <w:ind w:right="200"/>
              <w:spacing w:after="0"/>
              <w:rPr>
                <w:sz w:val="20"/>
                <w:szCs w:val="20"/>
                <w:color w:val="auto"/>
              </w:rPr>
            </w:pPr>
            <w:r>
              <w:rPr>
                <w:rFonts w:ascii="Arial" w:cs="Arial" w:eastAsia="Arial" w:hAnsi="Arial"/>
                <w:sz w:val="12"/>
                <w:szCs w:val="12"/>
                <w:b w:val="1"/>
                <w:bCs w:val="1"/>
                <w:color w:val="auto"/>
                <w:w w:val="89"/>
              </w:rPr>
              <w:t>Facilities</w:t>
            </w:r>
          </w:p>
        </w:tc>
        <w:tc>
          <w:tcPr>
            <w:tcW w:w="200" w:type="dxa"/>
            <w:vAlign w:val="bottom"/>
          </w:tcPr>
          <w:p>
            <w:pPr>
              <w:spacing w:after="0"/>
              <w:rPr>
                <w:sz w:val="16"/>
                <w:szCs w:val="16"/>
                <w:color w:val="auto"/>
              </w:rPr>
            </w:pPr>
          </w:p>
        </w:tc>
        <w:tc>
          <w:tcPr>
            <w:tcW w:w="640" w:type="dxa"/>
            <w:vAlign w:val="bottom"/>
          </w:tcPr>
          <w:p>
            <w:pPr>
              <w:jc w:val="right"/>
              <w:ind w:right="240"/>
              <w:spacing w:after="0"/>
              <w:rPr>
                <w:sz w:val="20"/>
                <w:szCs w:val="20"/>
                <w:color w:val="auto"/>
              </w:rPr>
            </w:pPr>
            <w:r>
              <w:rPr>
                <w:rFonts w:ascii="Arial" w:cs="Arial" w:eastAsia="Arial" w:hAnsi="Arial"/>
                <w:sz w:val="12"/>
                <w:szCs w:val="12"/>
                <w:b w:val="1"/>
                <w:bCs w:val="1"/>
                <w:color w:val="auto"/>
                <w:w w:val="95"/>
              </w:rPr>
              <w:t>Notes</w:t>
            </w:r>
          </w:p>
        </w:tc>
        <w:tc>
          <w:tcPr>
            <w:tcW w:w="200" w:type="dxa"/>
            <w:vAlign w:val="bottom"/>
          </w:tcPr>
          <w:p>
            <w:pPr>
              <w:spacing w:after="0"/>
              <w:rPr>
                <w:sz w:val="16"/>
                <w:szCs w:val="16"/>
                <w:color w:val="auto"/>
              </w:rPr>
            </w:pPr>
          </w:p>
        </w:tc>
        <w:tc>
          <w:tcPr>
            <w:tcW w:w="640" w:type="dxa"/>
            <w:vAlign w:val="bottom"/>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9"/>
              </w:rPr>
              <w:t>Debentures</w:t>
            </w:r>
          </w:p>
        </w:tc>
        <w:tc>
          <w:tcPr>
            <w:tcW w:w="160" w:type="dxa"/>
            <w:vAlign w:val="bottom"/>
          </w:tcPr>
          <w:p>
            <w:pPr>
              <w:spacing w:after="0"/>
              <w:rPr>
                <w:sz w:val="16"/>
                <w:szCs w:val="16"/>
                <w:color w:val="auto"/>
              </w:rPr>
            </w:pPr>
          </w:p>
        </w:tc>
        <w:tc>
          <w:tcPr>
            <w:tcW w:w="660" w:type="dxa"/>
            <w:vAlign w:val="bottom"/>
          </w:tcPr>
          <w:p>
            <w:pPr>
              <w:jc w:val="center"/>
              <w:ind w:right="160"/>
              <w:spacing w:after="0"/>
              <w:rPr>
                <w:sz w:val="20"/>
                <w:szCs w:val="20"/>
                <w:color w:val="auto"/>
              </w:rPr>
            </w:pPr>
            <w:r>
              <w:rPr>
                <w:rFonts w:ascii="Arial" w:cs="Arial" w:eastAsia="Arial" w:hAnsi="Arial"/>
                <w:sz w:val="12"/>
                <w:szCs w:val="12"/>
                <w:b w:val="1"/>
                <w:bCs w:val="1"/>
                <w:color w:val="auto"/>
                <w:w w:val="96"/>
              </w:rPr>
              <w:t>Facility</w:t>
            </w:r>
          </w:p>
        </w:tc>
        <w:tc>
          <w:tcPr>
            <w:tcW w:w="200" w:type="dxa"/>
            <w:vAlign w:val="bottom"/>
          </w:tcPr>
          <w:p>
            <w:pPr>
              <w:spacing w:after="0"/>
              <w:rPr>
                <w:sz w:val="16"/>
                <w:szCs w:val="16"/>
                <w:color w:val="auto"/>
              </w:rPr>
            </w:pPr>
          </w:p>
        </w:tc>
        <w:tc>
          <w:tcPr>
            <w:tcW w:w="680" w:type="dxa"/>
            <w:vAlign w:val="bottom"/>
          </w:tcPr>
          <w:p>
            <w:pPr>
              <w:jc w:val="right"/>
              <w:ind w:right="260"/>
              <w:spacing w:after="0"/>
              <w:rPr>
                <w:sz w:val="20"/>
                <w:szCs w:val="20"/>
                <w:color w:val="auto"/>
              </w:rPr>
            </w:pPr>
            <w:r>
              <w:rPr>
                <w:rFonts w:ascii="Arial" w:cs="Arial" w:eastAsia="Arial" w:hAnsi="Arial"/>
                <w:sz w:val="12"/>
                <w:szCs w:val="12"/>
                <w:b w:val="1"/>
                <w:bCs w:val="1"/>
                <w:color w:val="auto"/>
              </w:rPr>
              <w:t>Notes</w:t>
            </w:r>
          </w:p>
        </w:tc>
        <w:tc>
          <w:tcPr>
            <w:tcW w:w="22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6"/>
        </w:trPr>
        <w:tc>
          <w:tcPr>
            <w:tcW w:w="2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Outstanding debt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237,500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83,850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325,000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646,350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175,000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250,000</w:t>
            </w:r>
          </w:p>
        </w:tc>
        <w:tc>
          <w:tcPr>
            <w:tcW w:w="22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470,000</w:t>
            </w:r>
          </w:p>
        </w:tc>
        <w:tc>
          <w:tcPr>
            <w:tcW w:w="0" w:type="dxa"/>
            <w:vAlign w:val="bottom"/>
          </w:tcPr>
          <w:p>
            <w:pPr>
              <w:spacing w:after="0"/>
              <w:rPr>
                <w:sz w:val="1"/>
                <w:szCs w:val="1"/>
                <w:color w:val="auto"/>
              </w:rPr>
            </w:pPr>
          </w:p>
        </w:tc>
      </w:tr>
      <w:tr>
        <w:trPr>
          <w:trHeight w:val="39"/>
        </w:trPr>
        <w:tc>
          <w:tcPr>
            <w:tcW w:w="232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66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6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320" w:type="dxa"/>
            <w:vAlign w:val="bottom"/>
          </w:tcPr>
          <w:p>
            <w:pPr>
              <w:spacing w:after="0"/>
              <w:rPr>
                <w:sz w:val="20"/>
                <w:szCs w:val="20"/>
                <w:color w:val="auto"/>
              </w:rPr>
            </w:pPr>
            <w:r>
              <w:rPr>
                <w:rFonts w:ascii="Arial" w:cs="Arial" w:eastAsia="Arial" w:hAnsi="Arial"/>
                <w:sz w:val="12"/>
                <w:szCs w:val="12"/>
                <w:color w:val="auto"/>
              </w:rPr>
              <w:t>Less: unamortized deferred financing costs</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(6,943 </w:t>
            </w:r>
            <w:r>
              <w:rPr>
                <w:rFonts w:ascii="Arial" w:cs="Arial" w:eastAsia="Arial" w:hAnsi="Arial"/>
                <w:sz w:val="24"/>
                <w:szCs w:val="24"/>
                <w:color w:val="auto"/>
                <w:vertAlign w:val="subscript"/>
              </w:rPr>
              <w:t>)</w:t>
            </w:r>
          </w:p>
        </w:tc>
        <w:tc>
          <w:tcPr>
            <w:tcW w:w="16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 xml:space="preserve">(3,223 </w:t>
            </w:r>
            <w:r>
              <w:rPr>
                <w:rFonts w:ascii="Arial" w:cs="Arial" w:eastAsia="Arial" w:hAnsi="Arial"/>
                <w:sz w:val="24"/>
                <w:szCs w:val="24"/>
                <w:color w:val="auto"/>
                <w:vertAlign w:val="subscript"/>
              </w:rPr>
              <w:t>)</w:t>
            </w:r>
          </w:p>
        </w:tc>
        <w:tc>
          <w:tcPr>
            <w:tcW w:w="20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 xml:space="preserve">(4,109 </w:t>
            </w:r>
            <w:r>
              <w:rPr>
                <w:rFonts w:ascii="Arial" w:cs="Arial" w:eastAsia="Arial" w:hAnsi="Arial"/>
                <w:sz w:val="24"/>
                <w:szCs w:val="24"/>
                <w:color w:val="auto"/>
                <w:vertAlign w:val="subscript"/>
              </w:rPr>
              <w:t>)</w:t>
            </w:r>
          </w:p>
        </w:tc>
        <w:tc>
          <w:tcPr>
            <w:tcW w:w="20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 xml:space="preserve">(14,275 </w:t>
            </w:r>
            <w:r>
              <w:rPr>
                <w:rFonts w:ascii="Arial" w:cs="Arial" w:eastAsia="Arial" w:hAnsi="Arial"/>
                <w:sz w:val="24"/>
                <w:szCs w:val="24"/>
                <w:color w:val="auto"/>
                <w:vertAlign w:val="subscript"/>
              </w:rPr>
              <w:t>)</w:t>
            </w:r>
          </w:p>
        </w:tc>
        <w:tc>
          <w:tcPr>
            <w:tcW w:w="20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 xml:space="preserve">(6,101 </w:t>
            </w:r>
            <w:r>
              <w:rPr>
                <w:rFonts w:ascii="Arial" w:cs="Arial" w:eastAsia="Arial" w:hAnsi="Arial"/>
                <w:sz w:val="24"/>
                <w:szCs w:val="24"/>
                <w:color w:val="auto"/>
                <w:vertAlign w:val="subscript"/>
              </w:rPr>
              <w:t>)</w:t>
            </w:r>
          </w:p>
        </w:tc>
        <w:tc>
          <w:tcPr>
            <w:tcW w:w="16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 xml:space="preserve">(1,046 </w:t>
            </w:r>
            <w:r>
              <w:rPr>
                <w:rFonts w:ascii="Arial" w:cs="Arial" w:eastAsia="Arial" w:hAnsi="Arial"/>
                <w:sz w:val="24"/>
                <w:szCs w:val="24"/>
                <w:color w:val="auto"/>
                <w:vertAlign w:val="subscript"/>
              </w:rPr>
              <w:t>)</w:t>
            </w:r>
          </w:p>
        </w:tc>
        <w:tc>
          <w:tcPr>
            <w:tcW w:w="2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 xml:space="preserve">(1,638 </w:t>
            </w:r>
            <w:r>
              <w:rPr>
                <w:rFonts w:ascii="Arial" w:cs="Arial" w:eastAsia="Arial" w:hAnsi="Arial"/>
                <w:sz w:val="24"/>
                <w:szCs w:val="24"/>
                <w:color w:val="auto"/>
                <w:vertAlign w:val="subscript"/>
              </w:rPr>
              <w:t>)</w:t>
            </w:r>
          </w:p>
        </w:tc>
        <w:tc>
          <w:tcPr>
            <w:tcW w:w="22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 xml:space="preserve">(8,785 </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Debt, net of deferred financing costs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230,557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80,627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320,891</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632,075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168,899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43,954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248,362</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461,215</w:t>
            </w:r>
          </w:p>
        </w:tc>
        <w:tc>
          <w:tcPr>
            <w:tcW w:w="0" w:type="dxa"/>
            <w:vAlign w:val="bottom"/>
          </w:tcPr>
          <w:p>
            <w:pPr>
              <w:spacing w:after="0"/>
              <w:rPr>
                <w:sz w:val="1"/>
                <w:szCs w:val="1"/>
                <w:color w:val="auto"/>
              </w:rPr>
            </w:pPr>
          </w:p>
        </w:tc>
      </w:tr>
      <w:tr>
        <w:trPr>
          <w:trHeight w:val="104"/>
        </w:trPr>
        <w:tc>
          <w:tcPr>
            <w:tcW w:w="2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-1016000</wp:posOffset>
            </wp:positionV>
            <wp:extent cx="420814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208145" cy="635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-639445</wp:posOffset>
            </wp:positionV>
            <wp:extent cx="4208145"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208145" cy="635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-233680</wp:posOffset>
            </wp:positionV>
            <wp:extent cx="420814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208145" cy="635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-27940</wp:posOffset>
            </wp:positionV>
            <wp:extent cx="4267835" cy="285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267835" cy="2857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(1) Total excludes $12,000 and $13,674 of Secured Borrowings as of December 31, 2025 and 2024,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11</w:t>
      </w:r>
    </w:p>
    <w:p>
      <w:pPr>
        <w:sectPr>
          <w:pgSz w:w="11900" w:h="16838" w:orient="portrait"/>
          <w:cols w:equalWidth="0" w:num="1">
            <w:col w:w="9400"/>
          </w:cols>
          <w:pgMar w:left="1260" w:top="1440" w:right="1246" w:bottom="0" w:gutter="0" w:footer="0" w:header="0"/>
          <w:type w:val="continuous"/>
        </w:sectPr>
      </w:pPr>
    </w:p>
    <w:bookmarkStart w:id="304" w:name="page305"/>
    <w:bookmarkEnd w:id="304"/>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As of December 31, 2025, the Company’s debt liabilities are scheduled to mature as follows </w:t>
      </w:r>
      <w:r>
        <w:rPr>
          <w:rFonts w:ascii="Arial" w:cs="Arial" w:eastAsia="Arial" w:hAnsi="Arial"/>
          <w:sz w:val="26"/>
          <w:szCs w:val="26"/>
          <w:color w:val="auto"/>
          <w:vertAlign w:val="superscript"/>
        </w:rPr>
        <w:t>(1)</w:t>
      </w:r>
      <w:r>
        <w:rPr>
          <w:rFonts w:ascii="Arial" w:cs="Arial" w:eastAsia="Arial" w:hAnsi="Arial"/>
          <w:sz w:val="20"/>
          <w:szCs w:val="20"/>
          <w:color w:val="auto"/>
        </w:rPr>
        <w: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b w:val="1"/>
                <w:bCs w:val="1"/>
                <w:color w:val="auto"/>
                <w:w w:val="94"/>
              </w:rPr>
              <w:t>SPV</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4"/>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520"/>
              <w:spacing w:after="0"/>
              <w:rPr>
                <w:sz w:val="20"/>
                <w:szCs w:val="20"/>
                <w:color w:val="auto"/>
              </w:rPr>
            </w:pPr>
            <w:r>
              <w:rPr>
                <w:rFonts w:ascii="Arial" w:cs="Arial" w:eastAsia="Arial" w:hAnsi="Arial"/>
                <w:sz w:val="20"/>
                <w:szCs w:val="20"/>
                <w:b w:val="1"/>
                <w:bCs w:val="1"/>
                <w:color w:val="auto"/>
              </w:rPr>
              <w:t>SBA</w:t>
            </w:r>
          </w:p>
        </w:tc>
        <w:tc>
          <w:tcPr>
            <w:tcW w:w="3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b w:val="1"/>
                <w:bCs w:val="1"/>
                <w:color w:val="auto"/>
                <w:w w:val="93"/>
              </w:rPr>
              <w:t>Credit</w:t>
            </w:r>
          </w:p>
        </w:tc>
        <w:tc>
          <w:tcPr>
            <w:tcW w:w="280" w:type="dxa"/>
            <w:vAlign w:val="bottom"/>
          </w:tcPr>
          <w:p>
            <w:pPr>
              <w:spacing w:after="0"/>
              <w:rPr>
                <w:sz w:val="24"/>
                <w:szCs w:val="24"/>
                <w:color w:val="auto"/>
              </w:rPr>
            </w:pPr>
          </w:p>
        </w:tc>
        <w:tc>
          <w:tcPr>
            <w:tcW w:w="1340" w:type="dxa"/>
            <w:vAlign w:val="bottom"/>
          </w:tcPr>
          <w:p>
            <w:pPr>
              <w:jc w:val="right"/>
              <w:ind w:right="360"/>
              <w:spacing w:after="0"/>
              <w:rPr>
                <w:sz w:val="20"/>
                <w:szCs w:val="20"/>
                <w:color w:val="auto"/>
              </w:rPr>
            </w:pPr>
            <w:r>
              <w:rPr>
                <w:rFonts w:ascii="Arial" w:cs="Arial" w:eastAsia="Arial" w:hAnsi="Arial"/>
                <w:sz w:val="20"/>
                <w:szCs w:val="20"/>
                <w:b w:val="1"/>
                <w:bCs w:val="1"/>
                <w:color w:val="auto"/>
              </w:rPr>
              <w:t>Secured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6"/>
        </w:trPr>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6"/>
              </w:rPr>
              <w:t>Year</w:t>
            </w:r>
          </w:p>
        </w:tc>
        <w:tc>
          <w:tcPr>
            <w:tcW w:w="360" w:type="dxa"/>
            <w:vAlign w:val="bottom"/>
          </w:tcPr>
          <w:p>
            <w:pPr>
              <w:spacing w:after="0"/>
              <w:rPr>
                <w:sz w:val="24"/>
                <w:szCs w:val="24"/>
                <w:color w:val="auto"/>
              </w:rPr>
            </w:pPr>
          </w:p>
        </w:tc>
        <w:tc>
          <w:tcPr>
            <w:tcW w:w="1340" w:type="dxa"/>
            <w:vAlign w:val="bottom"/>
          </w:tcPr>
          <w:p>
            <w:pPr>
              <w:jc w:val="right"/>
              <w:ind w:right="220"/>
              <w:spacing w:after="0"/>
              <w:rPr>
                <w:sz w:val="20"/>
                <w:szCs w:val="20"/>
                <w:color w:val="auto"/>
              </w:rPr>
            </w:pPr>
            <w:r>
              <w:rPr>
                <w:rFonts w:ascii="Arial" w:cs="Arial" w:eastAsia="Arial" w:hAnsi="Arial"/>
                <w:sz w:val="20"/>
                <w:szCs w:val="20"/>
                <w:b w:val="1"/>
                <w:bCs w:val="1"/>
                <w:color w:val="auto"/>
                <w:w w:val="90"/>
              </w:rPr>
              <w:t>Debentures</w:t>
            </w:r>
          </w:p>
        </w:tc>
        <w:tc>
          <w:tcPr>
            <w:tcW w:w="3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b w:val="1"/>
                <w:bCs w:val="1"/>
                <w:color w:val="auto"/>
                <w:w w:val="89"/>
              </w:rPr>
              <w:t xml:space="preserve">Facility </w:t>
            </w:r>
            <w:r>
              <w:rPr>
                <w:rFonts w:ascii="Arial" w:cs="Arial" w:eastAsia="Arial" w:hAnsi="Arial"/>
                <w:sz w:val="26"/>
                <w:szCs w:val="26"/>
                <w:b w:val="1"/>
                <w:bCs w:val="1"/>
                <w:color w:val="auto"/>
                <w:w w:val="89"/>
                <w:vertAlign w:val="superscript"/>
              </w:rPr>
              <w:t>(2)</w:t>
            </w:r>
          </w:p>
        </w:tc>
        <w:tc>
          <w:tcPr>
            <w:tcW w:w="280" w:type="dxa"/>
            <w:vAlign w:val="bottom"/>
          </w:tcPr>
          <w:p>
            <w:pPr>
              <w:spacing w:after="0"/>
              <w:rPr>
                <w:sz w:val="24"/>
                <w:szCs w:val="24"/>
                <w:color w:val="auto"/>
              </w:rPr>
            </w:pPr>
          </w:p>
        </w:tc>
        <w:tc>
          <w:tcPr>
            <w:tcW w:w="1340" w:type="dxa"/>
            <w:vAlign w:val="bottom"/>
          </w:tcPr>
          <w:p>
            <w:pPr>
              <w:jc w:val="right"/>
              <w:ind w:right="200"/>
              <w:spacing w:after="0"/>
              <w:rPr>
                <w:sz w:val="20"/>
                <w:szCs w:val="20"/>
                <w:color w:val="auto"/>
              </w:rPr>
            </w:pPr>
            <w:r>
              <w:rPr>
                <w:rFonts w:ascii="Arial" w:cs="Arial" w:eastAsia="Arial" w:hAnsi="Arial"/>
                <w:sz w:val="20"/>
                <w:szCs w:val="20"/>
                <w:b w:val="1"/>
                <w:bCs w:val="1"/>
                <w:color w:val="auto"/>
                <w:w w:val="91"/>
              </w:rPr>
              <w:t>Borrowings</w:t>
            </w:r>
          </w:p>
        </w:tc>
        <w:tc>
          <w:tcPr>
            <w:tcW w:w="400" w:type="dxa"/>
            <w:vAlign w:val="bottom"/>
          </w:tcPr>
          <w:p>
            <w:pPr>
              <w:spacing w:after="0"/>
              <w:rPr>
                <w:sz w:val="24"/>
                <w:szCs w:val="24"/>
                <w:color w:val="auto"/>
              </w:rPr>
            </w:pPr>
          </w:p>
        </w:tc>
        <w:tc>
          <w:tcPr>
            <w:tcW w:w="1200" w:type="dxa"/>
            <w:vAlign w:val="bottom"/>
          </w:tcPr>
          <w:p>
            <w:pPr>
              <w:jc w:val="right"/>
              <w:ind w:right="460"/>
              <w:spacing w:after="0"/>
              <w:rPr>
                <w:sz w:val="20"/>
                <w:szCs w:val="20"/>
                <w:color w:val="auto"/>
              </w:rPr>
            </w:pPr>
            <w:r>
              <w:rPr>
                <w:rFonts w:ascii="Arial" w:cs="Arial" w:eastAsia="Arial" w:hAnsi="Arial"/>
                <w:sz w:val="20"/>
                <w:szCs w:val="20"/>
                <w:b w:val="1"/>
                <w:bCs w:val="1"/>
                <w:color w:val="auto"/>
              </w:rPr>
              <w:t>Notes</w:t>
            </w:r>
          </w:p>
        </w:tc>
        <w:tc>
          <w:tcPr>
            <w:tcW w:w="400" w:type="dxa"/>
            <w:vAlign w:val="bottom"/>
          </w:tcPr>
          <w:p>
            <w:pPr>
              <w:spacing w:after="0"/>
              <w:rPr>
                <w:sz w:val="24"/>
                <w:szCs w:val="24"/>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Total</w:t>
            </w:r>
          </w:p>
        </w:tc>
      </w:tr>
      <w:tr>
        <w:trPr>
          <w:trHeight w:val="253"/>
        </w:trPr>
        <w:tc>
          <w:tcPr>
            <w:tcW w:w="1340" w:type="dxa"/>
            <w:vAlign w:val="bottom"/>
          </w:tcPr>
          <w:p>
            <w:pPr>
              <w:jc w:val="center"/>
              <w:spacing w:after="0"/>
              <w:rPr>
                <w:sz w:val="20"/>
                <w:szCs w:val="20"/>
                <w:color w:val="auto"/>
              </w:rPr>
            </w:pPr>
            <w:r>
              <w:rPr>
                <w:rFonts w:ascii="Arial" w:cs="Arial" w:eastAsia="Arial" w:hAnsi="Arial"/>
                <w:sz w:val="20"/>
                <w:szCs w:val="20"/>
                <w:color w:val="auto"/>
                <w:w w:val="89"/>
              </w:rPr>
              <w:t>2026</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9,814</w:t>
            </w: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125,000</w:t>
            </w:r>
          </w:p>
        </w:tc>
        <w:tc>
          <w:tcPr>
            <w:tcW w:w="4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134,814</w:t>
            </w:r>
          </w:p>
        </w:tc>
      </w:tr>
      <w:tr>
        <w:trPr>
          <w:trHeight w:val="41"/>
        </w:trPr>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4"/>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2027</w:t>
            </w:r>
          </w:p>
        </w:tc>
        <w:tc>
          <w:tcPr>
            <w:tcW w:w="3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1,846</w:t>
            </w: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1,846</w:t>
            </w:r>
          </w:p>
        </w:tc>
      </w:tr>
      <w:tr>
        <w:trPr>
          <w:trHeight w:val="274"/>
        </w:trPr>
        <w:tc>
          <w:tcPr>
            <w:tcW w:w="1340" w:type="dxa"/>
            <w:vAlign w:val="bottom"/>
          </w:tcPr>
          <w:p>
            <w:pPr>
              <w:jc w:val="center"/>
              <w:spacing w:after="0"/>
              <w:rPr>
                <w:sz w:val="20"/>
                <w:szCs w:val="20"/>
                <w:color w:val="auto"/>
              </w:rPr>
            </w:pPr>
            <w:r>
              <w:rPr>
                <w:rFonts w:ascii="Arial" w:cs="Arial" w:eastAsia="Arial" w:hAnsi="Arial"/>
                <w:sz w:val="20"/>
                <w:szCs w:val="20"/>
                <w:color w:val="auto"/>
                <w:w w:val="89"/>
              </w:rPr>
              <w:t>2028</w:t>
            </w:r>
          </w:p>
        </w:tc>
        <w:tc>
          <w:tcPr>
            <w:tcW w:w="3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335</w:t>
            </w:r>
          </w:p>
        </w:tc>
        <w:tc>
          <w:tcPr>
            <w:tcW w:w="40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335</w:t>
            </w:r>
          </w:p>
        </w:tc>
      </w:tr>
      <w:tr>
        <w:trPr>
          <w:trHeight w:val="41"/>
        </w:trPr>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4"/>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2029</w:t>
            </w:r>
          </w:p>
        </w:tc>
        <w:tc>
          <w:tcPr>
            <w:tcW w:w="3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7,500</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5</w:t>
            </w: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7,505</w:t>
            </w:r>
          </w:p>
        </w:tc>
      </w:tr>
      <w:tr>
        <w:trPr>
          <w:trHeight w:val="274"/>
        </w:trPr>
        <w:tc>
          <w:tcPr>
            <w:tcW w:w="1340" w:type="dxa"/>
            <w:vAlign w:val="bottom"/>
          </w:tcPr>
          <w:p>
            <w:pPr>
              <w:jc w:val="center"/>
              <w:spacing w:after="0"/>
              <w:rPr>
                <w:sz w:val="20"/>
                <w:szCs w:val="20"/>
                <w:color w:val="auto"/>
              </w:rPr>
            </w:pPr>
            <w:r>
              <w:rPr>
                <w:rFonts w:ascii="Arial" w:cs="Arial" w:eastAsia="Arial" w:hAnsi="Arial"/>
                <w:sz w:val="20"/>
                <w:szCs w:val="20"/>
                <w:color w:val="auto"/>
                <w:w w:val="89"/>
              </w:rPr>
              <w:t>2030</w:t>
            </w:r>
          </w:p>
        </w:tc>
        <w:tc>
          <w:tcPr>
            <w:tcW w:w="3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6,000</w:t>
            </w:r>
          </w:p>
        </w:tc>
        <w:tc>
          <w:tcPr>
            <w:tcW w:w="30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20"/>
                <w:szCs w:val="20"/>
                <w:color w:val="auto"/>
              </w:rPr>
              <w:t>83,850</w:t>
            </w:r>
          </w:p>
        </w:tc>
        <w:tc>
          <w:tcPr>
            <w:tcW w:w="28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200,000</w:t>
            </w:r>
          </w:p>
        </w:tc>
        <w:tc>
          <w:tcPr>
            <w:tcW w:w="4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289,850</w:t>
            </w:r>
          </w:p>
        </w:tc>
      </w:tr>
      <w:tr>
        <w:trPr>
          <w:trHeight w:val="41"/>
        </w:trPr>
        <w:tc>
          <w:tcPr>
            <w:tcW w:w="1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304"/>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Thereafter</w:t>
            </w:r>
          </w:p>
        </w:tc>
        <w:tc>
          <w:tcPr>
            <w:tcW w:w="3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224,000</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224,000</w:t>
            </w:r>
          </w:p>
        </w:tc>
      </w:tr>
      <w:tr>
        <w:trPr>
          <w:trHeight w:val="319"/>
        </w:trPr>
        <w:tc>
          <w:tcPr>
            <w:tcW w:w="1340" w:type="dxa"/>
            <w:vAlign w:val="bottom"/>
          </w:tcPr>
          <w:p>
            <w:pPr>
              <w:jc w:val="center"/>
              <w:spacing w:after="0"/>
              <w:rPr>
                <w:sz w:val="20"/>
                <w:szCs w:val="20"/>
                <w:color w:val="auto"/>
              </w:rPr>
            </w:pPr>
            <w:r>
              <w:rPr>
                <w:rFonts w:ascii="Arial" w:cs="Arial" w:eastAsia="Arial" w:hAnsi="Arial"/>
                <w:sz w:val="20"/>
                <w:szCs w:val="20"/>
                <w:color w:val="auto"/>
                <w:w w:val="94"/>
              </w:rPr>
              <w:t>Total</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237,500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0"/>
              <w:spacing w:after="0"/>
              <w:rPr>
                <w:sz w:val="20"/>
                <w:szCs w:val="20"/>
                <w:color w:val="auto"/>
              </w:rPr>
            </w:pPr>
            <w:r>
              <w:rPr>
                <w:rFonts w:ascii="Arial" w:cs="Arial" w:eastAsia="Arial" w:hAnsi="Arial"/>
                <w:sz w:val="20"/>
                <w:szCs w:val="20"/>
                <w:color w:val="auto"/>
              </w:rPr>
              <w:t>83,850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12,000</w:t>
            </w: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325,000</w:t>
            </w:r>
          </w:p>
        </w:tc>
        <w:tc>
          <w:tcPr>
            <w:tcW w:w="4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658,350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-1412240</wp:posOffset>
            </wp:positionV>
            <wp:extent cx="590867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08675" cy="635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-208280</wp:posOffset>
            </wp:positionV>
            <wp:extent cx="497141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71415" cy="635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-1905</wp:posOffset>
            </wp:positionV>
            <wp:extent cx="4912995" cy="285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12995" cy="28575"/>
                    </a:xfrm>
                    <a:prstGeom prst="rect">
                      <a:avLst/>
                    </a:prstGeom>
                    <a:noFill/>
                  </pic:spPr>
                </pic:pic>
              </a:graphicData>
            </a:graphic>
          </wp:anchor>
        </w:drawing>
      </w:r>
    </w:p>
    <w:p>
      <w:pPr>
        <w:spacing w:after="0" w:line="95" w:lineRule="exact"/>
        <w:rPr>
          <w:sz w:val="20"/>
          <w:szCs w:val="20"/>
          <w:color w:val="auto"/>
        </w:rPr>
      </w:pPr>
    </w:p>
    <w:p>
      <w:pPr>
        <w:jc w:val="both"/>
        <w:ind w:left="700" w:right="40" w:hanging="306"/>
        <w:spacing w:after="0" w:line="417" w:lineRule="auto"/>
        <w:tabs>
          <w:tab w:leader="none" w:pos="7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400"/>
        <w:spacing w:after="0"/>
        <w:tabs>
          <w:tab w:leader="none" w:pos="680" w:val="left"/>
          <w:tab w:leader="none" w:pos="1100" w:val="left"/>
          <w:tab w:leader="none" w:pos="1560" w:val="left"/>
          <w:tab w:leader="none" w:pos="2120" w:val="left"/>
          <w:tab w:leader="none" w:pos="2780" w:val="left"/>
          <w:tab w:leader="none" w:pos="3460" w:val="left"/>
          <w:tab w:leader="none" w:pos="3780" w:val="left"/>
          <w:tab w:leader="none" w:pos="4460" w:val="left"/>
          <w:tab w:leader="none" w:pos="4840" w:val="left"/>
          <w:tab w:leader="none" w:pos="5520" w:val="left"/>
          <w:tab w:leader="none" w:pos="5880" w:val="left"/>
          <w:tab w:leader="none" w:pos="6180" w:val="left"/>
          <w:tab w:leader="none" w:pos="7000" w:val="left"/>
          <w:tab w:leader="none" w:pos="7360" w:val="left"/>
          <w:tab w:leader="none" w:pos="7880" w:val="left"/>
          <w:tab w:leader="none" w:pos="8380" w:val="left"/>
        </w:tabs>
        <w:rPr>
          <w:sz w:val="20"/>
          <w:szCs w:val="20"/>
          <w:color w:val="auto"/>
        </w:rPr>
      </w:pPr>
      <w:r>
        <w:rPr>
          <w:rFonts w:ascii="Arial" w:cs="Arial" w:eastAsia="Arial" w:hAnsi="Arial"/>
          <w:sz w:val="16"/>
          <w:szCs w:val="16"/>
          <w:color w:val="auto"/>
        </w:rPr>
        <w:t>(2)</w:t>
        <w:tab/>
        <w:t>The</w:t>
        <w:tab/>
        <w:t>SPV</w:t>
        <w:tab/>
        <w:t>Credit</w:t>
        <w:tab/>
        <w:t>Facility</w:t>
        <w:tab/>
        <w:t>matures</w:t>
        <w:tab/>
        <w:t>on</w:t>
        <w:tab/>
        <w:t>October</w:t>
        <w:tab/>
        <w:t>16,</w:t>
        <w:tab/>
        <w:t>2030.</w:t>
      </w:r>
      <w:r>
        <w:rPr>
          <w:sz w:val="20"/>
          <w:szCs w:val="20"/>
          <w:color w:val="auto"/>
        </w:rPr>
        <w:tab/>
      </w:r>
      <w:r>
        <w:rPr>
          <w:rFonts w:ascii="Arial" w:cs="Arial" w:eastAsia="Arial" w:hAnsi="Arial"/>
          <w:sz w:val="16"/>
          <w:szCs w:val="16"/>
          <w:color w:val="auto"/>
        </w:rPr>
        <w:t>As</w:t>
        <w:tab/>
        <w:t>of</w:t>
        <w:tab/>
        <w:t>December</w:t>
        <w:tab/>
        <w:t>31,</w:t>
        <w:tab/>
        <w:t>2025,</w:t>
        <w:tab/>
        <w:t>there</w:t>
      </w:r>
      <w:r>
        <w:rPr>
          <w:sz w:val="20"/>
          <w:szCs w:val="20"/>
          <w:color w:val="auto"/>
        </w:rPr>
        <w:tab/>
      </w:r>
      <w:r>
        <w:rPr>
          <w:rFonts w:ascii="Arial" w:cs="Arial" w:eastAsia="Arial" w:hAnsi="Arial"/>
          <w:sz w:val="13"/>
          <w:szCs w:val="13"/>
          <w:color w:val="auto"/>
        </w:rPr>
        <w:t>were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$83,850 of outstanding borrowings under the SPV Credit Facility.</w:t>
      </w:r>
    </w:p>
    <w:p>
      <w:pPr>
        <w:spacing w:after="0" w:line="388"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Information about our senior securities is shown in the following table for the years indicated in the table,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jc w:val="center"/>
              <w:ind w:right="180"/>
              <w:spacing w:after="0"/>
              <w:rPr>
                <w:sz w:val="20"/>
                <w:szCs w:val="20"/>
                <w:color w:val="auto"/>
              </w:rPr>
            </w:pPr>
            <w:r>
              <w:rPr>
                <w:rFonts w:ascii="Arial" w:cs="Arial" w:eastAsia="Arial" w:hAnsi="Arial"/>
                <w:sz w:val="20"/>
                <w:szCs w:val="20"/>
                <w:b w:val="1"/>
                <w:bCs w:val="1"/>
                <w:color w:val="auto"/>
                <w:w w:val="96"/>
              </w:rPr>
              <w:t>Total</w:t>
            </w:r>
          </w:p>
        </w:tc>
        <w:tc>
          <w:tcPr>
            <w:tcW w:w="1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00"/>
        </w:trPr>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180"/>
              <w:spacing w:after="0"/>
              <w:rPr>
                <w:sz w:val="20"/>
                <w:szCs w:val="20"/>
                <w:color w:val="auto"/>
              </w:rPr>
            </w:pPr>
            <w:r>
              <w:rPr>
                <w:rFonts w:ascii="Arial" w:cs="Arial" w:eastAsia="Arial" w:hAnsi="Arial"/>
                <w:sz w:val="20"/>
                <w:szCs w:val="20"/>
                <w:b w:val="1"/>
                <w:bCs w:val="1"/>
                <w:color w:val="auto"/>
                <w:w w:val="92"/>
              </w:rPr>
              <w:t>Amount</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0"/>
        </w:trPr>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180"/>
              <w:spacing w:after="0"/>
              <w:rPr>
                <w:sz w:val="20"/>
                <w:szCs w:val="20"/>
                <w:color w:val="auto"/>
              </w:rPr>
            </w:pPr>
            <w:r>
              <w:rPr>
                <w:rFonts w:ascii="Arial" w:cs="Arial" w:eastAsia="Arial" w:hAnsi="Arial"/>
                <w:sz w:val="20"/>
                <w:szCs w:val="20"/>
                <w:b w:val="1"/>
                <w:bCs w:val="1"/>
                <w:color w:val="auto"/>
                <w:w w:val="89"/>
              </w:rPr>
              <w:t>Outstanding</w:t>
            </w:r>
          </w:p>
        </w:tc>
        <w:tc>
          <w:tcPr>
            <w:tcW w:w="16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4"/>
              </w:rPr>
              <w:t>Involuntary</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8"/>
              </w:rPr>
              <w:t>Average</w:t>
            </w:r>
          </w:p>
        </w:tc>
      </w:tr>
      <w:tr>
        <w:trPr>
          <w:trHeight w:val="300"/>
        </w:trPr>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180"/>
              <w:spacing w:after="0"/>
              <w:rPr>
                <w:sz w:val="20"/>
                <w:szCs w:val="20"/>
                <w:color w:val="auto"/>
              </w:rPr>
            </w:pPr>
            <w:r>
              <w:rPr>
                <w:rFonts w:ascii="Arial" w:cs="Arial" w:eastAsia="Arial" w:hAnsi="Arial"/>
                <w:sz w:val="20"/>
                <w:szCs w:val="20"/>
                <w:b w:val="1"/>
                <w:bCs w:val="1"/>
                <w:color w:val="auto"/>
                <w:w w:val="87"/>
              </w:rPr>
              <w:t>Exclusive of</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80"/>
              </w:rPr>
              <w:t>Asset</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4"/>
              </w:rPr>
              <w:t>Liquidation</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9"/>
              </w:rPr>
              <w:t>Market</w:t>
            </w:r>
          </w:p>
        </w:tc>
      </w:tr>
      <w:tr>
        <w:trPr>
          <w:trHeight w:val="300"/>
        </w:trPr>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180"/>
              <w:spacing w:after="0"/>
              <w:rPr>
                <w:sz w:val="20"/>
                <w:szCs w:val="20"/>
                <w:color w:val="auto"/>
              </w:rPr>
            </w:pPr>
            <w:r>
              <w:rPr>
                <w:rFonts w:ascii="Arial" w:cs="Arial" w:eastAsia="Arial" w:hAnsi="Arial"/>
                <w:sz w:val="20"/>
                <w:szCs w:val="20"/>
                <w:b w:val="1"/>
                <w:bCs w:val="1"/>
                <w:color w:val="auto"/>
                <w:w w:val="92"/>
              </w:rPr>
              <w:t>Treasury</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87"/>
              </w:rPr>
              <w:t>Coverage</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88"/>
              </w:rPr>
              <w:t>Preference</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3"/>
              </w:rPr>
              <w:t>Value per</w:t>
            </w:r>
          </w:p>
        </w:tc>
      </w:tr>
      <w:tr>
        <w:trPr>
          <w:trHeight w:val="371"/>
        </w:trPr>
        <w:tc>
          <w:tcPr>
            <w:tcW w:w="2280" w:type="dxa"/>
            <w:vAlign w:val="bottom"/>
          </w:tcPr>
          <w:p>
            <w:pPr>
              <w:spacing w:after="0"/>
              <w:rPr>
                <w:sz w:val="20"/>
                <w:szCs w:val="20"/>
                <w:color w:val="auto"/>
              </w:rPr>
            </w:pPr>
            <w:r>
              <w:rPr>
                <w:rFonts w:ascii="Arial" w:cs="Arial" w:eastAsia="Arial" w:hAnsi="Arial"/>
                <w:sz w:val="20"/>
                <w:szCs w:val="20"/>
                <w:b w:val="1"/>
                <w:bCs w:val="1"/>
                <w:color w:val="auto"/>
              </w:rPr>
              <w:t>Class and Year</w:t>
            </w:r>
          </w:p>
        </w:tc>
        <w:tc>
          <w:tcPr>
            <w:tcW w:w="980" w:type="dxa"/>
            <w:vAlign w:val="bottom"/>
          </w:tcPr>
          <w:p>
            <w:pPr>
              <w:spacing w:after="0"/>
              <w:rPr>
                <w:sz w:val="24"/>
                <w:szCs w:val="24"/>
                <w:color w:val="auto"/>
              </w:rPr>
            </w:pPr>
          </w:p>
        </w:tc>
        <w:tc>
          <w:tcPr>
            <w:tcW w:w="1420" w:type="dxa"/>
            <w:vAlign w:val="bottom"/>
          </w:tcPr>
          <w:p>
            <w:pPr>
              <w:jc w:val="center"/>
              <w:ind w:right="140"/>
              <w:spacing w:after="0"/>
              <w:rPr>
                <w:sz w:val="20"/>
                <w:szCs w:val="20"/>
                <w:color w:val="auto"/>
              </w:rPr>
            </w:pPr>
            <w:r>
              <w:rPr>
                <w:rFonts w:ascii="Arial" w:cs="Arial" w:eastAsia="Arial" w:hAnsi="Arial"/>
                <w:sz w:val="20"/>
                <w:szCs w:val="20"/>
                <w:b w:val="1"/>
                <w:bCs w:val="1"/>
                <w:color w:val="auto"/>
                <w:w w:val="83"/>
              </w:rPr>
              <w:t xml:space="preserve">Securities </w:t>
            </w:r>
            <w:r>
              <w:rPr>
                <w:rFonts w:ascii="Arial" w:cs="Arial" w:eastAsia="Arial" w:hAnsi="Arial"/>
                <w:sz w:val="26"/>
                <w:szCs w:val="26"/>
                <w:b w:val="1"/>
                <w:bCs w:val="1"/>
                <w:color w:val="auto"/>
                <w:w w:val="83"/>
                <w:vertAlign w:val="superscript"/>
              </w:rPr>
              <w:t>(1)</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87"/>
              </w:rPr>
              <w:t xml:space="preserve">per Unit </w:t>
            </w:r>
            <w:r>
              <w:rPr>
                <w:rFonts w:ascii="Arial" w:cs="Arial" w:eastAsia="Arial" w:hAnsi="Arial"/>
                <w:sz w:val="26"/>
                <w:szCs w:val="26"/>
                <w:b w:val="1"/>
                <w:bCs w:val="1"/>
                <w:color w:val="auto"/>
                <w:w w:val="87"/>
                <w:vertAlign w:val="superscript"/>
              </w:rPr>
              <w:t>(2)(5)</w:t>
            </w: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91"/>
              </w:rPr>
              <w:t xml:space="preserve">per Unit </w:t>
            </w:r>
            <w:r>
              <w:rPr>
                <w:rFonts w:ascii="Arial" w:cs="Arial" w:eastAsia="Arial" w:hAnsi="Arial"/>
                <w:sz w:val="26"/>
                <w:szCs w:val="26"/>
                <w:b w:val="1"/>
                <w:bCs w:val="1"/>
                <w:color w:val="auto"/>
                <w:w w:val="91"/>
                <w:vertAlign w:val="superscript"/>
              </w:rPr>
              <w:t>(3)</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8"/>
              </w:rPr>
              <w:t xml:space="preserve">Unit </w:t>
            </w:r>
            <w:r>
              <w:rPr>
                <w:rFonts w:ascii="Arial" w:cs="Arial" w:eastAsia="Arial" w:hAnsi="Arial"/>
                <w:sz w:val="26"/>
                <w:szCs w:val="26"/>
                <w:b w:val="1"/>
                <w:bCs w:val="1"/>
                <w:color w:val="auto"/>
                <w:w w:val="88"/>
                <w:vertAlign w:val="superscript"/>
              </w:rPr>
              <w:t>(4)</w:t>
            </w:r>
          </w:p>
        </w:tc>
      </w:tr>
      <w:tr>
        <w:trPr>
          <w:trHeight w:val="284"/>
        </w:trPr>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SBA Debentures</w:t>
            </w:r>
          </w:p>
        </w:tc>
        <w:tc>
          <w:tcPr>
            <w:tcW w:w="9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84"/>
        </w:trPr>
        <w:tc>
          <w:tcPr>
            <w:tcW w:w="2280" w:type="dxa"/>
            <w:vAlign w:val="bottom"/>
          </w:tcPr>
          <w:p>
            <w:pPr>
              <w:spacing w:after="0"/>
              <w:rPr>
                <w:sz w:val="20"/>
                <w:szCs w:val="20"/>
                <w:color w:val="auto"/>
              </w:rPr>
            </w:pPr>
            <w:r>
              <w:rPr>
                <w:rFonts w:ascii="Arial" w:cs="Arial" w:eastAsia="Arial" w:hAnsi="Arial"/>
                <w:sz w:val="20"/>
                <w:szCs w:val="20"/>
                <w:color w:val="auto"/>
              </w:rPr>
              <w:t>2016</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0"/>
              <w:spacing w:after="0"/>
              <w:rPr>
                <w:sz w:val="20"/>
                <w:szCs w:val="20"/>
                <w:color w:val="auto"/>
              </w:rPr>
            </w:pPr>
            <w:r>
              <w:rPr>
                <w:rFonts w:ascii="Arial" w:cs="Arial" w:eastAsia="Arial" w:hAnsi="Arial"/>
                <w:sz w:val="20"/>
                <w:szCs w:val="20"/>
                <w:color w:val="auto"/>
              </w:rPr>
              <w:t>224,000</w:t>
            </w:r>
          </w:p>
        </w:tc>
        <w:tc>
          <w:tcPr>
            <w:tcW w:w="166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2017</w:t>
            </w:r>
          </w:p>
        </w:tc>
        <w:tc>
          <w:tcPr>
            <w:tcW w:w="9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20"/>
                <w:szCs w:val="20"/>
                <w:color w:val="auto"/>
              </w:rPr>
              <w:t>231,300</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N/A</w:t>
            </w:r>
          </w:p>
        </w:tc>
      </w:tr>
      <w:tr>
        <w:trPr>
          <w:trHeight w:val="284"/>
        </w:trPr>
        <w:tc>
          <w:tcPr>
            <w:tcW w:w="2280" w:type="dxa"/>
            <w:vAlign w:val="bottom"/>
          </w:tcPr>
          <w:p>
            <w:pPr>
              <w:spacing w:after="0"/>
              <w:rPr>
                <w:sz w:val="20"/>
                <w:szCs w:val="20"/>
                <w:color w:val="auto"/>
              </w:rPr>
            </w:pPr>
            <w:r>
              <w:rPr>
                <w:rFonts w:ascii="Arial" w:cs="Arial" w:eastAsia="Arial" w:hAnsi="Arial"/>
                <w:sz w:val="20"/>
                <w:szCs w:val="20"/>
                <w:color w:val="auto"/>
              </w:rPr>
              <w:t>2018</w:t>
            </w:r>
          </w:p>
        </w:tc>
        <w:tc>
          <w:tcPr>
            <w:tcW w:w="980" w:type="dxa"/>
            <w:vAlign w:val="bottom"/>
          </w:tcPr>
          <w:p>
            <w:pPr>
              <w:spacing w:after="0"/>
              <w:rPr>
                <w:sz w:val="24"/>
                <w:szCs w:val="24"/>
                <w:color w:val="auto"/>
              </w:rPr>
            </w:pPr>
          </w:p>
        </w:tc>
        <w:tc>
          <w:tcPr>
            <w:tcW w:w="1420" w:type="dxa"/>
            <w:vAlign w:val="bottom"/>
          </w:tcPr>
          <w:p>
            <w:pPr>
              <w:jc w:val="right"/>
              <w:ind w:right="160"/>
              <w:spacing w:after="0"/>
              <w:rPr>
                <w:sz w:val="20"/>
                <w:szCs w:val="20"/>
                <w:color w:val="auto"/>
              </w:rPr>
            </w:pPr>
            <w:r>
              <w:rPr>
                <w:rFonts w:ascii="Arial" w:cs="Arial" w:eastAsia="Arial" w:hAnsi="Arial"/>
                <w:sz w:val="20"/>
                <w:szCs w:val="20"/>
                <w:color w:val="auto"/>
              </w:rPr>
              <w:t>191,000</w:t>
            </w:r>
          </w:p>
        </w:tc>
        <w:tc>
          <w:tcPr>
            <w:tcW w:w="166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2019</w:t>
            </w:r>
          </w:p>
        </w:tc>
        <w:tc>
          <w:tcPr>
            <w:tcW w:w="9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20"/>
                <w:szCs w:val="20"/>
                <w:color w:val="auto"/>
              </w:rPr>
              <w:t>157,500</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N/A</w:t>
            </w:r>
          </w:p>
        </w:tc>
      </w:tr>
      <w:tr>
        <w:trPr>
          <w:trHeight w:val="284"/>
        </w:trPr>
        <w:tc>
          <w:tcPr>
            <w:tcW w:w="2280" w:type="dxa"/>
            <w:vAlign w:val="bottom"/>
          </w:tcPr>
          <w:p>
            <w:pPr>
              <w:spacing w:after="0"/>
              <w:rPr>
                <w:sz w:val="20"/>
                <w:szCs w:val="20"/>
                <w:color w:val="auto"/>
              </w:rPr>
            </w:pPr>
            <w:r>
              <w:rPr>
                <w:rFonts w:ascii="Arial" w:cs="Arial" w:eastAsia="Arial" w:hAnsi="Arial"/>
                <w:sz w:val="20"/>
                <w:szCs w:val="20"/>
                <w:color w:val="auto"/>
              </w:rPr>
              <w:t>2020</w:t>
            </w:r>
          </w:p>
        </w:tc>
        <w:tc>
          <w:tcPr>
            <w:tcW w:w="980" w:type="dxa"/>
            <w:vAlign w:val="bottom"/>
          </w:tcPr>
          <w:p>
            <w:pPr>
              <w:spacing w:after="0"/>
              <w:rPr>
                <w:sz w:val="24"/>
                <w:szCs w:val="24"/>
                <w:color w:val="auto"/>
              </w:rPr>
            </w:pPr>
          </w:p>
        </w:tc>
        <w:tc>
          <w:tcPr>
            <w:tcW w:w="1420" w:type="dxa"/>
            <w:vAlign w:val="bottom"/>
          </w:tcPr>
          <w:p>
            <w:pPr>
              <w:jc w:val="right"/>
              <w:ind w:right="160"/>
              <w:spacing w:after="0"/>
              <w:rPr>
                <w:sz w:val="20"/>
                <w:szCs w:val="20"/>
                <w:color w:val="auto"/>
              </w:rPr>
            </w:pPr>
            <w:r>
              <w:rPr>
                <w:rFonts w:ascii="Arial" w:cs="Arial" w:eastAsia="Arial" w:hAnsi="Arial"/>
                <w:sz w:val="20"/>
                <w:szCs w:val="20"/>
                <w:color w:val="auto"/>
              </w:rPr>
              <w:t>147,000</w:t>
            </w:r>
          </w:p>
        </w:tc>
        <w:tc>
          <w:tcPr>
            <w:tcW w:w="166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2021</w:t>
            </w:r>
          </w:p>
        </w:tc>
        <w:tc>
          <w:tcPr>
            <w:tcW w:w="9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20"/>
                <w:szCs w:val="20"/>
                <w:color w:val="auto"/>
              </w:rPr>
              <w:t>107,000</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N/A</w:t>
            </w:r>
          </w:p>
        </w:tc>
      </w:tr>
      <w:tr>
        <w:trPr>
          <w:trHeight w:val="284"/>
        </w:trPr>
        <w:tc>
          <w:tcPr>
            <w:tcW w:w="2280" w:type="dxa"/>
            <w:vAlign w:val="bottom"/>
          </w:tcPr>
          <w:p>
            <w:pPr>
              <w:spacing w:after="0"/>
              <w:rPr>
                <w:sz w:val="20"/>
                <w:szCs w:val="20"/>
                <w:color w:val="auto"/>
              </w:rPr>
            </w:pPr>
            <w:r>
              <w:rPr>
                <w:rFonts w:ascii="Arial" w:cs="Arial" w:eastAsia="Arial" w:hAnsi="Arial"/>
                <w:sz w:val="20"/>
                <w:szCs w:val="20"/>
                <w:color w:val="auto"/>
              </w:rPr>
              <w:t>2022</w:t>
            </w:r>
          </w:p>
        </w:tc>
        <w:tc>
          <w:tcPr>
            <w:tcW w:w="980" w:type="dxa"/>
            <w:vAlign w:val="bottom"/>
          </w:tcPr>
          <w:p>
            <w:pPr>
              <w:spacing w:after="0"/>
              <w:rPr>
                <w:sz w:val="24"/>
                <w:szCs w:val="24"/>
                <w:color w:val="auto"/>
              </w:rPr>
            </w:pPr>
          </w:p>
        </w:tc>
        <w:tc>
          <w:tcPr>
            <w:tcW w:w="1420" w:type="dxa"/>
            <w:vAlign w:val="bottom"/>
          </w:tcPr>
          <w:p>
            <w:pPr>
              <w:jc w:val="right"/>
              <w:ind w:right="160"/>
              <w:spacing w:after="0"/>
              <w:rPr>
                <w:sz w:val="20"/>
                <w:szCs w:val="20"/>
                <w:color w:val="auto"/>
              </w:rPr>
            </w:pPr>
            <w:r>
              <w:rPr>
                <w:rFonts w:ascii="Arial" w:cs="Arial" w:eastAsia="Arial" w:hAnsi="Arial"/>
                <w:sz w:val="20"/>
                <w:szCs w:val="20"/>
                <w:color w:val="auto"/>
              </w:rPr>
              <w:t>153,000</w:t>
            </w:r>
          </w:p>
        </w:tc>
        <w:tc>
          <w:tcPr>
            <w:tcW w:w="166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2023</w:t>
            </w:r>
          </w:p>
        </w:tc>
        <w:tc>
          <w:tcPr>
            <w:tcW w:w="9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20"/>
                <w:szCs w:val="20"/>
                <w:color w:val="auto"/>
              </w:rPr>
              <w:t>210,000</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N/A</w:t>
            </w:r>
          </w:p>
        </w:tc>
      </w:tr>
      <w:tr>
        <w:trPr>
          <w:trHeight w:val="284"/>
        </w:trPr>
        <w:tc>
          <w:tcPr>
            <w:tcW w:w="2280" w:type="dxa"/>
            <w:vAlign w:val="bottom"/>
          </w:tcPr>
          <w:p>
            <w:pPr>
              <w:spacing w:after="0"/>
              <w:rPr>
                <w:sz w:val="20"/>
                <w:szCs w:val="20"/>
                <w:color w:val="auto"/>
              </w:rPr>
            </w:pPr>
            <w:r>
              <w:rPr>
                <w:rFonts w:ascii="Arial" w:cs="Arial" w:eastAsia="Arial" w:hAnsi="Arial"/>
                <w:sz w:val="20"/>
                <w:szCs w:val="20"/>
                <w:color w:val="auto"/>
              </w:rPr>
              <w:t>2024</w:t>
            </w:r>
          </w:p>
        </w:tc>
        <w:tc>
          <w:tcPr>
            <w:tcW w:w="980" w:type="dxa"/>
            <w:vAlign w:val="bottom"/>
          </w:tcPr>
          <w:p>
            <w:pPr>
              <w:spacing w:after="0"/>
              <w:rPr>
                <w:sz w:val="24"/>
                <w:szCs w:val="24"/>
                <w:color w:val="auto"/>
              </w:rPr>
            </w:pPr>
          </w:p>
        </w:tc>
        <w:tc>
          <w:tcPr>
            <w:tcW w:w="1420" w:type="dxa"/>
            <w:vAlign w:val="bottom"/>
          </w:tcPr>
          <w:p>
            <w:pPr>
              <w:jc w:val="right"/>
              <w:ind w:right="160"/>
              <w:spacing w:after="0"/>
              <w:rPr>
                <w:sz w:val="20"/>
                <w:szCs w:val="20"/>
                <w:color w:val="auto"/>
              </w:rPr>
            </w:pPr>
            <w:r>
              <w:rPr>
                <w:rFonts w:ascii="Arial" w:cs="Arial" w:eastAsia="Arial" w:hAnsi="Arial"/>
                <w:sz w:val="20"/>
                <w:szCs w:val="20"/>
                <w:color w:val="auto"/>
              </w:rPr>
              <w:t>175,000</w:t>
            </w:r>
          </w:p>
        </w:tc>
        <w:tc>
          <w:tcPr>
            <w:tcW w:w="166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84"/>
        </w:trPr>
        <w:tc>
          <w:tcPr>
            <w:tcW w:w="2280" w:type="dxa"/>
            <w:vAlign w:val="bottom"/>
            <w:shd w:val="clear" w:color="auto" w:fill="CCEEFF"/>
          </w:tcPr>
          <w:p>
            <w:pPr>
              <w:spacing w:after="0"/>
              <w:rPr>
                <w:sz w:val="20"/>
                <w:szCs w:val="20"/>
                <w:color w:val="auto"/>
              </w:rPr>
            </w:pPr>
            <w:r>
              <w:rPr>
                <w:rFonts w:ascii="Arial" w:cs="Arial" w:eastAsia="Arial" w:hAnsi="Arial"/>
                <w:sz w:val="20"/>
                <w:szCs w:val="20"/>
                <w:color w:val="auto"/>
              </w:rPr>
              <w:t>2025</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237,500</w:t>
            </w:r>
          </w:p>
        </w:tc>
        <w:tc>
          <w:tcPr>
            <w:tcW w:w="1660" w:type="dxa"/>
            <w:vAlign w:val="bottom"/>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70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N/A</w:t>
            </w:r>
          </w:p>
        </w:tc>
      </w:tr>
      <w:tr>
        <w:trPr>
          <w:trHeight w:val="50"/>
        </w:trPr>
        <w:tc>
          <w:tcPr>
            <w:tcW w:w="22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11</w:t>
      </w:r>
    </w:p>
    <w:p>
      <w:pPr>
        <w:sectPr>
          <w:pgSz w:w="11900" w:h="16838" w:orient="portrait"/>
          <w:cols w:equalWidth="0" w:num="1">
            <w:col w:w="9400"/>
          </w:cols>
          <w:pgMar w:left="1260" w:top="1440" w:right="1246" w:bottom="0" w:gutter="0" w:footer="0" w:header="0"/>
          <w:type w:val="continuous"/>
        </w:sectPr>
      </w:pPr>
    </w:p>
    <w:bookmarkStart w:id="305" w:name="page306"/>
    <w:bookmarkEnd w:id="305"/>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919480</wp:posOffset>
            </wp:positionV>
            <wp:extent cx="5967730" cy="1993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Revolving Credit Facility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00" w:type="dxa"/>
            <w:vAlign w:val="bottom"/>
          </w:tcPr>
          <w:p>
            <w:pPr>
              <w:spacing w:after="0"/>
              <w:rPr>
                <w:sz w:val="20"/>
                <w:szCs w:val="20"/>
                <w:color w:val="auto"/>
              </w:rPr>
            </w:pPr>
            <w:r>
              <w:rPr>
                <w:rFonts w:ascii="Arial" w:cs="Arial" w:eastAsia="Arial" w:hAnsi="Arial"/>
                <w:sz w:val="20"/>
                <w:szCs w:val="20"/>
                <w:color w:val="auto"/>
              </w:rPr>
              <w:t>2016</w:t>
            </w:r>
          </w:p>
        </w:tc>
        <w:tc>
          <w:tcPr>
            <w:tcW w:w="116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0"/>
                <w:szCs w:val="20"/>
                <w:color w:val="auto"/>
              </w:rPr>
            </w:pPr>
          </w:p>
        </w:tc>
        <w:tc>
          <w:tcPr>
            <w:tcW w:w="1680" w:type="dxa"/>
            <w:vAlign w:val="bottom"/>
          </w:tcPr>
          <w:p>
            <w:pPr>
              <w:jc w:val="right"/>
              <w:ind w:right="740"/>
              <w:spacing w:after="0"/>
              <w:rPr>
                <w:sz w:val="20"/>
                <w:szCs w:val="20"/>
                <w:color w:val="auto"/>
              </w:rPr>
            </w:pPr>
            <w:r>
              <w:rPr>
                <w:rFonts w:ascii="Arial" w:cs="Arial" w:eastAsia="Arial" w:hAnsi="Arial"/>
                <w:sz w:val="20"/>
                <w:szCs w:val="20"/>
                <w:color w:val="auto"/>
              </w:rPr>
              <w:t>N/A</w:t>
            </w:r>
          </w:p>
        </w:tc>
        <w:tc>
          <w:tcPr>
            <w:tcW w:w="148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2017</w:t>
            </w:r>
          </w:p>
        </w:tc>
        <w:tc>
          <w:tcPr>
            <w:tcW w:w="1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11,500</w:t>
            </w:r>
          </w:p>
        </w:tc>
        <w:tc>
          <w:tcPr>
            <w:tcW w:w="5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20"/>
                <w:szCs w:val="20"/>
                <w:color w:val="auto"/>
              </w:rPr>
              <w:t>35,198</w:t>
            </w:r>
          </w:p>
        </w:tc>
        <w:tc>
          <w:tcPr>
            <w:tcW w:w="148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N/A</w:t>
            </w:r>
          </w:p>
        </w:tc>
      </w:tr>
      <w:tr>
        <w:trPr>
          <w:trHeight w:val="284"/>
        </w:trPr>
        <w:tc>
          <w:tcPr>
            <w:tcW w:w="2400" w:type="dxa"/>
            <w:vAlign w:val="bottom"/>
          </w:tcPr>
          <w:p>
            <w:pPr>
              <w:spacing w:after="0"/>
              <w:rPr>
                <w:sz w:val="20"/>
                <w:szCs w:val="20"/>
                <w:color w:val="auto"/>
              </w:rPr>
            </w:pPr>
            <w:r>
              <w:rPr>
                <w:rFonts w:ascii="Arial" w:cs="Arial" w:eastAsia="Arial" w:hAnsi="Arial"/>
                <w:sz w:val="20"/>
                <w:szCs w:val="20"/>
                <w:color w:val="auto"/>
              </w:rPr>
              <w:t>2018</w:t>
            </w:r>
          </w:p>
        </w:tc>
        <w:tc>
          <w:tcPr>
            <w:tcW w:w="116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36,500</w:t>
            </w:r>
          </w:p>
        </w:tc>
        <w:tc>
          <w:tcPr>
            <w:tcW w:w="580" w:type="dxa"/>
            <w:vAlign w:val="bottom"/>
          </w:tcPr>
          <w:p>
            <w:pPr>
              <w:spacing w:after="0"/>
              <w:rPr>
                <w:sz w:val="24"/>
                <w:szCs w:val="24"/>
                <w:color w:val="auto"/>
              </w:rPr>
            </w:pPr>
          </w:p>
        </w:tc>
        <w:tc>
          <w:tcPr>
            <w:tcW w:w="1680" w:type="dxa"/>
            <w:vAlign w:val="bottom"/>
          </w:tcPr>
          <w:p>
            <w:pPr>
              <w:jc w:val="right"/>
              <w:ind w:right="740"/>
              <w:spacing w:after="0"/>
              <w:rPr>
                <w:sz w:val="20"/>
                <w:szCs w:val="20"/>
                <w:color w:val="auto"/>
              </w:rPr>
            </w:pPr>
            <w:r>
              <w:rPr>
                <w:rFonts w:ascii="Arial" w:cs="Arial" w:eastAsia="Arial" w:hAnsi="Arial"/>
                <w:sz w:val="20"/>
                <w:szCs w:val="20"/>
                <w:color w:val="auto"/>
              </w:rPr>
              <w:t>5,659</w:t>
            </w:r>
          </w:p>
        </w:tc>
        <w:tc>
          <w:tcPr>
            <w:tcW w:w="148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2019</w:t>
            </w:r>
          </w:p>
        </w:tc>
        <w:tc>
          <w:tcPr>
            <w:tcW w:w="1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25,000</w:t>
            </w:r>
          </w:p>
        </w:tc>
        <w:tc>
          <w:tcPr>
            <w:tcW w:w="5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20"/>
                <w:szCs w:val="20"/>
                <w:color w:val="auto"/>
              </w:rPr>
              <w:t>2,989</w:t>
            </w:r>
          </w:p>
        </w:tc>
        <w:tc>
          <w:tcPr>
            <w:tcW w:w="148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N/A</w:t>
            </w:r>
          </w:p>
        </w:tc>
      </w:tr>
      <w:tr>
        <w:trPr>
          <w:trHeight w:val="284"/>
        </w:trPr>
        <w:tc>
          <w:tcPr>
            <w:tcW w:w="2400" w:type="dxa"/>
            <w:vAlign w:val="bottom"/>
          </w:tcPr>
          <w:p>
            <w:pPr>
              <w:spacing w:after="0"/>
              <w:rPr>
                <w:sz w:val="20"/>
                <w:szCs w:val="20"/>
                <w:color w:val="auto"/>
              </w:rPr>
            </w:pPr>
            <w:r>
              <w:rPr>
                <w:rFonts w:ascii="Arial" w:cs="Arial" w:eastAsia="Arial" w:hAnsi="Arial"/>
                <w:sz w:val="20"/>
                <w:szCs w:val="20"/>
                <w:color w:val="auto"/>
              </w:rPr>
              <w:t>2020</w:t>
            </w:r>
          </w:p>
        </w:tc>
        <w:tc>
          <w:tcPr>
            <w:tcW w:w="116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4"/>
                <w:szCs w:val="24"/>
                <w:color w:val="auto"/>
              </w:rPr>
            </w:pPr>
          </w:p>
        </w:tc>
        <w:tc>
          <w:tcPr>
            <w:tcW w:w="1680" w:type="dxa"/>
            <w:vAlign w:val="bottom"/>
          </w:tcPr>
          <w:p>
            <w:pPr>
              <w:jc w:val="right"/>
              <w:ind w:right="740"/>
              <w:spacing w:after="0"/>
              <w:rPr>
                <w:sz w:val="20"/>
                <w:szCs w:val="20"/>
                <w:color w:val="auto"/>
              </w:rPr>
            </w:pPr>
            <w:r>
              <w:rPr>
                <w:rFonts w:ascii="Arial" w:cs="Arial" w:eastAsia="Arial" w:hAnsi="Arial"/>
                <w:sz w:val="20"/>
                <w:szCs w:val="20"/>
                <w:color w:val="auto"/>
              </w:rPr>
              <w:t>2,337</w:t>
            </w:r>
          </w:p>
        </w:tc>
        <w:tc>
          <w:tcPr>
            <w:tcW w:w="148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2021</w:t>
            </w:r>
          </w:p>
        </w:tc>
        <w:tc>
          <w:tcPr>
            <w:tcW w:w="1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20"/>
                <w:szCs w:val="20"/>
                <w:color w:val="auto"/>
              </w:rPr>
              <w:t>2,822</w:t>
            </w:r>
          </w:p>
        </w:tc>
        <w:tc>
          <w:tcPr>
            <w:tcW w:w="148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N/A</w:t>
            </w:r>
          </w:p>
        </w:tc>
      </w:tr>
      <w:tr>
        <w:trPr>
          <w:trHeight w:val="284"/>
        </w:trPr>
        <w:tc>
          <w:tcPr>
            <w:tcW w:w="2400" w:type="dxa"/>
            <w:vAlign w:val="bottom"/>
          </w:tcPr>
          <w:p>
            <w:pPr>
              <w:spacing w:after="0"/>
              <w:rPr>
                <w:sz w:val="20"/>
                <w:szCs w:val="20"/>
                <w:color w:val="auto"/>
              </w:rPr>
            </w:pPr>
            <w:r>
              <w:rPr>
                <w:rFonts w:ascii="Arial" w:cs="Arial" w:eastAsia="Arial" w:hAnsi="Arial"/>
                <w:sz w:val="20"/>
                <w:szCs w:val="20"/>
                <w:color w:val="auto"/>
              </w:rPr>
              <w:t>2022</w:t>
            </w:r>
          </w:p>
        </w:tc>
        <w:tc>
          <w:tcPr>
            <w:tcW w:w="116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4"/>
                <w:szCs w:val="24"/>
                <w:color w:val="auto"/>
              </w:rPr>
            </w:pPr>
          </w:p>
        </w:tc>
        <w:tc>
          <w:tcPr>
            <w:tcW w:w="1680" w:type="dxa"/>
            <w:vAlign w:val="bottom"/>
          </w:tcPr>
          <w:p>
            <w:pPr>
              <w:jc w:val="right"/>
              <w:ind w:right="740"/>
              <w:spacing w:after="0"/>
              <w:rPr>
                <w:sz w:val="20"/>
                <w:szCs w:val="20"/>
                <w:color w:val="auto"/>
              </w:rPr>
            </w:pPr>
            <w:r>
              <w:rPr>
                <w:rFonts w:ascii="Arial" w:cs="Arial" w:eastAsia="Arial" w:hAnsi="Arial"/>
                <w:sz w:val="20"/>
                <w:szCs w:val="20"/>
                <w:color w:val="auto"/>
              </w:rPr>
              <w:t>2,800</w:t>
            </w:r>
          </w:p>
        </w:tc>
        <w:tc>
          <w:tcPr>
            <w:tcW w:w="148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2023</w:t>
            </w:r>
          </w:p>
        </w:tc>
        <w:tc>
          <w:tcPr>
            <w:tcW w:w="1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20"/>
                <w:szCs w:val="20"/>
                <w:color w:val="auto"/>
              </w:rPr>
              <w:t>3,217</w:t>
            </w:r>
          </w:p>
        </w:tc>
        <w:tc>
          <w:tcPr>
            <w:tcW w:w="148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N/A</w:t>
            </w:r>
          </w:p>
        </w:tc>
      </w:tr>
      <w:tr>
        <w:trPr>
          <w:trHeight w:val="284"/>
        </w:trPr>
        <w:tc>
          <w:tcPr>
            <w:tcW w:w="2400" w:type="dxa"/>
            <w:vAlign w:val="bottom"/>
          </w:tcPr>
          <w:p>
            <w:pPr>
              <w:spacing w:after="0"/>
              <w:rPr>
                <w:sz w:val="20"/>
                <w:szCs w:val="20"/>
                <w:color w:val="auto"/>
              </w:rPr>
            </w:pPr>
            <w:r>
              <w:rPr>
                <w:rFonts w:ascii="Arial" w:cs="Arial" w:eastAsia="Arial" w:hAnsi="Arial"/>
                <w:sz w:val="20"/>
                <w:szCs w:val="20"/>
                <w:color w:val="auto"/>
              </w:rPr>
              <w:t>2024</w:t>
            </w:r>
          </w:p>
        </w:tc>
        <w:tc>
          <w:tcPr>
            <w:tcW w:w="116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45,000</w:t>
            </w:r>
          </w:p>
        </w:tc>
        <w:tc>
          <w:tcPr>
            <w:tcW w:w="580" w:type="dxa"/>
            <w:vAlign w:val="bottom"/>
          </w:tcPr>
          <w:p>
            <w:pPr>
              <w:spacing w:after="0"/>
              <w:rPr>
                <w:sz w:val="24"/>
                <w:szCs w:val="24"/>
                <w:color w:val="auto"/>
              </w:rPr>
            </w:pPr>
          </w:p>
        </w:tc>
        <w:tc>
          <w:tcPr>
            <w:tcW w:w="1680" w:type="dxa"/>
            <w:vAlign w:val="bottom"/>
          </w:tcPr>
          <w:p>
            <w:pPr>
              <w:jc w:val="right"/>
              <w:ind w:right="740"/>
              <w:spacing w:after="0"/>
              <w:rPr>
                <w:sz w:val="20"/>
                <w:szCs w:val="20"/>
                <w:color w:val="auto"/>
              </w:rPr>
            </w:pPr>
            <w:r>
              <w:rPr>
                <w:rFonts w:ascii="Arial" w:cs="Arial" w:eastAsia="Arial" w:hAnsi="Arial"/>
                <w:sz w:val="20"/>
                <w:szCs w:val="20"/>
                <w:color w:val="auto"/>
              </w:rPr>
              <w:t>3,124</w:t>
            </w:r>
          </w:p>
        </w:tc>
        <w:tc>
          <w:tcPr>
            <w:tcW w:w="148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4"/>
        </w:trPr>
        <w:tc>
          <w:tcPr>
            <w:tcW w:w="2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b w:val="1"/>
                <w:bCs w:val="1"/>
                <w:color w:val="auto"/>
              </w:rPr>
              <w:t>SPV Credit Facility</w:t>
            </w: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1"/>
        </w:trPr>
        <w:tc>
          <w:tcPr>
            <w:tcW w:w="2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4"/>
        </w:trPr>
        <w:tc>
          <w:tcPr>
            <w:tcW w:w="2400" w:type="dxa"/>
            <w:vAlign w:val="bottom"/>
            <w:shd w:val="clear" w:color="auto" w:fill="CCEEFF"/>
          </w:tcPr>
          <w:p>
            <w:pPr>
              <w:spacing w:after="0"/>
              <w:rPr>
                <w:sz w:val="20"/>
                <w:szCs w:val="20"/>
                <w:color w:val="auto"/>
              </w:rPr>
            </w:pPr>
            <w:r>
              <w:rPr>
                <w:rFonts w:ascii="Arial" w:cs="Arial" w:eastAsia="Arial" w:hAnsi="Arial"/>
                <w:sz w:val="20"/>
                <w:szCs w:val="20"/>
                <w:color w:val="auto"/>
              </w:rPr>
              <w:t>2025</w:t>
            </w:r>
          </w:p>
        </w:tc>
        <w:tc>
          <w:tcPr>
            <w:tcW w:w="1160" w:type="dxa"/>
            <w:vAlign w:val="bottom"/>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83,850</w:t>
            </w:r>
          </w:p>
        </w:tc>
        <w:tc>
          <w:tcPr>
            <w:tcW w:w="580" w:type="dxa"/>
            <w:vAlign w:val="bottom"/>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ind w:right="740"/>
              <w:spacing w:after="0"/>
              <w:rPr>
                <w:sz w:val="20"/>
                <w:szCs w:val="20"/>
                <w:color w:val="auto"/>
              </w:rPr>
            </w:pPr>
            <w:r>
              <w:rPr>
                <w:rFonts w:ascii="Arial" w:cs="Arial" w:eastAsia="Arial" w:hAnsi="Arial"/>
                <w:sz w:val="20"/>
                <w:szCs w:val="20"/>
                <w:color w:val="auto"/>
              </w:rPr>
              <w:t>2,763</w:t>
            </w:r>
          </w:p>
        </w:tc>
        <w:tc>
          <w:tcPr>
            <w:tcW w:w="1480" w:type="dxa"/>
            <w:vAlign w:val="bottom"/>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20"/>
                <w:szCs w:val="20"/>
                <w:color w:val="auto"/>
              </w:rPr>
              <w:t>N/A</w:t>
            </w:r>
          </w:p>
        </w:tc>
      </w:tr>
      <w:tr>
        <w:trPr>
          <w:trHeight w:val="50"/>
        </w:trPr>
        <w:tc>
          <w:tcPr>
            <w:tcW w:w="24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5967730" cy="1993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Notes</w:t>
      </w:r>
      <w:r>
        <w:rPr>
          <w:rFonts w:ascii="Arial" w:cs="Arial" w:eastAsia="Arial" w:hAnsi="Arial"/>
          <w:sz w:val="26"/>
          <w:szCs w:val="26"/>
          <w:b w:val="1"/>
          <w:bCs w:val="1"/>
          <w:color w:val="auto"/>
          <w:vertAlign w:val="superscript"/>
        </w:rPr>
        <w:t>(6)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11</w:t>
      </w:r>
    </w:p>
    <w:p>
      <w:pPr>
        <w:sectPr>
          <w:pgSz w:w="11900" w:h="16838" w:orient="portrait"/>
          <w:cols w:equalWidth="0" w:num="1">
            <w:col w:w="9400"/>
          </w:cols>
          <w:pgMar w:left="1260" w:top="1440" w:right="1246" w:bottom="0" w:gutter="0" w:footer="0" w:header="0"/>
          <w:type w:val="continuous"/>
        </w:sectPr>
      </w:pPr>
    </w:p>
    <w:bookmarkStart w:id="306" w:name="page307"/>
    <w:bookmarkEnd w:id="306"/>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4420" w:type="dxa"/>
            <w:vAlign w:val="bottom"/>
            <w:gridSpan w:val="4"/>
          </w:tcPr>
          <w:p>
            <w:pPr>
              <w:jc w:val="center"/>
              <w:ind w:left="220"/>
              <w:spacing w:after="0"/>
              <w:rPr>
                <w:sz w:val="20"/>
                <w:szCs w:val="20"/>
                <w:color w:val="auto"/>
              </w:rPr>
            </w:pPr>
            <w:r>
              <w:rPr>
                <w:rFonts w:ascii="Arial" w:cs="Arial" w:eastAsia="Arial" w:hAnsi="Arial"/>
                <w:sz w:val="20"/>
                <w:szCs w:val="20"/>
                <w:b w:val="1"/>
                <w:bCs w:val="1"/>
                <w:color w:val="auto"/>
              </w:rPr>
              <w:t>FIDUS INVESTMENT CORPORATION</w:t>
            </w:r>
          </w:p>
        </w:tc>
      </w:tr>
      <w:tr>
        <w:trPr>
          <w:trHeight w:val="300"/>
        </w:trPr>
        <w:tc>
          <w:tcPr>
            <w:tcW w:w="2320" w:type="dxa"/>
            <w:vAlign w:val="bottom"/>
          </w:tcPr>
          <w:p>
            <w:pPr>
              <w:spacing w:after="0"/>
              <w:rPr>
                <w:sz w:val="24"/>
                <w:szCs w:val="24"/>
                <w:color w:val="auto"/>
              </w:rPr>
            </w:pPr>
          </w:p>
        </w:tc>
        <w:tc>
          <w:tcPr>
            <w:tcW w:w="4420" w:type="dxa"/>
            <w:vAlign w:val="bottom"/>
            <w:gridSpan w:val="4"/>
          </w:tcPr>
          <w:p>
            <w:pPr>
              <w:jc w:val="center"/>
              <w:ind w:left="220"/>
              <w:spacing w:after="0"/>
              <w:rPr>
                <w:sz w:val="20"/>
                <w:szCs w:val="20"/>
                <w:color w:val="auto"/>
              </w:rPr>
            </w:pPr>
            <w:r>
              <w:rPr>
                <w:rFonts w:ascii="Arial" w:cs="Arial" w:eastAsia="Arial" w:hAnsi="Arial"/>
                <w:sz w:val="20"/>
                <w:szCs w:val="20"/>
                <w:b w:val="1"/>
                <w:bCs w:val="1"/>
                <w:color w:val="auto"/>
                <w:w w:val="88"/>
              </w:rPr>
              <w:t>Notes to Consolidated Financial Statements</w:t>
            </w:r>
          </w:p>
        </w:tc>
      </w:tr>
      <w:tr>
        <w:trPr>
          <w:trHeight w:val="300"/>
        </w:trPr>
        <w:tc>
          <w:tcPr>
            <w:tcW w:w="2320" w:type="dxa"/>
            <w:vAlign w:val="bottom"/>
          </w:tcPr>
          <w:p>
            <w:pPr>
              <w:spacing w:after="0"/>
              <w:rPr>
                <w:sz w:val="24"/>
                <w:szCs w:val="24"/>
                <w:color w:val="auto"/>
              </w:rPr>
            </w:pPr>
          </w:p>
        </w:tc>
        <w:tc>
          <w:tcPr>
            <w:tcW w:w="4420" w:type="dxa"/>
            <w:vAlign w:val="bottom"/>
            <w:gridSpan w:val="4"/>
          </w:tcPr>
          <w:p>
            <w:pPr>
              <w:jc w:val="center"/>
              <w:ind w:left="220"/>
              <w:spacing w:after="0"/>
              <w:rPr>
                <w:sz w:val="20"/>
                <w:szCs w:val="20"/>
                <w:color w:val="auto"/>
              </w:rPr>
            </w:pPr>
            <w:r>
              <w:rPr>
                <w:rFonts w:ascii="Arial" w:cs="Arial" w:eastAsia="Arial" w:hAnsi="Arial"/>
                <w:sz w:val="20"/>
                <w:szCs w:val="20"/>
                <w:b w:val="1"/>
                <w:bCs w:val="1"/>
                <w:color w:val="auto"/>
                <w:w w:val="88"/>
              </w:rPr>
              <w:t>(in thousands, except shares and per share data)</w:t>
            </w:r>
          </w:p>
        </w:tc>
      </w:tr>
      <w:tr>
        <w:trPr>
          <w:trHeight w:val="474"/>
        </w:trPr>
        <w:tc>
          <w:tcPr>
            <w:tcW w:w="2320" w:type="dxa"/>
            <w:vAlign w:val="bottom"/>
          </w:tcPr>
          <w:p>
            <w:pPr>
              <w:spacing w:after="0"/>
              <w:rPr>
                <w:sz w:val="20"/>
                <w:szCs w:val="20"/>
                <w:color w:val="auto"/>
              </w:rPr>
            </w:pPr>
            <w:r>
              <w:rPr>
                <w:rFonts w:ascii="Arial" w:cs="Arial" w:eastAsia="Arial" w:hAnsi="Arial"/>
                <w:sz w:val="20"/>
                <w:szCs w:val="20"/>
                <w:color w:val="auto"/>
              </w:rPr>
              <w:t>2018</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50,000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5,659</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2019</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50,000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2,989</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2020</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50,000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2,337</w:t>
            </w:r>
          </w:p>
        </w:tc>
      </w:tr>
      <w:tr>
        <w:trPr>
          <w:trHeight w:val="730"/>
        </w:trPr>
        <w:tc>
          <w:tcPr>
            <w:tcW w:w="2320" w:type="dxa"/>
            <w:vAlign w:val="bottom"/>
          </w:tcPr>
          <w:p>
            <w:pPr>
              <w:spacing w:after="0"/>
              <w:rPr>
                <w:sz w:val="20"/>
                <w:szCs w:val="20"/>
                <w:color w:val="auto"/>
              </w:rPr>
            </w:pPr>
            <w:r>
              <w:rPr>
                <w:rFonts w:ascii="Arial" w:cs="Arial" w:eastAsia="Arial" w:hAnsi="Arial"/>
                <w:sz w:val="20"/>
                <w:szCs w:val="20"/>
                <w:b w:val="1"/>
                <w:bCs w:val="1"/>
                <w:color w:val="auto"/>
              </w:rPr>
              <w:t>February 2024 Notes</w:t>
            </w:r>
            <w:r>
              <w:rPr>
                <w:rFonts w:ascii="Arial" w:cs="Arial" w:eastAsia="Arial" w:hAnsi="Arial"/>
                <w:sz w:val="26"/>
                <w:szCs w:val="26"/>
                <w:b w:val="1"/>
                <w:bCs w:val="1"/>
                <w:color w:val="auto"/>
                <w:vertAlign w:val="superscript"/>
              </w:rPr>
              <w:t>(6)</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3"/>
        </w:trPr>
        <w:tc>
          <w:tcPr>
            <w:tcW w:w="2320" w:type="dxa"/>
            <w:vAlign w:val="bottom"/>
          </w:tcPr>
          <w:p>
            <w:pPr>
              <w:spacing w:after="0"/>
              <w:rPr>
                <w:sz w:val="20"/>
                <w:szCs w:val="20"/>
                <w:color w:val="auto"/>
              </w:rPr>
            </w:pPr>
            <w:r>
              <w:rPr>
                <w:rFonts w:ascii="Arial" w:cs="Arial" w:eastAsia="Arial" w:hAnsi="Arial"/>
                <w:sz w:val="20"/>
                <w:szCs w:val="20"/>
                <w:color w:val="auto"/>
              </w:rPr>
              <w:t>2019</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69,000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2,989</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2020</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69,000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2,337</w:t>
            </w:r>
          </w:p>
        </w:tc>
      </w:tr>
      <w:tr>
        <w:trPr>
          <w:trHeight w:val="730"/>
        </w:trPr>
        <w:tc>
          <w:tcPr>
            <w:tcW w:w="2320" w:type="dxa"/>
            <w:vAlign w:val="bottom"/>
          </w:tcPr>
          <w:p>
            <w:pPr>
              <w:spacing w:after="0"/>
              <w:rPr>
                <w:sz w:val="20"/>
                <w:szCs w:val="20"/>
                <w:color w:val="auto"/>
              </w:rPr>
            </w:pPr>
            <w:r>
              <w:rPr>
                <w:rFonts w:ascii="Arial" w:cs="Arial" w:eastAsia="Arial" w:hAnsi="Arial"/>
                <w:sz w:val="20"/>
                <w:szCs w:val="20"/>
                <w:b w:val="1"/>
                <w:bCs w:val="1"/>
                <w:color w:val="auto"/>
                <w:w w:val="99"/>
              </w:rPr>
              <w:t>November 2024 Notes</w:t>
            </w:r>
            <w:r>
              <w:rPr>
                <w:rFonts w:ascii="Arial" w:cs="Arial" w:eastAsia="Arial" w:hAnsi="Arial"/>
                <w:sz w:val="26"/>
                <w:szCs w:val="26"/>
                <w:b w:val="1"/>
                <w:bCs w:val="1"/>
                <w:color w:val="auto"/>
                <w:w w:val="99"/>
                <w:vertAlign w:val="superscript"/>
              </w:rPr>
              <w:t>(6)</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3"/>
        </w:trPr>
        <w:tc>
          <w:tcPr>
            <w:tcW w:w="2320" w:type="dxa"/>
            <w:vAlign w:val="bottom"/>
          </w:tcPr>
          <w:p>
            <w:pPr>
              <w:spacing w:after="0"/>
              <w:rPr>
                <w:sz w:val="20"/>
                <w:szCs w:val="20"/>
                <w:color w:val="auto"/>
              </w:rPr>
            </w:pPr>
            <w:r>
              <w:rPr>
                <w:rFonts w:ascii="Arial" w:cs="Arial" w:eastAsia="Arial" w:hAnsi="Arial"/>
                <w:sz w:val="20"/>
                <w:szCs w:val="20"/>
                <w:color w:val="auto"/>
              </w:rPr>
              <w:t>2019</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63,250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2,989</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2020</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63,250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2,337</w:t>
            </w:r>
          </w:p>
        </w:tc>
      </w:tr>
      <w:tr>
        <w:trPr>
          <w:trHeight w:val="730"/>
        </w:trPr>
        <w:tc>
          <w:tcPr>
            <w:tcW w:w="2320" w:type="dxa"/>
            <w:vAlign w:val="bottom"/>
          </w:tcPr>
          <w:p>
            <w:pPr>
              <w:spacing w:after="0"/>
              <w:rPr>
                <w:sz w:val="20"/>
                <w:szCs w:val="20"/>
                <w:color w:val="auto"/>
              </w:rPr>
            </w:pPr>
            <w:r>
              <w:rPr>
                <w:rFonts w:ascii="Arial" w:cs="Arial" w:eastAsia="Arial" w:hAnsi="Arial"/>
                <w:sz w:val="20"/>
                <w:szCs w:val="20"/>
                <w:b w:val="1"/>
                <w:bCs w:val="1"/>
                <w:color w:val="auto"/>
              </w:rPr>
              <w:t>January 2026 Notes</w:t>
            </w:r>
            <w:r>
              <w:rPr>
                <w:rFonts w:ascii="Arial" w:cs="Arial" w:eastAsia="Arial" w:hAnsi="Arial"/>
                <w:sz w:val="26"/>
                <w:szCs w:val="26"/>
                <w:b w:val="1"/>
                <w:bCs w:val="1"/>
                <w:color w:val="auto"/>
                <w:vertAlign w:val="superscript"/>
              </w:rPr>
              <w:t>(6)</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3"/>
        </w:trPr>
        <w:tc>
          <w:tcPr>
            <w:tcW w:w="2320" w:type="dxa"/>
            <w:vAlign w:val="bottom"/>
          </w:tcPr>
          <w:p>
            <w:pPr>
              <w:spacing w:after="0"/>
              <w:rPr>
                <w:sz w:val="20"/>
                <w:szCs w:val="20"/>
                <w:color w:val="auto"/>
              </w:rPr>
            </w:pPr>
            <w:r>
              <w:rPr>
                <w:rFonts w:ascii="Arial" w:cs="Arial" w:eastAsia="Arial" w:hAnsi="Arial"/>
                <w:sz w:val="20"/>
                <w:szCs w:val="20"/>
                <w:color w:val="auto"/>
              </w:rPr>
              <w:t>2020</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2,337</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2021</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2,822</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2022</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2,800</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2023</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3,217</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2024</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3,124</w:t>
            </w:r>
          </w:p>
        </w:tc>
      </w:tr>
      <w:tr>
        <w:trPr>
          <w:trHeight w:val="658"/>
        </w:trPr>
        <w:tc>
          <w:tcPr>
            <w:tcW w:w="2320" w:type="dxa"/>
            <w:vAlign w:val="bottom"/>
          </w:tcPr>
          <w:p>
            <w:pPr>
              <w:spacing w:after="0"/>
              <w:rPr>
                <w:sz w:val="20"/>
                <w:szCs w:val="20"/>
                <w:color w:val="auto"/>
              </w:rPr>
            </w:pPr>
            <w:r>
              <w:rPr>
                <w:rFonts w:ascii="Arial" w:cs="Arial" w:eastAsia="Arial" w:hAnsi="Arial"/>
                <w:sz w:val="20"/>
                <w:szCs w:val="20"/>
                <w:b w:val="1"/>
                <w:bCs w:val="1"/>
                <w:color w:val="auto"/>
              </w:rPr>
              <w:t>November 2026 Notes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20"/>
                <w:szCs w:val="20"/>
                <w:color w:val="auto"/>
              </w:rPr>
              <w:t>2021</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2,822</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2022</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2,800</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2023</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3,217</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2024</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3,124</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2025</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125,000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2,763</w:t>
            </w:r>
          </w:p>
        </w:tc>
      </w:tr>
      <w:tr>
        <w:trPr>
          <w:trHeight w:val="639"/>
        </w:trPr>
        <w:tc>
          <w:tcPr>
            <w:tcW w:w="2320" w:type="dxa"/>
            <w:vAlign w:val="bottom"/>
          </w:tcPr>
          <w:p>
            <w:pPr>
              <w:spacing w:after="0"/>
              <w:rPr>
                <w:sz w:val="20"/>
                <w:szCs w:val="20"/>
                <w:color w:val="auto"/>
              </w:rPr>
            </w:pPr>
            <w:r>
              <w:rPr>
                <w:rFonts w:ascii="Arial" w:cs="Arial" w:eastAsia="Arial" w:hAnsi="Arial"/>
                <w:sz w:val="20"/>
                <w:szCs w:val="20"/>
                <w:b w:val="1"/>
                <w:bCs w:val="1"/>
                <w:color w:val="auto"/>
              </w:rPr>
              <w:t>March 2030 Notes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20"/>
                <w:szCs w:val="20"/>
                <w:color w:val="auto"/>
              </w:rPr>
              <w:t>2025</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200,000</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2,763</w:t>
            </w:r>
          </w:p>
        </w:tc>
      </w:tr>
      <w:tr>
        <w:trPr>
          <w:trHeight w:val="639"/>
        </w:trPr>
        <w:tc>
          <w:tcPr>
            <w:tcW w:w="2320" w:type="dxa"/>
            <w:vAlign w:val="bottom"/>
          </w:tcPr>
          <w:p>
            <w:pPr>
              <w:spacing w:after="0"/>
              <w:rPr>
                <w:sz w:val="20"/>
                <w:szCs w:val="20"/>
                <w:color w:val="auto"/>
              </w:rPr>
            </w:pPr>
            <w:r>
              <w:rPr>
                <w:rFonts w:ascii="Arial" w:cs="Arial" w:eastAsia="Arial" w:hAnsi="Arial"/>
                <w:sz w:val="20"/>
                <w:szCs w:val="20"/>
                <w:b w:val="1"/>
                <w:bCs w:val="1"/>
                <w:color w:val="auto"/>
              </w:rPr>
              <w:t>Secured Borrowings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2021</w:t>
            </w:r>
          </w:p>
        </w:tc>
        <w:tc>
          <w:tcPr>
            <w:tcW w:w="12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17,637</w:t>
            </w:r>
          </w:p>
        </w:tc>
        <w:tc>
          <w:tcPr>
            <w:tcW w:w="64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2,822</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2022</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16,880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2,800</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2023</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15,880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3,217</w:t>
            </w:r>
          </w:p>
        </w:tc>
      </w:tr>
      <w:tr>
        <w:trPr>
          <w:trHeight w:val="324"/>
        </w:trPr>
        <w:tc>
          <w:tcPr>
            <w:tcW w:w="2320" w:type="dxa"/>
            <w:vAlign w:val="bottom"/>
          </w:tcPr>
          <w:p>
            <w:pPr>
              <w:spacing w:after="0"/>
              <w:rPr>
                <w:sz w:val="20"/>
                <w:szCs w:val="20"/>
                <w:color w:val="auto"/>
              </w:rPr>
            </w:pPr>
            <w:r>
              <w:rPr>
                <w:rFonts w:ascii="Arial" w:cs="Arial" w:eastAsia="Arial" w:hAnsi="Arial"/>
                <w:sz w:val="20"/>
                <w:szCs w:val="20"/>
                <w:color w:val="auto"/>
              </w:rPr>
              <w:t>2024</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13,674</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3,124</w:t>
            </w:r>
          </w:p>
        </w:tc>
      </w:tr>
      <w:tr>
        <w:trPr>
          <w:trHeight w:val="334"/>
        </w:trPr>
        <w:tc>
          <w:tcPr>
            <w:tcW w:w="2320" w:type="dxa"/>
            <w:vAlign w:val="bottom"/>
          </w:tcPr>
          <w:p>
            <w:pPr>
              <w:spacing w:after="0"/>
              <w:rPr>
                <w:sz w:val="20"/>
                <w:szCs w:val="20"/>
                <w:color w:val="auto"/>
              </w:rPr>
            </w:pPr>
            <w:r>
              <w:rPr>
                <w:rFonts w:ascii="Arial" w:cs="Arial" w:eastAsia="Arial" w:hAnsi="Arial"/>
                <w:sz w:val="20"/>
                <w:szCs w:val="20"/>
                <w:color w:val="auto"/>
              </w:rPr>
              <w:t>2025</w:t>
            </w:r>
          </w:p>
        </w:tc>
        <w:tc>
          <w:tcPr>
            <w:tcW w:w="122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12,000</w:t>
            </w:r>
          </w:p>
        </w:tc>
        <w:tc>
          <w:tcPr>
            <w:tcW w:w="640" w:type="dxa"/>
            <w:vAlign w:val="bottom"/>
          </w:tcPr>
          <w:p>
            <w:pPr>
              <w:spacing w:after="0"/>
              <w:rPr>
                <w:sz w:val="24"/>
                <w:szCs w:val="24"/>
                <w:color w:val="auto"/>
              </w:rPr>
            </w:pPr>
          </w:p>
        </w:tc>
        <w:tc>
          <w:tcPr>
            <w:tcW w:w="1500" w:type="dxa"/>
            <w:vAlign w:val="bottom"/>
          </w:tcPr>
          <w:p>
            <w:pPr>
              <w:jc w:val="right"/>
              <w:ind w:right="620"/>
              <w:spacing w:after="0"/>
              <w:rPr>
                <w:sz w:val="20"/>
                <w:szCs w:val="20"/>
                <w:color w:val="auto"/>
              </w:rPr>
            </w:pPr>
            <w:r>
              <w:rPr>
                <w:rFonts w:ascii="Arial" w:cs="Arial" w:eastAsia="Arial" w:hAnsi="Arial"/>
                <w:sz w:val="20"/>
                <w:szCs w:val="20"/>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-7080885</wp:posOffset>
            </wp:positionV>
            <wp:extent cx="5967730" cy="2120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-6656705</wp:posOffset>
            </wp:positionV>
            <wp:extent cx="5967730" cy="2120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-6244590</wp:posOffset>
            </wp:positionV>
            <wp:extent cx="5967730" cy="2120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-5820410</wp:posOffset>
            </wp:positionV>
            <wp:extent cx="5967730" cy="2120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-5408930</wp:posOffset>
            </wp:positionV>
            <wp:extent cx="5967730" cy="2120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-4984115</wp:posOffset>
            </wp:positionV>
            <wp:extent cx="5967730" cy="2120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-4572635</wp:posOffset>
            </wp:positionV>
            <wp:extent cx="5967730" cy="2120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-4148455</wp:posOffset>
            </wp:positionV>
            <wp:extent cx="5967730" cy="2120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-3723640</wp:posOffset>
            </wp:positionV>
            <wp:extent cx="5967730" cy="2120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-3299460</wp:posOffset>
            </wp:positionV>
            <wp:extent cx="5967730" cy="1993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-2887980</wp:posOffset>
            </wp:positionV>
            <wp:extent cx="5967730" cy="2120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-2463165</wp:posOffset>
            </wp:positionV>
            <wp:extent cx="5967730" cy="2120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-2038985</wp:posOffset>
            </wp:positionV>
            <wp:extent cx="5967730" cy="1993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-1639570</wp:posOffset>
            </wp:positionV>
            <wp:extent cx="5967730" cy="2120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-1228090</wp:posOffset>
            </wp:positionV>
            <wp:extent cx="5967730" cy="1993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-815975</wp:posOffset>
            </wp:positionV>
            <wp:extent cx="5967730" cy="2120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-391795</wp:posOffset>
            </wp:positionV>
            <wp:extent cx="5967730" cy="2120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7730" cy="212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5967730" cy="1993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(1) Total amount of each class of senior securities outstanding at the end of the period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40"/>
              <w:spacing w:after="0"/>
              <w:rPr>
                <w:sz w:val="20"/>
                <w:szCs w:val="20"/>
                <w:color w:val="auto"/>
              </w:rPr>
            </w:pPr>
            <w:r>
              <w:rPr>
                <w:rFonts w:ascii="Arial" w:cs="Arial" w:eastAsia="Arial" w:hAnsi="Arial"/>
                <w:sz w:val="20"/>
                <w:szCs w:val="20"/>
                <w:color w:val="auto"/>
              </w:rPr>
              <w:t>*   $</w:t>
            </w:r>
          </w:p>
        </w:tc>
        <w:tc>
          <w:tcPr>
            <w:tcW w:w="800" w:type="dxa"/>
            <w:vAlign w:val="bottom"/>
          </w:tcPr>
          <w:p>
            <w:pPr>
              <w:jc w:val="right"/>
              <w:spacing w:after="0"/>
              <w:rPr>
                <w:sz w:val="20"/>
                <w:szCs w:val="20"/>
                <w:color w:val="auto"/>
              </w:rPr>
            </w:pPr>
            <w:r>
              <w:rPr>
                <w:rFonts w:ascii="Arial" w:cs="Arial" w:eastAsia="Arial" w:hAnsi="Arial"/>
                <w:sz w:val="20"/>
                <w:szCs w:val="20"/>
                <w:color w:val="auto"/>
              </w:rPr>
              <w:t>25.74</w:t>
            </w:r>
          </w:p>
        </w:tc>
      </w:tr>
    </w:tbl>
    <w:p>
      <w:pPr>
        <w:spacing w:after="0" w:line="114" w:lineRule="exact"/>
        <w:rPr>
          <w:sz w:val="20"/>
          <w:szCs w:val="20"/>
          <w:color w:val="auto"/>
        </w:rPr>
      </w:pPr>
    </w:p>
    <w:p>
      <w:pPr>
        <w:ind w:left="1140" w:hanging="1140"/>
        <w:spacing w:after="0"/>
        <w:tabs>
          <w:tab w:leader="none" w:pos="11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25.81</w:t>
      </w:r>
    </w:p>
    <w:p>
      <w:pPr>
        <w:spacing w:after="0" w:line="138" w:lineRule="exact"/>
        <w:rPr>
          <w:rFonts w:ascii="Arial" w:cs="Arial" w:eastAsia="Arial" w:hAnsi="Arial"/>
          <w:sz w:val="17"/>
          <w:szCs w:val="17"/>
          <w:color w:val="auto"/>
        </w:rPr>
      </w:pPr>
    </w:p>
    <w:p>
      <w:pPr>
        <w:ind w:left="1140" w:hanging="1140"/>
        <w:spacing w:after="0"/>
        <w:tabs>
          <w:tab w:leader="none" w:pos="11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24.12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40"/>
              <w:spacing w:after="0"/>
              <w:rPr>
                <w:sz w:val="20"/>
                <w:szCs w:val="20"/>
                <w:color w:val="auto"/>
              </w:rPr>
            </w:pPr>
            <w:r>
              <w:rPr>
                <w:rFonts w:ascii="Arial" w:cs="Arial" w:eastAsia="Arial" w:hAnsi="Arial"/>
                <w:sz w:val="20"/>
                <w:szCs w:val="20"/>
                <w:color w:val="auto"/>
              </w:rPr>
              <w:t>*   $</w:t>
            </w:r>
          </w:p>
        </w:tc>
        <w:tc>
          <w:tcPr>
            <w:tcW w:w="800" w:type="dxa"/>
            <w:vAlign w:val="bottom"/>
          </w:tcPr>
          <w:p>
            <w:pPr>
              <w:jc w:val="right"/>
              <w:spacing w:after="0"/>
              <w:rPr>
                <w:sz w:val="20"/>
                <w:szCs w:val="20"/>
                <w:color w:val="auto"/>
              </w:rPr>
            </w:pPr>
            <w:r>
              <w:rPr>
                <w:rFonts w:ascii="Arial" w:cs="Arial" w:eastAsia="Arial" w:hAnsi="Arial"/>
                <w:sz w:val="20"/>
                <w:szCs w:val="20"/>
                <w:color w:val="auto"/>
              </w:rPr>
              <w:t>25.97</w:t>
            </w:r>
          </w:p>
        </w:tc>
      </w:tr>
    </w:tbl>
    <w:p>
      <w:pPr>
        <w:spacing w:after="0" w:line="114" w:lineRule="exact"/>
        <w:rPr>
          <w:sz w:val="20"/>
          <w:szCs w:val="20"/>
          <w:color w:val="auto"/>
        </w:rPr>
      </w:pPr>
    </w:p>
    <w:p>
      <w:pPr>
        <w:ind w:left="1140" w:hanging="1140"/>
        <w:spacing w:after="0"/>
        <w:tabs>
          <w:tab w:leader="none" w:pos="11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24.60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40"/>
              <w:spacing w:after="0"/>
              <w:rPr>
                <w:sz w:val="20"/>
                <w:szCs w:val="20"/>
                <w:color w:val="auto"/>
              </w:rPr>
            </w:pPr>
            <w:r>
              <w:rPr>
                <w:rFonts w:ascii="Arial" w:cs="Arial" w:eastAsia="Arial" w:hAnsi="Arial"/>
                <w:sz w:val="20"/>
                <w:szCs w:val="20"/>
                <w:color w:val="auto"/>
              </w:rPr>
              <w:t>*   $</w:t>
            </w:r>
          </w:p>
        </w:tc>
        <w:tc>
          <w:tcPr>
            <w:tcW w:w="800" w:type="dxa"/>
            <w:vAlign w:val="bottom"/>
          </w:tcPr>
          <w:p>
            <w:pPr>
              <w:jc w:val="right"/>
              <w:spacing w:after="0"/>
              <w:rPr>
                <w:sz w:val="20"/>
                <w:szCs w:val="20"/>
                <w:color w:val="auto"/>
              </w:rPr>
            </w:pPr>
            <w:r>
              <w:rPr>
                <w:rFonts w:ascii="Arial" w:cs="Arial" w:eastAsia="Arial" w:hAnsi="Arial"/>
                <w:sz w:val="20"/>
                <w:szCs w:val="20"/>
                <w:color w:val="auto"/>
              </w:rPr>
              <w:t>25.75</w:t>
            </w:r>
          </w:p>
        </w:tc>
      </w:tr>
    </w:tbl>
    <w:p>
      <w:pPr>
        <w:spacing w:after="0" w:line="114" w:lineRule="exact"/>
        <w:rPr>
          <w:sz w:val="20"/>
          <w:szCs w:val="20"/>
          <w:color w:val="auto"/>
        </w:rPr>
      </w:pPr>
    </w:p>
    <w:p>
      <w:pPr>
        <w:ind w:left="1140" w:hanging="1140"/>
        <w:spacing w:after="0"/>
        <w:tabs>
          <w:tab w:leader="none" w:pos="11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23.20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40" w:hanging="1240"/>
        <w:spacing w:after="0"/>
        <w:tabs>
          <w:tab w:leader="none" w:pos="12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40" w:hanging="1240"/>
        <w:spacing w:after="0"/>
        <w:tabs>
          <w:tab w:leader="none" w:pos="124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hanging="1240"/>
        <w:spacing w:after="0"/>
        <w:tabs>
          <w:tab w:leader="none" w:pos="12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hanging="1240"/>
        <w:spacing w:after="0"/>
        <w:tabs>
          <w:tab w:leader="none" w:pos="12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sz w:val="20"/>
          <w:szCs w:val="20"/>
          <w:color w:val="auto"/>
        </w:rPr>
      </w:pPr>
    </w:p>
    <w:p>
      <w:pPr>
        <w:ind w:left="1240" w:hanging="1240"/>
        <w:spacing w:after="0"/>
        <w:tabs>
          <w:tab w:leader="none" w:pos="12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N/A</w:t>
      </w:r>
    </w:p>
    <w:p>
      <w:pPr>
        <w:spacing w:after="0" w:line="104" w:lineRule="exact"/>
        <w:rPr>
          <w:rFonts w:ascii="Arial" w:cs="Arial" w:eastAsia="Arial" w:hAnsi="Arial"/>
          <w:sz w:val="20"/>
          <w:szCs w:val="20"/>
          <w:color w:val="auto"/>
        </w:rPr>
      </w:pPr>
    </w:p>
    <w:p>
      <w:pPr>
        <w:ind w:left="1240" w:hanging="1240"/>
        <w:spacing w:after="0"/>
        <w:tabs>
          <w:tab w:leader="none" w:pos="12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N/A</w:t>
      </w:r>
    </w:p>
    <w:p>
      <w:pPr>
        <w:spacing w:after="0" w:line="1112" w:lineRule="exact"/>
        <w:rPr>
          <w:sz w:val="20"/>
          <w:szCs w:val="20"/>
          <w:color w:val="auto"/>
        </w:rPr>
      </w:pPr>
    </w:p>
    <w:p>
      <w:pPr>
        <w:sectPr>
          <w:pgSz w:w="11900" w:h="16838" w:orient="portrait"/>
          <w:cols w:equalWidth="0" w:num="2">
            <w:col w:w="6980" w:space="720"/>
            <w:col w:w="1580"/>
          </w:cols>
          <w:pgMar w:left="1260"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 / 11</w:t>
      </w:r>
    </w:p>
    <w:p>
      <w:pPr>
        <w:sectPr>
          <w:pgSz w:w="11900" w:h="16838" w:orient="portrait"/>
          <w:cols w:equalWidth="0" w:num="1">
            <w:col w:w="9280"/>
          </w:cols>
          <w:pgMar w:left="1260" w:top="1440" w:right="1366" w:bottom="0" w:gutter="0" w:footer="0" w:header="0"/>
          <w:type w:val="continuous"/>
        </w:sectPr>
      </w:pPr>
    </w:p>
    <w:bookmarkStart w:id="307" w:name="page308"/>
    <w:bookmarkEnd w:id="307"/>
    <w:p>
      <w:pPr>
        <w:jc w:val="both"/>
        <w:ind w:left="186" w:hanging="186"/>
        <w:spacing w:after="0" w:line="386" w:lineRule="auto"/>
        <w:tabs>
          <w:tab w:leader="none" w:pos="22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2" w:lineRule="exact"/>
        <w:rPr>
          <w:rFonts w:ascii="Arial" w:cs="Arial" w:eastAsia="Arial" w:hAnsi="Arial"/>
          <w:sz w:val="16"/>
          <w:szCs w:val="16"/>
          <w:color w:val="auto"/>
        </w:rPr>
      </w:pPr>
    </w:p>
    <w:p>
      <w:pPr>
        <w:ind w:left="186" w:hanging="186"/>
        <w:spacing w:after="0" w:line="447" w:lineRule="auto"/>
        <w:tabs>
          <w:tab w:leader="none" w:pos="225"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jc w:val="both"/>
        <w:ind w:left="186" w:right="20" w:hanging="186"/>
        <w:spacing w:after="0" w:line="447" w:lineRule="auto"/>
        <w:tabs>
          <w:tab w:leader="none" w:pos="22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Not applicable to SBA debentures, the Revolving Credit Facility, the SPV Credit Facility, the January 2026 Notes, the November 2026 Notes, the March 2030 Notes, and Secured Borrowings because these senior securities are not registered for public trading. The average market value per unit for the 2023 Notes, February 2024 Notes, and the November 2024 Notes was based on the average of the closing market price as of each quarter end during the fiscal year and the prior year end, as applicable, and is expressed per $1,000 of indebtedness.</w:t>
      </w:r>
    </w:p>
    <w:p>
      <w:pPr>
        <w:jc w:val="both"/>
        <w:ind w:left="186" w:right="20" w:hanging="186"/>
        <w:spacing w:after="0" w:line="386" w:lineRule="auto"/>
        <w:tabs>
          <w:tab w:leader="none" w:pos="22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We have excluded our SBA debentures from the asset coverage calculation pursuant to the exemptive relief granted by the SEC in June 2014 that permits us to exclude the senior securities issued by the SBIC Funds from the definition of senior securities in the asset coverage requirement applicable to us under the 1940 Act.</w:t>
      </w:r>
    </w:p>
    <w:p>
      <w:pPr>
        <w:spacing w:after="0" w:line="12" w:lineRule="exact"/>
        <w:rPr>
          <w:rFonts w:ascii="Arial" w:cs="Arial" w:eastAsia="Arial" w:hAnsi="Arial"/>
          <w:sz w:val="16"/>
          <w:szCs w:val="16"/>
          <w:color w:val="auto"/>
        </w:rPr>
      </w:pPr>
    </w:p>
    <w:p>
      <w:pPr>
        <w:ind w:left="186" w:right="20" w:hanging="186"/>
        <w:spacing w:after="0" w:line="381" w:lineRule="auto"/>
        <w:tabs>
          <w:tab w:leader="none" w:pos="2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Our 2023 Notes were repaid in full on January 19, 2021. Our February 2024 Notes and our November 2024 Notes were repaid in full on November 2, 2021. Our January 2026 Notes were repaid in full on November 3, 2025.</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7. Commitments and Contingencies</w:t>
      </w:r>
    </w:p>
    <w:p>
      <w:pPr>
        <w:spacing w:after="0" w:line="260" w:lineRule="exact"/>
        <w:rPr>
          <w:sz w:val="20"/>
          <w:szCs w:val="20"/>
          <w:color w:val="auto"/>
        </w:rPr>
      </w:pPr>
    </w:p>
    <w:p>
      <w:pPr>
        <w:jc w:val="both"/>
        <w:ind w:left="6" w:right="20" w:firstLine="400"/>
        <w:spacing w:after="0" w:line="355"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loans, other debt investments and capital commitments totaling $37,181 and $12,363 as of December 31, 2025 and 2024, respectively. Such outstanding commitments are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20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8 / 11</w:t>
      </w:r>
    </w:p>
    <w:p>
      <w:pPr>
        <w:sectPr>
          <w:pgSz w:w="11900" w:h="16838" w:orient="portrait"/>
          <w:cols w:equalWidth="0" w:num="1">
            <w:col w:w="9366"/>
          </w:cols>
          <w:pgMar w:left="1254" w:top="1208" w:right="1286" w:bottom="0" w:gutter="0" w:footer="0" w:header="0"/>
          <w:type w:val="continuous"/>
        </w:sectPr>
      </w:pPr>
    </w:p>
    <w:bookmarkStart w:id="308" w:name="page309"/>
    <w:bookmarkEnd w:id="308"/>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228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4"/>
                <w:szCs w:val="14"/>
                <w:b w:val="1"/>
                <w:bCs w:val="1"/>
                <w:color w:val="auto"/>
              </w:rPr>
              <w:t>Unfunded</w:t>
            </w:r>
          </w:p>
        </w:tc>
        <w:tc>
          <w:tcPr>
            <w:tcW w:w="1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224"/>
        </w:trPr>
        <w:tc>
          <w:tcPr>
            <w:tcW w:w="4640" w:type="dxa"/>
            <w:vAlign w:val="bottom"/>
          </w:tcPr>
          <w:p>
            <w:pPr>
              <w:spacing w:after="0"/>
              <w:rPr>
                <w:sz w:val="20"/>
                <w:szCs w:val="20"/>
                <w:color w:val="auto"/>
              </w:rPr>
            </w:pPr>
            <w:r>
              <w:rPr>
                <w:rFonts w:ascii="Arial" w:cs="Arial" w:eastAsia="Arial" w:hAnsi="Arial"/>
                <w:sz w:val="14"/>
                <w:szCs w:val="14"/>
                <w:b w:val="1"/>
                <w:bCs w:val="1"/>
                <w:color w:val="auto"/>
              </w:rPr>
              <w:t>Portfolio Company - Investment</w:t>
            </w:r>
          </w:p>
        </w:tc>
        <w:tc>
          <w:tcPr>
            <w:tcW w:w="1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b w:val="1"/>
                <w:bCs w:val="1"/>
                <w:color w:val="auto"/>
                <w:w w:val="91"/>
              </w:rPr>
              <w:t>Commitment</w:t>
            </w:r>
          </w:p>
        </w:tc>
        <w:tc>
          <w:tcPr>
            <w:tcW w:w="1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b w:val="1"/>
                <w:bCs w:val="1"/>
                <w:color w:val="auto"/>
                <w:w w:val="88"/>
              </w:rPr>
              <w:t>Commitment</w:t>
            </w:r>
          </w:p>
        </w:tc>
        <w:tc>
          <w:tcPr>
            <w:tcW w:w="1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b w:val="1"/>
                <w:bCs w:val="1"/>
                <w:color w:val="auto"/>
                <w:w w:val="91"/>
              </w:rPr>
              <w:t>Commitment</w:t>
            </w:r>
          </w:p>
        </w:tc>
        <w:tc>
          <w:tcPr>
            <w:tcW w:w="18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4"/>
                <w:szCs w:val="14"/>
                <w:b w:val="1"/>
                <w:bCs w:val="1"/>
                <w:color w:val="auto"/>
                <w:w w:val="91"/>
              </w:rPr>
              <w:t>Commitment</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4"/>
                <w:szCs w:val="14"/>
                <w:color w:val="auto"/>
              </w:rPr>
              <w:t>Acendre Midco, Inc. - Revolving Loan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 Info Parent, Inc. (dba MediaRadar)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1,442</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1,195</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1,442</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Air Burners, Inc. - Common Equity</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Axis Medical Technologies LLC (dba MoveMedical)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800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Bobcat of Connecticut, LLC - Common Equity</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w w:val="99"/>
              </w:rPr>
              <w:t>Choice Technology Solutions, LLC (dba Choice Merchant Solutions, LLC) -</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Revolving Loan</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Detechtion Holdings, LLC - First Lien Debt</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1,250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Detechtion Holdings, LLC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Elements Brands, LLC - Revolving Loan</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1,500</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3"/>
              </w:rPr>
              <w:t>Enterprise Asset Management FM Purchaser, Inc. (dba MCIM) - First Lien Debt</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4"/>
                <w:szCs w:val="14"/>
                <w:color w:val="auto"/>
              </w:rPr>
              <w:t>Fraser Steel LLC - Revolving Loan</w:t>
            </w:r>
          </w:p>
        </w:tc>
        <w:tc>
          <w:tcPr>
            <w:tcW w:w="180" w:type="dxa"/>
            <w:vAlign w:val="bottom"/>
          </w:tcPr>
          <w:p>
            <w:pPr>
              <w:spacing w:after="0"/>
              <w:rPr>
                <w:sz w:val="17"/>
                <w:szCs w:val="17"/>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Fishbowl Solutions, LLC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GMP HVAC, LLC (dba McGee Heating &amp; Air, LLC) - Revolving Loan</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1,500</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KG Lawn Care, Inc. (dba King Green) - First Lien Debt</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2,500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Laboratory Testing, LLC - Revolving Loan</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3,427</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Mayesh Wholesale Florist, LLC - First Lien Debt</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NWS Technologies, LLC - First Lien Debt</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1,900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1,140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PayEntry Financial Services, Inc. (dba Payentry) - Second Lien (DDTL B)</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1,563</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1,563</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PayEntry Financial Services, Inc. (dba Payentry) - Second Lien (DDTL B)</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1,563</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1,563</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PIPCO, LLC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Pronto Plumbing &amp; Drain, Inc. - Revolving Loan</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Tedia Company, LLC - Revolving Loan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2,250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1,750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2,250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Thrust Flight LLC - First Lien Debt</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1,818</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1,818</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2,625</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True Environmental Inc. - First Lien Debt</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3,375</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3,375</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Arial" w:cs="Arial" w:eastAsia="Arial" w:hAnsi="Arial"/>
                <w:sz w:val="14"/>
                <w:szCs w:val="14"/>
                <w:color w:val="auto"/>
              </w:rPr>
              <w:t>VMS MSO, LLC (dba Vytal Health Partners) - Revolving Loan</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1,500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W50 Holdings, LLC - Preferred Equity</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97"/>
        </w:trPr>
        <w:tc>
          <w:tcPr>
            <w:tcW w:w="4640" w:type="dxa"/>
            <w:vAlign w:val="bottom"/>
          </w:tcPr>
          <w:p>
            <w:pPr>
              <w:spacing w:after="0"/>
              <w:rPr>
                <w:sz w:val="20"/>
                <w:szCs w:val="20"/>
                <w:color w:val="auto"/>
              </w:rPr>
            </w:pPr>
            <w:r>
              <w:rPr>
                <w:rFonts w:ascii="Arial" w:cs="Arial" w:eastAsia="Arial" w:hAnsi="Arial"/>
                <w:sz w:val="14"/>
                <w:szCs w:val="14"/>
                <w:color w:val="auto"/>
                <w:w w:val="99"/>
              </w:rPr>
              <w:t>Waterworks Solutions Acquisition, Inc. (dba CITCO Water) - First Lien Debt</w:t>
            </w:r>
          </w:p>
        </w:tc>
        <w:tc>
          <w:tcPr>
            <w:tcW w:w="1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3,500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3,500</w:t>
            </w:r>
          </w:p>
        </w:tc>
        <w:tc>
          <w:tcPr>
            <w:tcW w:w="1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4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43,211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37,181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17,117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12,363</w:t>
            </w:r>
          </w:p>
        </w:tc>
        <w:tc>
          <w:tcPr>
            <w:tcW w:w="0" w:type="dxa"/>
            <w:vAlign w:val="bottom"/>
          </w:tcPr>
          <w:p>
            <w:pPr>
              <w:spacing w:after="0"/>
              <w:rPr>
                <w:sz w:val="1"/>
                <w:szCs w:val="1"/>
                <w:color w:val="auto"/>
              </w:rPr>
            </w:pPr>
          </w:p>
        </w:tc>
      </w:tr>
      <w:tr>
        <w:trPr>
          <w:trHeight w:val="45"/>
        </w:trPr>
        <w:tc>
          <w:tcPr>
            <w:tcW w:w="4640" w:type="dxa"/>
            <w:vAlign w:val="bottom"/>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-5941060</wp:posOffset>
            </wp:positionV>
            <wp:extent cx="280670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06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-5649595</wp:posOffset>
            </wp:positionV>
            <wp:extent cx="582358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823585" cy="635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-233680</wp:posOffset>
            </wp:positionV>
            <wp:extent cx="280670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06700" cy="635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-27940</wp:posOffset>
            </wp:positionV>
            <wp:extent cx="2865755"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65755" cy="28575"/>
                    </a:xfrm>
                    <a:prstGeom prst="rect">
                      <a:avLst/>
                    </a:prstGeom>
                    <a:noFill/>
                  </pic:spPr>
                </pic:pic>
              </a:graphicData>
            </a:graphic>
          </wp:anchor>
        </w:drawing>
      </w:r>
    </w:p>
    <w:p>
      <w:pPr>
        <w:spacing w:after="0" w:line="199" w:lineRule="exact"/>
        <w:rPr>
          <w:sz w:val="20"/>
          <w:szCs w:val="20"/>
          <w:color w:val="auto"/>
        </w:rPr>
      </w:pPr>
    </w:p>
    <w:p>
      <w:pPr>
        <w:jc w:val="both"/>
        <w:ind w:right="80" w:firstLine="400"/>
        <w:spacing w:after="0" w:line="310" w:lineRule="auto"/>
        <w:rPr>
          <w:sz w:val="20"/>
          <w:szCs w:val="20"/>
          <w:color w:val="auto"/>
        </w:rPr>
      </w:pPr>
      <w:r>
        <w:rPr>
          <w:rFonts w:ascii="Arial" w:cs="Arial" w:eastAsia="Arial" w:hAnsi="Arial"/>
          <w:sz w:val="20"/>
          <w:szCs w:val="20"/>
          <w:color w:val="auto"/>
        </w:rPr>
        <w:t>Additional detail for each of the commitments above is provided in the Company’s consolidated schedules of investments. As of December 31, 2025 and 2024, the Company had sufficient liquidity coverage to satisfy these unfunded commitments. Cash and cash equivalents were $69,995 and $57,159 and available borrowings under the SPV Credit Facility and the Revolving Credit Facility were $141,150 and $95,000 as of December 31, 2025 and 2024, respectively.</w:t>
      </w:r>
    </w:p>
    <w:p>
      <w:pPr>
        <w:spacing w:after="0" w:line="195" w:lineRule="exact"/>
        <w:rPr>
          <w:sz w:val="20"/>
          <w:szCs w:val="20"/>
          <w:color w:val="auto"/>
        </w:rPr>
      </w:pPr>
    </w:p>
    <w:p>
      <w:pPr>
        <w:jc w:val="both"/>
        <w:ind w:right="80" w:firstLine="400"/>
        <w:spacing w:after="0" w:line="309" w:lineRule="auto"/>
        <w:rPr>
          <w:sz w:val="20"/>
          <w:szCs w:val="20"/>
          <w:color w:val="auto"/>
        </w:rPr>
      </w:pPr>
      <w:r>
        <w:rPr>
          <w:rFonts w:ascii="Arial" w:cs="Arial" w:eastAsia="Arial" w:hAnsi="Arial"/>
          <w:sz w:val="20"/>
          <w:szCs w:val="20"/>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11</w:t>
      </w:r>
    </w:p>
    <w:p>
      <w:pPr>
        <w:sectPr>
          <w:pgSz w:w="11900" w:h="16838" w:orient="portrait"/>
          <w:cols w:equalWidth="0" w:num="1">
            <w:col w:w="9400"/>
          </w:cols>
          <w:pgMar w:left="1260" w:top="1440" w:right="1246" w:bottom="0" w:gutter="0" w:footer="0" w:header="0"/>
          <w:type w:val="continuous"/>
        </w:sectPr>
      </w:pPr>
    </w:p>
    <w:bookmarkStart w:id="309" w:name="page310"/>
    <w:bookmarkEnd w:id="309"/>
    <w:p>
      <w:pPr>
        <w:jc w:val="both"/>
        <w:ind w:right="60" w:firstLine="400"/>
        <w:spacing w:after="0" w:line="350"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65" w:lineRule="exact"/>
        <w:rPr>
          <w:sz w:val="20"/>
          <w:szCs w:val="20"/>
          <w:color w:val="auto"/>
        </w:rPr>
      </w:pPr>
    </w:p>
    <w:p>
      <w:pPr>
        <w:jc w:val="both"/>
        <w:ind w:right="60" w:firstLine="400"/>
        <w:spacing w:after="0" w:line="309" w:lineRule="auto"/>
        <w:rPr>
          <w:sz w:val="20"/>
          <w:szCs w:val="20"/>
          <w:color w:val="auto"/>
        </w:rPr>
      </w:pPr>
      <w:r>
        <w:rPr>
          <w:rFonts w:ascii="Arial" w:cs="Arial" w:eastAsia="Arial" w:hAnsi="Arial"/>
          <w:sz w:val="20"/>
          <w:szCs w:val="20"/>
          <w:i w:val="1"/>
          <w:iCs w:val="1"/>
          <w:color w:val="auto"/>
        </w:rPr>
        <w:t xml:space="preserve">Legal proceedings: </w:t>
      </w:r>
      <w:r>
        <w:rPr>
          <w:rFonts w:ascii="Arial" w:cs="Arial" w:eastAsia="Arial" w:hAnsi="Arial"/>
          <w:sz w:val="20"/>
          <w:szCs w:val="20"/>
          <w:color w:val="auto"/>
        </w:rPr>
        <w:t>In the normal course of business, the Company may be subject to legal and regulatory</w:t>
      </w:r>
      <w:r>
        <w:rPr>
          <w:rFonts w:ascii="Arial" w:cs="Arial" w:eastAsia="Arial" w:hAnsi="Arial"/>
          <w:sz w:val="20"/>
          <w:szCs w:val="20"/>
          <w:i w:val="1"/>
          <w:iCs w:val="1"/>
          <w:color w:val="auto"/>
        </w:rPr>
        <w:t xml:space="preserve"> </w:t>
      </w:r>
      <w:r>
        <w:rPr>
          <w:rFonts w:ascii="Arial" w:cs="Arial" w:eastAsia="Arial" w:hAnsi="Arial"/>
          <w:sz w:val="20"/>
          <w:szCs w:val="20"/>
          <w:color w:val="auto"/>
        </w:rPr>
        <w:t>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Public Offerings of Common Stock</w:t>
      </w:r>
    </w:p>
    <w:p>
      <w:pPr>
        <w:spacing w:after="0" w:line="260" w:lineRule="exact"/>
        <w:rPr>
          <w:sz w:val="20"/>
          <w:szCs w:val="20"/>
          <w:color w:val="auto"/>
        </w:rPr>
      </w:pPr>
    </w:p>
    <w:p>
      <w:pPr>
        <w:ind w:right="20" w:firstLine="392"/>
        <w:spacing w:after="0" w:line="307" w:lineRule="auto"/>
        <w:rPr>
          <w:sz w:val="20"/>
          <w:szCs w:val="20"/>
          <w:color w:val="auto"/>
        </w:rPr>
      </w:pPr>
      <w:r>
        <w:rPr>
          <w:rFonts w:ascii="Arial" w:cs="Arial" w:eastAsia="Arial" w:hAnsi="Arial"/>
          <w:sz w:val="20"/>
          <w:szCs w:val="20"/>
          <w:color w:val="auto"/>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740" w:type="dxa"/>
            <w:vAlign w:val="bottom"/>
            <w:vMerge w:val="restart"/>
          </w:tcPr>
          <w:p>
            <w:pPr>
              <w:jc w:val="center"/>
              <w:ind w:left="120"/>
              <w:spacing w:after="0"/>
              <w:rPr>
                <w:sz w:val="20"/>
                <w:szCs w:val="20"/>
                <w:color w:val="auto"/>
              </w:rPr>
            </w:pPr>
            <w:r>
              <w:rPr>
                <w:rFonts w:ascii="Arial" w:cs="Arial" w:eastAsia="Arial" w:hAnsi="Arial"/>
                <w:sz w:val="20"/>
                <w:szCs w:val="20"/>
                <w:b w:val="1"/>
                <w:bCs w:val="1"/>
                <w:color w:val="auto"/>
                <w:w w:val="92"/>
              </w:rPr>
              <w:t>Cumulative</w:t>
            </w:r>
          </w:p>
        </w:tc>
        <w:tc>
          <w:tcPr>
            <w:tcW w:w="146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2"/>
              </w:rPr>
              <w:t>Cumulative</w:t>
            </w:r>
          </w:p>
        </w:tc>
        <w:tc>
          <w:tcPr>
            <w:tcW w:w="250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3"/>
              </w:rPr>
              <w:t>Cumulative Underwriting</w:t>
            </w:r>
          </w:p>
        </w:tc>
        <w:tc>
          <w:tcPr>
            <w:tcW w:w="260" w:type="dxa"/>
            <w:vAlign w:val="bottom"/>
          </w:tcPr>
          <w:p>
            <w:pPr>
              <w:spacing w:after="0"/>
              <w:rPr>
                <w:sz w:val="19"/>
                <w:szCs w:val="19"/>
                <w:color w:val="auto"/>
              </w:rPr>
            </w:pPr>
          </w:p>
        </w:tc>
        <w:tc>
          <w:tcPr>
            <w:tcW w:w="1180" w:type="dxa"/>
            <w:vAlign w:val="bottom"/>
          </w:tcPr>
          <w:p>
            <w:pPr>
              <w:jc w:val="center"/>
              <w:ind w:right="180"/>
              <w:spacing w:after="0"/>
              <w:rPr>
                <w:sz w:val="20"/>
                <w:szCs w:val="20"/>
                <w:color w:val="auto"/>
              </w:rPr>
            </w:pPr>
            <w:r>
              <w:rPr>
                <w:rFonts w:ascii="Arial" w:cs="Arial" w:eastAsia="Arial" w:hAnsi="Arial"/>
                <w:sz w:val="20"/>
                <w:szCs w:val="20"/>
                <w:b w:val="1"/>
                <w:bCs w:val="1"/>
                <w:color w:val="auto"/>
                <w:w w:val="91"/>
              </w:rPr>
              <w:t>Weighted</w:t>
            </w:r>
          </w:p>
        </w:tc>
        <w:tc>
          <w:tcPr>
            <w:tcW w:w="0" w:type="dxa"/>
            <w:vAlign w:val="bottom"/>
          </w:tcPr>
          <w:p>
            <w:pPr>
              <w:spacing w:after="0"/>
              <w:rPr>
                <w:sz w:val="1"/>
                <w:szCs w:val="1"/>
                <w:color w:val="auto"/>
              </w:rPr>
            </w:pPr>
          </w:p>
        </w:tc>
      </w:tr>
      <w:tr>
        <w:trPr>
          <w:trHeight w:val="150"/>
        </w:trPr>
        <w:tc>
          <w:tcPr>
            <w:tcW w:w="226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88"/>
              </w:rPr>
              <w:t>Average</w:t>
            </w:r>
          </w:p>
        </w:tc>
        <w:tc>
          <w:tcPr>
            <w:tcW w:w="0" w:type="dxa"/>
            <w:vAlign w:val="bottom"/>
          </w:tcPr>
          <w:p>
            <w:pPr>
              <w:spacing w:after="0"/>
              <w:rPr>
                <w:sz w:val="1"/>
                <w:szCs w:val="1"/>
                <w:color w:val="auto"/>
              </w:rPr>
            </w:pPr>
          </w:p>
        </w:tc>
      </w:tr>
      <w:tr>
        <w:trPr>
          <w:trHeight w:val="150"/>
        </w:trPr>
        <w:tc>
          <w:tcPr>
            <w:tcW w:w="2260" w:type="dxa"/>
            <w:vAlign w:val="bottom"/>
            <w:vMerge w:val="restart"/>
          </w:tcPr>
          <w:p>
            <w:pPr>
              <w:ind w:left="980"/>
              <w:spacing w:after="0"/>
              <w:rPr>
                <w:sz w:val="20"/>
                <w:szCs w:val="20"/>
                <w:color w:val="auto"/>
              </w:rPr>
            </w:pPr>
            <w:r>
              <w:rPr>
                <w:rFonts w:ascii="Arial" w:cs="Arial" w:eastAsia="Arial" w:hAnsi="Arial"/>
                <w:sz w:val="20"/>
                <w:szCs w:val="20"/>
                <w:b w:val="1"/>
                <w:bCs w:val="1"/>
                <w:color w:val="auto"/>
              </w:rPr>
              <w:t>Period</w:t>
            </w:r>
          </w:p>
        </w:tc>
        <w:tc>
          <w:tcPr>
            <w:tcW w:w="1740" w:type="dxa"/>
            <w:vAlign w:val="bottom"/>
            <w:vMerge w:val="restart"/>
          </w:tcPr>
          <w:p>
            <w:pPr>
              <w:jc w:val="center"/>
              <w:ind w:left="120"/>
              <w:spacing w:after="0"/>
              <w:rPr>
                <w:sz w:val="20"/>
                <w:szCs w:val="20"/>
                <w:color w:val="auto"/>
              </w:rPr>
            </w:pPr>
            <w:r>
              <w:rPr>
                <w:rFonts w:ascii="Arial" w:cs="Arial" w:eastAsia="Arial" w:hAnsi="Arial"/>
                <w:sz w:val="20"/>
                <w:szCs w:val="20"/>
                <w:b w:val="1"/>
                <w:bCs w:val="1"/>
                <w:color w:val="auto"/>
                <w:w w:val="91"/>
              </w:rPr>
              <w:t>Number of</w:t>
            </w:r>
          </w:p>
        </w:tc>
        <w:tc>
          <w:tcPr>
            <w:tcW w:w="300" w:type="dxa"/>
            <w:vAlign w:val="bottom"/>
          </w:tcPr>
          <w:p>
            <w:pPr>
              <w:spacing w:after="0"/>
              <w:rPr>
                <w:sz w:val="13"/>
                <w:szCs w:val="13"/>
                <w:color w:val="auto"/>
              </w:rPr>
            </w:pPr>
          </w:p>
        </w:tc>
        <w:tc>
          <w:tcPr>
            <w:tcW w:w="1160" w:type="dxa"/>
            <w:vAlign w:val="bottom"/>
            <w:vMerge w:val="restart"/>
          </w:tcPr>
          <w:p>
            <w:pPr>
              <w:jc w:val="center"/>
              <w:ind w:right="240"/>
              <w:spacing w:after="0"/>
              <w:rPr>
                <w:sz w:val="20"/>
                <w:szCs w:val="20"/>
                <w:color w:val="auto"/>
              </w:rPr>
            </w:pPr>
            <w:r>
              <w:rPr>
                <w:rFonts w:ascii="Arial" w:cs="Arial" w:eastAsia="Arial" w:hAnsi="Arial"/>
                <w:sz w:val="20"/>
                <w:szCs w:val="20"/>
                <w:b w:val="1"/>
                <w:bCs w:val="1"/>
                <w:color w:val="auto"/>
                <w:w w:val="86"/>
              </w:rPr>
              <w:t>Gross</w:t>
            </w:r>
          </w:p>
        </w:tc>
        <w:tc>
          <w:tcPr>
            <w:tcW w:w="240" w:type="dxa"/>
            <w:vAlign w:val="bottom"/>
          </w:tcPr>
          <w:p>
            <w:pPr>
              <w:spacing w:after="0"/>
              <w:rPr>
                <w:sz w:val="13"/>
                <w:szCs w:val="13"/>
                <w:color w:val="auto"/>
              </w:rPr>
            </w:pPr>
          </w:p>
        </w:tc>
        <w:tc>
          <w:tcPr>
            <w:tcW w:w="226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86"/>
              </w:rPr>
              <w:t>Fees and Commissions</w:t>
            </w: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6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95"/>
              </w:rPr>
              <w:t>Offering</w:t>
            </w:r>
          </w:p>
        </w:tc>
        <w:tc>
          <w:tcPr>
            <w:tcW w:w="0" w:type="dxa"/>
            <w:vAlign w:val="bottom"/>
          </w:tcPr>
          <w:p>
            <w:pPr>
              <w:spacing w:after="0"/>
              <w:rPr>
                <w:sz w:val="1"/>
                <w:szCs w:val="1"/>
                <w:color w:val="auto"/>
              </w:rPr>
            </w:pPr>
          </w:p>
        </w:tc>
      </w:tr>
      <w:tr>
        <w:trPr>
          <w:trHeight w:val="150"/>
        </w:trPr>
        <w:tc>
          <w:tcPr>
            <w:tcW w:w="2260" w:type="dxa"/>
            <w:vAlign w:val="bottom"/>
          </w:tcPr>
          <w:p>
            <w:pPr>
              <w:spacing w:after="0"/>
              <w:rPr>
                <w:sz w:val="13"/>
                <w:szCs w:val="13"/>
                <w:color w:val="auto"/>
              </w:rPr>
            </w:pPr>
          </w:p>
        </w:tc>
        <w:tc>
          <w:tcPr>
            <w:tcW w:w="1740" w:type="dxa"/>
            <w:vAlign w:val="bottom"/>
            <w:vMerge w:val="restart"/>
          </w:tcPr>
          <w:p>
            <w:pPr>
              <w:jc w:val="center"/>
              <w:ind w:left="180"/>
              <w:spacing w:after="0"/>
              <w:rPr>
                <w:sz w:val="20"/>
                <w:szCs w:val="20"/>
                <w:color w:val="auto"/>
              </w:rPr>
            </w:pPr>
            <w:r>
              <w:rPr>
                <w:rFonts w:ascii="Arial" w:cs="Arial" w:eastAsia="Arial" w:hAnsi="Arial"/>
                <w:sz w:val="20"/>
                <w:szCs w:val="20"/>
                <w:b w:val="1"/>
                <w:bCs w:val="1"/>
                <w:color w:val="auto"/>
                <w:w w:val="86"/>
              </w:rPr>
              <w:t>Shares</w:t>
            </w:r>
          </w:p>
        </w:tc>
        <w:tc>
          <w:tcPr>
            <w:tcW w:w="300" w:type="dxa"/>
            <w:vAlign w:val="bottom"/>
          </w:tcPr>
          <w:p>
            <w:pPr>
              <w:spacing w:after="0"/>
              <w:rPr>
                <w:sz w:val="13"/>
                <w:szCs w:val="13"/>
                <w:color w:val="auto"/>
              </w:rPr>
            </w:pPr>
          </w:p>
        </w:tc>
        <w:tc>
          <w:tcPr>
            <w:tcW w:w="116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84"/>
              </w:rPr>
              <w:t>Proceeds</w:t>
            </w:r>
          </w:p>
        </w:tc>
        <w:tc>
          <w:tcPr>
            <w:tcW w:w="240" w:type="dxa"/>
            <w:vAlign w:val="bottom"/>
          </w:tcPr>
          <w:p>
            <w:pPr>
              <w:spacing w:after="0"/>
              <w:rPr>
                <w:sz w:val="13"/>
                <w:szCs w:val="13"/>
                <w:color w:val="auto"/>
              </w:rPr>
            </w:pPr>
          </w:p>
        </w:tc>
        <w:tc>
          <w:tcPr>
            <w:tcW w:w="2260" w:type="dxa"/>
            <w:vAlign w:val="bottom"/>
            <w:vMerge w:val="restart"/>
          </w:tcPr>
          <w:p>
            <w:pPr>
              <w:jc w:val="center"/>
              <w:ind w:right="140"/>
              <w:spacing w:after="0"/>
              <w:rPr>
                <w:sz w:val="20"/>
                <w:szCs w:val="20"/>
                <w:color w:val="auto"/>
              </w:rPr>
            </w:pPr>
            <w:r>
              <w:rPr>
                <w:rFonts w:ascii="Arial" w:cs="Arial" w:eastAsia="Arial" w:hAnsi="Arial"/>
                <w:sz w:val="20"/>
                <w:szCs w:val="20"/>
                <w:b w:val="1"/>
                <w:bCs w:val="1"/>
                <w:color w:val="auto"/>
                <w:w w:val="87"/>
              </w:rPr>
              <w:t xml:space="preserve">and Offering Costs </w:t>
            </w:r>
            <w:r>
              <w:rPr>
                <w:rFonts w:ascii="Arial" w:cs="Arial" w:eastAsia="Arial" w:hAnsi="Arial"/>
                <w:sz w:val="26"/>
                <w:szCs w:val="26"/>
                <w:b w:val="1"/>
                <w:bCs w:val="1"/>
                <w:color w:val="auto"/>
                <w:w w:val="87"/>
                <w:vertAlign w:val="superscript"/>
              </w:rPr>
              <w:t>(1)</w:t>
            </w: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restart"/>
          </w:tcPr>
          <w:p>
            <w:pPr>
              <w:jc w:val="center"/>
              <w:ind w:right="120"/>
              <w:spacing w:after="0"/>
              <w:rPr>
                <w:sz w:val="20"/>
                <w:szCs w:val="20"/>
                <w:color w:val="auto"/>
              </w:rPr>
            </w:pPr>
            <w:r>
              <w:rPr>
                <w:rFonts w:ascii="Arial" w:cs="Arial" w:eastAsia="Arial" w:hAnsi="Arial"/>
                <w:sz w:val="20"/>
                <w:szCs w:val="20"/>
                <w:b w:val="1"/>
                <w:bCs w:val="1"/>
                <w:color w:val="auto"/>
                <w:w w:val="89"/>
              </w:rPr>
              <w:t>Price</w:t>
            </w:r>
          </w:p>
        </w:tc>
        <w:tc>
          <w:tcPr>
            <w:tcW w:w="0" w:type="dxa"/>
            <w:vAlign w:val="bottom"/>
          </w:tcPr>
          <w:p>
            <w:pPr>
              <w:spacing w:after="0"/>
              <w:rPr>
                <w:sz w:val="1"/>
                <w:szCs w:val="1"/>
                <w:color w:val="auto"/>
              </w:rPr>
            </w:pPr>
          </w:p>
        </w:tc>
      </w:tr>
      <w:tr>
        <w:trPr>
          <w:trHeight w:val="79"/>
        </w:trPr>
        <w:tc>
          <w:tcPr>
            <w:tcW w:w="22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Cumulative since IPO</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14,388,414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236,597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8,989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16.44</w:t>
            </w:r>
          </w:p>
        </w:tc>
        <w:tc>
          <w:tcPr>
            <w:tcW w:w="0" w:type="dxa"/>
            <w:vAlign w:val="bottom"/>
          </w:tcPr>
          <w:p>
            <w:pPr>
              <w:spacing w:after="0"/>
              <w:rPr>
                <w:sz w:val="1"/>
                <w:szCs w:val="1"/>
                <w:color w:val="auto"/>
              </w:rPr>
            </w:pPr>
          </w:p>
        </w:tc>
      </w:tr>
      <w:tr>
        <w:trPr>
          <w:trHeight w:val="559"/>
        </w:trPr>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center"/>
              <w:ind w:right="280"/>
              <w:spacing w:after="0"/>
              <w:rPr>
                <w:sz w:val="20"/>
                <w:szCs w:val="20"/>
                <w:color w:val="auto"/>
              </w:rPr>
            </w:pPr>
            <w:r>
              <w:rPr>
                <w:rFonts w:ascii="Arial" w:cs="Arial" w:eastAsia="Arial" w:hAnsi="Arial"/>
                <w:sz w:val="20"/>
                <w:szCs w:val="20"/>
                <w:color w:val="auto"/>
                <w:w w:val="89"/>
              </w:rPr>
              <w:t>124</w:t>
            </w: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26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-1129665</wp:posOffset>
            </wp:positionV>
            <wp:extent cx="590867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08675"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11</w:t>
      </w:r>
    </w:p>
    <w:p>
      <w:pPr>
        <w:sectPr>
          <w:pgSz w:w="11900" w:h="16838" w:orient="portrait"/>
          <w:cols w:equalWidth="0" w:num="1">
            <w:col w:w="9400"/>
          </w:cols>
          <w:pgMar w:left="1260" w:top="1173" w:right="1246" w:bottom="0" w:gutter="0" w:footer="0" w:header="0"/>
          <w:type w:val="continuous"/>
        </w:sectPr>
      </w:pPr>
    </w:p>
    <w:bookmarkStart w:id="310" w:name="page311"/>
    <w:bookmarkEnd w:id="310"/>
    <w:p>
      <w:pPr>
        <w:spacing w:after="0" w:line="200" w:lineRule="exact"/>
        <w:rPr>
          <w:sz w:val="20"/>
          <w:szCs w:val="20"/>
          <w:color w:val="auto"/>
        </w:rPr>
      </w:pPr>
    </w:p>
    <w:p>
      <w:pPr>
        <w:spacing w:after="0" w:line="243" w:lineRule="exact"/>
        <w:rPr>
          <w:sz w:val="20"/>
          <w:szCs w:val="20"/>
          <w:color w:val="auto"/>
        </w:rPr>
      </w:pPr>
    </w:p>
    <w:p>
      <w:pPr>
        <w:jc w:val="center"/>
        <w:ind w:right="-2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2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95" w:lineRule="exact"/>
        <w:rPr>
          <w:sz w:val="20"/>
          <w:szCs w:val="20"/>
          <w:color w:val="auto"/>
        </w:rPr>
      </w:pPr>
    </w:p>
    <w:p>
      <w:pPr>
        <w:jc w:val="both"/>
        <w:ind w:left="186" w:right="40" w:hanging="186"/>
        <w:spacing w:after="0" w:line="386" w:lineRule="auto"/>
        <w:tabs>
          <w:tab w:leader="none" w:pos="23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Equity ATM Program</w:t>
      </w:r>
    </w:p>
    <w:p>
      <w:pPr>
        <w:spacing w:after="0" w:line="380" w:lineRule="exact"/>
        <w:rPr>
          <w:sz w:val="20"/>
          <w:szCs w:val="20"/>
          <w:color w:val="auto"/>
        </w:rPr>
      </w:pPr>
    </w:p>
    <w:p>
      <w:pPr>
        <w:ind w:left="6" w:firstLine="392"/>
        <w:spacing w:after="0" w:line="311" w:lineRule="auto"/>
        <w:rPr>
          <w:sz w:val="20"/>
          <w:szCs w:val="20"/>
          <w:color w:val="auto"/>
        </w:rPr>
      </w:pPr>
      <w:r>
        <w:rPr>
          <w:rFonts w:ascii="Arial" w:cs="Arial" w:eastAsia="Arial" w:hAnsi="Arial"/>
          <w:sz w:val="20"/>
          <w:szCs w:val="20"/>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years ended December 31, 2025, 2024 and 2023 are as follows: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 w:right="260"/>
        <w:spacing w:after="0" w:line="421" w:lineRule="auto"/>
        <w:rPr>
          <w:sz w:val="20"/>
          <w:szCs w:val="20"/>
          <w:color w:val="auto"/>
        </w:rPr>
      </w:pPr>
      <w:r>
        <w:rPr>
          <w:rFonts w:ascii="Arial" w:cs="Arial" w:eastAsia="Arial" w:hAnsi="Arial"/>
          <w:sz w:val="15"/>
          <w:szCs w:val="15"/>
          <w:b w:val="1"/>
          <w:bCs w:val="1"/>
          <w:color w:val="auto"/>
        </w:rPr>
        <w:t xml:space="preserve">Year Ended December 31, 2023 </w:t>
      </w:r>
      <w:r>
        <w:rPr>
          <w:rFonts w:ascii="Arial" w:cs="Arial" w:eastAsia="Arial" w:hAnsi="Arial"/>
          <w:sz w:val="15"/>
          <w:szCs w:val="15"/>
          <w:color w:val="auto"/>
        </w:rPr>
        <w:t>January 1, 2023 through March 31, 2023</w:t>
      </w:r>
    </w:p>
    <w:p>
      <w:pPr>
        <w:spacing w:after="0" w:line="1" w:lineRule="exact"/>
        <w:rPr>
          <w:sz w:val="20"/>
          <w:szCs w:val="20"/>
          <w:color w:val="auto"/>
        </w:rPr>
      </w:pPr>
    </w:p>
    <w:p>
      <w:pPr>
        <w:ind w:left="6" w:right="240"/>
        <w:spacing w:after="0" w:line="440" w:lineRule="auto"/>
        <w:rPr>
          <w:sz w:val="20"/>
          <w:szCs w:val="20"/>
          <w:color w:val="auto"/>
        </w:rPr>
      </w:pPr>
      <w:r>
        <w:rPr>
          <w:rFonts w:ascii="Arial" w:cs="Arial" w:eastAsia="Arial" w:hAnsi="Arial"/>
          <w:sz w:val="15"/>
          <w:szCs w:val="15"/>
          <w:color w:val="auto"/>
        </w:rPr>
        <w:t>April 1, 2023 through June 30, 2023 July 1, 2023 through September 30, 2023</w:t>
      </w:r>
    </w:p>
    <w:p>
      <w:pPr>
        <w:spacing w:after="0" w:line="1" w:lineRule="exact"/>
        <w:rPr>
          <w:sz w:val="20"/>
          <w:szCs w:val="20"/>
          <w:color w:val="auto"/>
        </w:rPr>
      </w:pPr>
    </w:p>
    <w:p>
      <w:pPr>
        <w:ind w:left="6"/>
        <w:spacing w:after="0" w:line="402" w:lineRule="auto"/>
        <w:rPr>
          <w:sz w:val="20"/>
          <w:szCs w:val="20"/>
          <w:color w:val="auto"/>
        </w:rPr>
      </w:pPr>
      <w:r>
        <w:rPr>
          <w:rFonts w:ascii="Arial" w:cs="Arial" w:eastAsia="Arial" w:hAnsi="Arial"/>
          <w:sz w:val="17"/>
          <w:szCs w:val="17"/>
          <w:color w:val="auto"/>
        </w:rPr>
        <w:t>October 1, 2023 through December 31, 2023 Total</w:t>
      </w:r>
    </w:p>
    <w:p>
      <w:pPr>
        <w:spacing w:after="0" w:line="1" w:lineRule="exact"/>
        <w:rPr>
          <w:sz w:val="20"/>
          <w:szCs w:val="20"/>
          <w:color w:val="auto"/>
        </w:rPr>
      </w:pPr>
    </w:p>
    <w:p>
      <w:pPr>
        <w:ind w:left="6" w:right="260"/>
        <w:spacing w:after="0" w:line="421" w:lineRule="auto"/>
        <w:rPr>
          <w:sz w:val="20"/>
          <w:szCs w:val="20"/>
          <w:color w:val="auto"/>
        </w:rPr>
      </w:pPr>
      <w:r>
        <w:rPr>
          <w:rFonts w:ascii="Arial" w:cs="Arial" w:eastAsia="Arial" w:hAnsi="Arial"/>
          <w:sz w:val="15"/>
          <w:szCs w:val="15"/>
          <w:b w:val="1"/>
          <w:bCs w:val="1"/>
          <w:color w:val="auto"/>
        </w:rPr>
        <w:t xml:space="preserve">Year Ended December 31, 2024 </w:t>
      </w:r>
      <w:r>
        <w:rPr>
          <w:rFonts w:ascii="Arial" w:cs="Arial" w:eastAsia="Arial" w:hAnsi="Arial"/>
          <w:sz w:val="15"/>
          <w:szCs w:val="15"/>
          <w:color w:val="auto"/>
        </w:rPr>
        <w:t>January 1, 2024 through March 31, 2024</w:t>
      </w:r>
    </w:p>
    <w:p>
      <w:pPr>
        <w:ind w:left="6"/>
        <w:spacing w:after="0" w:line="231" w:lineRule="auto"/>
        <w:rPr>
          <w:sz w:val="20"/>
          <w:szCs w:val="20"/>
          <w:color w:val="auto"/>
        </w:rPr>
      </w:pPr>
      <w:r>
        <w:rPr>
          <w:rFonts w:ascii="Arial" w:cs="Arial" w:eastAsia="Arial" w:hAnsi="Arial"/>
          <w:sz w:val="17"/>
          <w:szCs w:val="17"/>
          <w:color w:val="auto"/>
        </w:rPr>
        <w:t>April 1, 2024 through June 30, 2024</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6"/>
          <w:szCs w:val="16"/>
          <w:color w:val="auto"/>
        </w:rPr>
        <w:t>July 1, 2024 through September 30, 2024</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5"/>
          <w:szCs w:val="15"/>
          <w:color w:val="auto"/>
        </w:rPr>
        <w:t>October 1, 2024 through December 31, 2024</w:t>
      </w:r>
    </w:p>
    <w:p>
      <w:pPr>
        <w:spacing w:after="0" w:line="139" w:lineRule="exact"/>
        <w:rPr>
          <w:sz w:val="20"/>
          <w:szCs w:val="20"/>
          <w:color w:val="auto"/>
        </w:rPr>
      </w:pPr>
    </w:p>
    <w:p>
      <w:pPr>
        <w:ind w:left="6"/>
        <w:spacing w:after="0"/>
        <w:rPr>
          <w:sz w:val="20"/>
          <w:szCs w:val="20"/>
          <w:color w:val="auto"/>
        </w:rPr>
      </w:pPr>
      <w:r>
        <w:rPr>
          <w:rFonts w:ascii="Arial" w:cs="Arial" w:eastAsia="Arial" w:hAnsi="Arial"/>
          <w:sz w:val="17"/>
          <w:szCs w:val="17"/>
          <w:color w:val="auto"/>
        </w:rPr>
        <w:t>Total</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Year Ended December 31, 2025</w:t>
      </w:r>
    </w:p>
    <w:p>
      <w:pPr>
        <w:spacing w:after="0" w:line="104" w:lineRule="exact"/>
        <w:rPr>
          <w:sz w:val="20"/>
          <w:szCs w:val="20"/>
          <w:color w:val="auto"/>
        </w:rPr>
      </w:pPr>
    </w:p>
    <w:p>
      <w:pPr>
        <w:ind w:left="6" w:right="260"/>
        <w:spacing w:after="0" w:line="458" w:lineRule="auto"/>
        <w:rPr>
          <w:sz w:val="20"/>
          <w:szCs w:val="20"/>
          <w:color w:val="auto"/>
        </w:rPr>
      </w:pPr>
      <w:r>
        <w:rPr>
          <w:rFonts w:ascii="Arial" w:cs="Arial" w:eastAsia="Arial" w:hAnsi="Arial"/>
          <w:sz w:val="15"/>
          <w:szCs w:val="15"/>
          <w:color w:val="auto"/>
        </w:rPr>
        <w:t>January 1, 2025 through March 31, 2025 April 1, 2025 through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3091815" cy="1993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091815" cy="19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35"/>
              <w:spacing w:after="0"/>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5"/>
              </w:rPr>
              <w:t>Underwriting</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9"/>
        </w:trPr>
        <w:tc>
          <w:tcPr>
            <w:tcW w:w="1040" w:type="dxa"/>
            <w:vAlign w:val="bottom"/>
          </w:tcPr>
          <w:p>
            <w:pPr>
              <w:jc w:val="right"/>
              <w:ind w:right="175"/>
              <w:spacing w:after="0"/>
              <w:rPr>
                <w:sz w:val="20"/>
                <w:szCs w:val="20"/>
                <w:color w:val="auto"/>
              </w:rPr>
            </w:pPr>
            <w:r>
              <w:rPr>
                <w:rFonts w:ascii="Arial" w:cs="Arial" w:eastAsia="Arial" w:hAnsi="Arial"/>
                <w:sz w:val="17"/>
                <w:szCs w:val="17"/>
                <w:b w:val="1"/>
                <w:bCs w:val="1"/>
                <w:color w:val="auto"/>
                <w:w w:val="89"/>
              </w:rPr>
              <w:t>Number of</w:t>
            </w:r>
          </w:p>
        </w:tc>
        <w:tc>
          <w:tcPr>
            <w:tcW w:w="240" w:type="dxa"/>
            <w:vAlign w:val="bottom"/>
          </w:tcPr>
          <w:p>
            <w:pPr>
              <w:spacing w:after="0"/>
              <w:rPr>
                <w:sz w:val="23"/>
                <w:szCs w:val="23"/>
                <w:color w:val="auto"/>
              </w:rPr>
            </w:pPr>
          </w:p>
        </w:tc>
        <w:tc>
          <w:tcPr>
            <w:tcW w:w="90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Offering</w:t>
            </w:r>
          </w:p>
        </w:tc>
        <w:tc>
          <w:tcPr>
            <w:tcW w:w="240" w:type="dxa"/>
            <w:vAlign w:val="bottom"/>
          </w:tcPr>
          <w:p>
            <w:pPr>
              <w:spacing w:after="0"/>
              <w:rPr>
                <w:sz w:val="23"/>
                <w:szCs w:val="23"/>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b w:val="1"/>
                <w:bCs w:val="1"/>
                <w:color w:val="auto"/>
              </w:rPr>
              <w:t>Gross</w:t>
            </w:r>
          </w:p>
        </w:tc>
        <w:tc>
          <w:tcPr>
            <w:tcW w:w="280" w:type="dxa"/>
            <w:vAlign w:val="bottom"/>
          </w:tcPr>
          <w:p>
            <w:pPr>
              <w:spacing w:after="0"/>
              <w:rPr>
                <w:sz w:val="23"/>
                <w:szCs w:val="23"/>
                <w:color w:val="auto"/>
              </w:rPr>
            </w:pPr>
          </w:p>
        </w:tc>
        <w:tc>
          <w:tcPr>
            <w:tcW w:w="1040" w:type="dxa"/>
            <w:vAlign w:val="bottom"/>
          </w:tcPr>
          <w:p>
            <w:pPr>
              <w:jc w:val="center"/>
              <w:ind w:right="195"/>
              <w:spacing w:after="0"/>
              <w:rPr>
                <w:sz w:val="20"/>
                <w:szCs w:val="20"/>
                <w:color w:val="auto"/>
              </w:rPr>
            </w:pPr>
            <w:r>
              <w:rPr>
                <w:rFonts w:ascii="Arial" w:cs="Arial" w:eastAsia="Arial" w:hAnsi="Arial"/>
                <w:sz w:val="17"/>
                <w:szCs w:val="17"/>
                <w:b w:val="1"/>
                <w:bCs w:val="1"/>
                <w:color w:val="auto"/>
                <w:w w:val="86"/>
              </w:rPr>
              <w:t>Fees and</w:t>
            </w:r>
          </w:p>
        </w:tc>
        <w:tc>
          <w:tcPr>
            <w:tcW w:w="32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7"/>
                <w:szCs w:val="17"/>
                <w:b w:val="1"/>
                <w:bCs w:val="1"/>
                <w:color w:val="auto"/>
              </w:rPr>
              <w:t>Net</w:t>
            </w:r>
          </w:p>
        </w:tc>
      </w:tr>
      <w:tr>
        <w:trPr>
          <w:trHeight w:val="330"/>
        </w:trPr>
        <w:tc>
          <w:tcPr>
            <w:tcW w:w="1040" w:type="dxa"/>
            <w:vAlign w:val="bottom"/>
          </w:tcPr>
          <w:p>
            <w:pPr>
              <w:jc w:val="right"/>
              <w:ind w:right="315"/>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Price</w:t>
            </w:r>
          </w:p>
        </w:tc>
        <w:tc>
          <w:tcPr>
            <w:tcW w:w="240" w:type="dxa"/>
            <w:vAlign w:val="bottom"/>
          </w:tcPr>
          <w:p>
            <w:pPr>
              <w:spacing w:after="0"/>
              <w:rPr>
                <w:sz w:val="24"/>
                <w:szCs w:val="24"/>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b w:val="1"/>
                <w:bCs w:val="1"/>
                <w:color w:val="auto"/>
                <w:w w:val="86"/>
              </w:rPr>
              <w:t>Proceeds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Commissions</w:t>
            </w: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 xml:space="preserve">Proceeds </w:t>
            </w:r>
            <w:r>
              <w:rPr>
                <w:rFonts w:ascii="Arial" w:cs="Arial" w:eastAsia="Arial" w:hAnsi="Arial"/>
                <w:sz w:val="22"/>
                <w:szCs w:val="22"/>
                <w:b w:val="1"/>
                <w:bCs w:val="1"/>
                <w:color w:val="auto"/>
                <w:w w:val="96"/>
                <w:vertAlign w:val="superscript"/>
              </w:rPr>
              <w:t>(1)</w:t>
            </w:r>
          </w:p>
        </w:tc>
      </w:tr>
      <w:tr>
        <w:trPr>
          <w:trHeight w:val="521"/>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260,610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20.68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5,389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81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5,308</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246,574</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19.93</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4,914</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4,840</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3,187,661</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19.54</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62,277</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779</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61,498</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1,985,510</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19.79</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39,292</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553</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38,739</w:t>
            </w:r>
          </w:p>
        </w:tc>
      </w:tr>
      <w:tr>
        <w:trPr>
          <w:trHeight w:val="32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5,680,355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19.69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111,872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1,487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110,385</w:t>
            </w:r>
          </w:p>
        </w:tc>
      </w:tr>
      <w:tr>
        <w:trPr>
          <w:trHeight w:val="629"/>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987,170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19.66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19,408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228</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19,180</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1,691,336</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19.80</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33,489</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458</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33,031</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714,995</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20.01</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14,304</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215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14,089</w:t>
            </w:r>
          </w:p>
        </w:tc>
      </w:tr>
      <w:tr>
        <w:trPr>
          <w:trHeight w:val="282"/>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2"/>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3,393,501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19.80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67,201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901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66,300</w:t>
            </w:r>
          </w:p>
        </w:tc>
      </w:tr>
      <w:tr>
        <w:trPr>
          <w:trHeight w:val="629"/>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1,019,812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20.58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20,987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315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20,672</w:t>
            </w:r>
          </w:p>
        </w:tc>
      </w:tr>
      <w:tr>
        <w:trPr>
          <w:trHeight w:val="314"/>
        </w:trPr>
        <w:tc>
          <w:tcPr>
            <w:tcW w:w="1040" w:type="dxa"/>
            <w:vAlign w:val="bottom"/>
          </w:tcPr>
          <w:p>
            <w:pPr>
              <w:jc w:val="right"/>
              <w:ind w:right="35"/>
              <w:spacing w:after="0"/>
              <w:rPr>
                <w:sz w:val="20"/>
                <w:szCs w:val="20"/>
                <w:color w:val="auto"/>
              </w:rPr>
            </w:pPr>
            <w:r>
              <w:rPr>
                <w:rFonts w:ascii="Arial" w:cs="Arial" w:eastAsia="Arial" w:hAnsi="Arial"/>
                <w:sz w:val="17"/>
                <w:szCs w:val="17"/>
                <w:color w:val="auto"/>
              </w:rPr>
              <w:t>376,625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-2926080</wp:posOffset>
            </wp:positionV>
            <wp:extent cx="5967730" cy="255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67730" cy="255714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3046" w:space="540"/>
            <w:col w:w="5800"/>
          </w:cols>
          <w:pgMar w:left="1254" w:top="1440" w:right="12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 / 11</w:t>
      </w:r>
    </w:p>
    <w:p>
      <w:pPr>
        <w:sectPr>
          <w:pgSz w:w="11900" w:h="16838" w:orient="portrait"/>
          <w:cols w:equalWidth="0" w:num="1">
            <w:col w:w="9386"/>
          </w:cols>
          <w:pgMar w:left="1254" w:top="1440" w:right="1266" w:bottom="0" w:gutter="0" w:footer="0" w:header="0"/>
          <w:type w:val="continuous"/>
        </w:sectPr>
      </w:pPr>
    </w:p>
    <w:bookmarkStart w:id="311" w:name="page312"/>
    <w:bookmarkEnd w:id="311"/>
    <w:p>
      <w:pPr>
        <w:ind w:left="9000"/>
        <w:spacing w:after="0"/>
        <w:rPr>
          <w:sz w:val="20"/>
          <w:szCs w:val="20"/>
          <w:color w:val="auto"/>
        </w:rPr>
      </w:pPr>
      <w:r>
        <w:rPr>
          <w:rFonts w:ascii="Arial" w:cs="Arial" w:eastAsia="Arial" w:hAnsi="Arial"/>
          <w:sz w:val="15"/>
          <w:szCs w:val="15"/>
          <w:color w:val="auto"/>
        </w:rPr>
        <w:t>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7,545</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July 1, 2025 through September 30,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933,165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19,888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19,589</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October 1, 2025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1,606,496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31,719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9400"/>
          </w:cols>
          <w:pgMar w:left="1260" w:top="131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400"/>
          </w:cols>
          <w:pgMar w:left="1260" w:top="1319" w:right="1246" w:bottom="0" w:gutter="0" w:footer="0" w:header="0"/>
          <w:type w:val="continuous"/>
        </w:sectPr>
      </w:pPr>
    </w:p>
    <w:bookmarkStart w:id="312" w:name="page313"/>
    <w:bookmarkEnd w:id="312"/>
    <w:p>
      <w:pPr>
        <w:ind w:left="8920"/>
        <w:spacing w:after="0"/>
        <w:rPr>
          <w:sz w:val="20"/>
          <w:szCs w:val="20"/>
          <w:color w:val="auto"/>
        </w:rPr>
      </w:pPr>
      <w:r>
        <w:rPr>
          <w:rFonts w:ascii="Arial" w:cs="Arial" w:eastAsia="Arial" w:hAnsi="Arial"/>
          <w:sz w:val="15"/>
          <w:szCs w:val="15"/>
          <w:color w:val="auto"/>
        </w:rPr>
        <w:t>31,536</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3,936,098</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0"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20.39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0" w:lineRule="exact"/>
        <w:rPr>
          <w:sz w:val="20"/>
          <w:szCs w:val="20"/>
          <w:color w:val="auto"/>
        </w:rPr>
      </w:pPr>
    </w:p>
    <w:p>
      <w:pPr>
        <w:ind w:left="8920"/>
        <w:spacing w:after="0"/>
        <w:rPr>
          <w:sz w:val="20"/>
          <w:szCs w:val="20"/>
          <w:color w:val="auto"/>
        </w:rPr>
      </w:pPr>
      <w:r>
        <w:rPr>
          <w:rFonts w:ascii="Arial" w:cs="Arial" w:eastAsia="Arial" w:hAnsi="Arial"/>
          <w:sz w:val="15"/>
          <w:szCs w:val="15"/>
          <w:color w:val="auto"/>
        </w:rPr>
        <w:t>80,254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0"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912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0" w:lineRule="exact"/>
        <w:rPr>
          <w:sz w:val="20"/>
          <w:szCs w:val="20"/>
          <w:color w:val="auto"/>
        </w:rPr>
      </w:pPr>
    </w:p>
    <w:p>
      <w:pPr>
        <w:ind w:left="8920"/>
        <w:spacing w:after="0"/>
        <w:rPr>
          <w:sz w:val="20"/>
          <w:szCs w:val="20"/>
          <w:color w:val="auto"/>
        </w:rPr>
      </w:pPr>
      <w:r>
        <w:rPr>
          <w:rFonts w:ascii="Arial" w:cs="Arial" w:eastAsia="Arial" w:hAnsi="Arial"/>
          <w:sz w:val="15"/>
          <w:szCs w:val="15"/>
          <w:color w:val="auto"/>
        </w:rPr>
        <w:t>79,342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(1) Net proceeds exclude amortization of deferred equity financing costs.</w:t>
      </w:r>
    </w:p>
    <w:p>
      <w:pPr>
        <w:spacing w:after="0" w:line="268" w:lineRule="exact"/>
        <w:rPr>
          <w:sz w:val="20"/>
          <w:szCs w:val="20"/>
          <w:color w:val="auto"/>
        </w:rPr>
      </w:pPr>
    </w:p>
    <w:p>
      <w:pPr>
        <w:jc w:val="both"/>
        <w:ind w:right="60" w:firstLine="392"/>
        <w:spacing w:after="0" w:line="309" w:lineRule="auto"/>
        <w:rPr>
          <w:sz w:val="20"/>
          <w:szCs w:val="20"/>
          <w:color w:val="auto"/>
        </w:rPr>
      </w:pPr>
      <w:r>
        <w:rPr>
          <w:rFonts w:ascii="Arial" w:cs="Arial" w:eastAsia="Arial" w:hAnsi="Arial"/>
          <w:sz w:val="20"/>
          <w:szCs w:val="20"/>
          <w:color w:val="auto"/>
        </w:rPr>
        <w:t>Cumulative to December 31, 2025, the Company has sold 13,300,342 shares of common stock under the ATM Program at a weighted-average price of $19.94, raising $265,226 of gross proceeds. Net proceeds were $261,838 after commissions to the sales agents on shares sold. As of December 31, 2025, the Company had $34,774 available under the ATM Program.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Repurchase Program</w:t>
      </w:r>
    </w:p>
    <w:p>
      <w:pPr>
        <w:spacing w:after="0" w:line="260" w:lineRule="exact"/>
        <w:rPr>
          <w:sz w:val="20"/>
          <w:szCs w:val="20"/>
          <w:color w:val="auto"/>
        </w:rPr>
      </w:pPr>
    </w:p>
    <w:p>
      <w:pPr>
        <w:jc w:val="both"/>
        <w:ind w:right="60" w:firstLine="400"/>
        <w:spacing w:after="0" w:line="307" w:lineRule="auto"/>
        <w:rPr>
          <w:sz w:val="20"/>
          <w:szCs w:val="20"/>
          <w:color w:val="auto"/>
        </w:rPr>
      </w:pPr>
      <w:r>
        <w:rPr>
          <w:rFonts w:ascii="Arial" w:cs="Arial" w:eastAsia="Arial" w:hAnsi="Arial"/>
          <w:sz w:val="20"/>
          <w:szCs w:val="20"/>
          <w:color w:val="auto"/>
        </w:rPr>
        <w:t>As described in Note 2, the Company has a Stock Repurchase Program under which the Company may acquire up to $5,000 of its outstanding common stock. The Company did not make any repurchases of common stock during the years ended December 31, 2025, 2024 and 2023.</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DRIP Program</w:t>
      </w:r>
    </w:p>
    <w:p>
      <w:pPr>
        <w:spacing w:after="0" w:line="260" w:lineRule="exact"/>
        <w:rPr>
          <w:sz w:val="20"/>
          <w:szCs w:val="20"/>
          <w:color w:val="auto"/>
        </w:rPr>
      </w:pPr>
    </w:p>
    <w:p>
      <w:pPr>
        <w:jc w:val="both"/>
        <w:ind w:right="80" w:firstLine="400"/>
        <w:spacing w:after="0" w:line="307" w:lineRule="auto"/>
        <w:rPr>
          <w:sz w:val="20"/>
          <w:szCs w:val="20"/>
          <w:color w:val="auto"/>
        </w:rPr>
      </w:pPr>
      <w:r>
        <w:rPr>
          <w:rFonts w:ascii="Arial" w:cs="Arial" w:eastAsia="Arial" w:hAnsi="Arial"/>
          <w:sz w:val="20"/>
          <w:szCs w:val="20"/>
          <w:color w:val="auto"/>
        </w:rPr>
        <w:t>The Company issued 103,614, 82,172, and 30,836 shares of common stock under the DRIP during the years ended December 31, 2025, 2024, and 2023 respectively. Refer to Note 9 for additional information regarding the issuance of shares under the DRIP.</w:t>
      </w:r>
    </w:p>
    <w:p>
      <w:pPr>
        <w:spacing w:after="0" w:line="197" w:lineRule="exact"/>
        <w:rPr>
          <w:sz w:val="20"/>
          <w:szCs w:val="20"/>
          <w:color w:val="auto"/>
        </w:rPr>
      </w:pPr>
    </w:p>
    <w:p>
      <w:pPr>
        <w:jc w:val="both"/>
        <w:ind w:right="80" w:firstLine="400"/>
        <w:spacing w:after="0" w:line="302" w:lineRule="auto"/>
        <w:rPr>
          <w:sz w:val="20"/>
          <w:szCs w:val="20"/>
          <w:color w:val="auto"/>
        </w:rPr>
      </w:pPr>
      <w:r>
        <w:rPr>
          <w:rFonts w:ascii="Arial" w:cs="Arial" w:eastAsia="Arial" w:hAnsi="Arial"/>
          <w:sz w:val="20"/>
          <w:szCs w:val="20"/>
          <w:color w:val="auto"/>
        </w:rPr>
        <w:t>The Company had 37,954,364 and 33,914,652 shares of common stock outstanding as of December 31, 2025 and 2024, respectively.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9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400"/>
          </w:cols>
          <w:pgMar w:left="1260" w:top="1199" w:right="1246" w:bottom="0" w:gutter="0" w:footer="0" w:header="0"/>
          <w:type w:val="continuous"/>
        </w:sectPr>
      </w:pPr>
    </w:p>
    <w:bookmarkStart w:id="313" w:name="page314"/>
    <w:bookmarkEnd w:id="313"/>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Dividends and Distributions</w:t>
      </w:r>
    </w:p>
    <w:p>
      <w:pPr>
        <w:spacing w:after="0" w:line="260" w:lineRule="exact"/>
        <w:rPr>
          <w:sz w:val="20"/>
          <w:szCs w:val="20"/>
          <w:color w:val="auto"/>
        </w:rPr>
      </w:pPr>
    </w:p>
    <w:p>
      <w:pPr>
        <w:ind w:firstLine="400"/>
        <w:spacing w:after="0" w:line="302" w:lineRule="auto"/>
        <w:rPr>
          <w:sz w:val="20"/>
          <w:szCs w:val="20"/>
          <w:color w:val="auto"/>
        </w:rPr>
      </w:pPr>
      <w:r>
        <w:rPr>
          <w:rFonts w:ascii="Arial" w:cs="Arial" w:eastAsia="Arial" w:hAnsi="Arial"/>
          <w:sz w:val="20"/>
          <w:szCs w:val="20"/>
          <w:color w:val="auto"/>
        </w:rPr>
        <w:t>The Company’s dividends and distributions are recorded on the record date. The following table summarizes the dividends paid during the last three fiscal years.</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40970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409700" cy="63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2023:</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2/15/2023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2/15/2023 </w:t>
      </w:r>
      <w:r>
        <w:rPr>
          <w:rFonts w:ascii="Arial" w:cs="Arial" w:eastAsia="Arial" w:hAnsi="Arial"/>
          <w:sz w:val="18"/>
          <w:szCs w:val="18"/>
          <w:color w:val="auto"/>
          <w:vertAlign w:val="superscript"/>
        </w:rPr>
        <w:t>(2)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2/15/2023 </w:t>
      </w:r>
      <w:r>
        <w:rPr>
          <w:rFonts w:ascii="Arial" w:cs="Arial" w:eastAsia="Arial" w:hAnsi="Arial"/>
          <w:sz w:val="18"/>
          <w:szCs w:val="18"/>
          <w:color w:val="auto"/>
          <w:vertAlign w:val="superscript"/>
        </w:rPr>
        <w:t>(1)</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5/02/2023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5/02/2023 </w:t>
      </w:r>
      <w:r>
        <w:rPr>
          <w:rFonts w:ascii="Arial" w:cs="Arial" w:eastAsia="Arial" w:hAnsi="Arial"/>
          <w:sz w:val="18"/>
          <w:szCs w:val="18"/>
          <w:color w:val="auto"/>
          <w:vertAlign w:val="superscript"/>
        </w:rPr>
        <w:t>(2)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5/02/2023 </w:t>
      </w:r>
      <w:r>
        <w:rPr>
          <w:rFonts w:ascii="Arial" w:cs="Arial" w:eastAsia="Arial" w:hAnsi="Arial"/>
          <w:sz w:val="18"/>
          <w:szCs w:val="18"/>
          <w:color w:val="auto"/>
          <w:vertAlign w:val="superscript"/>
        </w:rPr>
        <w:t>(1)</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8/01/2023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8/01/2023 </w:t>
      </w:r>
      <w:r>
        <w:rPr>
          <w:rFonts w:ascii="Arial" w:cs="Arial" w:eastAsia="Arial" w:hAnsi="Arial"/>
          <w:sz w:val="18"/>
          <w:szCs w:val="18"/>
          <w:color w:val="auto"/>
          <w:vertAlign w:val="superscript"/>
        </w:rPr>
        <w:t>(2)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8/01/2023 </w:t>
      </w:r>
      <w:r>
        <w:rPr>
          <w:rFonts w:ascii="Arial" w:cs="Arial" w:eastAsia="Arial" w:hAnsi="Arial"/>
          <w:sz w:val="18"/>
          <w:szCs w:val="18"/>
          <w:color w:val="auto"/>
          <w:vertAlign w:val="superscript"/>
        </w:rPr>
        <w:t>(1)</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10/30/2023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10/30/2023 </w:t>
      </w:r>
      <w:r>
        <w:rPr>
          <w:rFonts w:ascii="Arial" w:cs="Arial" w:eastAsia="Arial" w:hAnsi="Arial"/>
          <w:sz w:val="18"/>
          <w:szCs w:val="18"/>
          <w:color w:val="auto"/>
          <w:vertAlign w:val="superscript"/>
        </w:rPr>
        <w:t>(2)</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10/30/2023 </w:t>
      </w:r>
      <w:r>
        <w:rPr>
          <w:rFonts w:ascii="Arial" w:cs="Arial" w:eastAsia="Arial" w:hAnsi="Arial"/>
          <w:sz w:val="18"/>
          <w:szCs w:val="18"/>
          <w:color w:val="auto"/>
          <w:vertAlign w:val="superscript"/>
        </w:rPr>
        <w:t>(1)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2024:</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2/13/2024</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2/13/2024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4/29/2024</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4/29/2024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7/29/2024</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7/29/2024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10/28/2024</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10/28/2024 </w:t>
      </w:r>
      <w:r>
        <w:rPr>
          <w:rFonts w:ascii="Arial" w:cs="Arial" w:eastAsia="Arial" w:hAnsi="Arial"/>
          <w:sz w:val="18"/>
          <w:szCs w:val="18"/>
          <w:color w:val="auto"/>
          <w:vertAlign w:val="superscript"/>
        </w:rPr>
        <w:t>(2)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2/18/2025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2/18/2025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5/5/2025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5/5/2025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8/4/2025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8/4/2025 </w:t>
      </w:r>
      <w:r>
        <w:rPr>
          <w:rFonts w:ascii="Arial" w:cs="Arial" w:eastAsia="Arial" w:hAnsi="Arial"/>
          <w:sz w:val="18"/>
          <w:szCs w:val="18"/>
          <w:color w:val="auto"/>
          <w:vertAlign w:val="superscript"/>
        </w:rPr>
        <w:t>(2)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11/3/2025</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11/3/2025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center"/>
              <w:ind w:right="70"/>
              <w:spacing w:after="0"/>
              <w:rPr>
                <w:sz w:val="20"/>
                <w:szCs w:val="20"/>
                <w:color w:val="auto"/>
              </w:rPr>
            </w:pPr>
            <w:r>
              <w:rPr>
                <w:rFonts w:ascii="Arial" w:cs="Arial" w:eastAsia="Arial" w:hAnsi="Arial"/>
                <w:sz w:val="14"/>
                <w:szCs w:val="14"/>
                <w:b w:val="1"/>
                <w:bCs w:val="1"/>
                <w:color w:val="auto"/>
              </w:rPr>
              <w:t>DRIP</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DRIP</w:t>
            </w:r>
          </w:p>
        </w:tc>
      </w:tr>
      <w:tr>
        <w:trPr>
          <w:trHeight w:val="224"/>
        </w:trPr>
        <w:tc>
          <w:tcPr>
            <w:tcW w:w="700" w:type="dxa"/>
            <w:vAlign w:val="bottom"/>
          </w:tcPr>
          <w:p>
            <w:pPr>
              <w:jc w:val="right"/>
              <w:ind w:right="90"/>
              <w:spacing w:after="0"/>
              <w:rPr>
                <w:sz w:val="20"/>
                <w:szCs w:val="20"/>
                <w:color w:val="auto"/>
              </w:rPr>
            </w:pPr>
            <w:r>
              <w:rPr>
                <w:rFonts w:ascii="Arial" w:cs="Arial" w:eastAsia="Arial" w:hAnsi="Arial"/>
                <w:sz w:val="14"/>
                <w:szCs w:val="14"/>
                <w:b w:val="1"/>
                <w:bCs w:val="1"/>
                <w:color w:val="auto"/>
              </w:rPr>
              <w:t>Record</w:t>
            </w:r>
          </w:p>
        </w:tc>
        <w:tc>
          <w:tcPr>
            <w:tcW w:w="740" w:type="dxa"/>
            <w:vAlign w:val="bottom"/>
          </w:tcPr>
          <w:p>
            <w:pPr>
              <w:jc w:val="right"/>
              <w:ind w:right="30"/>
              <w:spacing w:after="0"/>
              <w:rPr>
                <w:sz w:val="20"/>
                <w:szCs w:val="20"/>
                <w:color w:val="auto"/>
              </w:rPr>
            </w:pPr>
            <w:r>
              <w:rPr>
                <w:rFonts w:ascii="Arial" w:cs="Arial" w:eastAsia="Arial" w:hAnsi="Arial"/>
                <w:sz w:val="14"/>
                <w:szCs w:val="14"/>
                <w:b w:val="1"/>
                <w:bCs w:val="1"/>
                <w:color w:val="auto"/>
              </w:rPr>
              <w:t>Payment</w:t>
            </w:r>
          </w:p>
        </w:tc>
        <w:tc>
          <w:tcPr>
            <w:tcW w:w="1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9"/>
                <w:szCs w:val="19"/>
                <w:color w:val="auto"/>
              </w:rPr>
            </w:pPr>
          </w:p>
        </w:tc>
        <w:tc>
          <w:tcPr>
            <w:tcW w:w="5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4"/>
                <w:szCs w:val="14"/>
                <w:b w:val="1"/>
                <w:bCs w:val="1"/>
                <w:color w:val="auto"/>
              </w:rPr>
              <w:t>DRIP</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r>
      <w:tr>
        <w:trPr>
          <w:trHeight w:val="224"/>
        </w:trPr>
        <w:tc>
          <w:tcPr>
            <w:tcW w:w="700" w:type="dxa"/>
            <w:vAlign w:val="bottom"/>
          </w:tcPr>
          <w:p>
            <w:pPr>
              <w:jc w:val="right"/>
              <w:ind w:right="170"/>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jc w:val="right"/>
              <w:ind w:right="150"/>
              <w:spacing w:after="0"/>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Per Share</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Distribution</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9"/>
                <w:szCs w:val="19"/>
                <w:color w:val="auto"/>
              </w:rPr>
            </w:pPr>
          </w:p>
        </w:tc>
        <w:tc>
          <w:tcPr>
            <w:tcW w:w="56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Issue Price</w:t>
            </w:r>
          </w:p>
        </w:tc>
      </w:tr>
      <w:tr>
        <w:trPr>
          <w:trHeight w:val="549"/>
        </w:trPr>
        <w:tc>
          <w:tcPr>
            <w:tcW w:w="700" w:type="dxa"/>
            <w:vAlign w:val="bottom"/>
          </w:tcPr>
          <w:p>
            <w:pPr>
              <w:jc w:val="right"/>
              <w:spacing w:after="0"/>
              <w:rPr>
                <w:sz w:val="20"/>
                <w:szCs w:val="20"/>
                <w:color w:val="auto"/>
              </w:rPr>
            </w:pPr>
            <w:r>
              <w:rPr>
                <w:rFonts w:ascii="Arial" w:cs="Arial" w:eastAsia="Arial" w:hAnsi="Arial"/>
                <w:sz w:val="14"/>
                <w:szCs w:val="14"/>
                <w:color w:val="auto"/>
                <w:w w:val="99"/>
              </w:rPr>
              <w:t>3/22/2023</w:t>
            </w:r>
          </w:p>
        </w:tc>
        <w:tc>
          <w:tcPr>
            <w:tcW w:w="740" w:type="dxa"/>
            <w:vAlign w:val="bottom"/>
          </w:tcPr>
          <w:p>
            <w:pPr>
              <w:jc w:val="right"/>
              <w:spacing w:after="0"/>
              <w:rPr>
                <w:sz w:val="20"/>
                <w:szCs w:val="20"/>
                <w:color w:val="auto"/>
              </w:rPr>
            </w:pPr>
            <w:r>
              <w:rPr>
                <w:rFonts w:ascii="Arial" w:cs="Arial" w:eastAsia="Arial" w:hAnsi="Arial"/>
                <w:sz w:val="14"/>
                <w:szCs w:val="14"/>
                <w:color w:val="auto"/>
              </w:rPr>
              <w:t>3/29/2023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0.41</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10,245</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10,245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3/22/2023</w:t>
            </w:r>
          </w:p>
        </w:tc>
        <w:tc>
          <w:tcPr>
            <w:tcW w:w="740" w:type="dxa"/>
            <w:vAlign w:val="bottom"/>
          </w:tcPr>
          <w:p>
            <w:pPr>
              <w:jc w:val="right"/>
              <w:spacing w:after="0"/>
              <w:rPr>
                <w:sz w:val="20"/>
                <w:szCs w:val="20"/>
                <w:color w:val="auto"/>
              </w:rPr>
            </w:pPr>
            <w:r>
              <w:rPr>
                <w:rFonts w:ascii="Arial" w:cs="Arial" w:eastAsia="Arial" w:hAnsi="Arial"/>
                <w:sz w:val="14"/>
                <w:szCs w:val="14"/>
                <w:color w:val="auto"/>
              </w:rPr>
              <w:t>3/29/2023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0.15</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3,748</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3,748</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3/22/2023</w:t>
            </w:r>
          </w:p>
        </w:tc>
        <w:tc>
          <w:tcPr>
            <w:tcW w:w="740" w:type="dxa"/>
            <w:vAlign w:val="bottom"/>
          </w:tcPr>
          <w:p>
            <w:pPr>
              <w:jc w:val="right"/>
              <w:spacing w:after="0"/>
              <w:rPr>
                <w:sz w:val="20"/>
                <w:szCs w:val="20"/>
                <w:color w:val="auto"/>
              </w:rPr>
            </w:pPr>
            <w:r>
              <w:rPr>
                <w:rFonts w:ascii="Arial" w:cs="Arial" w:eastAsia="Arial" w:hAnsi="Arial"/>
                <w:sz w:val="14"/>
                <w:szCs w:val="14"/>
                <w:color w:val="auto"/>
              </w:rPr>
              <w:t>3/29/2023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2,499</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2,499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700" w:type="dxa"/>
            <w:vAlign w:val="bottom"/>
          </w:tcPr>
          <w:p>
            <w:pPr>
              <w:jc w:val="right"/>
              <w:spacing w:after="0"/>
              <w:rPr>
                <w:sz w:val="20"/>
                <w:szCs w:val="20"/>
                <w:color w:val="auto"/>
              </w:rPr>
            </w:pPr>
            <w:r>
              <w:rPr>
                <w:rFonts w:ascii="Arial" w:cs="Arial" w:eastAsia="Arial" w:hAnsi="Arial"/>
                <w:sz w:val="14"/>
                <w:szCs w:val="14"/>
                <w:color w:val="auto"/>
                <w:w w:val="99"/>
              </w:rPr>
              <w:t>6/21/2023</w:t>
            </w:r>
          </w:p>
        </w:tc>
        <w:tc>
          <w:tcPr>
            <w:tcW w:w="740" w:type="dxa"/>
            <w:vAlign w:val="bottom"/>
          </w:tcPr>
          <w:p>
            <w:pPr>
              <w:jc w:val="right"/>
              <w:spacing w:after="0"/>
              <w:rPr>
                <w:sz w:val="20"/>
                <w:szCs w:val="20"/>
                <w:color w:val="auto"/>
              </w:rPr>
            </w:pPr>
            <w:r>
              <w:rPr>
                <w:rFonts w:ascii="Arial" w:cs="Arial" w:eastAsia="Arial" w:hAnsi="Arial"/>
                <w:sz w:val="14"/>
                <w:szCs w:val="14"/>
                <w:color w:val="auto"/>
              </w:rPr>
              <w:t>6/28/2023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0.41</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10,340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9,987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353</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18,061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19.56</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6/21/2023</w:t>
            </w:r>
          </w:p>
        </w:tc>
        <w:tc>
          <w:tcPr>
            <w:tcW w:w="740" w:type="dxa"/>
            <w:vAlign w:val="bottom"/>
          </w:tcPr>
          <w:p>
            <w:pPr>
              <w:jc w:val="right"/>
              <w:spacing w:after="0"/>
              <w:rPr>
                <w:sz w:val="20"/>
                <w:szCs w:val="20"/>
                <w:color w:val="auto"/>
              </w:rPr>
            </w:pPr>
            <w:r>
              <w:rPr>
                <w:rFonts w:ascii="Arial" w:cs="Arial" w:eastAsia="Arial" w:hAnsi="Arial"/>
                <w:sz w:val="14"/>
                <w:szCs w:val="14"/>
                <w:color w:val="auto"/>
              </w:rPr>
              <w:t>6/28/2023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0.19</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4,792</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4,628</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8,370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19.56</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6/21/2023</w:t>
            </w:r>
          </w:p>
        </w:tc>
        <w:tc>
          <w:tcPr>
            <w:tcW w:w="740" w:type="dxa"/>
            <w:vAlign w:val="bottom"/>
          </w:tcPr>
          <w:p>
            <w:pPr>
              <w:jc w:val="right"/>
              <w:spacing w:after="0"/>
              <w:rPr>
                <w:sz w:val="20"/>
                <w:szCs w:val="20"/>
                <w:color w:val="auto"/>
              </w:rPr>
            </w:pPr>
            <w:r>
              <w:rPr>
                <w:rFonts w:ascii="Arial" w:cs="Arial" w:eastAsia="Arial" w:hAnsi="Arial"/>
                <w:sz w:val="14"/>
                <w:szCs w:val="14"/>
                <w:color w:val="auto"/>
              </w:rPr>
              <w:t>6/28/2023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2,522</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2,436</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4,405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19.56</w:t>
            </w:r>
          </w:p>
        </w:tc>
      </w:tr>
      <w:tr>
        <w:trPr>
          <w:trHeight w:val="339"/>
        </w:trPr>
        <w:tc>
          <w:tcPr>
            <w:tcW w:w="700" w:type="dxa"/>
            <w:vAlign w:val="bottom"/>
          </w:tcPr>
          <w:p>
            <w:pPr>
              <w:jc w:val="right"/>
              <w:spacing w:after="0"/>
              <w:rPr>
                <w:sz w:val="20"/>
                <w:szCs w:val="20"/>
                <w:color w:val="auto"/>
              </w:rPr>
            </w:pPr>
            <w:r>
              <w:rPr>
                <w:rFonts w:ascii="Arial" w:cs="Arial" w:eastAsia="Arial" w:hAnsi="Arial"/>
                <w:sz w:val="14"/>
                <w:szCs w:val="14"/>
                <w:color w:val="auto"/>
                <w:w w:val="99"/>
              </w:rPr>
              <w:t>9/20/2023</w:t>
            </w:r>
          </w:p>
        </w:tc>
        <w:tc>
          <w:tcPr>
            <w:tcW w:w="740" w:type="dxa"/>
            <w:vAlign w:val="bottom"/>
          </w:tcPr>
          <w:p>
            <w:pPr>
              <w:jc w:val="right"/>
              <w:spacing w:after="0"/>
              <w:rPr>
                <w:sz w:val="20"/>
                <w:szCs w:val="20"/>
                <w:color w:val="auto"/>
              </w:rPr>
            </w:pPr>
            <w:r>
              <w:rPr>
                <w:rFonts w:ascii="Arial" w:cs="Arial" w:eastAsia="Arial" w:hAnsi="Arial"/>
                <w:sz w:val="14"/>
                <w:szCs w:val="14"/>
                <w:color w:val="auto"/>
              </w:rPr>
              <w:t>9/27/2023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0.41</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11,666</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11,666</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9/20/2023</w:t>
            </w:r>
          </w:p>
        </w:tc>
        <w:tc>
          <w:tcPr>
            <w:tcW w:w="740" w:type="dxa"/>
            <w:vAlign w:val="bottom"/>
          </w:tcPr>
          <w:p>
            <w:pPr>
              <w:jc w:val="right"/>
              <w:spacing w:after="0"/>
              <w:rPr>
                <w:sz w:val="20"/>
                <w:szCs w:val="20"/>
                <w:color w:val="auto"/>
              </w:rPr>
            </w:pPr>
            <w:r>
              <w:rPr>
                <w:rFonts w:ascii="Arial" w:cs="Arial" w:eastAsia="Arial" w:hAnsi="Arial"/>
                <w:sz w:val="14"/>
                <w:szCs w:val="14"/>
                <w:color w:val="auto"/>
              </w:rPr>
              <w:t>9/27/2023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0.21</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5,975</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5,975</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9/20/2023</w:t>
            </w:r>
          </w:p>
        </w:tc>
        <w:tc>
          <w:tcPr>
            <w:tcW w:w="740" w:type="dxa"/>
            <w:vAlign w:val="bottom"/>
          </w:tcPr>
          <w:p>
            <w:pPr>
              <w:jc w:val="right"/>
              <w:spacing w:after="0"/>
              <w:rPr>
                <w:sz w:val="20"/>
                <w:szCs w:val="20"/>
                <w:color w:val="auto"/>
              </w:rPr>
            </w:pPr>
            <w:r>
              <w:rPr>
                <w:rFonts w:ascii="Arial" w:cs="Arial" w:eastAsia="Arial" w:hAnsi="Arial"/>
                <w:sz w:val="14"/>
                <w:szCs w:val="14"/>
                <w:color w:val="auto"/>
              </w:rPr>
              <w:t>9/27/2023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2,845</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2,845</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88"/>
              </w:rPr>
              <w:t>12/20/2023</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13,061</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13,061</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88"/>
              </w:rPr>
              <w:t>12/20/2023</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0.27</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8,200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8,200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700" w:type="dxa"/>
            <w:vAlign w:val="bottom"/>
          </w:tcPr>
          <w:p>
            <w:pPr>
              <w:jc w:val="right"/>
              <w:spacing w:after="0"/>
              <w:rPr>
                <w:sz w:val="20"/>
                <w:szCs w:val="20"/>
                <w:color w:val="auto"/>
              </w:rPr>
            </w:pPr>
            <w:r>
              <w:rPr>
                <w:rFonts w:ascii="Arial" w:cs="Arial" w:eastAsia="Arial" w:hAnsi="Arial"/>
                <w:sz w:val="14"/>
                <w:szCs w:val="14"/>
                <w:color w:val="auto"/>
                <w:w w:val="88"/>
              </w:rPr>
              <w:t>12/20/2023</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12/27/2023</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3,037</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3,037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2.88</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78,930</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78,327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603</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30,836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84"/>
        </w:trPr>
        <w:tc>
          <w:tcPr>
            <w:tcW w:w="700" w:type="dxa"/>
            <w:vAlign w:val="bottom"/>
          </w:tcPr>
          <w:p>
            <w:pPr>
              <w:jc w:val="right"/>
              <w:spacing w:after="0"/>
              <w:rPr>
                <w:sz w:val="20"/>
                <w:szCs w:val="20"/>
                <w:color w:val="auto"/>
              </w:rPr>
            </w:pPr>
            <w:r>
              <w:rPr>
                <w:rFonts w:ascii="Arial" w:cs="Arial" w:eastAsia="Arial" w:hAnsi="Arial"/>
                <w:sz w:val="14"/>
                <w:szCs w:val="14"/>
                <w:color w:val="auto"/>
                <w:w w:val="99"/>
              </w:rPr>
              <w:t>3/20/2024</w:t>
            </w:r>
          </w:p>
        </w:tc>
        <w:tc>
          <w:tcPr>
            <w:tcW w:w="740" w:type="dxa"/>
            <w:vAlign w:val="bottom"/>
          </w:tcPr>
          <w:p>
            <w:pPr>
              <w:jc w:val="right"/>
              <w:spacing w:after="0"/>
              <w:rPr>
                <w:sz w:val="20"/>
                <w:szCs w:val="20"/>
                <w:color w:val="auto"/>
              </w:rPr>
            </w:pPr>
            <w:r>
              <w:rPr>
                <w:rFonts w:ascii="Arial" w:cs="Arial" w:eastAsia="Arial" w:hAnsi="Arial"/>
                <w:sz w:val="14"/>
                <w:szCs w:val="14"/>
                <w:color w:val="auto"/>
              </w:rPr>
              <w:t>3/27/2024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13,513</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13,513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3/20/2024</w:t>
            </w:r>
          </w:p>
        </w:tc>
        <w:tc>
          <w:tcPr>
            <w:tcW w:w="740" w:type="dxa"/>
            <w:vAlign w:val="bottom"/>
          </w:tcPr>
          <w:p>
            <w:pPr>
              <w:jc w:val="right"/>
              <w:spacing w:after="0"/>
              <w:rPr>
                <w:sz w:val="20"/>
                <w:szCs w:val="20"/>
                <w:color w:val="auto"/>
              </w:rPr>
            </w:pPr>
            <w:r>
              <w:rPr>
                <w:rFonts w:ascii="Arial" w:cs="Arial" w:eastAsia="Arial" w:hAnsi="Arial"/>
                <w:sz w:val="14"/>
                <w:szCs w:val="14"/>
                <w:color w:val="auto"/>
              </w:rPr>
              <w:t>3/27/2024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0.22</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6,914</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6,914</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700" w:type="dxa"/>
            <w:vAlign w:val="bottom"/>
          </w:tcPr>
          <w:p>
            <w:pPr>
              <w:jc w:val="right"/>
              <w:spacing w:after="0"/>
              <w:rPr>
                <w:sz w:val="20"/>
                <w:szCs w:val="20"/>
                <w:color w:val="auto"/>
              </w:rPr>
            </w:pPr>
            <w:r>
              <w:rPr>
                <w:rFonts w:ascii="Arial" w:cs="Arial" w:eastAsia="Arial" w:hAnsi="Arial"/>
                <w:sz w:val="14"/>
                <w:szCs w:val="14"/>
                <w:color w:val="auto"/>
                <w:w w:val="99"/>
              </w:rPr>
              <w:t>6/19/2024</w:t>
            </w:r>
          </w:p>
        </w:tc>
        <w:tc>
          <w:tcPr>
            <w:tcW w:w="740" w:type="dxa"/>
            <w:vAlign w:val="bottom"/>
          </w:tcPr>
          <w:p>
            <w:pPr>
              <w:jc w:val="right"/>
              <w:spacing w:after="0"/>
              <w:rPr>
                <w:sz w:val="20"/>
                <w:szCs w:val="20"/>
                <w:color w:val="auto"/>
              </w:rPr>
            </w:pPr>
            <w:r>
              <w:rPr>
                <w:rFonts w:ascii="Arial" w:cs="Arial" w:eastAsia="Arial" w:hAnsi="Arial"/>
                <w:sz w:val="14"/>
                <w:szCs w:val="14"/>
                <w:color w:val="auto"/>
              </w:rPr>
              <w:t>6/26/2024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14,240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13,623</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31,889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19.36</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6/19/2024</w:t>
            </w:r>
          </w:p>
        </w:tc>
        <w:tc>
          <w:tcPr>
            <w:tcW w:w="740" w:type="dxa"/>
            <w:vAlign w:val="bottom"/>
          </w:tcPr>
          <w:p>
            <w:pPr>
              <w:jc w:val="right"/>
              <w:spacing w:after="0"/>
              <w:rPr>
                <w:sz w:val="20"/>
                <w:szCs w:val="20"/>
                <w:color w:val="auto"/>
              </w:rPr>
            </w:pPr>
            <w:r>
              <w:rPr>
                <w:rFonts w:ascii="Arial" w:cs="Arial" w:eastAsia="Arial" w:hAnsi="Arial"/>
                <w:sz w:val="14"/>
                <w:szCs w:val="14"/>
                <w:color w:val="auto"/>
              </w:rPr>
              <w:t>6/26/2024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0.16</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5,299</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5,069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11,866</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19.36</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9/19/2024</w:t>
            </w:r>
          </w:p>
        </w:tc>
        <w:tc>
          <w:tcPr>
            <w:tcW w:w="740" w:type="dxa"/>
            <w:vAlign w:val="bottom"/>
          </w:tcPr>
          <w:p>
            <w:pPr>
              <w:jc w:val="right"/>
              <w:spacing w:after="0"/>
              <w:rPr>
                <w:sz w:val="20"/>
                <w:szCs w:val="20"/>
                <w:color w:val="auto"/>
              </w:rPr>
            </w:pPr>
            <w:r>
              <w:rPr>
                <w:rFonts w:ascii="Arial" w:cs="Arial" w:eastAsia="Arial" w:hAnsi="Arial"/>
                <w:sz w:val="14"/>
                <w:szCs w:val="14"/>
                <w:color w:val="auto"/>
              </w:rPr>
              <w:t>9/26/2024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14,567</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14,002</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28,981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19.50</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9/19/2024</w:t>
            </w:r>
          </w:p>
        </w:tc>
        <w:tc>
          <w:tcPr>
            <w:tcW w:w="740" w:type="dxa"/>
            <w:vAlign w:val="bottom"/>
          </w:tcPr>
          <w:p>
            <w:pPr>
              <w:jc w:val="right"/>
              <w:spacing w:after="0"/>
              <w:rPr>
                <w:sz w:val="20"/>
                <w:szCs w:val="20"/>
                <w:color w:val="auto"/>
              </w:rPr>
            </w:pPr>
            <w:r>
              <w:rPr>
                <w:rFonts w:ascii="Arial" w:cs="Arial" w:eastAsia="Arial" w:hAnsi="Arial"/>
                <w:sz w:val="14"/>
                <w:szCs w:val="14"/>
                <w:color w:val="auto"/>
              </w:rPr>
              <w:t>9/26/2024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0.14</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4,743</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4,560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9,436</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19.50</w:t>
            </w:r>
          </w:p>
        </w:tc>
      </w:tr>
      <w:tr>
        <w:trPr>
          <w:trHeight w:val="339"/>
        </w:trPr>
        <w:tc>
          <w:tcPr>
            <w:tcW w:w="700" w:type="dxa"/>
            <w:vAlign w:val="bottom"/>
          </w:tcPr>
          <w:p>
            <w:pPr>
              <w:jc w:val="right"/>
              <w:spacing w:after="0"/>
              <w:rPr>
                <w:sz w:val="20"/>
                <w:szCs w:val="20"/>
                <w:color w:val="auto"/>
              </w:rPr>
            </w:pPr>
            <w:r>
              <w:rPr>
                <w:rFonts w:ascii="Arial" w:cs="Arial" w:eastAsia="Arial" w:hAnsi="Arial"/>
                <w:sz w:val="14"/>
                <w:szCs w:val="14"/>
                <w:color w:val="auto"/>
                <w:w w:val="88"/>
              </w:rPr>
              <w:t>12/17/2024</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12/27/2024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14,583</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14,583</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700" w:type="dxa"/>
            <w:vAlign w:val="bottom"/>
          </w:tcPr>
          <w:p>
            <w:pPr>
              <w:jc w:val="right"/>
              <w:spacing w:after="0"/>
              <w:rPr>
                <w:sz w:val="20"/>
                <w:szCs w:val="20"/>
                <w:color w:val="auto"/>
              </w:rPr>
            </w:pPr>
            <w:r>
              <w:rPr>
                <w:rFonts w:ascii="Arial" w:cs="Arial" w:eastAsia="Arial" w:hAnsi="Arial"/>
                <w:sz w:val="14"/>
                <w:szCs w:val="14"/>
                <w:color w:val="auto"/>
                <w:w w:val="88"/>
              </w:rPr>
              <w:t>12/17/2024</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12/27/2024</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0.18</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6,105</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6,105</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2.42</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79,964</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78,369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1,595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82,172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84"/>
        </w:trPr>
        <w:tc>
          <w:tcPr>
            <w:tcW w:w="700" w:type="dxa"/>
            <w:vAlign w:val="bottom"/>
          </w:tcPr>
          <w:p>
            <w:pPr>
              <w:jc w:val="right"/>
              <w:spacing w:after="0"/>
              <w:rPr>
                <w:sz w:val="20"/>
                <w:szCs w:val="20"/>
                <w:color w:val="auto"/>
              </w:rPr>
            </w:pPr>
            <w:r>
              <w:rPr>
                <w:rFonts w:ascii="Arial" w:cs="Arial" w:eastAsia="Arial" w:hAnsi="Arial"/>
                <w:sz w:val="14"/>
                <w:szCs w:val="14"/>
                <w:color w:val="auto"/>
                <w:w w:val="99"/>
              </w:rPr>
              <w:t>3/20/2025</w:t>
            </w:r>
          </w:p>
        </w:tc>
        <w:tc>
          <w:tcPr>
            <w:tcW w:w="740" w:type="dxa"/>
            <w:vAlign w:val="bottom"/>
          </w:tcPr>
          <w:p>
            <w:pPr>
              <w:jc w:val="right"/>
              <w:spacing w:after="0"/>
              <w:rPr>
                <w:sz w:val="20"/>
                <w:szCs w:val="20"/>
                <w:color w:val="auto"/>
              </w:rPr>
            </w:pPr>
            <w:r>
              <w:rPr>
                <w:rFonts w:ascii="Arial" w:cs="Arial" w:eastAsia="Arial" w:hAnsi="Arial"/>
                <w:sz w:val="14"/>
                <w:szCs w:val="14"/>
                <w:color w:val="auto"/>
              </w:rPr>
              <w:t>3/27/2025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14,935</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14,377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558</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28,862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19.33</w:t>
            </w:r>
          </w:p>
        </w:tc>
      </w:tr>
      <w:tr>
        <w:trPr>
          <w:trHeight w:val="290"/>
        </w:trPr>
        <w:tc>
          <w:tcPr>
            <w:tcW w:w="700" w:type="dxa"/>
            <w:vAlign w:val="bottom"/>
          </w:tcPr>
          <w:p>
            <w:pPr>
              <w:jc w:val="right"/>
              <w:spacing w:after="0"/>
              <w:rPr>
                <w:sz w:val="20"/>
                <w:szCs w:val="20"/>
                <w:color w:val="auto"/>
              </w:rPr>
            </w:pPr>
            <w:r>
              <w:rPr>
                <w:rFonts w:ascii="Arial" w:cs="Arial" w:eastAsia="Arial" w:hAnsi="Arial"/>
                <w:sz w:val="14"/>
                <w:szCs w:val="14"/>
                <w:color w:val="auto"/>
                <w:w w:val="99"/>
              </w:rPr>
              <w:t>3/20/2025</w:t>
            </w:r>
          </w:p>
        </w:tc>
        <w:tc>
          <w:tcPr>
            <w:tcW w:w="740" w:type="dxa"/>
            <w:vAlign w:val="bottom"/>
          </w:tcPr>
          <w:p>
            <w:pPr>
              <w:jc w:val="right"/>
              <w:spacing w:after="0"/>
              <w:rPr>
                <w:sz w:val="20"/>
                <w:szCs w:val="20"/>
                <w:color w:val="auto"/>
              </w:rPr>
            </w:pPr>
            <w:r>
              <w:rPr>
                <w:rFonts w:ascii="Arial" w:cs="Arial" w:eastAsia="Arial" w:hAnsi="Arial"/>
                <w:sz w:val="14"/>
                <w:szCs w:val="14"/>
                <w:color w:val="auto"/>
              </w:rPr>
              <w:t>3/27/2025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0.11</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3,820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3,677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7,383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19.33</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6/13/2025</w:t>
            </w:r>
          </w:p>
        </w:tc>
        <w:tc>
          <w:tcPr>
            <w:tcW w:w="740" w:type="dxa"/>
            <w:vAlign w:val="bottom"/>
          </w:tcPr>
          <w:p>
            <w:pPr>
              <w:jc w:val="right"/>
              <w:spacing w:after="0"/>
              <w:rPr>
                <w:sz w:val="20"/>
                <w:szCs w:val="20"/>
                <w:color w:val="auto"/>
              </w:rPr>
            </w:pPr>
            <w:r>
              <w:rPr>
                <w:rFonts w:ascii="Arial" w:cs="Arial" w:eastAsia="Arial" w:hAnsi="Arial"/>
                <w:sz w:val="14"/>
                <w:szCs w:val="14"/>
                <w:color w:val="auto"/>
              </w:rPr>
              <w:t>6/25/2025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15,200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14,698</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502</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25,932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19.39</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6/13/2025</w:t>
            </w:r>
          </w:p>
        </w:tc>
        <w:tc>
          <w:tcPr>
            <w:tcW w:w="740" w:type="dxa"/>
            <w:vAlign w:val="bottom"/>
          </w:tcPr>
          <w:p>
            <w:pPr>
              <w:jc w:val="right"/>
              <w:spacing w:after="0"/>
              <w:rPr>
                <w:sz w:val="20"/>
                <w:szCs w:val="20"/>
                <w:color w:val="auto"/>
              </w:rPr>
            </w:pPr>
            <w:r>
              <w:rPr>
                <w:rFonts w:ascii="Arial" w:cs="Arial" w:eastAsia="Arial" w:hAnsi="Arial"/>
                <w:sz w:val="14"/>
                <w:szCs w:val="14"/>
                <w:color w:val="auto"/>
              </w:rPr>
              <w:t>6/25/2025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0.11</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3,888</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3,760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6,634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19.39</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9/18/2025</w:t>
            </w:r>
          </w:p>
        </w:tc>
        <w:tc>
          <w:tcPr>
            <w:tcW w:w="740" w:type="dxa"/>
            <w:vAlign w:val="bottom"/>
          </w:tcPr>
          <w:p>
            <w:pPr>
              <w:jc w:val="right"/>
              <w:spacing w:after="0"/>
              <w:rPr>
                <w:sz w:val="20"/>
                <w:szCs w:val="20"/>
                <w:color w:val="auto"/>
              </w:rPr>
            </w:pPr>
            <w:r>
              <w:rPr>
                <w:rFonts w:ascii="Arial" w:cs="Arial" w:eastAsia="Arial" w:hAnsi="Arial"/>
                <w:sz w:val="14"/>
                <w:szCs w:val="14"/>
                <w:color w:val="auto"/>
              </w:rPr>
              <w:t>9/25/2025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15,587</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15,073</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26,255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314"/>
        </w:trPr>
        <w:tc>
          <w:tcPr>
            <w:tcW w:w="700" w:type="dxa"/>
            <w:vAlign w:val="bottom"/>
          </w:tcPr>
          <w:p>
            <w:pPr>
              <w:jc w:val="right"/>
              <w:spacing w:after="0"/>
              <w:rPr>
                <w:sz w:val="20"/>
                <w:szCs w:val="20"/>
                <w:color w:val="auto"/>
              </w:rPr>
            </w:pPr>
            <w:r>
              <w:rPr>
                <w:rFonts w:ascii="Arial" w:cs="Arial" w:eastAsia="Arial" w:hAnsi="Arial"/>
                <w:sz w:val="14"/>
                <w:szCs w:val="14"/>
                <w:color w:val="auto"/>
                <w:w w:val="99"/>
              </w:rPr>
              <w:t>9/18/2025</w:t>
            </w:r>
          </w:p>
        </w:tc>
        <w:tc>
          <w:tcPr>
            <w:tcW w:w="740" w:type="dxa"/>
            <w:vAlign w:val="bottom"/>
          </w:tcPr>
          <w:p>
            <w:pPr>
              <w:jc w:val="right"/>
              <w:spacing w:after="0"/>
              <w:rPr>
                <w:sz w:val="20"/>
                <w:szCs w:val="20"/>
                <w:color w:val="auto"/>
              </w:rPr>
            </w:pPr>
            <w:r>
              <w:rPr>
                <w:rFonts w:ascii="Arial" w:cs="Arial" w:eastAsia="Arial" w:hAnsi="Arial"/>
                <w:sz w:val="14"/>
                <w:szCs w:val="14"/>
                <w:color w:val="auto"/>
              </w:rPr>
              <w:t>9/25/2025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0.14</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5,074</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4,907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8,548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339"/>
        </w:trPr>
        <w:tc>
          <w:tcPr>
            <w:tcW w:w="700" w:type="dxa"/>
            <w:vAlign w:val="bottom"/>
          </w:tcPr>
          <w:p>
            <w:pPr>
              <w:jc w:val="right"/>
              <w:spacing w:after="0"/>
              <w:rPr>
                <w:sz w:val="20"/>
                <w:szCs w:val="20"/>
                <w:color w:val="auto"/>
              </w:rPr>
            </w:pPr>
            <w:r>
              <w:rPr>
                <w:rFonts w:ascii="Arial" w:cs="Arial" w:eastAsia="Arial" w:hAnsi="Arial"/>
                <w:sz w:val="14"/>
                <w:szCs w:val="14"/>
                <w:color w:val="auto"/>
                <w:w w:val="88"/>
              </w:rPr>
              <w:t>12/19/2025</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12/29/2025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0.43</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16,320</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16,320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700" w:type="dxa"/>
            <w:vAlign w:val="bottom"/>
          </w:tcPr>
          <w:p>
            <w:pPr>
              <w:jc w:val="right"/>
              <w:spacing w:after="0"/>
              <w:rPr>
                <w:sz w:val="20"/>
                <w:szCs w:val="20"/>
                <w:color w:val="auto"/>
              </w:rPr>
            </w:pPr>
            <w:r>
              <w:rPr>
                <w:rFonts w:ascii="Arial" w:cs="Arial" w:eastAsia="Arial" w:hAnsi="Arial"/>
                <w:sz w:val="14"/>
                <w:szCs w:val="14"/>
                <w:color w:val="auto"/>
                <w:w w:val="88"/>
              </w:rPr>
              <w:t>12/19/2025</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12/29/2025</w:t>
            </w:r>
          </w:p>
        </w:tc>
        <w:tc>
          <w:tcPr>
            <w:tcW w:w="1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0.07</w:t>
            </w:r>
          </w:p>
        </w:tc>
        <w:tc>
          <w:tcPr>
            <w:tcW w:w="24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2,657</w:t>
            </w:r>
          </w:p>
        </w:tc>
        <w:tc>
          <w:tcPr>
            <w:tcW w:w="2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2,657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3"/>
              <w:spacing w:after="0"/>
              <w:rPr>
                <w:sz w:val="20"/>
                <w:szCs w:val="20"/>
                <w:color w:val="auto"/>
              </w:rPr>
            </w:pPr>
            <w:r>
              <w:rPr>
                <w:rFonts w:ascii="Arial" w:cs="Arial" w:eastAsia="Arial" w:hAnsi="Arial"/>
                <w:sz w:val="9"/>
                <w:szCs w:val="9"/>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2.15</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77,481</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75,469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103,614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-6680835</wp:posOffset>
            </wp:positionV>
            <wp:extent cx="5967730" cy="67278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67730" cy="672782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-6680835</wp:posOffset>
            </wp:positionV>
            <wp:extent cx="5967730" cy="67278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7730" cy="6727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80"/>
            <w:col w:w="7020"/>
          </w:cols>
          <w:pgMar w:left="1260" w:top="1440" w:right="1326" w:bottom="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320"/>
          </w:cols>
          <w:pgMar w:left="1260" w:top="1440" w:right="1326" w:bottom="0" w:gutter="0" w:footer="0" w:header="0"/>
          <w:type w:val="continuous"/>
        </w:sectPr>
      </w:pPr>
    </w:p>
    <w:bookmarkStart w:id="314" w:name="page315"/>
    <w:bookmarkEnd w:id="314"/>
    <w:p>
      <w:pPr>
        <w:spacing w:after="0" w:line="62" w:lineRule="exact"/>
        <w:rPr>
          <w:sz w:val="20"/>
          <w:szCs w:val="20"/>
          <w:color w:val="auto"/>
        </w:rPr>
      </w:pPr>
    </w:p>
    <w:p>
      <w:pPr>
        <w:ind w:left="286" w:hanging="286"/>
        <w:spacing w:after="0"/>
        <w:tabs>
          <w:tab w:leader="none" w:pos="28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Special dividend</w:t>
      </w:r>
    </w:p>
    <w:p>
      <w:pPr>
        <w:spacing w:after="0" w:line="70" w:lineRule="exact"/>
        <w:rPr>
          <w:rFonts w:ascii="Arial" w:cs="Arial" w:eastAsia="Arial" w:hAnsi="Arial"/>
          <w:sz w:val="16"/>
          <w:szCs w:val="16"/>
          <w:color w:val="auto"/>
        </w:rPr>
      </w:pPr>
    </w:p>
    <w:p>
      <w:pPr>
        <w:ind w:left="286" w:hanging="286"/>
        <w:spacing w:after="0"/>
        <w:tabs>
          <w:tab w:leader="none" w:pos="28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Supplemental dividend</w:t>
      </w:r>
    </w:p>
    <w:p>
      <w:pPr>
        <w:spacing w:after="0" w:line="77" w:lineRule="exact"/>
        <w:rPr>
          <w:rFonts w:ascii="Arial" w:cs="Arial" w:eastAsia="Arial" w:hAnsi="Arial"/>
          <w:sz w:val="16"/>
          <w:szCs w:val="16"/>
          <w:color w:val="auto"/>
        </w:rPr>
      </w:pPr>
    </w:p>
    <w:p>
      <w:pPr>
        <w:ind w:left="286" w:hanging="286"/>
        <w:spacing w:after="0" w:line="309" w:lineRule="auto"/>
        <w:tabs>
          <w:tab w:leader="none" w:pos="28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Except for the shares issued pursuant to the DRIP as reflected in the table above, during the years ended December 31, 2025, 2024, and 2023,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31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346"/>
          </w:cols>
          <w:pgMar w:left="1254" w:top="1440" w:right="1306" w:bottom="0" w:gutter="0" w:footer="0" w:header="0"/>
          <w:type w:val="continuous"/>
        </w:sectPr>
      </w:pPr>
    </w:p>
    <w:bookmarkStart w:id="315" w:name="page316"/>
    <w:bookmarkEnd w:id="315"/>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shares and per share data)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8031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480310" cy="6350"/>
                    </a:xfrm>
                    <a:prstGeom prst="rect">
                      <a:avLst/>
                    </a:prstGeom>
                    <a:noFill/>
                  </pic:spPr>
                </pic:pic>
              </a:graphicData>
            </a:graphic>
          </wp:anchor>
        </w:drawing>
      </w:r>
    </w:p>
    <w:p>
      <w:pPr>
        <w:spacing w:after="0" w:line="128" w:lineRule="exact"/>
        <w:rPr>
          <w:sz w:val="20"/>
          <w:szCs w:val="20"/>
          <w:color w:val="auto"/>
        </w:rPr>
      </w:pPr>
    </w:p>
    <w:p>
      <w:pPr>
        <w:ind w:right="1800"/>
        <w:spacing w:after="0" w:line="402" w:lineRule="auto"/>
        <w:rPr>
          <w:sz w:val="20"/>
          <w:szCs w:val="20"/>
          <w:color w:val="auto"/>
        </w:rPr>
      </w:pPr>
      <w:r>
        <w:rPr>
          <w:rFonts w:ascii="Arial" w:cs="Arial" w:eastAsia="Arial" w:hAnsi="Arial"/>
          <w:sz w:val="14"/>
          <w:szCs w:val="14"/>
          <w:color w:val="auto"/>
        </w:rPr>
        <w:t>January 1, 2023 through March 31, 2023 April 1, 2023 through June 30, 2023</w:t>
      </w:r>
    </w:p>
    <w:p>
      <w:pPr>
        <w:spacing w:after="0" w:line="29" w:lineRule="exact"/>
        <w:rPr>
          <w:sz w:val="20"/>
          <w:szCs w:val="20"/>
          <w:color w:val="auto"/>
        </w:rPr>
      </w:pPr>
    </w:p>
    <w:p>
      <w:pPr>
        <w:ind w:right="1540"/>
        <w:spacing w:after="0" w:line="506" w:lineRule="auto"/>
        <w:rPr>
          <w:sz w:val="20"/>
          <w:szCs w:val="20"/>
          <w:color w:val="auto"/>
        </w:rPr>
      </w:pPr>
      <w:r>
        <w:rPr>
          <w:rFonts w:ascii="Arial" w:cs="Arial" w:eastAsia="Arial" w:hAnsi="Arial"/>
          <w:sz w:val="14"/>
          <w:szCs w:val="14"/>
          <w:color w:val="auto"/>
        </w:rPr>
        <w:t>July 1, 2023 through September 30, 2023 October 1, 2023 through December 31, 2023</w:t>
      </w:r>
    </w:p>
    <w:p>
      <w:pPr>
        <w:spacing w:after="0" w:line="236" w:lineRule="auto"/>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8031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80310" cy="63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January 1, 2024 through March 31, 2024</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April 1, 2024 through June 30, 2024</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July 1, 2024 through September 30, 2024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October 1, 2024 through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8031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480310" cy="635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January 1, 2025 through March 31, 2025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April 1, 2025 through June 30, 2025</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July 1, 2025 through September 30, 2025</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October 1, 2025 through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7"/>
              </w:rPr>
              <w:t>Purchased</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0"/>
              </w:rPr>
              <w:t>Price Paid</w:t>
            </w:r>
          </w:p>
        </w:tc>
        <w:tc>
          <w:tcPr>
            <w:tcW w:w="140" w:type="dxa"/>
            <w:vAlign w:val="bottom"/>
          </w:tcPr>
          <w:p>
            <w:pPr>
              <w:spacing w:after="0"/>
              <w:rPr>
                <w:sz w:val="22"/>
                <w:szCs w:val="22"/>
                <w:color w:val="auto"/>
              </w:rPr>
            </w:pPr>
          </w:p>
        </w:tc>
        <w:tc>
          <w:tcPr>
            <w:tcW w:w="1260" w:type="dxa"/>
            <w:vAlign w:val="bottom"/>
          </w:tcPr>
          <w:p>
            <w:pPr>
              <w:jc w:val="center"/>
              <w:ind w:right="180"/>
              <w:spacing w:after="0"/>
              <w:rPr>
                <w:sz w:val="20"/>
                <w:szCs w:val="20"/>
                <w:color w:val="auto"/>
              </w:rPr>
            </w:pPr>
            <w:r>
              <w:rPr>
                <w:rFonts w:ascii="Arial" w:cs="Arial" w:eastAsia="Arial" w:hAnsi="Arial"/>
                <w:sz w:val="16"/>
                <w:szCs w:val="16"/>
                <w:b w:val="1"/>
                <w:bCs w:val="1"/>
                <w:color w:val="auto"/>
                <w:w w:val="94"/>
              </w:rPr>
              <w:t>Total</w:t>
            </w: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8"/>
              </w:rPr>
              <w:t>and Reissued</w:t>
            </w:r>
          </w:p>
        </w:tc>
        <w:tc>
          <w:tcPr>
            <w:tcW w:w="180" w:type="dxa"/>
            <w:vAlign w:val="bottom"/>
          </w:tcPr>
          <w:p>
            <w:pPr>
              <w:spacing w:after="0"/>
              <w:rPr>
                <w:sz w:val="22"/>
                <w:szCs w:val="22"/>
                <w:color w:val="auto"/>
              </w:rPr>
            </w:pPr>
          </w:p>
        </w:tc>
        <w:tc>
          <w:tcPr>
            <w:tcW w:w="1340" w:type="dxa"/>
            <w:vAlign w:val="bottom"/>
          </w:tcPr>
          <w:p>
            <w:pPr>
              <w:jc w:val="center"/>
              <w:ind w:right="340"/>
              <w:spacing w:after="0"/>
              <w:rPr>
                <w:sz w:val="20"/>
                <w:szCs w:val="20"/>
                <w:color w:val="auto"/>
              </w:rPr>
            </w:pPr>
            <w:r>
              <w:rPr>
                <w:rFonts w:ascii="Arial" w:cs="Arial" w:eastAsia="Arial" w:hAnsi="Arial"/>
                <w:sz w:val="16"/>
                <w:szCs w:val="16"/>
                <w:b w:val="1"/>
                <w:bCs w:val="1"/>
                <w:color w:val="auto"/>
                <w:w w:val="90"/>
              </w:rPr>
              <w:t>Per Share</w:t>
            </w:r>
          </w:p>
        </w:tc>
        <w:tc>
          <w:tcPr>
            <w:tcW w:w="140" w:type="dxa"/>
            <w:vAlign w:val="bottom"/>
          </w:tcPr>
          <w:p>
            <w:pPr>
              <w:spacing w:after="0"/>
              <w:rPr>
                <w:sz w:val="22"/>
                <w:szCs w:val="22"/>
                <w:color w:val="auto"/>
              </w:rPr>
            </w:pPr>
          </w:p>
        </w:tc>
        <w:tc>
          <w:tcPr>
            <w:tcW w:w="126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Amount Paid</w:t>
            </w:r>
          </w:p>
        </w:tc>
      </w:tr>
      <w:tr>
        <w:trPr>
          <w:trHeight w:val="32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25,512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490</w:t>
            </w:r>
          </w:p>
        </w:tc>
      </w:tr>
      <w:tr>
        <w:trPr>
          <w:trHeight w:val="25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98"/>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39,962</w:t>
            </w:r>
          </w:p>
        </w:tc>
        <w:tc>
          <w:tcPr>
            <w:tcW w:w="180" w:type="dxa"/>
            <w:vAlign w:val="bottom"/>
          </w:tcPr>
          <w:p>
            <w:pPr>
              <w:spacing w:after="0"/>
              <w:rPr>
                <w:sz w:val="24"/>
                <w:szCs w:val="24"/>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19.21</w:t>
            </w:r>
          </w:p>
        </w:tc>
        <w:tc>
          <w:tcPr>
            <w:tcW w:w="1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768</w:t>
            </w:r>
          </w:p>
        </w:tc>
      </w:tr>
      <w:tr>
        <w:trPr>
          <w:trHeight w:val="31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45,047</w:t>
            </w:r>
          </w:p>
        </w:tc>
        <w:tc>
          <w:tcPr>
            <w:tcW w:w="180" w:type="dxa"/>
            <w:vAlign w:val="bottom"/>
          </w:tcPr>
          <w:p>
            <w:pPr>
              <w:spacing w:after="0"/>
              <w:rPr>
                <w:sz w:val="24"/>
                <w:szCs w:val="24"/>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19.83</w:t>
            </w:r>
          </w:p>
        </w:tc>
        <w:tc>
          <w:tcPr>
            <w:tcW w:w="1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893</w:t>
            </w:r>
          </w:p>
        </w:tc>
      </w:tr>
      <w:tr>
        <w:trPr>
          <w:trHeight w:val="59"/>
        </w:trPr>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82"/>
        </w:trPr>
        <w:tc>
          <w:tcPr>
            <w:tcW w:w="136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110,521</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19.46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2,151</w:t>
            </w:r>
          </w:p>
        </w:tc>
      </w:tr>
      <w:tr>
        <w:trPr>
          <w:trHeight w:val="77"/>
        </w:trPr>
        <w:tc>
          <w:tcPr>
            <w:tcW w:w="13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r>
      <w:tr>
        <w:trPr>
          <w:trHeight w:val="477"/>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7"/>
              </w:rPr>
              <w:t>Purchased</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0"/>
              </w:rPr>
              <w:t>Price Paid</w:t>
            </w:r>
          </w:p>
        </w:tc>
        <w:tc>
          <w:tcPr>
            <w:tcW w:w="140" w:type="dxa"/>
            <w:vAlign w:val="bottom"/>
          </w:tcPr>
          <w:p>
            <w:pPr>
              <w:spacing w:after="0"/>
              <w:rPr>
                <w:sz w:val="22"/>
                <w:szCs w:val="22"/>
                <w:color w:val="auto"/>
              </w:rPr>
            </w:pPr>
          </w:p>
        </w:tc>
        <w:tc>
          <w:tcPr>
            <w:tcW w:w="1260" w:type="dxa"/>
            <w:vAlign w:val="bottom"/>
          </w:tcPr>
          <w:p>
            <w:pPr>
              <w:jc w:val="center"/>
              <w:ind w:right="180"/>
              <w:spacing w:after="0"/>
              <w:rPr>
                <w:sz w:val="20"/>
                <w:szCs w:val="20"/>
                <w:color w:val="auto"/>
              </w:rPr>
            </w:pPr>
            <w:r>
              <w:rPr>
                <w:rFonts w:ascii="Arial" w:cs="Arial" w:eastAsia="Arial" w:hAnsi="Arial"/>
                <w:sz w:val="16"/>
                <w:szCs w:val="16"/>
                <w:b w:val="1"/>
                <w:bCs w:val="1"/>
                <w:color w:val="auto"/>
                <w:w w:val="94"/>
              </w:rPr>
              <w:t>Total</w:t>
            </w: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8"/>
              </w:rPr>
              <w:t>and Reissued</w:t>
            </w:r>
          </w:p>
        </w:tc>
        <w:tc>
          <w:tcPr>
            <w:tcW w:w="180" w:type="dxa"/>
            <w:vAlign w:val="bottom"/>
          </w:tcPr>
          <w:p>
            <w:pPr>
              <w:spacing w:after="0"/>
              <w:rPr>
                <w:sz w:val="22"/>
                <w:szCs w:val="22"/>
                <w:color w:val="auto"/>
              </w:rPr>
            </w:pPr>
          </w:p>
        </w:tc>
        <w:tc>
          <w:tcPr>
            <w:tcW w:w="1340" w:type="dxa"/>
            <w:vAlign w:val="bottom"/>
          </w:tcPr>
          <w:p>
            <w:pPr>
              <w:jc w:val="center"/>
              <w:ind w:right="340"/>
              <w:spacing w:after="0"/>
              <w:rPr>
                <w:sz w:val="20"/>
                <w:szCs w:val="20"/>
                <w:color w:val="auto"/>
              </w:rPr>
            </w:pPr>
            <w:r>
              <w:rPr>
                <w:rFonts w:ascii="Arial" w:cs="Arial" w:eastAsia="Arial" w:hAnsi="Arial"/>
                <w:sz w:val="16"/>
                <w:szCs w:val="16"/>
                <w:b w:val="1"/>
                <w:bCs w:val="1"/>
                <w:color w:val="auto"/>
                <w:w w:val="90"/>
              </w:rPr>
              <w:t>Per Share</w:t>
            </w:r>
          </w:p>
        </w:tc>
        <w:tc>
          <w:tcPr>
            <w:tcW w:w="140" w:type="dxa"/>
            <w:vAlign w:val="bottom"/>
          </w:tcPr>
          <w:p>
            <w:pPr>
              <w:spacing w:after="0"/>
              <w:rPr>
                <w:sz w:val="22"/>
                <w:szCs w:val="22"/>
                <w:color w:val="auto"/>
              </w:rPr>
            </w:pPr>
          </w:p>
        </w:tc>
        <w:tc>
          <w:tcPr>
            <w:tcW w:w="126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Amount Paid</w:t>
            </w:r>
          </w:p>
        </w:tc>
      </w:tr>
      <w:tr>
        <w:trPr>
          <w:trHeight w:val="32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43,050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852</w:t>
            </w:r>
          </w:p>
        </w:tc>
      </w:tr>
      <w:tr>
        <w:trPr>
          <w:trHeight w:val="25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5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98"/>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29,537</w:t>
            </w:r>
          </w:p>
        </w:tc>
        <w:tc>
          <w:tcPr>
            <w:tcW w:w="180" w:type="dxa"/>
            <w:vAlign w:val="bottom"/>
          </w:tcPr>
          <w:p>
            <w:pPr>
              <w:spacing w:after="0"/>
              <w:rPr>
                <w:sz w:val="24"/>
                <w:szCs w:val="24"/>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20.99</w:t>
            </w:r>
          </w:p>
        </w:tc>
        <w:tc>
          <w:tcPr>
            <w:tcW w:w="1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620</w:t>
            </w:r>
          </w:p>
        </w:tc>
      </w:tr>
      <w:tr>
        <w:trPr>
          <w:trHeight w:val="59"/>
        </w:trPr>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82"/>
        </w:trPr>
        <w:tc>
          <w:tcPr>
            <w:tcW w:w="1360" w:type="dxa"/>
            <w:vAlign w:val="bottom"/>
            <w:shd w:val="clear" w:color="auto" w:fill="CFF0FC"/>
          </w:tcPr>
          <w:p>
            <w:pPr>
              <w:jc w:val="right"/>
              <w:ind w:right="120"/>
              <w:spacing w:after="0"/>
              <w:rPr>
                <w:sz w:val="20"/>
                <w:szCs w:val="20"/>
                <w:color w:val="auto"/>
              </w:rPr>
            </w:pPr>
            <w:r>
              <w:rPr>
                <w:rFonts w:ascii="Arial" w:cs="Arial" w:eastAsia="Arial" w:hAnsi="Arial"/>
                <w:sz w:val="16"/>
                <w:szCs w:val="16"/>
                <w:color w:val="auto"/>
              </w:rPr>
              <w:t>72,587</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1,472</w:t>
            </w:r>
          </w:p>
        </w:tc>
      </w:tr>
      <w:tr>
        <w:trPr>
          <w:trHeight w:val="77"/>
        </w:trPr>
        <w:tc>
          <w:tcPr>
            <w:tcW w:w="13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r>
      <w:tr>
        <w:trPr>
          <w:trHeight w:val="477"/>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7"/>
              </w:rPr>
              <w:t>Purchased</w:t>
            </w:r>
          </w:p>
        </w:tc>
        <w:tc>
          <w:tcPr>
            <w:tcW w:w="180" w:type="dxa"/>
            <w:vAlign w:val="bottom"/>
          </w:tcPr>
          <w:p>
            <w:pPr>
              <w:spacing w:after="0"/>
              <w:rPr>
                <w:sz w:val="22"/>
                <w:szCs w:val="22"/>
                <w:color w:val="auto"/>
              </w:rPr>
            </w:pPr>
          </w:p>
        </w:tc>
        <w:tc>
          <w:tcPr>
            <w:tcW w:w="1340" w:type="dxa"/>
            <w:vAlign w:val="bottom"/>
          </w:tcPr>
          <w:p>
            <w:pPr>
              <w:jc w:val="center"/>
              <w:ind w:right="360"/>
              <w:spacing w:after="0"/>
              <w:rPr>
                <w:sz w:val="20"/>
                <w:szCs w:val="20"/>
                <w:color w:val="auto"/>
              </w:rPr>
            </w:pPr>
            <w:r>
              <w:rPr>
                <w:rFonts w:ascii="Arial" w:cs="Arial" w:eastAsia="Arial" w:hAnsi="Arial"/>
                <w:sz w:val="16"/>
                <w:szCs w:val="16"/>
                <w:b w:val="1"/>
                <w:bCs w:val="1"/>
                <w:color w:val="auto"/>
                <w:w w:val="90"/>
              </w:rPr>
              <w:t>Price Paid</w:t>
            </w:r>
          </w:p>
        </w:tc>
        <w:tc>
          <w:tcPr>
            <w:tcW w:w="140" w:type="dxa"/>
            <w:vAlign w:val="bottom"/>
          </w:tcPr>
          <w:p>
            <w:pPr>
              <w:spacing w:after="0"/>
              <w:rPr>
                <w:sz w:val="22"/>
                <w:szCs w:val="22"/>
                <w:color w:val="auto"/>
              </w:rPr>
            </w:pPr>
          </w:p>
        </w:tc>
        <w:tc>
          <w:tcPr>
            <w:tcW w:w="1260" w:type="dxa"/>
            <w:vAlign w:val="bottom"/>
          </w:tcPr>
          <w:p>
            <w:pPr>
              <w:jc w:val="center"/>
              <w:ind w:right="180"/>
              <w:spacing w:after="0"/>
              <w:rPr>
                <w:sz w:val="20"/>
                <w:szCs w:val="20"/>
                <w:color w:val="auto"/>
              </w:rPr>
            </w:pPr>
            <w:r>
              <w:rPr>
                <w:rFonts w:ascii="Arial" w:cs="Arial" w:eastAsia="Arial" w:hAnsi="Arial"/>
                <w:sz w:val="16"/>
                <w:szCs w:val="16"/>
                <w:b w:val="1"/>
                <w:bCs w:val="1"/>
                <w:color w:val="auto"/>
                <w:w w:val="94"/>
              </w:rPr>
              <w:t>Total</w:t>
            </w:r>
          </w:p>
        </w:tc>
      </w:tr>
      <w:tr>
        <w:trPr>
          <w:trHeight w:val="254"/>
        </w:trPr>
        <w:tc>
          <w:tcPr>
            <w:tcW w:w="1360" w:type="dxa"/>
            <w:vAlign w:val="bottom"/>
          </w:tcPr>
          <w:p>
            <w:pPr>
              <w:jc w:val="center"/>
              <w:ind w:right="120"/>
              <w:spacing w:after="0"/>
              <w:rPr>
                <w:sz w:val="20"/>
                <w:szCs w:val="20"/>
                <w:color w:val="auto"/>
              </w:rPr>
            </w:pPr>
            <w:r>
              <w:rPr>
                <w:rFonts w:ascii="Arial" w:cs="Arial" w:eastAsia="Arial" w:hAnsi="Arial"/>
                <w:sz w:val="16"/>
                <w:szCs w:val="16"/>
                <w:b w:val="1"/>
                <w:bCs w:val="1"/>
                <w:color w:val="auto"/>
                <w:w w:val="88"/>
              </w:rPr>
              <w:t>and Reissued</w:t>
            </w:r>
          </w:p>
        </w:tc>
        <w:tc>
          <w:tcPr>
            <w:tcW w:w="180" w:type="dxa"/>
            <w:vAlign w:val="bottom"/>
          </w:tcPr>
          <w:p>
            <w:pPr>
              <w:spacing w:after="0"/>
              <w:rPr>
                <w:sz w:val="22"/>
                <w:szCs w:val="22"/>
                <w:color w:val="auto"/>
              </w:rPr>
            </w:pPr>
          </w:p>
        </w:tc>
        <w:tc>
          <w:tcPr>
            <w:tcW w:w="1340" w:type="dxa"/>
            <w:vAlign w:val="bottom"/>
          </w:tcPr>
          <w:p>
            <w:pPr>
              <w:jc w:val="center"/>
              <w:ind w:right="340"/>
              <w:spacing w:after="0"/>
              <w:rPr>
                <w:sz w:val="20"/>
                <w:szCs w:val="20"/>
                <w:color w:val="auto"/>
              </w:rPr>
            </w:pPr>
            <w:r>
              <w:rPr>
                <w:rFonts w:ascii="Arial" w:cs="Arial" w:eastAsia="Arial" w:hAnsi="Arial"/>
                <w:sz w:val="16"/>
                <w:szCs w:val="16"/>
                <w:b w:val="1"/>
                <w:bCs w:val="1"/>
                <w:color w:val="auto"/>
                <w:w w:val="90"/>
              </w:rPr>
              <w:t>Per Share</w:t>
            </w:r>
          </w:p>
        </w:tc>
        <w:tc>
          <w:tcPr>
            <w:tcW w:w="140" w:type="dxa"/>
            <w:vAlign w:val="bottom"/>
          </w:tcPr>
          <w:p>
            <w:pPr>
              <w:spacing w:after="0"/>
              <w:rPr>
                <w:sz w:val="22"/>
                <w:szCs w:val="22"/>
                <w:color w:val="auto"/>
              </w:rPr>
            </w:pPr>
          </w:p>
        </w:tc>
        <w:tc>
          <w:tcPr>
            <w:tcW w:w="126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Amount Paid</w:t>
            </w:r>
          </w:p>
        </w:tc>
      </w:tr>
      <w:tr>
        <w:trPr>
          <w:trHeight w:val="26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5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54"/>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98"/>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35,663</w:t>
            </w:r>
          </w:p>
        </w:tc>
        <w:tc>
          <w:tcPr>
            <w:tcW w:w="180" w:type="dxa"/>
            <w:vAlign w:val="bottom"/>
          </w:tcPr>
          <w:p>
            <w:pPr>
              <w:spacing w:after="0"/>
              <w:rPr>
                <w:sz w:val="24"/>
                <w:szCs w:val="24"/>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19.35</w:t>
            </w:r>
          </w:p>
        </w:tc>
        <w:tc>
          <w:tcPr>
            <w:tcW w:w="1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690</w:t>
            </w:r>
          </w:p>
        </w:tc>
      </w:tr>
      <w:tr>
        <w:trPr>
          <w:trHeight w:val="341"/>
        </w:trPr>
        <w:tc>
          <w:tcPr>
            <w:tcW w:w="1360" w:type="dxa"/>
            <w:vAlign w:val="bottom"/>
          </w:tcPr>
          <w:p>
            <w:pPr>
              <w:jc w:val="right"/>
              <w:ind w:right="120"/>
              <w:spacing w:after="0"/>
              <w:rPr>
                <w:sz w:val="20"/>
                <w:szCs w:val="20"/>
                <w:color w:val="auto"/>
              </w:rPr>
            </w:pPr>
            <w:r>
              <w:rPr>
                <w:rFonts w:ascii="Arial" w:cs="Arial" w:eastAsia="Arial" w:hAnsi="Arial"/>
                <w:sz w:val="16"/>
                <w:szCs w:val="16"/>
                <w:color w:val="auto"/>
              </w:rPr>
              <w:t>35,663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-4455795</wp:posOffset>
            </wp:positionV>
            <wp:extent cx="5967730" cy="45053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967730" cy="450532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-4455795</wp:posOffset>
            </wp:positionV>
            <wp:extent cx="5967730" cy="45053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967730" cy="450532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400" w:space="720"/>
            <w:col w:w="4280"/>
          </w:cols>
          <w:pgMar w:left="1260" w:top="1440" w:right="1246" w:bottom="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Financial Highlights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schedule of financial highlights for the years ended December 31, 2025 to 2016:</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400"/>
          </w:cols>
          <w:pgMar w:left="1260" w:top="1440" w:right="1246" w:bottom="0" w:gutter="0" w:footer="0" w:header="0"/>
          <w:type w:val="continuous"/>
        </w:sectPr>
      </w:pPr>
    </w:p>
    <w:bookmarkStart w:id="316" w:name="page317"/>
    <w:bookmarkEnd w:id="316"/>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gridSpan w:val="7"/>
          </w:tcPr>
          <w:p>
            <w:pPr>
              <w:jc w:val="right"/>
              <w:ind w:right="79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29"/>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81"/>
        </w:trPr>
        <w:tc>
          <w:tcPr>
            <w:tcW w:w="3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6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8"/>
        </w:trPr>
        <w:tc>
          <w:tcPr>
            <w:tcW w:w="32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16.81</w:t>
            </w:r>
          </w:p>
        </w:tc>
      </w:tr>
      <w:tr>
        <w:trPr>
          <w:trHeight w:val="36"/>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1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1.03</w:t>
            </w: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w w:val="93"/>
              </w:rPr>
              <w:t>Net realized gain (loss) on investments, net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06"/>
        </w:trPr>
        <w:tc>
          <w:tcPr>
            <w:tcW w:w="3260" w:type="dxa"/>
            <w:vAlign w:val="bottom"/>
          </w:tcPr>
          <w:p>
            <w:pPr>
              <w:spacing w:after="0"/>
              <w:rPr>
                <w:sz w:val="20"/>
                <w:szCs w:val="20"/>
                <w:color w:val="auto"/>
              </w:rPr>
            </w:pPr>
            <w:r>
              <w:rPr>
                <w:rFonts w:ascii="Arial" w:cs="Arial" w:eastAsia="Arial" w:hAnsi="Arial"/>
                <w:sz w:val="18"/>
                <w:szCs w:val="18"/>
                <w:color w:val="auto"/>
              </w:rPr>
              <w:t xml:space="preserve">of tax (provision) </w:t>
            </w:r>
            <w:r>
              <w:rPr>
                <w:rFonts w:ascii="Arial" w:cs="Arial" w:eastAsia="Arial" w:hAnsi="Arial"/>
                <w:sz w:val="24"/>
                <w:szCs w:val="24"/>
                <w:color w:val="auto"/>
                <w:vertAlign w:val="superscript"/>
              </w:rPr>
              <w:t>(1)</w:t>
            </w: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2.19</w:t>
            </w:r>
          </w:p>
        </w:tc>
      </w:tr>
      <w:tr>
        <w:trPr>
          <w:trHeight w:val="31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Taxes paid on deemed distributions</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w w:val="96"/>
              </w:rPr>
              <w:t>Net unrealized appreciation (depreciation)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06"/>
        </w:trPr>
        <w:tc>
          <w:tcPr>
            <w:tcW w:w="3260" w:type="dxa"/>
            <w:vAlign w:val="bottom"/>
          </w:tcPr>
          <w:p>
            <w:pPr>
              <w:spacing w:after="0"/>
              <w:rPr>
                <w:sz w:val="20"/>
                <w:szCs w:val="20"/>
                <w:color w:val="auto"/>
              </w:rPr>
            </w:pPr>
            <w:r>
              <w:rPr>
                <w:rFonts w:ascii="Arial" w:cs="Arial" w:eastAsia="Arial" w:hAnsi="Arial"/>
                <w:sz w:val="18"/>
                <w:szCs w:val="18"/>
                <w:color w:val="auto"/>
              </w:rPr>
              <w:t xml:space="preserve">on investments </w:t>
            </w:r>
            <w:r>
              <w:rPr>
                <w:rFonts w:ascii="Arial" w:cs="Arial" w:eastAsia="Arial" w:hAnsi="Arial"/>
                <w:sz w:val="24"/>
                <w:szCs w:val="24"/>
                <w:color w:val="auto"/>
                <w:vertAlign w:val="superscript"/>
              </w:rPr>
              <w:t>(1)</w:t>
            </w:r>
          </w:p>
        </w:tc>
        <w:tc>
          <w:tcPr>
            <w:tcW w:w="20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1.70</w:t>
            </w:r>
          </w:p>
        </w:tc>
      </w:tr>
      <w:tr>
        <w:trPr>
          <w:trHeight w:val="32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w w:val="89"/>
                <w:shd w:val="clear" w:color="auto" w:fill="CFF0FC"/>
              </w:rPr>
              <w:t xml:space="preserve">Realized losses on extinguishment of debt </w:t>
            </w:r>
            <w:r>
              <w:rPr>
                <w:rFonts w:ascii="Arial" w:cs="Arial" w:eastAsia="Arial" w:hAnsi="Arial"/>
                <w:sz w:val="24"/>
                <w:szCs w:val="24"/>
                <w:color w:val="auto"/>
                <w:w w:val="89"/>
                <w:vertAlign w:val="superscript"/>
                <w:shd w:val="clear" w:color="auto" w:fill="CFF0FC"/>
              </w:rPr>
              <w:t>(1)</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(0.17)</w:t>
            </w: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w w:val="90"/>
              </w:rPr>
              <w:t xml:space="preserve">Total increase from investment operations </w:t>
            </w:r>
            <w:r>
              <w:rPr>
                <w:rFonts w:ascii="Arial" w:cs="Arial" w:eastAsia="Arial" w:hAnsi="Arial"/>
                <w:sz w:val="24"/>
                <w:szCs w:val="24"/>
                <w:color w:val="auto"/>
                <w:w w:val="90"/>
                <w:vertAlign w:val="superscript"/>
              </w:rPr>
              <w:t>(1)</w:t>
            </w:r>
          </w:p>
        </w:tc>
        <w:tc>
          <w:tcPr>
            <w:tcW w:w="20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4.75</w:t>
            </w:r>
          </w:p>
        </w:tc>
      </w:tr>
      <w:tr>
        <w:trPr>
          <w:trHeight w:val="248"/>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w w:val="92"/>
              </w:rPr>
              <w:t>Accretive (dilutive) effect of share issuances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86"/>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and repurchases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78"/>
        </w:trPr>
        <w:tc>
          <w:tcPr>
            <w:tcW w:w="3260" w:type="dxa"/>
            <w:vAlign w:val="bottom"/>
          </w:tcPr>
          <w:p>
            <w:pPr>
              <w:spacing w:after="0"/>
              <w:rPr>
                <w:sz w:val="20"/>
                <w:szCs w:val="20"/>
                <w:color w:val="auto"/>
              </w:rPr>
            </w:pPr>
            <w:r>
              <w:rPr>
                <w:rFonts w:ascii="Arial" w:cs="Arial" w:eastAsia="Arial" w:hAnsi="Arial"/>
                <w:sz w:val="18"/>
                <w:szCs w:val="18"/>
                <w:color w:val="auto"/>
              </w:rPr>
              <w:t>Dividends declared to stockholders</w:t>
            </w: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36"/>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Distributions from capital gains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(0.19)</w:t>
            </w: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(0.51)</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4"/>
                <w:szCs w:val="24"/>
                <w:color w:val="auto"/>
                <w:vertAlign w:val="superscript"/>
              </w:rPr>
              <w:t>(2)</w:t>
            </w: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8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at end of period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19.55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19.33</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19.96</w:t>
            </w:r>
          </w:p>
        </w:tc>
      </w:tr>
      <w:tr>
        <w:trPr>
          <w:trHeight w:val="74"/>
        </w:trPr>
        <w:tc>
          <w:tcPr>
            <w:tcW w:w="32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r>
      <w:tr>
        <w:trPr>
          <w:trHeight w:val="286"/>
        </w:trPr>
        <w:tc>
          <w:tcPr>
            <w:tcW w:w="3260" w:type="dxa"/>
            <w:vAlign w:val="bottom"/>
          </w:tcPr>
          <w:p>
            <w:pPr>
              <w:spacing w:after="0"/>
              <w:rPr>
                <w:sz w:val="20"/>
                <w:szCs w:val="20"/>
                <w:color w:val="auto"/>
              </w:rPr>
            </w:pPr>
            <w:r>
              <w:rPr>
                <w:rFonts w:ascii="Arial" w:cs="Arial" w:eastAsia="Arial" w:hAnsi="Arial"/>
                <w:sz w:val="18"/>
                <w:szCs w:val="18"/>
                <w:color w:val="auto"/>
              </w:rPr>
              <w:t>Market value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17.98</w:t>
            </w:r>
          </w:p>
        </w:tc>
      </w:tr>
      <w:tr>
        <w:trPr>
          <w:trHeight w:val="74"/>
        </w:trPr>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9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0"/>
              </w:rPr>
              <w:t>37,954,364</w:t>
            </w:r>
          </w:p>
        </w:tc>
        <w:tc>
          <w:tcPr>
            <w:tcW w:w="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0"/>
              </w:rPr>
              <w:t>33,914,652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0"/>
              </w:rPr>
              <w:t>30,438,979</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24,727,788</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3"/>
              </w:rPr>
              <w:t>24,437,400</w:t>
            </w: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w w:val="90"/>
              </w:rPr>
              <w:t>Weighted average shares outstanding during</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the period</w:t>
            </w:r>
          </w:p>
        </w:tc>
        <w:tc>
          <w:tcPr>
            <w:tcW w:w="20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35,489,578</w:t>
            </w:r>
          </w:p>
        </w:tc>
        <w:tc>
          <w:tcPr>
            <w:tcW w:w="18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0"/>
              </w:rPr>
              <w:t>32,585,238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26,365,269</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24,468,172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24,437,400</w:t>
            </w:r>
          </w:p>
        </w:tc>
      </w:tr>
      <w:tr>
        <w:trPr>
          <w:trHeight w:val="36"/>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741,899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655,666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106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589,474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480,343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487,764</w:t>
            </w: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4"/>
                <w:szCs w:val="24"/>
                <w:color w:val="auto"/>
                <w:vertAlign w:val="superscript"/>
              </w:rPr>
              <w:t>(6)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695,765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631,801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517,287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482,594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437,690</w:t>
            </w:r>
          </w:p>
        </w:tc>
      </w:tr>
      <w:tr>
        <w:trPr>
          <w:trHeight w:val="26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Ratios to average net assets:</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(4)(10)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1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(5)</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4"/>
                <w:szCs w:val="24"/>
                <w:color w:val="auto"/>
                <w:vertAlign w:val="superscript"/>
              </w:rPr>
              <w:t>(3)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31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24"/>
                <w:szCs w:val="24"/>
                <w:color w:val="auto"/>
                <w:vertAlign w:val="superscript"/>
              </w:rPr>
              <w:t>(8)</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24"/>
                <w:szCs w:val="24"/>
                <w:color w:val="auto"/>
                <w:vertAlign w:val="superscript"/>
              </w:rPr>
              <w:t>(9)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64"/>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Data:</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r>
      <w:tr>
        <w:trPr>
          <w:trHeight w:val="314"/>
        </w:trPr>
        <w:tc>
          <w:tcPr>
            <w:tcW w:w="3260" w:type="dxa"/>
            <w:vAlign w:val="bottom"/>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24"/>
                <w:szCs w:val="24"/>
                <w:color w:val="auto"/>
                <w:vertAlign w:val="superscript"/>
              </w:rPr>
              <w:t>(7)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557,004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474,897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455,053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397,244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380,997</w:t>
            </w:r>
          </w:p>
        </w:tc>
      </w:tr>
      <w:tr>
        <w:trPr>
          <w:trHeight w:val="314"/>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24"/>
                <w:szCs w:val="24"/>
                <w:color w:val="auto"/>
                <w:vertAlign w:val="superscript"/>
              </w:rPr>
              <w:t>(1)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-6249670</wp:posOffset>
            </wp:positionV>
            <wp:extent cx="3728720" cy="285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728720" cy="2857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-6040755</wp:posOffset>
            </wp:positionV>
            <wp:extent cx="3728720" cy="28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728720" cy="2857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-4328795</wp:posOffset>
            </wp:positionV>
            <wp:extent cx="383349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33495" cy="635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-3171825</wp:posOffset>
            </wp:positionV>
            <wp:extent cx="372872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728720" cy="635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-2966085</wp:posOffset>
            </wp:positionV>
            <wp:extent cx="3833495" cy="28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33495" cy="2857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-2737485</wp:posOffset>
            </wp:positionV>
            <wp:extent cx="3728720" cy="285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728720" cy="28575"/>
                    </a:xfrm>
                    <a:prstGeom prst="rect">
                      <a:avLst/>
                    </a:prstGeom>
                    <a:noFill/>
                  </pic:spPr>
                </pic:pic>
              </a:graphicData>
            </a:graphic>
          </wp:anchor>
        </w:drawing>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0"/>
          </w:cols>
          <w:pgMar w:left="1260" w:top="1440" w:right="1246" w:bottom="0" w:gutter="0" w:footer="0" w:header="0"/>
          <w:type w:val="continuous"/>
        </w:sectPr>
      </w:pPr>
    </w:p>
    <w:bookmarkStart w:id="317" w:name="page318"/>
    <w:bookmarkEnd w:id="317"/>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9"/>
          </w:tcPr>
          <w:p>
            <w:pPr>
              <w:jc w:val="right"/>
              <w:ind w:right="77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2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36"/>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0"/>
                <w:szCs w:val="20"/>
                <w:color w:val="auto"/>
              </w:rPr>
            </w:pPr>
            <w:r>
              <w:rPr>
                <w:rFonts w:ascii="Arial" w:cs="Arial" w:eastAsia="Arial" w:hAnsi="Arial"/>
                <w:sz w:val="18"/>
                <w:szCs w:val="18"/>
                <w:color w:val="auto"/>
                <w:w w:val="92"/>
              </w:rPr>
              <w:t>Net realized gain (loss) on investments, 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200" w:type="dxa"/>
            <w:vAlign w:val="bottom"/>
          </w:tcPr>
          <w:p>
            <w:pPr>
              <w:spacing w:after="0"/>
              <w:rPr>
                <w:sz w:val="20"/>
                <w:szCs w:val="20"/>
                <w:color w:val="auto"/>
              </w:rPr>
            </w:pPr>
            <w:r>
              <w:rPr>
                <w:rFonts w:ascii="Arial" w:cs="Arial" w:eastAsia="Arial" w:hAnsi="Arial"/>
                <w:sz w:val="18"/>
                <w:szCs w:val="18"/>
                <w:color w:val="auto"/>
              </w:rPr>
              <w:t xml:space="preserve">of tax (provision) </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4"/>
                <w:szCs w:val="24"/>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8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Taxes paid on deemed distributions</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0"/>
                <w:szCs w:val="20"/>
                <w:color w:val="auto"/>
              </w:rPr>
            </w:pPr>
            <w:r>
              <w:rPr>
                <w:rFonts w:ascii="Arial" w:cs="Arial" w:eastAsia="Arial" w:hAnsi="Arial"/>
                <w:sz w:val="18"/>
                <w:szCs w:val="18"/>
                <w:color w:val="auto"/>
                <w:w w:val="95"/>
              </w:rPr>
              <w:t>Net unrealized appreciation (depreciation)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200" w:type="dxa"/>
            <w:vAlign w:val="bottom"/>
          </w:tcPr>
          <w:p>
            <w:pPr>
              <w:spacing w:after="0"/>
              <w:rPr>
                <w:sz w:val="20"/>
                <w:szCs w:val="20"/>
                <w:color w:val="auto"/>
              </w:rPr>
            </w:pPr>
            <w:r>
              <w:rPr>
                <w:rFonts w:ascii="Arial" w:cs="Arial" w:eastAsia="Arial" w:hAnsi="Arial"/>
                <w:sz w:val="18"/>
                <w:szCs w:val="18"/>
                <w:color w:val="auto"/>
              </w:rPr>
              <w:t xml:space="preserve">on investments </w:t>
            </w:r>
            <w:r>
              <w:rPr>
                <w:rFonts w:ascii="Arial" w:cs="Arial" w:eastAsia="Arial" w:hAnsi="Arial"/>
                <w:sz w:val="24"/>
                <w:szCs w:val="24"/>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4"/>
              </w:rPr>
              <w:t>Realized losses on extinguishment of debt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3"/>
        </w:trPr>
        <w:tc>
          <w:tcPr>
            <w:tcW w:w="32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60" w:type="dxa"/>
            <w:vAlign w:val="bottom"/>
            <w:tcBorders>
              <w:bottom w:val="single" w:sz="8" w:color="CFF0FC"/>
            </w:tcBorders>
            <w:gridSpan w:val="2"/>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vMerge w:val="continue"/>
            <w:shd w:val="clear" w:color="auto" w:fill="CFF0FC"/>
          </w:tcPr>
          <w:p>
            <w:pPr>
              <w:spacing w:after="0"/>
              <w:rPr>
                <w:sz w:val="9"/>
                <w:szCs w:val="9"/>
                <w:color w:val="auto"/>
              </w:rPr>
            </w:pPr>
          </w:p>
        </w:tc>
        <w:tc>
          <w:tcPr>
            <w:tcW w:w="16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0"/>
                <w:szCs w:val="20"/>
                <w:color w:val="auto"/>
              </w:rPr>
            </w:pPr>
            <w:r>
              <w:rPr>
                <w:rFonts w:ascii="Arial" w:cs="Arial" w:eastAsia="Arial" w:hAnsi="Arial"/>
                <w:sz w:val="18"/>
                <w:szCs w:val="18"/>
                <w:color w:val="auto"/>
                <w:w w:val="94"/>
              </w:rPr>
              <w:t>Total increase from investment operations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Accretive (dilutive) effect of share</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issuances and repurchases</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8"/>
        </w:trPr>
        <w:tc>
          <w:tcPr>
            <w:tcW w:w="3200" w:type="dxa"/>
            <w:vAlign w:val="bottom"/>
          </w:tcPr>
          <w:p>
            <w:pPr>
              <w:spacing w:after="0"/>
              <w:rPr>
                <w:sz w:val="20"/>
                <w:szCs w:val="20"/>
                <w:color w:val="auto"/>
              </w:rPr>
            </w:pPr>
            <w:r>
              <w:rPr>
                <w:rFonts w:ascii="Arial" w:cs="Arial" w:eastAsia="Arial" w:hAnsi="Arial"/>
                <w:sz w:val="18"/>
                <w:szCs w:val="18"/>
                <w:color w:val="auto"/>
              </w:rPr>
              <w:t>Dividends declared to stockholders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4"/>
                <w:szCs w:val="24"/>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6"/>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Distributions from capital gains</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4"/>
                <w:szCs w:val="24"/>
                <w:color w:val="auto"/>
                <w:vertAlign w:val="superscript"/>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8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FF0FC"/>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60" w:type="dxa"/>
            <w:vAlign w:val="bottom"/>
            <w:shd w:val="clear" w:color="auto" w:fill="CFF0FC"/>
          </w:tcPr>
          <w:p>
            <w:pPr>
              <w:spacing w:after="0"/>
              <w:rPr>
                <w:sz w:val="24"/>
                <w:szCs w:val="2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74"/>
        </w:trPr>
        <w:tc>
          <w:tcPr>
            <w:tcW w:w="3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3200" w:type="dxa"/>
            <w:vAlign w:val="bottom"/>
          </w:tcPr>
          <w:p>
            <w:pPr>
              <w:spacing w:after="0"/>
              <w:rPr>
                <w:sz w:val="20"/>
                <w:szCs w:val="20"/>
                <w:color w:val="auto"/>
              </w:rPr>
            </w:pPr>
            <w:r>
              <w:rPr>
                <w:rFonts w:ascii="Arial" w:cs="Arial" w:eastAsia="Arial" w:hAnsi="Arial"/>
                <w:sz w:val="18"/>
                <w:szCs w:val="18"/>
                <w:color w:val="auto"/>
              </w:rPr>
              <w:t>Market value at end of period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11.69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24,437,400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24,463,119</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24,463,119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24,507,940</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22,446,076</w:t>
            </w: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0"/>
                <w:szCs w:val="20"/>
                <w:color w:val="auto"/>
              </w:rPr>
            </w:pPr>
            <w:r>
              <w:rPr>
                <w:rFonts w:ascii="Arial" w:cs="Arial" w:eastAsia="Arial" w:hAnsi="Arial"/>
                <w:sz w:val="18"/>
                <w:szCs w:val="18"/>
                <w:color w:val="auto"/>
                <w:w w:val="88"/>
              </w:rPr>
              <w:t>Weighted average shares outstanding during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the period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24,442,431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24,463,119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0"/>
              </w:rPr>
              <w:t>24,471,730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23,527,188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18,283,715</w:t>
            </w:r>
          </w:p>
        </w:tc>
        <w:tc>
          <w:tcPr>
            <w:tcW w:w="0" w:type="dxa"/>
            <w:vAlign w:val="bottom"/>
          </w:tcPr>
          <w:p>
            <w:pPr>
              <w:spacing w:after="0"/>
              <w:rPr>
                <w:sz w:val="1"/>
                <w:szCs w:val="1"/>
                <w:color w:val="auto"/>
              </w:rPr>
            </w:pPr>
          </w:p>
        </w:tc>
      </w:tr>
      <w:tr>
        <w:trPr>
          <w:trHeight w:val="36"/>
        </w:trPr>
        <w:tc>
          <w:tcPr>
            <w:tcW w:w="32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410,760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412,310</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402,985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393,273</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353,785</w:t>
            </w:r>
          </w:p>
        </w:tc>
        <w:tc>
          <w:tcPr>
            <w:tcW w:w="0" w:type="dxa"/>
            <w:vAlign w:val="bottom"/>
          </w:tcPr>
          <w:p>
            <w:pPr>
              <w:spacing w:after="0"/>
              <w:rPr>
                <w:sz w:val="1"/>
                <w:szCs w:val="1"/>
                <w:color w:val="auto"/>
              </w:rPr>
            </w:pPr>
          </w:p>
        </w:tc>
      </w:tr>
      <w:tr>
        <w:trPr>
          <w:trHeight w:val="314"/>
        </w:trPr>
        <w:tc>
          <w:tcPr>
            <w:tcW w:w="320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24"/>
                <w:szCs w:val="24"/>
                <w:color w:val="auto"/>
                <w:vertAlign w:val="superscript"/>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392,866</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404,284</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398,440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376,292</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289,453</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Ratios to average net assets:</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20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1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(5)</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w w:val="87"/>
                <w:shd w:val="clear" w:color="auto" w:fill="CFF0FC"/>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w w:val="87"/>
                <w:shd w:val="clear" w:color="auto" w:fill="CFF0FC"/>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4"/>
        </w:trPr>
        <w:tc>
          <w:tcPr>
            <w:tcW w:w="32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4"/>
                <w:szCs w:val="24"/>
                <w:color w:val="auto"/>
                <w:vertAlign w:val="superscript"/>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31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Total return based on net asset value </w:t>
            </w:r>
            <w:r>
              <w:rPr>
                <w:rFonts w:ascii="Arial" w:cs="Arial" w:eastAsia="Arial" w:hAnsi="Arial"/>
                <w:sz w:val="24"/>
                <w:szCs w:val="24"/>
                <w:color w:val="auto"/>
                <w:w w:val="98"/>
                <w:vertAlign w:val="superscript"/>
              </w:rPr>
              <w:t>(8)</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w w:val="87"/>
                <w:shd w:val="clear" w:color="auto" w:fill="CFF0FC"/>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w w:val="87"/>
                <w:shd w:val="clear" w:color="auto" w:fill="CFF0FC"/>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8"/>
        </w:trPr>
        <w:tc>
          <w:tcPr>
            <w:tcW w:w="32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36"/>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Data:</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200" w:type="dxa"/>
            <w:vAlign w:val="bottom"/>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24"/>
                <w:szCs w:val="24"/>
                <w:color w:val="auto"/>
                <w:vertAlign w:val="superscript"/>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385,350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319,050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271,560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219,920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221,200</w:t>
            </w:r>
          </w:p>
        </w:tc>
        <w:tc>
          <w:tcPr>
            <w:tcW w:w="0" w:type="dxa"/>
            <w:vAlign w:val="bottom"/>
          </w:tcPr>
          <w:p>
            <w:pPr>
              <w:spacing w:after="0"/>
              <w:rPr>
                <w:sz w:val="1"/>
                <w:szCs w:val="1"/>
                <w:color w:val="auto"/>
              </w:rPr>
            </w:pPr>
          </w:p>
        </w:tc>
      </w:tr>
      <w:tr>
        <w:trPr>
          <w:trHeight w:val="314"/>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-6510020</wp:posOffset>
            </wp:positionV>
            <wp:extent cx="3761740"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761740" cy="2857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-6301105</wp:posOffset>
            </wp:positionV>
            <wp:extent cx="3761740" cy="28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761740" cy="2857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-4462145</wp:posOffset>
            </wp:positionV>
            <wp:extent cx="386588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65880" cy="63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-3171825</wp:posOffset>
            </wp:positionV>
            <wp:extent cx="376174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761740" cy="63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-2966085</wp:posOffset>
            </wp:positionV>
            <wp:extent cx="3865880" cy="285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65880" cy="2857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-2737485</wp:posOffset>
            </wp:positionV>
            <wp:extent cx="3761740" cy="285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76174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400"/>
          </w:cols>
          <w:pgMar w:left="1260" w:top="1440" w:right="1246" w:bottom="0" w:gutter="0" w:footer="0" w:header="0"/>
          <w:type w:val="continuous"/>
        </w:sectPr>
      </w:pPr>
    </w:p>
    <w:bookmarkStart w:id="318" w:name="page319"/>
    <w:bookmarkEnd w:id="318"/>
    <w:p>
      <w:pPr>
        <w:spacing w:after="0" w:line="38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12.10</w:t>
      </w:r>
    </w:p>
    <w:p>
      <w:pPr>
        <w:spacing w:after="0" w:line="344" w:lineRule="exact"/>
        <w:rPr>
          <w:sz w:val="20"/>
          <w:szCs w:val="20"/>
          <w:color w:val="auto"/>
        </w:rPr>
      </w:pPr>
    </w:p>
    <w:p>
      <w:pPr>
        <w:ind w:left="6"/>
        <w:spacing w:after="0"/>
        <w:rPr>
          <w:sz w:val="20"/>
          <w:szCs w:val="20"/>
          <w:color w:val="auto"/>
        </w:rPr>
      </w:pPr>
      <w:r>
        <w:rPr>
          <w:rFonts w:ascii="Arial" w:cs="Arial" w:eastAsia="Arial" w:hAnsi="Arial"/>
          <w:sz w:val="20"/>
          <w:szCs w:val="20"/>
          <w:color w:val="auto"/>
        </w:rPr>
        <w:t>________________________________________________________</w:t>
      </w:r>
    </w:p>
    <w:p>
      <w:pPr>
        <w:spacing w:after="0" w:line="95" w:lineRule="exact"/>
        <w:rPr>
          <w:sz w:val="20"/>
          <w:szCs w:val="20"/>
          <w:color w:val="auto"/>
        </w:rPr>
      </w:pPr>
    </w:p>
    <w:p>
      <w:pPr>
        <w:ind w:left="426" w:hanging="426"/>
        <w:spacing w:after="0"/>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Weighted average per share data.</w:t>
      </w:r>
    </w:p>
    <w:p>
      <w:pPr>
        <w:spacing w:after="0" w:line="63" w:lineRule="exact"/>
        <w:rPr>
          <w:rFonts w:ascii="Arial" w:cs="Arial" w:eastAsia="Arial" w:hAnsi="Arial"/>
          <w:sz w:val="16"/>
          <w:szCs w:val="16"/>
          <w:color w:val="auto"/>
        </w:rPr>
      </w:pPr>
    </w:p>
    <w:p>
      <w:pPr>
        <w:ind w:left="426" w:right="80" w:hanging="426"/>
        <w:spacing w:after="0" w:line="308" w:lineRule="auto"/>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1" w:lineRule="exact"/>
        <w:rPr>
          <w:rFonts w:ascii="Arial" w:cs="Arial" w:eastAsia="Arial" w:hAnsi="Arial"/>
          <w:sz w:val="16"/>
          <w:szCs w:val="16"/>
          <w:color w:val="auto"/>
        </w:rPr>
      </w:pPr>
    </w:p>
    <w:p>
      <w:pPr>
        <w:ind w:left="426" w:right="360" w:hanging="426"/>
        <w:spacing w:after="0" w:line="357" w:lineRule="auto"/>
        <w:tabs>
          <w:tab w:leader="none" w:pos="42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Arial" w:cs="Arial" w:eastAsia="Arial" w:hAnsi="Arial"/>
          <w:sz w:val="14"/>
          <w:szCs w:val="14"/>
          <w:color w:val="auto"/>
        </w:rPr>
      </w:pPr>
    </w:p>
    <w:p>
      <w:pPr>
        <w:jc w:val="both"/>
        <w:ind w:left="426" w:right="220" w:hanging="426"/>
        <w:spacing w:after="0" w:line="309" w:lineRule="auto"/>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total expenses to average net assets ratio is calculated using i) the “total expenses, net of income incentive fee and base management fee waiver”, ii) the “income tax (provision) benefit”, iii) the “income tax (provision) benefit from realized gains on investments”, and iv) the “income tax (provision) from deemed distribution of long term capital gains” captions as presented on the consolidated statements of operations.</w:t>
      </w:r>
    </w:p>
    <w:p>
      <w:pPr>
        <w:spacing w:after="0" w:line="12" w:lineRule="exact"/>
        <w:rPr>
          <w:rFonts w:ascii="Arial" w:cs="Arial" w:eastAsia="Arial" w:hAnsi="Arial"/>
          <w:sz w:val="16"/>
          <w:szCs w:val="16"/>
          <w:color w:val="auto"/>
        </w:rPr>
      </w:pPr>
    </w:p>
    <w:p>
      <w:pPr>
        <w:ind w:left="426" w:right="840" w:hanging="426"/>
        <w:spacing w:after="0" w:line="303" w:lineRule="auto"/>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net investment income to average net assets ratio is calculated using the net investment income caption as presented on the consolidated statements of operations, which includes incentive fee.</w:t>
      </w:r>
    </w:p>
    <w:p>
      <w:pPr>
        <w:spacing w:after="0" w:line="15" w:lineRule="exact"/>
        <w:rPr>
          <w:rFonts w:ascii="Arial" w:cs="Arial" w:eastAsia="Arial" w:hAnsi="Arial"/>
          <w:sz w:val="16"/>
          <w:szCs w:val="16"/>
          <w:color w:val="auto"/>
        </w:rPr>
      </w:pPr>
    </w:p>
    <w:p>
      <w:pPr>
        <w:ind w:left="426" w:hanging="426"/>
        <w:spacing w:after="0"/>
        <w:tabs>
          <w:tab w:leader="none" w:pos="42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spacing w:after="0" w:line="79" w:lineRule="exact"/>
        <w:rPr>
          <w:rFonts w:ascii="Arial" w:cs="Arial" w:eastAsia="Arial" w:hAnsi="Arial"/>
          <w:sz w:val="14"/>
          <w:szCs w:val="14"/>
          <w:color w:val="auto"/>
        </w:rPr>
      </w:pPr>
    </w:p>
    <w:p>
      <w:pPr>
        <w:ind w:left="426" w:right="100" w:hanging="426"/>
        <w:spacing w:after="0" w:line="303" w:lineRule="auto"/>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Weighted average debt outstanding is calculated based upon the number of days that the total outstanding debt balances, including secured borrowings, are outstanding during the fiscal year and the prior year end.</w:t>
      </w:r>
    </w:p>
    <w:p>
      <w:pPr>
        <w:spacing w:after="0" w:line="15" w:lineRule="exact"/>
        <w:rPr>
          <w:rFonts w:ascii="Arial" w:cs="Arial" w:eastAsia="Arial" w:hAnsi="Arial"/>
          <w:sz w:val="16"/>
          <w:szCs w:val="16"/>
          <w:color w:val="auto"/>
        </w:rPr>
      </w:pPr>
    </w:p>
    <w:p>
      <w:pPr>
        <w:ind w:left="426" w:right="140" w:hanging="426"/>
        <w:spacing w:after="0" w:line="333" w:lineRule="auto"/>
        <w:tabs>
          <w:tab w:leader="none" w:pos="426"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2" w:lineRule="exact"/>
        <w:rPr>
          <w:rFonts w:ascii="Arial" w:cs="Arial" w:eastAsia="Arial" w:hAnsi="Arial"/>
          <w:sz w:val="15"/>
          <w:szCs w:val="15"/>
          <w:color w:val="auto"/>
        </w:rPr>
      </w:pPr>
    </w:p>
    <w:p>
      <w:pPr>
        <w:ind w:left="426" w:right="100" w:hanging="426"/>
        <w:spacing w:after="0" w:line="308" w:lineRule="auto"/>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There was no incentive fee waived for the years ended December 31, 2021 through 2025. The ratio of waived incentive fees to average net assets was (0.11)% for the year ended December 31, 2020. There was no incentive fee waived for the years ended December 31, 2016 through 2019.</w:t>
      </w:r>
    </w:p>
    <w:p>
      <w:pPr>
        <w:spacing w:after="0" w:line="4" w:lineRule="exact"/>
        <w:rPr>
          <w:rFonts w:ascii="Arial" w:cs="Arial" w:eastAsia="Arial" w:hAnsi="Arial"/>
          <w:sz w:val="16"/>
          <w:szCs w:val="16"/>
          <w:color w:val="auto"/>
        </w:rPr>
      </w:pPr>
    </w:p>
    <w:p>
      <w:pPr>
        <w:ind w:left="426" w:hanging="426"/>
        <w:spacing w:after="0"/>
        <w:tabs>
          <w:tab w:leader="none" w:pos="42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following is a schedule of supplemental expense ratios to average net assets:</w:t>
      </w:r>
    </w:p>
    <w:p>
      <w:pPr>
        <w:spacing w:after="0" w:line="200" w:lineRule="exact"/>
        <w:rPr>
          <w:sz w:val="20"/>
          <w:szCs w:val="20"/>
          <w:color w:val="auto"/>
        </w:rPr>
      </w:pP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8"/>
                <w:szCs w:val="18"/>
                <w:color w:val="auto"/>
              </w:rPr>
            </w:pPr>
          </w:p>
        </w:tc>
      </w:tr>
      <w:tr>
        <w:trPr>
          <w:trHeight w:val="329"/>
        </w:trPr>
        <w:tc>
          <w:tcPr>
            <w:tcW w:w="3520" w:type="dxa"/>
            <w:vAlign w:val="bottom"/>
          </w:tcPr>
          <w:p>
            <w:pPr>
              <w:spacing w:after="0"/>
              <w:rPr>
                <w:sz w:val="20"/>
                <w:szCs w:val="20"/>
                <w:color w:val="auto"/>
              </w:rPr>
            </w:pPr>
            <w:r>
              <w:rPr>
                <w:rFonts w:ascii="Arial" w:cs="Arial" w:eastAsia="Arial" w:hAnsi="Arial"/>
                <w:sz w:val="18"/>
                <w:szCs w:val="18"/>
                <w:b w:val="1"/>
                <w:bCs w:val="1"/>
                <w:color w:val="auto"/>
              </w:rPr>
              <w:t>Ratio to average net assets:</w:t>
            </w: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396"/>
        </w:trPr>
        <w:tc>
          <w:tcPr>
            <w:tcW w:w="3520" w:type="dxa"/>
            <w:vAlign w:val="bottom"/>
          </w:tcPr>
          <w:p>
            <w:pPr>
              <w:spacing w:after="0"/>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24"/>
                <w:szCs w:val="24"/>
                <w:color w:val="auto"/>
                <w:vertAlign w:val="superscript"/>
              </w:rPr>
              <w:t>(4)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Incentive fee, net of incentive fee waiver </w:t>
            </w:r>
            <w:r>
              <w:rPr>
                <w:rFonts w:ascii="Arial" w:cs="Arial" w:eastAsia="Arial" w:hAnsi="Arial"/>
                <w:sz w:val="24"/>
                <w:szCs w:val="24"/>
                <w:color w:val="auto"/>
                <w:w w:val="96"/>
                <w:vertAlign w:val="superscript"/>
              </w:rPr>
              <w:t>(4)(9)</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333"/>
        </w:trPr>
        <w:tc>
          <w:tcPr>
            <w:tcW w:w="352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-854075</wp:posOffset>
            </wp:positionV>
            <wp:extent cx="3643630" cy="285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4363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-645160</wp:posOffset>
            </wp:positionV>
            <wp:extent cx="5862955" cy="28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862955" cy="28575"/>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-217170</wp:posOffset>
            </wp:positionV>
            <wp:extent cx="374777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747770" cy="635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-10795</wp:posOffset>
            </wp:positionV>
            <wp:extent cx="364363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643630" cy="6350"/>
                    </a:xfrm>
                    <a:prstGeom prst="rect">
                      <a:avLst/>
                    </a:prstGeom>
                    <a:noFill/>
                  </pic:spPr>
                </pic:pic>
              </a:graphicData>
            </a:graphic>
          </wp:anchor>
        </w:drawing>
      </w:r>
    </w:p>
    <w:p>
      <w:pPr>
        <w:spacing w:after="0" w:line="30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31</w:t>
      </w:r>
    </w:p>
    <w:p>
      <w:pPr>
        <w:sectPr>
          <w:pgSz w:w="11900" w:h="16838" w:orient="portrait"/>
          <w:cols w:equalWidth="0" w:num="1">
            <w:col w:w="9406"/>
          </w:cols>
          <w:pgMar w:left="1254" w:top="1440" w:right="1246" w:bottom="0" w:gutter="0" w:footer="0" w:header="0"/>
          <w:type w:val="continuous"/>
        </w:sectPr>
      </w:pPr>
    </w:p>
    <w:bookmarkStart w:id="319" w:name="page320"/>
    <w:bookmarkEnd w:id="319"/>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Pr>
          <w:p>
            <w:pPr>
              <w:spacing w:after="0"/>
              <w:rPr>
                <w:sz w:val="17"/>
                <w:szCs w:val="17"/>
                <w:color w:val="auto"/>
              </w:rPr>
            </w:pPr>
          </w:p>
        </w:tc>
      </w:tr>
      <w:tr>
        <w:trPr>
          <w:trHeight w:val="315"/>
        </w:trPr>
        <w:tc>
          <w:tcPr>
            <w:tcW w:w="3520" w:type="dxa"/>
            <w:vAlign w:val="bottom"/>
          </w:tcPr>
          <w:p>
            <w:pPr>
              <w:spacing w:after="0"/>
              <w:rPr>
                <w:sz w:val="20"/>
                <w:szCs w:val="20"/>
                <w:color w:val="auto"/>
              </w:rPr>
            </w:pPr>
            <w:r>
              <w:rPr>
                <w:rFonts w:ascii="Arial" w:cs="Arial" w:eastAsia="Arial" w:hAnsi="Arial"/>
                <w:sz w:val="18"/>
                <w:szCs w:val="18"/>
                <w:b w:val="1"/>
                <w:bCs w:val="1"/>
                <w:color w:val="auto"/>
              </w:rPr>
              <w:t>Ratio to average net assets:</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381"/>
        </w:trPr>
        <w:tc>
          <w:tcPr>
            <w:tcW w:w="3520" w:type="dxa"/>
            <w:vAlign w:val="bottom"/>
          </w:tcPr>
          <w:p>
            <w:pPr>
              <w:spacing w:after="0"/>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24"/>
                <w:szCs w:val="24"/>
                <w:color w:val="auto"/>
                <w:vertAlign w:val="superscript"/>
              </w:rPr>
              <w:t>(4)</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Incentive fee, net of incentive fee waiver </w:t>
            </w:r>
            <w:r>
              <w:rPr>
                <w:rFonts w:ascii="Arial" w:cs="Arial" w:eastAsia="Arial" w:hAnsi="Arial"/>
                <w:sz w:val="24"/>
                <w:szCs w:val="24"/>
                <w:color w:val="auto"/>
                <w:w w:val="96"/>
                <w:vertAlign w:val="superscript"/>
              </w:rPr>
              <w:t>(4)(9)</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-817245</wp:posOffset>
            </wp:positionV>
            <wp:extent cx="3649345" cy="285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4934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-617220</wp:posOffset>
            </wp:positionV>
            <wp:extent cx="5872480" cy="285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872480" cy="2857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-207645</wp:posOffset>
            </wp:positionV>
            <wp:extent cx="374459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744595" cy="635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-10795</wp:posOffset>
            </wp:positionV>
            <wp:extent cx="3649345"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493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7"/>
                <w:szCs w:val="17"/>
                <w:color w:val="auto"/>
              </w:rPr>
            </w:pPr>
          </w:p>
        </w:tc>
      </w:tr>
      <w:tr>
        <w:trPr>
          <w:trHeight w:val="329"/>
        </w:trPr>
        <w:tc>
          <w:tcPr>
            <w:tcW w:w="3500" w:type="dxa"/>
            <w:vAlign w:val="bottom"/>
          </w:tcPr>
          <w:p>
            <w:pPr>
              <w:spacing w:after="0"/>
              <w:rPr>
                <w:sz w:val="20"/>
                <w:szCs w:val="20"/>
                <w:color w:val="auto"/>
              </w:rPr>
            </w:pPr>
            <w:r>
              <w:rPr>
                <w:rFonts w:ascii="Arial" w:cs="Arial" w:eastAsia="Arial" w:hAnsi="Arial"/>
                <w:sz w:val="18"/>
                <w:szCs w:val="18"/>
                <w:b w:val="1"/>
                <w:bCs w:val="1"/>
                <w:color w:val="auto"/>
              </w:rPr>
              <w:t>Ratio to average net assets:</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329"/>
        </w:trPr>
        <w:tc>
          <w:tcPr>
            <w:tcW w:w="3500" w:type="dxa"/>
            <w:vAlign w:val="bottom"/>
          </w:tcPr>
          <w:p>
            <w:pPr>
              <w:spacing w:after="0"/>
              <w:rPr>
                <w:sz w:val="20"/>
                <w:szCs w:val="20"/>
                <w:color w:val="auto"/>
              </w:rPr>
            </w:pPr>
            <w:r>
              <w:rPr>
                <w:rFonts w:ascii="Arial" w:cs="Arial" w:eastAsia="Arial" w:hAnsi="Arial"/>
                <w:sz w:val="18"/>
                <w:szCs w:val="18"/>
                <w:color w:val="auto"/>
                <w:w w:val="94"/>
              </w:rPr>
              <w:t>Total expenses, before base management fee</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6"/>
        </w:trPr>
        <w:tc>
          <w:tcPr>
            <w:tcW w:w="3500" w:type="dxa"/>
            <w:vAlign w:val="bottom"/>
          </w:tcPr>
          <w:p>
            <w:pPr>
              <w:spacing w:after="0"/>
              <w:rPr>
                <w:sz w:val="20"/>
                <w:szCs w:val="20"/>
                <w:color w:val="auto"/>
              </w:rPr>
            </w:pPr>
            <w:r>
              <w:rPr>
                <w:rFonts w:ascii="Arial" w:cs="Arial" w:eastAsia="Arial" w:hAnsi="Arial"/>
                <w:sz w:val="18"/>
                <w:szCs w:val="18"/>
                <w:color w:val="auto"/>
              </w:rPr>
              <w:t xml:space="preserve">waiver </w:t>
            </w:r>
            <w:r>
              <w:rPr>
                <w:rFonts w:ascii="Arial" w:cs="Arial" w:eastAsia="Arial" w:hAnsi="Arial"/>
                <w:sz w:val="24"/>
                <w:szCs w:val="24"/>
                <w:color w:val="auto"/>
                <w:vertAlign w:val="superscript"/>
              </w:rPr>
              <w:t>(4)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Base management fee waiver </w:t>
            </w:r>
            <w:r>
              <w:rPr>
                <w:rFonts w:ascii="Arial" w:cs="Arial" w:eastAsia="Arial" w:hAnsi="Arial"/>
                <w:sz w:val="24"/>
                <w:szCs w:val="24"/>
                <w:color w:val="auto"/>
                <w:vertAlign w:val="superscript"/>
              </w:rPr>
              <w:t>(4)(9)</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333"/>
        </w:trPr>
        <w:tc>
          <w:tcPr>
            <w:tcW w:w="350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-1006475</wp:posOffset>
            </wp:positionV>
            <wp:extent cx="3638550" cy="285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3855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-797560</wp:posOffset>
            </wp:positionV>
            <wp:extent cx="5862955" cy="285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862955" cy="2857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-217170</wp:posOffset>
            </wp:positionV>
            <wp:extent cx="374332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743325" cy="635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-10795</wp:posOffset>
            </wp:positionV>
            <wp:extent cx="363855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Pr>
          <w:p>
            <w:pPr>
              <w:spacing w:after="0"/>
              <w:rPr>
                <w:sz w:val="18"/>
                <w:szCs w:val="18"/>
                <w:color w:val="auto"/>
              </w:rPr>
            </w:pPr>
          </w:p>
        </w:tc>
      </w:tr>
      <w:tr>
        <w:trPr>
          <w:trHeight w:val="315"/>
        </w:trPr>
        <w:tc>
          <w:tcPr>
            <w:tcW w:w="3500" w:type="dxa"/>
            <w:vAlign w:val="bottom"/>
          </w:tcPr>
          <w:p>
            <w:pPr>
              <w:spacing w:after="0"/>
              <w:rPr>
                <w:sz w:val="20"/>
                <w:szCs w:val="20"/>
                <w:color w:val="auto"/>
              </w:rPr>
            </w:pPr>
            <w:r>
              <w:rPr>
                <w:rFonts w:ascii="Arial" w:cs="Arial" w:eastAsia="Arial" w:hAnsi="Arial"/>
                <w:sz w:val="18"/>
                <w:szCs w:val="18"/>
                <w:b w:val="1"/>
                <w:bCs w:val="1"/>
                <w:color w:val="auto"/>
              </w:rPr>
              <w:t>Ratio to average net assets:</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315"/>
        </w:trPr>
        <w:tc>
          <w:tcPr>
            <w:tcW w:w="3500" w:type="dxa"/>
            <w:vAlign w:val="bottom"/>
          </w:tcPr>
          <w:p>
            <w:pPr>
              <w:spacing w:after="0"/>
              <w:rPr>
                <w:sz w:val="20"/>
                <w:szCs w:val="20"/>
                <w:color w:val="auto"/>
              </w:rPr>
            </w:pPr>
            <w:r>
              <w:rPr>
                <w:rFonts w:ascii="Arial" w:cs="Arial" w:eastAsia="Arial" w:hAnsi="Arial"/>
                <w:sz w:val="18"/>
                <w:szCs w:val="18"/>
                <w:color w:val="auto"/>
                <w:w w:val="94"/>
              </w:rPr>
              <w:t>Total expenses, before base management fee</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6"/>
        </w:trPr>
        <w:tc>
          <w:tcPr>
            <w:tcW w:w="3500" w:type="dxa"/>
            <w:vAlign w:val="bottom"/>
          </w:tcPr>
          <w:p>
            <w:pPr>
              <w:spacing w:after="0"/>
              <w:rPr>
                <w:sz w:val="20"/>
                <w:szCs w:val="20"/>
                <w:color w:val="auto"/>
              </w:rPr>
            </w:pPr>
            <w:r>
              <w:rPr>
                <w:rFonts w:ascii="Arial" w:cs="Arial" w:eastAsia="Arial" w:hAnsi="Arial"/>
                <w:sz w:val="18"/>
                <w:szCs w:val="18"/>
                <w:color w:val="auto"/>
              </w:rPr>
              <w:t xml:space="preserve">waiver </w:t>
            </w:r>
            <w:r>
              <w:rPr>
                <w:rFonts w:ascii="Arial" w:cs="Arial" w:eastAsia="Arial" w:hAnsi="Arial"/>
                <w:sz w:val="24"/>
                <w:szCs w:val="24"/>
                <w:color w:val="auto"/>
                <w:vertAlign w:val="superscript"/>
              </w:rPr>
              <w:t>(4)</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Base management fee waiver </w:t>
            </w:r>
            <w:r>
              <w:rPr>
                <w:rFonts w:ascii="Arial" w:cs="Arial" w:eastAsia="Arial" w:hAnsi="Arial"/>
                <w:sz w:val="24"/>
                <w:szCs w:val="24"/>
                <w:color w:val="auto"/>
                <w:vertAlign w:val="superscript"/>
              </w:rPr>
              <w:t>(4)(9)</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(4)</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-969645</wp:posOffset>
            </wp:positionV>
            <wp:extent cx="3645535" cy="285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4553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-769620</wp:posOffset>
            </wp:positionV>
            <wp:extent cx="5872480" cy="28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872480" cy="285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-207645</wp:posOffset>
            </wp:positionV>
            <wp:extent cx="374078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740785" cy="6350"/>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-10795</wp:posOffset>
            </wp:positionV>
            <wp:extent cx="364553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45535" cy="635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20"/>
                <w:szCs w:val="20"/>
                <w:b w:val="1"/>
                <w:bCs w:val="1"/>
                <w:color w:val="auto"/>
              </w:rPr>
              <w:t>Note 11. Selected Quarterly Financial Data (unaudited)</w:t>
            </w: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50"/>
        </w:trPr>
        <w:tc>
          <w:tcPr>
            <w:tcW w:w="5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0"/>
                <w:szCs w:val="20"/>
                <w:b w:val="1"/>
                <w:bCs w:val="1"/>
                <w:color w:val="auto"/>
              </w:rPr>
              <w:t>September</w:t>
            </w:r>
          </w:p>
        </w:tc>
        <w:tc>
          <w:tcPr>
            <w:tcW w:w="1120" w:type="dxa"/>
            <w:vAlign w:val="bottom"/>
          </w:tcPr>
          <w:p>
            <w:pPr>
              <w:ind w:left="240"/>
              <w:spacing w:after="0"/>
              <w:rPr>
                <w:sz w:val="20"/>
                <w:szCs w:val="20"/>
                <w:color w:val="auto"/>
              </w:rPr>
            </w:pPr>
            <w:r>
              <w:rPr>
                <w:rFonts w:ascii="Arial" w:cs="Arial" w:eastAsia="Arial" w:hAnsi="Arial"/>
                <w:sz w:val="20"/>
                <w:szCs w:val="20"/>
                <w:b w:val="1"/>
                <w:bCs w:val="1"/>
                <w:color w:val="auto"/>
                <w:w w:val="88"/>
              </w:rPr>
              <w:t>December</w:t>
            </w:r>
          </w:p>
        </w:tc>
      </w:tr>
      <w:tr>
        <w:trPr>
          <w:trHeight w:val="300"/>
        </w:trPr>
        <w:tc>
          <w:tcPr>
            <w:tcW w:w="5180" w:type="dxa"/>
            <w:vAlign w:val="bottom"/>
          </w:tcPr>
          <w:p>
            <w:pPr>
              <w:jc w:val="center"/>
              <w:ind w:left="3640"/>
              <w:spacing w:after="0"/>
              <w:rPr>
                <w:sz w:val="20"/>
                <w:szCs w:val="20"/>
                <w:color w:val="auto"/>
              </w:rPr>
            </w:pPr>
            <w:r>
              <w:rPr>
                <w:rFonts w:ascii="Arial" w:cs="Arial" w:eastAsia="Arial" w:hAnsi="Arial"/>
                <w:sz w:val="20"/>
                <w:szCs w:val="20"/>
                <w:b w:val="1"/>
                <w:bCs w:val="1"/>
                <w:color w:val="auto"/>
                <w:w w:val="95"/>
              </w:rPr>
              <w:t>March 31,</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June 30,</w:t>
            </w:r>
          </w:p>
        </w:tc>
        <w:tc>
          <w:tcPr>
            <w:tcW w:w="1440" w:type="dxa"/>
            <w:vAlign w:val="bottom"/>
          </w:tcPr>
          <w:p>
            <w:pPr>
              <w:jc w:val="right"/>
              <w:ind w:right="460"/>
              <w:spacing w:after="0"/>
              <w:rPr>
                <w:sz w:val="20"/>
                <w:szCs w:val="20"/>
                <w:color w:val="auto"/>
              </w:rPr>
            </w:pPr>
            <w:r>
              <w:rPr>
                <w:rFonts w:ascii="Arial" w:cs="Arial" w:eastAsia="Arial" w:hAnsi="Arial"/>
                <w:sz w:val="20"/>
                <w:szCs w:val="20"/>
                <w:b w:val="1"/>
                <w:bCs w:val="1"/>
                <w:color w:val="auto"/>
              </w:rPr>
              <w:t>30,</w:t>
            </w:r>
          </w:p>
        </w:tc>
        <w:tc>
          <w:tcPr>
            <w:tcW w:w="1120" w:type="dxa"/>
            <w:vAlign w:val="bottom"/>
          </w:tcPr>
          <w:p>
            <w:pPr>
              <w:jc w:val="right"/>
              <w:ind w:right="200"/>
              <w:spacing w:after="0"/>
              <w:rPr>
                <w:sz w:val="20"/>
                <w:szCs w:val="20"/>
                <w:color w:val="auto"/>
              </w:rPr>
            </w:pPr>
            <w:r>
              <w:rPr>
                <w:rFonts w:ascii="Arial" w:cs="Arial" w:eastAsia="Arial" w:hAnsi="Arial"/>
                <w:sz w:val="20"/>
                <w:szCs w:val="20"/>
                <w:b w:val="1"/>
                <w:bCs w:val="1"/>
                <w:color w:val="auto"/>
              </w:rPr>
              <w:t>31,</w:t>
            </w:r>
          </w:p>
        </w:tc>
      </w:tr>
      <w:tr>
        <w:trPr>
          <w:trHeight w:val="300"/>
        </w:trPr>
        <w:tc>
          <w:tcPr>
            <w:tcW w:w="518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1260" w:type="dxa"/>
            <w:vAlign w:val="bottom"/>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1440" w:type="dxa"/>
            <w:vAlign w:val="bottom"/>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1120" w:type="dxa"/>
            <w:vAlign w:val="bottom"/>
          </w:tcPr>
          <w:p>
            <w:pPr>
              <w:jc w:val="right"/>
              <w:ind w:right="120"/>
              <w:spacing w:after="0"/>
              <w:rPr>
                <w:sz w:val="20"/>
                <w:szCs w:val="20"/>
                <w:color w:val="auto"/>
              </w:rPr>
            </w:pPr>
            <w:r>
              <w:rPr>
                <w:rFonts w:ascii="Arial" w:cs="Arial" w:eastAsia="Arial" w:hAnsi="Arial"/>
                <w:sz w:val="20"/>
                <w:szCs w:val="20"/>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1968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967730" cy="1968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90" w:lineRule="exact"/>
        <w:rPr>
          <w:sz w:val="20"/>
          <w:szCs w:val="20"/>
          <w:color w:val="auto"/>
        </w:rPr>
      </w:pPr>
    </w:p>
    <w:p>
      <w:pPr>
        <w:ind w:right="1660"/>
        <w:spacing w:after="0" w:line="347" w:lineRule="auto"/>
        <w:rPr>
          <w:sz w:val="20"/>
          <w:szCs w:val="20"/>
          <w:color w:val="auto"/>
        </w:rPr>
      </w:pPr>
      <w:r>
        <w:rPr>
          <w:rFonts w:ascii="Arial" w:cs="Arial" w:eastAsia="Arial" w:hAnsi="Arial"/>
          <w:sz w:val="18"/>
          <w:szCs w:val="18"/>
          <w:color w:val="auto"/>
        </w:rPr>
        <w:t>Total investment income Net investment income</w:t>
      </w:r>
    </w:p>
    <w:p>
      <w:pPr>
        <w:spacing w:after="0" w:line="1" w:lineRule="exact"/>
        <w:rPr>
          <w:sz w:val="20"/>
          <w:szCs w:val="20"/>
          <w:color w:val="auto"/>
        </w:rPr>
      </w:pPr>
    </w:p>
    <w:p>
      <w:pPr>
        <w:ind w:right="320"/>
        <w:spacing w:after="0" w:line="321" w:lineRule="auto"/>
        <w:rPr>
          <w:sz w:val="20"/>
          <w:szCs w:val="20"/>
          <w:color w:val="auto"/>
        </w:rPr>
      </w:pPr>
      <w:r>
        <w:rPr>
          <w:rFonts w:ascii="Arial" w:cs="Arial" w:eastAsia="Arial" w:hAnsi="Arial"/>
          <w:sz w:val="17"/>
          <w:szCs w:val="17"/>
          <w:color w:val="auto"/>
        </w:rPr>
        <w:t>Net increase in net assets from operations Net investment income per share</w:t>
      </w:r>
      <w:r>
        <w:rPr>
          <w:rFonts w:ascii="Arial" w:cs="Arial" w:eastAsia="Arial" w:hAnsi="Arial"/>
          <w:sz w:val="22"/>
          <w:szCs w:val="22"/>
          <w:color w:val="auto"/>
          <w:vertAlign w:val="superscript"/>
        </w:rPr>
        <w:t>(1)</w:t>
      </w:r>
    </w:p>
    <w:p>
      <w:pPr>
        <w:spacing w:after="0" w:line="272" w:lineRule="auto"/>
        <w:rPr>
          <w:sz w:val="20"/>
          <w:szCs w:val="20"/>
          <w:color w:val="auto"/>
        </w:rPr>
      </w:pPr>
      <w:r>
        <w:rPr>
          <w:rFonts w:ascii="Arial" w:cs="Arial" w:eastAsia="Arial" w:hAnsi="Arial"/>
          <w:sz w:val="20"/>
          <w:szCs w:val="20"/>
          <w:color w:val="auto"/>
        </w:rPr>
        <w:t>Net increase in net assets from operations per share</w:t>
      </w:r>
      <w:r>
        <w:rPr>
          <w:rFonts w:ascii="Arial" w:cs="Arial" w:eastAsia="Arial" w:hAnsi="Arial"/>
          <w:sz w:val="26"/>
          <w:szCs w:val="26"/>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Net asset value per share at end of period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36,496</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39,970</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37,253</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42,153</w:t>
            </w:r>
          </w:p>
        </w:tc>
      </w:tr>
      <w:tr>
        <w:trPr>
          <w:trHeight w:val="300"/>
        </w:trPr>
        <w:tc>
          <w:tcPr>
            <w:tcW w:w="3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18,222</w:t>
            </w:r>
          </w:p>
        </w:tc>
        <w:tc>
          <w:tcPr>
            <w:tcW w:w="4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18,628</w:t>
            </w:r>
          </w:p>
        </w:tc>
        <w:tc>
          <w:tcPr>
            <w:tcW w:w="4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17,369</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19,631</w:t>
            </w:r>
          </w:p>
        </w:tc>
      </w:tr>
      <w:tr>
        <w:trPr>
          <w:trHeight w:val="300"/>
        </w:trPr>
        <w:tc>
          <w:tcPr>
            <w:tcW w:w="3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19,658</w:t>
            </w:r>
          </w:p>
        </w:tc>
        <w:tc>
          <w:tcPr>
            <w:tcW w:w="4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25,284</w:t>
            </w:r>
          </w:p>
        </w:tc>
        <w:tc>
          <w:tcPr>
            <w:tcW w:w="4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19,138</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18,322</w:t>
            </w:r>
          </w:p>
        </w:tc>
      </w:tr>
      <w:tr>
        <w:trPr>
          <w:trHeight w:val="300"/>
        </w:trPr>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0.53</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0.53</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0.49</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0.53</w:t>
            </w:r>
          </w:p>
        </w:tc>
      </w:tr>
      <w:tr>
        <w:trPr>
          <w:trHeight w:val="450"/>
        </w:trPr>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0.58</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0.72</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0.54</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0.50</w:t>
            </w:r>
          </w:p>
        </w:tc>
      </w:tr>
      <w:tr>
        <w:trPr>
          <w:trHeight w:val="450"/>
        </w:trPr>
        <w:tc>
          <w:tcPr>
            <w:tcW w:w="340" w:type="dxa"/>
            <w:vAlign w:val="bottom"/>
          </w:tcPr>
          <w:p>
            <w:pPr>
              <w:jc w:val="right"/>
              <w:ind w:right="14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19.39</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19.57</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19.56</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-925830</wp:posOffset>
            </wp:positionV>
            <wp:extent cx="5967730" cy="1905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967730" cy="19050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-544830</wp:posOffset>
            </wp:positionV>
            <wp:extent cx="5967730" cy="3810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96773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60"/>
            <w:col w:w="5500"/>
          </w:cols>
          <w:pgMar w:left="1260" w:top="1440" w:right="1246" w:bottom="0" w:gutter="0" w:footer="0" w:header="0"/>
          <w:type w:val="continuous"/>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September</w:t>
            </w:r>
          </w:p>
        </w:tc>
        <w:tc>
          <w:tcPr>
            <w:tcW w:w="220" w:type="dxa"/>
            <w:vAlign w:val="bottom"/>
          </w:tcPr>
          <w:p>
            <w:pPr>
              <w:spacing w:after="0"/>
              <w:rPr>
                <w:sz w:val="19"/>
                <w:szCs w:val="19"/>
                <w:color w:val="auto"/>
              </w:rPr>
            </w:pPr>
          </w:p>
        </w:tc>
        <w:tc>
          <w:tcPr>
            <w:tcW w:w="1280" w:type="dxa"/>
            <w:vAlign w:val="bottom"/>
          </w:tcPr>
          <w:p>
            <w:pPr>
              <w:jc w:val="right"/>
              <w:ind w:right="300"/>
              <w:spacing w:after="0"/>
              <w:rPr>
                <w:sz w:val="20"/>
                <w:szCs w:val="20"/>
                <w:color w:val="auto"/>
              </w:rPr>
            </w:pPr>
            <w:r>
              <w:rPr>
                <w:rFonts w:ascii="Arial" w:cs="Arial" w:eastAsia="Arial" w:hAnsi="Arial"/>
                <w:sz w:val="20"/>
                <w:szCs w:val="20"/>
                <w:b w:val="1"/>
                <w:bCs w:val="1"/>
                <w:color w:val="auto"/>
                <w:w w:val="88"/>
              </w:rPr>
              <w:t>December</w:t>
            </w:r>
          </w:p>
        </w:tc>
      </w:tr>
      <w:tr>
        <w:trPr>
          <w:trHeight w:val="300"/>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Arial" w:cs="Arial" w:eastAsia="Arial" w:hAnsi="Arial"/>
                <w:sz w:val="20"/>
                <w:szCs w:val="20"/>
                <w:b w:val="1"/>
                <w:bCs w:val="1"/>
                <w:color w:val="auto"/>
                <w:w w:val="93"/>
              </w:rPr>
              <w:t>March 31,</w:t>
            </w:r>
          </w:p>
        </w:tc>
        <w:tc>
          <w:tcPr>
            <w:tcW w:w="280" w:type="dxa"/>
            <w:vAlign w:val="bottom"/>
          </w:tcPr>
          <w:p>
            <w:pPr>
              <w:spacing w:after="0"/>
              <w:rPr>
                <w:sz w:val="24"/>
                <w:szCs w:val="24"/>
                <w:color w:val="auto"/>
              </w:rPr>
            </w:pPr>
          </w:p>
        </w:tc>
        <w:tc>
          <w:tcPr>
            <w:tcW w:w="1080" w:type="dxa"/>
            <w:vAlign w:val="bottom"/>
          </w:tcPr>
          <w:p>
            <w:pPr>
              <w:jc w:val="right"/>
              <w:ind w:right="220"/>
              <w:spacing w:after="0"/>
              <w:rPr>
                <w:sz w:val="20"/>
                <w:szCs w:val="20"/>
                <w:color w:val="auto"/>
              </w:rPr>
            </w:pPr>
            <w:r>
              <w:rPr>
                <w:rFonts w:ascii="Arial" w:cs="Arial" w:eastAsia="Arial" w:hAnsi="Arial"/>
                <w:sz w:val="20"/>
                <w:szCs w:val="20"/>
                <w:b w:val="1"/>
                <w:bCs w:val="1"/>
                <w:color w:val="auto"/>
                <w:w w:val="92"/>
              </w:rPr>
              <w:t>June 30,</w:t>
            </w:r>
          </w:p>
        </w:tc>
        <w:tc>
          <w:tcPr>
            <w:tcW w:w="360" w:type="dxa"/>
            <w:vAlign w:val="bottom"/>
          </w:tcPr>
          <w:p>
            <w:pPr>
              <w:spacing w:after="0"/>
              <w:rPr>
                <w:sz w:val="24"/>
                <w:szCs w:val="24"/>
                <w:color w:val="auto"/>
              </w:rPr>
            </w:pPr>
          </w:p>
        </w:tc>
        <w:tc>
          <w:tcPr>
            <w:tcW w:w="1040" w:type="dxa"/>
            <w:vAlign w:val="bottom"/>
          </w:tcPr>
          <w:p>
            <w:pPr>
              <w:jc w:val="right"/>
              <w:ind w:right="480"/>
              <w:spacing w:after="0"/>
              <w:rPr>
                <w:sz w:val="20"/>
                <w:szCs w:val="20"/>
                <w:color w:val="auto"/>
              </w:rPr>
            </w:pPr>
            <w:r>
              <w:rPr>
                <w:rFonts w:ascii="Arial" w:cs="Arial" w:eastAsia="Arial" w:hAnsi="Arial"/>
                <w:sz w:val="20"/>
                <w:szCs w:val="20"/>
                <w:b w:val="1"/>
                <w:bCs w:val="1"/>
                <w:color w:val="auto"/>
              </w:rPr>
              <w:t>30,</w:t>
            </w:r>
          </w:p>
        </w:tc>
        <w:tc>
          <w:tcPr>
            <w:tcW w:w="220" w:type="dxa"/>
            <w:vAlign w:val="bottom"/>
          </w:tcPr>
          <w:p>
            <w:pPr>
              <w:spacing w:after="0"/>
              <w:rPr>
                <w:sz w:val="24"/>
                <w:szCs w:val="24"/>
                <w:color w:val="auto"/>
              </w:rPr>
            </w:pPr>
          </w:p>
        </w:tc>
        <w:tc>
          <w:tcPr>
            <w:tcW w:w="1280" w:type="dxa"/>
            <w:vAlign w:val="bottom"/>
          </w:tcPr>
          <w:p>
            <w:pPr>
              <w:jc w:val="right"/>
              <w:ind w:right="600"/>
              <w:spacing w:after="0"/>
              <w:rPr>
                <w:sz w:val="20"/>
                <w:szCs w:val="20"/>
                <w:color w:val="auto"/>
              </w:rPr>
            </w:pPr>
            <w:r>
              <w:rPr>
                <w:rFonts w:ascii="Arial" w:cs="Arial" w:eastAsia="Arial" w:hAnsi="Arial"/>
                <w:sz w:val="20"/>
                <w:szCs w:val="20"/>
                <w:b w:val="1"/>
                <w:bCs w:val="1"/>
                <w:color w:val="auto"/>
              </w:rPr>
              <w:t>31,</w:t>
            </w:r>
          </w:p>
        </w:tc>
      </w:tr>
      <w:tr>
        <w:trPr>
          <w:trHeight w:val="300"/>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24"/>
                <w:szCs w:val="24"/>
                <w:color w:val="auto"/>
              </w:rPr>
            </w:pPr>
          </w:p>
        </w:tc>
        <w:tc>
          <w:tcPr>
            <w:tcW w:w="10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220" w:type="dxa"/>
            <w:vAlign w:val="bottom"/>
          </w:tcPr>
          <w:p>
            <w:pPr>
              <w:spacing w:after="0"/>
              <w:rPr>
                <w:sz w:val="24"/>
                <w:szCs w:val="24"/>
                <w:color w:val="auto"/>
              </w:rPr>
            </w:pPr>
          </w:p>
        </w:tc>
        <w:tc>
          <w:tcPr>
            <w:tcW w:w="1280" w:type="dxa"/>
            <w:vAlign w:val="bottom"/>
          </w:tcPr>
          <w:p>
            <w:pPr>
              <w:jc w:val="right"/>
              <w:ind w:right="520"/>
              <w:spacing w:after="0"/>
              <w:rPr>
                <w:sz w:val="20"/>
                <w:szCs w:val="20"/>
                <w:color w:val="auto"/>
              </w:rPr>
            </w:pPr>
            <w:r>
              <w:rPr>
                <w:rFonts w:ascii="Arial" w:cs="Arial" w:eastAsia="Arial" w:hAnsi="Arial"/>
                <w:sz w:val="20"/>
                <w:szCs w:val="20"/>
                <w:b w:val="1"/>
                <w:bCs w:val="1"/>
                <w:color w:val="auto"/>
              </w:rPr>
              <w:t>2024</w:t>
            </w:r>
          </w:p>
        </w:tc>
      </w:tr>
      <w:tr>
        <w:trPr>
          <w:trHeight w:val="51"/>
        </w:trPr>
        <w:tc>
          <w:tcPr>
            <w:tcW w:w="3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8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investment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34,651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35,664</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38,382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37,457</w:t>
            </w:r>
          </w:p>
        </w:tc>
      </w:tr>
      <w:tr>
        <w:trPr>
          <w:trHeight w:val="259"/>
        </w:trPr>
        <w:tc>
          <w:tcPr>
            <w:tcW w:w="3620" w:type="dxa"/>
            <w:vAlign w:val="bottom"/>
          </w:tcPr>
          <w:p>
            <w:pPr>
              <w:spacing w:after="0"/>
              <w:rPr>
                <w:sz w:val="20"/>
                <w:szCs w:val="20"/>
                <w:color w:val="auto"/>
              </w:rPr>
            </w:pPr>
            <w:r>
              <w:rPr>
                <w:rFonts w:ascii="Arial" w:cs="Arial" w:eastAsia="Arial" w:hAnsi="Arial"/>
                <w:sz w:val="20"/>
                <w:szCs w:val="20"/>
                <w:color w:val="auto"/>
              </w:rPr>
              <w:t>Net investment income</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17,627</w:t>
            </w: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16,950</w:t>
            </w:r>
          </w:p>
        </w:tc>
        <w:tc>
          <w:tcPr>
            <w:tcW w:w="36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21,411</w:t>
            </w:r>
          </w:p>
        </w:tc>
        <w:tc>
          <w:tcPr>
            <w:tcW w:w="220" w:type="dxa"/>
            <w:vAlign w:val="bottom"/>
          </w:tcPr>
          <w:p>
            <w:pPr>
              <w:spacing w:after="0"/>
              <w:rPr>
                <w:sz w:val="22"/>
                <w:szCs w:val="22"/>
                <w:color w:val="auto"/>
              </w:rPr>
            </w:pPr>
          </w:p>
        </w:tc>
        <w:tc>
          <w:tcPr>
            <w:tcW w:w="1280" w:type="dxa"/>
            <w:vAlign w:val="bottom"/>
          </w:tcPr>
          <w:p>
            <w:pPr>
              <w:jc w:val="right"/>
              <w:ind w:right="140"/>
              <w:spacing w:after="0"/>
              <w:rPr>
                <w:sz w:val="20"/>
                <w:szCs w:val="20"/>
                <w:color w:val="auto"/>
              </w:rPr>
            </w:pPr>
            <w:r>
              <w:rPr>
                <w:rFonts w:ascii="Arial" w:cs="Arial" w:eastAsia="Arial" w:hAnsi="Arial"/>
                <w:sz w:val="20"/>
                <w:szCs w:val="20"/>
                <w:color w:val="auto"/>
              </w:rPr>
              <w:t>18,648</w:t>
            </w:r>
          </w:p>
        </w:tc>
      </w:tr>
      <w:tr>
        <w:trPr>
          <w:trHeight w:val="41"/>
        </w:trPr>
        <w:tc>
          <w:tcPr>
            <w:tcW w:w="3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6"/>
              </w:rPr>
              <w:t>Net increase in net assets from operations</w:t>
            </w:r>
          </w:p>
        </w:tc>
        <w:tc>
          <w:tcPr>
            <w:tcW w:w="4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20,123</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24,099</w:t>
            </w:r>
          </w:p>
        </w:tc>
        <w:tc>
          <w:tcPr>
            <w:tcW w:w="3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20"/>
                <w:szCs w:val="20"/>
                <w:color w:val="auto"/>
              </w:rPr>
              <w:t>16,477</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17,593</w:t>
            </w:r>
          </w:p>
        </w:tc>
      </w:tr>
      <w:tr>
        <w:trPr>
          <w:trHeight w:val="331"/>
        </w:trPr>
        <w:tc>
          <w:tcPr>
            <w:tcW w:w="3620" w:type="dxa"/>
            <w:vAlign w:val="bottom"/>
          </w:tcPr>
          <w:p>
            <w:pPr>
              <w:spacing w:after="0"/>
              <w:rPr>
                <w:sz w:val="20"/>
                <w:szCs w:val="20"/>
                <w:color w:val="auto"/>
              </w:rPr>
            </w:pPr>
            <w:r>
              <w:rPr>
                <w:rFonts w:ascii="Arial" w:cs="Arial" w:eastAsia="Arial" w:hAnsi="Arial"/>
                <w:sz w:val="20"/>
                <w:szCs w:val="20"/>
                <w:color w:val="auto"/>
              </w:rPr>
              <w:t>Net investment income per share</w:t>
            </w:r>
            <w:r>
              <w:rPr>
                <w:rFonts w:ascii="Arial" w:cs="Arial" w:eastAsia="Arial" w:hAnsi="Arial"/>
                <w:sz w:val="26"/>
                <w:szCs w:val="26"/>
                <w:color w:val="auto"/>
                <w:vertAlign w:val="superscript"/>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0.57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0.53</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0.64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40"/>
              <w:spacing w:after="0"/>
              <w:rPr>
                <w:sz w:val="20"/>
                <w:szCs w:val="20"/>
                <w:color w:val="auto"/>
              </w:rPr>
            </w:pPr>
            <w:r>
              <w:rPr>
                <w:rFonts w:ascii="Arial" w:cs="Arial" w:eastAsia="Arial" w:hAnsi="Arial"/>
                <w:sz w:val="20"/>
                <w:szCs w:val="20"/>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-787400</wp:posOffset>
            </wp:positionV>
            <wp:extent cx="334200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420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31</w:t>
      </w:r>
    </w:p>
    <w:p>
      <w:pPr>
        <w:sectPr>
          <w:pgSz w:w="11900" w:h="16838" w:orient="portrait"/>
          <w:cols w:equalWidth="0" w:num="1">
            <w:col w:w="9400"/>
          </w:cols>
          <w:pgMar w:left="1260" w:top="1440" w:right="1246" w:bottom="0" w:gutter="0" w:footer="0" w:header="0"/>
          <w:type w:val="continuous"/>
        </w:sectPr>
      </w:pPr>
    </w:p>
    <w:bookmarkStart w:id="320" w:name="page321"/>
    <w:bookmarkEnd w:id="320"/>
    <w:tbl>
      <w:tblPr>
        <w:tblLayout w:type="fixed"/>
        <w:tblInd w:w="6" w:type="dxa"/>
        <w:tblCellMar>
          <w:top w:w="0" w:type="dxa"/>
          <w:left w:w="0" w:type="dxa"/>
          <w:bottom w:w="0" w:type="dxa"/>
          <w:right w:w="0" w:type="dxa"/>
        </w:tblCellMar>
      </w:tblPr>
      <w:tr>
        <w:trPr>
          <w:trHeight w:val="259"/>
        </w:trPr>
        <w:tc>
          <w:tcPr>
            <w:tcW w:w="3760" w:type="dxa"/>
            <w:vAlign w:val="bottom"/>
            <w:shd w:val="clear" w:color="auto" w:fill="CCEEFF"/>
          </w:tcPr>
          <w:p>
            <w:pPr>
              <w:spacing w:after="0"/>
              <w:rPr>
                <w:sz w:val="20"/>
                <w:szCs w:val="20"/>
                <w:color w:val="auto"/>
              </w:rPr>
            </w:pPr>
            <w:r>
              <w:rPr>
                <w:rFonts w:ascii="Arial" w:cs="Arial" w:eastAsia="Arial" w:hAnsi="Arial"/>
                <w:sz w:val="20"/>
                <w:szCs w:val="20"/>
                <w:color w:val="auto"/>
                <w:w w:val="91"/>
              </w:rPr>
              <w:t>Net increase in net assets from operations per</w:t>
            </w:r>
          </w:p>
        </w:tc>
        <w:tc>
          <w:tcPr>
            <w:tcW w:w="520" w:type="dxa"/>
            <w:vAlign w:val="bottom"/>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0.65</w:t>
            </w:r>
          </w:p>
        </w:tc>
        <w:tc>
          <w:tcPr>
            <w:tcW w:w="500" w:type="dxa"/>
            <w:vAlign w:val="bottom"/>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0.75</w:t>
            </w:r>
          </w:p>
        </w:tc>
        <w:tc>
          <w:tcPr>
            <w:tcW w:w="520" w:type="dxa"/>
            <w:vAlign w:val="bottom"/>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0.49</w:t>
            </w:r>
          </w:p>
        </w:tc>
        <w:tc>
          <w:tcPr>
            <w:tcW w:w="500" w:type="dxa"/>
            <w:vAlign w:val="bottom"/>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150"/>
        </w:trPr>
        <w:tc>
          <w:tcPr>
            <w:tcW w:w="376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share</w:t>
            </w:r>
            <w:r>
              <w:rPr>
                <w:rFonts w:ascii="Arial" w:cs="Arial" w:eastAsia="Arial" w:hAnsi="Arial"/>
                <w:sz w:val="26"/>
                <w:szCs w:val="26"/>
                <w:color w:val="auto"/>
                <w:vertAlign w:val="superscript"/>
              </w:rPr>
              <w:t>(1)</w:t>
            </w:r>
          </w:p>
        </w:tc>
        <w:tc>
          <w:tcPr>
            <w:tcW w:w="5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76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760" w:type="dxa"/>
            <w:vAlign w:val="bottom"/>
          </w:tcPr>
          <w:p>
            <w:pPr>
              <w:spacing w:after="0"/>
              <w:rPr>
                <w:sz w:val="20"/>
                <w:szCs w:val="20"/>
                <w:color w:val="auto"/>
              </w:rPr>
            </w:pPr>
            <w:r>
              <w:rPr>
                <w:rFonts w:ascii="Arial" w:cs="Arial" w:eastAsia="Arial" w:hAnsi="Arial"/>
                <w:sz w:val="20"/>
                <w:szCs w:val="20"/>
                <w:color w:val="auto"/>
              </w:rPr>
              <w:t>Net asset value per share at end of period</w:t>
            </w:r>
          </w:p>
        </w:tc>
        <w:tc>
          <w:tcPr>
            <w:tcW w:w="5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19.36</w:t>
            </w:r>
          </w:p>
        </w:tc>
        <w:tc>
          <w:tcPr>
            <w:tcW w:w="50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19.50</w:t>
            </w:r>
          </w:p>
        </w:tc>
        <w:tc>
          <w:tcPr>
            <w:tcW w:w="52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19.42</w:t>
            </w:r>
          </w:p>
        </w:tc>
        <w:tc>
          <w:tcPr>
            <w:tcW w:w="50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40"/>
              <w:spacing w:after="0"/>
              <w:rPr>
                <w:sz w:val="20"/>
                <w:szCs w:val="20"/>
                <w:color w:val="auto"/>
              </w:rPr>
            </w:pPr>
            <w:r>
              <w:rPr>
                <w:rFonts w:ascii="Arial" w:cs="Arial" w:eastAsia="Arial" w:hAnsi="Arial"/>
                <w:sz w:val="20"/>
                <w:szCs w:val="20"/>
                <w:color w:val="auto"/>
              </w:rPr>
              <w:t>19.33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 w:right="1660"/>
        <w:spacing w:after="0" w:line="347" w:lineRule="auto"/>
        <w:rPr>
          <w:sz w:val="20"/>
          <w:szCs w:val="20"/>
          <w:color w:val="auto"/>
        </w:rPr>
      </w:pPr>
      <w:r>
        <w:rPr>
          <w:rFonts w:ascii="Arial" w:cs="Arial" w:eastAsia="Arial" w:hAnsi="Arial"/>
          <w:sz w:val="18"/>
          <w:szCs w:val="18"/>
          <w:color w:val="auto"/>
        </w:rPr>
        <w:t>Total investment income Net investment income</w:t>
      </w:r>
    </w:p>
    <w:p>
      <w:pPr>
        <w:spacing w:after="0" w:line="1" w:lineRule="exact"/>
        <w:rPr>
          <w:sz w:val="20"/>
          <w:szCs w:val="20"/>
          <w:color w:val="auto"/>
        </w:rPr>
      </w:pPr>
    </w:p>
    <w:p>
      <w:pPr>
        <w:ind w:left="6" w:right="320"/>
        <w:spacing w:after="0" w:line="321" w:lineRule="auto"/>
        <w:rPr>
          <w:sz w:val="20"/>
          <w:szCs w:val="20"/>
          <w:color w:val="auto"/>
        </w:rPr>
      </w:pPr>
      <w:r>
        <w:rPr>
          <w:rFonts w:ascii="Arial" w:cs="Arial" w:eastAsia="Arial" w:hAnsi="Arial"/>
          <w:sz w:val="17"/>
          <w:szCs w:val="17"/>
          <w:color w:val="auto"/>
        </w:rPr>
        <w:t>Net increase in net assets from operations Net investment income per share</w:t>
      </w:r>
      <w:r>
        <w:rPr>
          <w:rFonts w:ascii="Arial" w:cs="Arial" w:eastAsia="Arial" w:hAnsi="Arial"/>
          <w:sz w:val="22"/>
          <w:szCs w:val="22"/>
          <w:color w:val="auto"/>
          <w:vertAlign w:val="superscript"/>
        </w:rPr>
        <w:t>(1)</w:t>
      </w:r>
    </w:p>
    <w:p>
      <w:pPr>
        <w:ind w:left="6"/>
        <w:spacing w:after="0" w:line="272" w:lineRule="auto"/>
        <w:rPr>
          <w:sz w:val="20"/>
          <w:szCs w:val="20"/>
          <w:color w:val="auto"/>
        </w:rPr>
      </w:pPr>
      <w:r>
        <w:rPr>
          <w:rFonts w:ascii="Arial" w:cs="Arial" w:eastAsia="Arial" w:hAnsi="Arial"/>
          <w:sz w:val="20"/>
          <w:szCs w:val="20"/>
          <w:color w:val="auto"/>
        </w:rPr>
        <w:t>Net increase in net assets from operations per share</w:t>
      </w:r>
      <w:r>
        <w:rPr>
          <w:rFonts w:ascii="Arial" w:cs="Arial" w:eastAsia="Arial" w:hAnsi="Arial"/>
          <w:sz w:val="26"/>
          <w:szCs w:val="26"/>
          <w:color w:val="auto"/>
          <w:vertAlign w:val="superscript"/>
        </w:rPr>
        <w:t>(1)</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Net asset value per share at end of period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September</w:t>
            </w:r>
          </w:p>
        </w:tc>
        <w:tc>
          <w:tcPr>
            <w:tcW w:w="240" w:type="dxa"/>
            <w:vAlign w:val="bottom"/>
          </w:tcPr>
          <w:p>
            <w:pPr>
              <w:spacing w:after="0"/>
              <w:rPr>
                <w:sz w:val="19"/>
                <w:szCs w:val="19"/>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b w:val="1"/>
                <w:bCs w:val="1"/>
                <w:color w:val="auto"/>
                <w:w w:val="86"/>
              </w:rPr>
              <w:t>December</w:t>
            </w:r>
          </w:p>
        </w:tc>
      </w:tr>
      <w:tr>
        <w:trPr>
          <w:trHeight w:val="300"/>
        </w:trPr>
        <w:tc>
          <w:tcPr>
            <w:tcW w:w="100" w:type="dxa"/>
            <w:vAlign w:val="bottom"/>
          </w:tcPr>
          <w:p>
            <w:pPr>
              <w:spacing w:after="0"/>
              <w:rPr>
                <w:sz w:val="24"/>
                <w:szCs w:val="24"/>
                <w:color w:val="auto"/>
              </w:rPr>
            </w:pPr>
          </w:p>
        </w:tc>
        <w:tc>
          <w:tcPr>
            <w:tcW w:w="1140" w:type="dxa"/>
            <w:vAlign w:val="bottom"/>
          </w:tcPr>
          <w:p>
            <w:pPr>
              <w:jc w:val="right"/>
              <w:ind w:right="140"/>
              <w:spacing w:after="0"/>
              <w:rPr>
                <w:sz w:val="20"/>
                <w:szCs w:val="20"/>
                <w:color w:val="auto"/>
              </w:rPr>
            </w:pPr>
            <w:r>
              <w:rPr>
                <w:rFonts w:ascii="Arial" w:cs="Arial" w:eastAsia="Arial" w:hAnsi="Arial"/>
                <w:sz w:val="20"/>
                <w:szCs w:val="20"/>
                <w:b w:val="1"/>
                <w:bCs w:val="1"/>
                <w:color w:val="auto"/>
                <w:w w:val="95"/>
              </w:rPr>
              <w:t>March 31,</w:t>
            </w:r>
          </w:p>
        </w:tc>
        <w:tc>
          <w:tcPr>
            <w:tcW w:w="260" w:type="dxa"/>
            <w:vAlign w:val="bottom"/>
          </w:tcPr>
          <w:p>
            <w:pPr>
              <w:spacing w:after="0"/>
              <w:rPr>
                <w:sz w:val="24"/>
                <w:szCs w:val="24"/>
                <w:color w:val="auto"/>
              </w:rPr>
            </w:pPr>
          </w:p>
        </w:tc>
        <w:tc>
          <w:tcPr>
            <w:tcW w:w="1100" w:type="dxa"/>
            <w:vAlign w:val="bottom"/>
          </w:tcPr>
          <w:p>
            <w:pPr>
              <w:jc w:val="right"/>
              <w:ind w:right="220"/>
              <w:spacing w:after="0"/>
              <w:rPr>
                <w:sz w:val="20"/>
                <w:szCs w:val="20"/>
                <w:color w:val="auto"/>
              </w:rPr>
            </w:pPr>
            <w:r>
              <w:rPr>
                <w:rFonts w:ascii="Arial" w:cs="Arial" w:eastAsia="Arial" w:hAnsi="Arial"/>
                <w:sz w:val="20"/>
                <w:szCs w:val="20"/>
                <w:b w:val="1"/>
                <w:bCs w:val="1"/>
                <w:color w:val="auto"/>
                <w:w w:val="94"/>
              </w:rPr>
              <w:t>June 30,</w:t>
            </w:r>
          </w:p>
        </w:tc>
        <w:tc>
          <w:tcPr>
            <w:tcW w:w="360" w:type="dxa"/>
            <w:vAlign w:val="bottom"/>
          </w:tcPr>
          <w:p>
            <w:pPr>
              <w:spacing w:after="0"/>
              <w:rPr>
                <w:sz w:val="24"/>
                <w:szCs w:val="24"/>
                <w:color w:val="auto"/>
              </w:rPr>
            </w:pPr>
          </w:p>
        </w:tc>
        <w:tc>
          <w:tcPr>
            <w:tcW w:w="1020" w:type="dxa"/>
            <w:vAlign w:val="bottom"/>
          </w:tcPr>
          <w:p>
            <w:pPr>
              <w:jc w:val="right"/>
              <w:ind w:right="460"/>
              <w:spacing w:after="0"/>
              <w:rPr>
                <w:sz w:val="20"/>
                <w:szCs w:val="20"/>
                <w:color w:val="auto"/>
              </w:rPr>
            </w:pPr>
            <w:r>
              <w:rPr>
                <w:rFonts w:ascii="Arial" w:cs="Arial" w:eastAsia="Arial" w:hAnsi="Arial"/>
                <w:sz w:val="20"/>
                <w:szCs w:val="20"/>
                <w:b w:val="1"/>
                <w:bCs w:val="1"/>
                <w:color w:val="auto"/>
              </w:rPr>
              <w:t>30,</w:t>
            </w:r>
          </w:p>
        </w:tc>
        <w:tc>
          <w:tcPr>
            <w:tcW w:w="24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b w:val="1"/>
                <w:bCs w:val="1"/>
                <w:color w:val="auto"/>
              </w:rPr>
              <w:t>31,</w:t>
            </w:r>
          </w:p>
        </w:tc>
      </w:tr>
      <w:tr>
        <w:trPr>
          <w:trHeight w:val="300"/>
        </w:trPr>
        <w:tc>
          <w:tcPr>
            <w:tcW w:w="10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20"/>
                <w:szCs w:val="20"/>
                <w:b w:val="1"/>
                <w:bCs w:val="1"/>
                <w:color w:val="auto"/>
              </w:rPr>
              <w:t>2023</w:t>
            </w:r>
          </w:p>
        </w:tc>
        <w:tc>
          <w:tcPr>
            <w:tcW w:w="260" w:type="dxa"/>
            <w:vAlign w:val="bottom"/>
          </w:tcPr>
          <w:p>
            <w:pPr>
              <w:spacing w:after="0"/>
              <w:rPr>
                <w:sz w:val="24"/>
                <w:szCs w:val="24"/>
                <w:color w:val="auto"/>
              </w:rPr>
            </w:pPr>
          </w:p>
        </w:tc>
        <w:tc>
          <w:tcPr>
            <w:tcW w:w="1100" w:type="dxa"/>
            <w:vAlign w:val="bottom"/>
          </w:tcPr>
          <w:p>
            <w:pPr>
              <w:jc w:val="right"/>
              <w:ind w:right="380"/>
              <w:spacing w:after="0"/>
              <w:rPr>
                <w:sz w:val="20"/>
                <w:szCs w:val="20"/>
                <w:color w:val="auto"/>
              </w:rPr>
            </w:pPr>
            <w:r>
              <w:rPr>
                <w:rFonts w:ascii="Arial" w:cs="Arial" w:eastAsia="Arial" w:hAnsi="Arial"/>
                <w:sz w:val="20"/>
                <w:szCs w:val="20"/>
                <w:b w:val="1"/>
                <w:bCs w:val="1"/>
                <w:color w:val="auto"/>
              </w:rPr>
              <w:t>2023</w:t>
            </w:r>
          </w:p>
        </w:tc>
        <w:tc>
          <w:tcPr>
            <w:tcW w:w="36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b w:val="1"/>
                <w:bCs w:val="1"/>
                <w:color w:val="auto"/>
              </w:rPr>
              <w:t>2023</w:t>
            </w:r>
          </w:p>
        </w:tc>
        <w:tc>
          <w:tcPr>
            <w:tcW w:w="240" w:type="dxa"/>
            <w:vAlign w:val="bottom"/>
          </w:tcPr>
          <w:p>
            <w:pPr>
              <w:spacing w:after="0"/>
              <w:rPr>
                <w:sz w:val="24"/>
                <w:szCs w:val="24"/>
                <w:color w:val="auto"/>
              </w:rPr>
            </w:pPr>
          </w:p>
        </w:tc>
        <w:tc>
          <w:tcPr>
            <w:tcW w:w="1040" w:type="dxa"/>
            <w:vAlign w:val="bottom"/>
          </w:tcPr>
          <w:p>
            <w:pPr>
              <w:jc w:val="right"/>
              <w:ind w:right="280"/>
              <w:spacing w:after="0"/>
              <w:rPr>
                <w:sz w:val="20"/>
                <w:szCs w:val="20"/>
                <w:color w:val="auto"/>
              </w:rPr>
            </w:pPr>
            <w:r>
              <w:rPr>
                <w:rFonts w:ascii="Arial" w:cs="Arial" w:eastAsia="Arial" w:hAnsi="Arial"/>
                <w:sz w:val="20"/>
                <w:szCs w:val="20"/>
                <w:b w:val="1"/>
                <w:bCs w:val="1"/>
                <w:color w:val="auto"/>
              </w:rPr>
              <w:t>2023</w:t>
            </w:r>
          </w:p>
        </w:tc>
      </w:tr>
      <w:tr>
        <w:trPr>
          <w:trHeight w:val="310"/>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29,056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30,558</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34,185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36,311</w:t>
            </w:r>
          </w:p>
        </w:tc>
      </w:tr>
      <w:tr>
        <w:trPr>
          <w:trHeight w:val="300"/>
        </w:trPr>
        <w:tc>
          <w:tcPr>
            <w:tcW w:w="10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14,723</w:t>
            </w:r>
          </w:p>
        </w:tc>
        <w:tc>
          <w:tcPr>
            <w:tcW w:w="2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16,784</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16,660</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16,939</w:t>
            </w:r>
          </w:p>
        </w:tc>
      </w:tr>
      <w:tr>
        <w:trPr>
          <w:trHeight w:val="300"/>
        </w:trPr>
        <w:tc>
          <w:tcPr>
            <w:tcW w:w="10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15,489</w:t>
            </w:r>
          </w:p>
        </w:tc>
        <w:tc>
          <w:tcPr>
            <w:tcW w:w="2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10,915</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24,299</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26,430</w:t>
            </w:r>
          </w:p>
        </w:tc>
      </w:tr>
      <w:tr>
        <w:trPr>
          <w:trHeight w:val="300"/>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0.59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0.67</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0.63</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0.58</w:t>
            </w:r>
          </w:p>
        </w:tc>
      </w:tr>
      <w:tr>
        <w:trPr>
          <w:trHeight w:val="450"/>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0.62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0.44</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0.91</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0.91</w:t>
            </w:r>
          </w:p>
        </w:tc>
      </w:tr>
      <w:tr>
        <w:trPr>
          <w:trHeight w:val="450"/>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19.39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19.13</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19.28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-1313180</wp:posOffset>
            </wp:positionV>
            <wp:extent cx="5967730" cy="1149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7730" cy="1149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6" w:space="260"/>
            <w:col w:w="5500"/>
          </w:cols>
          <w:pgMar w:left="1254" w:top="1133" w:right="1246" w:bottom="0" w:gutter="0" w:footer="0" w:header="0"/>
          <w:type w:val="continuous"/>
        </w:sectPr>
      </w:pPr>
    </w:p>
    <w:p>
      <w:pPr>
        <w:spacing w:after="0" w:line="216" w:lineRule="exact"/>
        <w:rPr>
          <w:sz w:val="20"/>
          <w:szCs w:val="20"/>
          <w:color w:val="auto"/>
        </w:rPr>
      </w:pPr>
    </w:p>
    <w:p>
      <w:pPr>
        <w:ind w:left="286" w:right="80" w:hanging="286"/>
        <w:spacing w:after="0" w:line="303" w:lineRule="auto"/>
        <w:tabs>
          <w:tab w:leader="none" w:pos="28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Per share amounts are calculated using the weighted average shares outstanding for the period. Due to rounding, the sum of the quarters may not equal the annual calculation on a per share basis.</w:t>
      </w:r>
    </w:p>
    <w:p>
      <w:pPr>
        <w:spacing w:after="0" w:line="200" w:lineRule="exact"/>
        <w:rPr>
          <w:sz w:val="20"/>
          <w:szCs w:val="20"/>
          <w:color w:val="auto"/>
        </w:rPr>
      </w:pPr>
    </w:p>
    <w:p>
      <w:pPr>
        <w:spacing w:after="0" w:line="29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12. Income Taxes</w:t>
      </w:r>
    </w:p>
    <w:p>
      <w:pPr>
        <w:spacing w:after="0" w:line="170" w:lineRule="exact"/>
        <w:rPr>
          <w:sz w:val="20"/>
          <w:szCs w:val="20"/>
          <w:color w:val="auto"/>
        </w:rPr>
      </w:pPr>
    </w:p>
    <w:p>
      <w:pPr>
        <w:jc w:val="both"/>
        <w:ind w:left="6" w:right="60" w:firstLine="400"/>
        <w:spacing w:after="0" w:line="311" w:lineRule="auto"/>
        <w:rPr>
          <w:sz w:val="20"/>
          <w:szCs w:val="20"/>
          <w:color w:val="auto"/>
        </w:rPr>
      </w:pPr>
      <w:r>
        <w:rPr>
          <w:rFonts w:ascii="Arial" w:cs="Arial" w:eastAsia="Arial" w:hAnsi="Arial"/>
          <w:sz w:val="20"/>
          <w:szCs w:val="20"/>
          <w:color w:val="auto"/>
        </w:rPr>
        <w:t>The Company has elected to be treated as a RIC for U.S. federal income tax purposes, whereby the Company generally will not be subject to U.S. federal income tax on any net ordinary income or capital gains that the Company timely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on or before the later of (A) the 15th day of the 9th month following the close of the taxable year, or (B) the 15th day of the tenth month of the year, if the Company extends the due date for filing</w:t>
      </w:r>
    </w:p>
    <w:p>
      <w:pPr>
        <w:spacing w:after="0" w:line="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31</w:t>
      </w:r>
    </w:p>
    <w:p>
      <w:pPr>
        <w:sectPr>
          <w:pgSz w:w="11900" w:h="16838" w:orient="portrait"/>
          <w:cols w:equalWidth="0" w:num="1">
            <w:col w:w="9406"/>
          </w:cols>
          <w:pgMar w:left="1254" w:top="1133" w:right="1246" w:bottom="0" w:gutter="0" w:footer="0" w:header="0"/>
          <w:type w:val="continuous"/>
        </w:sectPr>
      </w:pPr>
    </w:p>
    <w:bookmarkStart w:id="321" w:name="page322"/>
    <w:bookmarkEnd w:id="321"/>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00" w:lineRule="exact"/>
        <w:rPr>
          <w:sz w:val="20"/>
          <w:szCs w:val="20"/>
          <w:color w:val="auto"/>
        </w:rPr>
      </w:pPr>
    </w:p>
    <w:p>
      <w:pPr>
        <w:jc w:val="both"/>
        <w:ind w:left="6" w:right="40"/>
        <w:spacing w:after="0" w:line="311" w:lineRule="auto"/>
        <w:rPr>
          <w:sz w:val="20"/>
          <w:szCs w:val="20"/>
          <w:color w:val="auto"/>
        </w:rPr>
      </w:pPr>
      <w:r>
        <w:rPr>
          <w:rFonts w:ascii="Arial" w:cs="Arial" w:eastAsia="Arial" w:hAnsi="Arial"/>
          <w:sz w:val="20"/>
          <w:szCs w:val="20"/>
          <w:color w:val="auto"/>
        </w:rPr>
        <w:t>its U.S. federal income tax return for the prior taxable year. Such taxable income carried forward to the next tax year will be subject to excise tax equal to 4% of the amount by which (i) 98% of the Company’s ordinary income recognized during a calendar year, (ii) the amount by which the Company’s capital gain exceeds its capital loss (adjusted for certain ordinary losses) for the one-year period ending October 31 in that calendar year, and (iii) certain undistributed amounts from previous years on which the Company paid no U.S. federal income tax.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196" w:lineRule="exact"/>
        <w:rPr>
          <w:sz w:val="20"/>
          <w:szCs w:val="20"/>
          <w:color w:val="auto"/>
        </w:rPr>
      </w:pPr>
    </w:p>
    <w:p>
      <w:pPr>
        <w:jc w:val="both"/>
        <w:ind w:left="6" w:right="20" w:firstLine="401"/>
        <w:spacing w:after="0" w:line="348" w:lineRule="auto"/>
        <w:rPr>
          <w:sz w:val="20"/>
          <w:szCs w:val="20"/>
          <w:color w:val="auto"/>
        </w:rPr>
      </w:pPr>
      <w:r>
        <w:rPr>
          <w:rFonts w:ascii="Arial" w:cs="Arial" w:eastAsia="Arial" w:hAnsi="Arial"/>
          <w:sz w:val="18"/>
          <w:szCs w:val="18"/>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U.S. federal income tax purposes in order to comply with the “source-of-income” requirements contained in the RIC tax provisions of subchapter M of the Code. The Taxable Subsidiaries are not consolidated with the Company for U.S. federal income tax purposes, and each Taxable Subsidiary is subject to U.S. federal income tax. The Taxable Subsidiaries are taxed as corporations and do not intend to qualify as a RIC. As corporations, the Taxable Subsidiaries are obligated to pay U.S. federal, state and local income tax on taxable income, as applicable. Income earned and gains realized on the investment or investments held by the Taxable Subsidiary are subject to U.S. federal income tax imposed at corporate rates.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2025, 2024, and 2023, the Taxable Subsidiaries were subject to a 21% U.S. federal income tax rate.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2025, 2024, and 2023, income tax expense at the Taxable Subsidiaries was $4,528, $2,330, and $1,242, respectively.</w:t>
      </w:r>
    </w:p>
    <w:p>
      <w:pPr>
        <w:spacing w:after="0" w:line="177" w:lineRule="exact"/>
        <w:rPr>
          <w:sz w:val="20"/>
          <w:szCs w:val="20"/>
          <w:color w:val="auto"/>
        </w:rPr>
      </w:pPr>
    </w:p>
    <w:p>
      <w:pPr>
        <w:jc w:val="both"/>
        <w:ind w:left="6" w:right="20" w:firstLine="400"/>
        <w:spacing w:after="0" w:line="302" w:lineRule="auto"/>
        <w:rPr>
          <w:sz w:val="20"/>
          <w:szCs w:val="20"/>
          <w:color w:val="auto"/>
        </w:rPr>
      </w:pPr>
      <w:r>
        <w:rPr>
          <w:rFonts w:ascii="Arial" w:cs="Arial" w:eastAsia="Arial" w:hAnsi="Arial"/>
          <w:sz w:val="20"/>
          <w:szCs w:val="20"/>
          <w:color w:val="auto"/>
        </w:rPr>
        <w:t>The following table is a reconciliation of the federal and state income taxes paid, net of refunds received, for the years ended December 31, 2025, 2024, and 2023.</w:t>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24"/>
                <w:szCs w:val="24"/>
                <w:color w:val="auto"/>
                <w:vertAlign w:val="superscript"/>
              </w:rPr>
              <w:t>(1)</w:t>
            </w:r>
          </w:p>
        </w:tc>
        <w:tc>
          <w:tcPr>
            <w:tcW w:w="23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4,703</w:t>
            </w:r>
          </w:p>
        </w:tc>
        <w:tc>
          <w:tcPr>
            <w:tcW w:w="1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3,117</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24"/>
                <w:szCs w:val="24"/>
                <w:color w:val="auto"/>
                <w:vertAlign w:val="superscript"/>
              </w:rPr>
              <w:t>(2)</w:t>
            </w:r>
          </w:p>
        </w:tc>
        <w:tc>
          <w:tcPr>
            <w:tcW w:w="238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(141)</w:t>
            </w:r>
          </w:p>
        </w:tc>
        <w:tc>
          <w:tcPr>
            <w:tcW w:w="120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180</w:t>
            </w:r>
          </w:p>
        </w:tc>
        <w:tc>
          <w:tcPr>
            <w:tcW w:w="62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0"/>
        </w:trPr>
        <w:tc>
          <w:tcPr>
            <w:tcW w:w="2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4,562</w:t>
            </w:r>
          </w:p>
        </w:tc>
        <w:tc>
          <w:tcPr>
            <w:tcW w:w="1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3,297</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53"/>
        </w:trPr>
        <w:tc>
          <w:tcPr>
            <w:tcW w:w="2200" w:type="dxa"/>
            <w:vAlign w:val="bottom"/>
            <w:vMerge w:val="continue"/>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2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-661670</wp:posOffset>
            </wp:positionV>
            <wp:extent cx="3630295" cy="285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30295" cy="285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-233680</wp:posOffset>
            </wp:positionV>
            <wp:extent cx="363029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630295" cy="635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-27940</wp:posOffset>
            </wp:positionV>
            <wp:extent cx="3689985" cy="285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89985" cy="28575"/>
                    </a:xfrm>
                    <a:prstGeom prst="rect">
                      <a:avLst/>
                    </a:prstGeom>
                    <a:noFill/>
                  </pic:spPr>
                </pic:pic>
              </a:graphicData>
            </a:graphic>
          </wp:anchor>
        </w:drawing>
      </w:r>
    </w:p>
    <w:p>
      <w:pPr>
        <w:spacing w:after="0" w:line="341" w:lineRule="exact"/>
        <w:rPr>
          <w:sz w:val="20"/>
          <w:szCs w:val="20"/>
          <w:color w:val="auto"/>
        </w:rPr>
      </w:pPr>
    </w:p>
    <w:p>
      <w:pPr>
        <w:ind w:left="426" w:right="280" w:hanging="426"/>
        <w:spacing w:after="0" w:line="309" w:lineRule="auto"/>
        <w:tabs>
          <w:tab w:leader="none" w:pos="42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Federal taxes include excise tax paid by the Company related to undistributed taxable income and federal incomes taxed paid by the Taxable Subsidiaries. For the years ended December 31, 2025, 2024, and 2023, the Company paid excise taxes of $1,775, $925, and $1,350, respectively. For the year ended December 31, 2023, the Company paid federal income tax on deemed distribution of long term capital gains of $8,568.</w:t>
      </w:r>
    </w:p>
    <w:p>
      <w:pPr>
        <w:spacing w:after="0" w:line="12" w:lineRule="exact"/>
        <w:rPr>
          <w:rFonts w:ascii="Arial" w:cs="Arial" w:eastAsia="Arial" w:hAnsi="Arial"/>
          <w:sz w:val="16"/>
          <w:szCs w:val="16"/>
          <w:color w:val="auto"/>
        </w:rPr>
      </w:pPr>
    </w:p>
    <w:p>
      <w:pPr>
        <w:ind w:left="426" w:right="140" w:hanging="426"/>
        <w:spacing w:after="0" w:line="303" w:lineRule="auto"/>
        <w:tabs>
          <w:tab w:leader="none" w:pos="42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There were no jurisdictions for which the annual income taxes paid (net of refunds received) represent 5% or more of the Company's total annual income taxes paid (net of refunds received).</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31</w:t>
      </w:r>
    </w:p>
    <w:p>
      <w:pPr>
        <w:sectPr>
          <w:pgSz w:w="11900" w:h="16838" w:orient="portrait"/>
          <w:cols w:equalWidth="0" w:num="1">
            <w:col w:w="9406"/>
          </w:cols>
          <w:pgMar w:left="1254" w:top="1440" w:right="1246" w:bottom="0" w:gutter="0" w:footer="0" w:header="0"/>
          <w:type w:val="continuous"/>
        </w:sectPr>
      </w:pPr>
    </w:p>
    <w:bookmarkStart w:id="322" w:name="page323"/>
    <w:bookmarkEnd w:id="322"/>
    <w:p>
      <w:pPr>
        <w:ind w:left="400"/>
        <w:spacing w:after="0"/>
        <w:tabs>
          <w:tab w:leader="none" w:pos="2140" w:val="left"/>
          <w:tab w:leader="none" w:pos="4380" w:val="left"/>
          <w:tab w:leader="none" w:pos="6220" w:val="left"/>
          <w:tab w:leader="none" w:pos="782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following</w:t>
      </w:r>
      <w:r>
        <w:rPr>
          <w:sz w:val="20"/>
          <w:szCs w:val="20"/>
          <w:color w:val="auto"/>
        </w:rPr>
        <w:tab/>
      </w:r>
      <w:r>
        <w:rPr>
          <w:rFonts w:ascii="Arial" w:cs="Arial" w:eastAsia="Arial" w:hAnsi="Arial"/>
          <w:sz w:val="20"/>
          <w:szCs w:val="20"/>
          <w:color w:val="auto"/>
        </w:rPr>
        <w:t>table</w:t>
      </w:r>
      <w:r>
        <w:rPr>
          <w:sz w:val="20"/>
          <w:szCs w:val="20"/>
          <w:color w:val="auto"/>
        </w:rPr>
        <w:tab/>
      </w:r>
      <w:r>
        <w:rPr>
          <w:rFonts w:ascii="Arial" w:cs="Arial" w:eastAsia="Arial" w:hAnsi="Arial"/>
          <w:sz w:val="20"/>
          <w:szCs w:val="20"/>
          <w:color w:val="auto"/>
        </w:rPr>
        <w:t>is</w:t>
      </w:r>
      <w:r>
        <w:rPr>
          <w:sz w:val="20"/>
          <w:szCs w:val="20"/>
          <w:color w:val="auto"/>
        </w:rPr>
        <w:tab/>
      </w:r>
      <w:r>
        <w:rPr>
          <w:rFonts w:ascii="Arial" w:cs="Arial" w:eastAsia="Arial" w:hAnsi="Arial"/>
          <w:sz w:val="17"/>
          <w:szCs w:val="17"/>
          <w:color w:val="auto"/>
        </w:rPr>
        <w:t>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increase in net assets resulting from operations on the consolidated statements of operations to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taxable income and to total distributions declared to common stockholders for the years ended December 31, 2025,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2024, and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 xml:space="preserve">2025 </w:t>
            </w:r>
            <w:r>
              <w:rPr>
                <w:rFonts w:ascii="Arial" w:cs="Arial" w:eastAsia="Arial" w:hAnsi="Arial"/>
                <w:sz w:val="24"/>
                <w:szCs w:val="24"/>
                <w:b w:val="1"/>
                <w:bCs w:val="1"/>
                <w:color w:val="auto"/>
                <w:w w:val="89"/>
                <w:vertAlign w:val="superscript"/>
              </w:rPr>
              <w:t>(1)</w:t>
            </w:r>
          </w:p>
        </w:tc>
        <w:tc>
          <w:tcPr>
            <w:tcW w:w="38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88"/>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82,402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78,292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77,133</w:t>
            </w: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6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(10,110)</w:t>
            </w:r>
          </w:p>
        </w:tc>
        <w:tc>
          <w:tcPr>
            <w:tcW w:w="3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5,928</w:t>
            </w: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book income and tax income differences</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7,092</w:t>
            </w: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4,789</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0"/>
                <w:szCs w:val="20"/>
                <w:color w:val="auto"/>
              </w:rPr>
            </w:pPr>
            <w:r>
              <w:rPr>
                <w:rFonts w:ascii="Arial" w:cs="Arial" w:eastAsia="Arial" w:hAnsi="Arial"/>
                <w:sz w:val="18"/>
                <w:szCs w:val="18"/>
                <w:color w:val="auto"/>
              </w:rPr>
              <w:t>Temporary book income and tax income differences</w:t>
            </w:r>
          </w:p>
        </w:tc>
        <w:tc>
          <w:tcPr>
            <w:tcW w:w="26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(8,224)</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(5,803)</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loss carry forward (utilization)</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0"/>
                <w:szCs w:val="20"/>
                <w:color w:val="auto"/>
              </w:rPr>
            </w:pPr>
            <w:r>
              <w:rPr>
                <w:rFonts w:ascii="Arial" w:cs="Arial" w:eastAsia="Arial" w:hAnsi="Arial"/>
                <w:sz w:val="18"/>
                <w:szCs w:val="18"/>
                <w:color w:val="auto"/>
              </w:rPr>
              <w:t>Taxable income</w:t>
            </w:r>
          </w:p>
        </w:tc>
        <w:tc>
          <w:tcPr>
            <w:tcW w:w="2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71,160</w:t>
            </w:r>
          </w:p>
        </w:tc>
        <w:tc>
          <w:tcPr>
            <w:tcW w:w="3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83,206</w:t>
            </w: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81,965</w:t>
            </w: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2"/>
              </w:rPr>
              <w:t>Taxable income earned in prior year and carried forward for distribution in</w:t>
            </w:r>
          </w:p>
        </w:tc>
        <w:tc>
          <w:tcPr>
            <w:tcW w:w="2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44,812</w:t>
            </w:r>
          </w:p>
        </w:tc>
        <w:tc>
          <w:tcPr>
            <w:tcW w:w="38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41,570</w:t>
            </w:r>
          </w:p>
        </w:tc>
        <w:tc>
          <w:tcPr>
            <w:tcW w:w="3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38,530</w:t>
            </w:r>
          </w:p>
        </w:tc>
        <w:tc>
          <w:tcPr>
            <w:tcW w:w="0" w:type="dxa"/>
            <w:vAlign w:val="bottom"/>
          </w:tcPr>
          <w:p>
            <w:pPr>
              <w:spacing w:after="0"/>
              <w:rPr>
                <w:sz w:val="1"/>
                <w:szCs w:val="1"/>
                <w:color w:val="auto"/>
              </w:rPr>
            </w:pPr>
          </w:p>
        </w:tc>
      </w:tr>
      <w:tr>
        <w:trPr>
          <w:trHeight w:val="142"/>
        </w:trPr>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current year</w:t>
            </w:r>
          </w:p>
        </w:tc>
        <w:tc>
          <w:tcPr>
            <w:tcW w:w="26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46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0"/>
                <w:szCs w:val="20"/>
                <w:color w:val="auto"/>
              </w:rPr>
            </w:pPr>
            <w:r>
              <w:rPr>
                <w:rFonts w:ascii="Arial" w:cs="Arial" w:eastAsia="Arial" w:hAnsi="Arial"/>
                <w:sz w:val="18"/>
                <w:szCs w:val="18"/>
                <w:color w:val="auto"/>
              </w:rPr>
              <w:t>Taxable Subsidiaries liquidating distributions</w:t>
            </w:r>
          </w:p>
        </w:tc>
        <w:tc>
          <w:tcPr>
            <w:tcW w:w="2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distribution of long term capital gains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Arial" w:cs="Arial" w:eastAsia="Arial" w:hAnsi="Arial"/>
                <w:sz w:val="18"/>
                <w:szCs w:val="18"/>
                <w:color w:val="auto"/>
              </w:rPr>
              <w:t>Taxable income earned in current period and carried forward for</w:t>
            </w:r>
          </w:p>
        </w:tc>
        <w:tc>
          <w:tcPr>
            <w:tcW w:w="260" w:type="dxa"/>
            <w:vAlign w:val="bottom"/>
          </w:tcPr>
          <w:p>
            <w:pPr>
              <w:spacing w:after="0"/>
              <w:rPr>
                <w:sz w:val="20"/>
                <w:szCs w:val="20"/>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(38,491)</w:t>
            </w:r>
          </w:p>
        </w:tc>
        <w:tc>
          <w:tcPr>
            <w:tcW w:w="380" w:type="dxa"/>
            <w:vAlign w:val="bottom"/>
          </w:tcPr>
          <w:p>
            <w:pPr>
              <w:spacing w:after="0"/>
              <w:rPr>
                <w:sz w:val="20"/>
                <w:szCs w:val="20"/>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color w:val="auto"/>
              </w:rPr>
              <w:t>(44,812)</w:t>
            </w:r>
          </w:p>
        </w:tc>
        <w:tc>
          <w:tcPr>
            <w:tcW w:w="3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(41,570)</w:t>
            </w:r>
          </w:p>
        </w:tc>
        <w:tc>
          <w:tcPr>
            <w:tcW w:w="0" w:type="dxa"/>
            <w:vAlign w:val="bottom"/>
          </w:tcPr>
          <w:p>
            <w:pPr>
              <w:spacing w:after="0"/>
              <w:rPr>
                <w:sz w:val="1"/>
                <w:szCs w:val="1"/>
                <w:color w:val="auto"/>
              </w:rPr>
            </w:pPr>
          </w:p>
        </w:tc>
      </w:tr>
      <w:tr>
        <w:trPr>
          <w:trHeight w:val="137"/>
        </w:trPr>
        <w:tc>
          <w:tcPr>
            <w:tcW w:w="5460" w:type="dxa"/>
            <w:vAlign w:val="bottom"/>
            <w:vMerge w:val="restart"/>
          </w:tcPr>
          <w:p>
            <w:pPr>
              <w:spacing w:after="0"/>
              <w:rPr>
                <w:sz w:val="20"/>
                <w:szCs w:val="20"/>
                <w:color w:val="auto"/>
              </w:rPr>
            </w:pPr>
            <w:r>
              <w:rPr>
                <w:rFonts w:ascii="Arial" w:cs="Arial" w:eastAsia="Arial" w:hAnsi="Arial"/>
                <w:sz w:val="18"/>
                <w:szCs w:val="18"/>
                <w:color w:val="auto"/>
              </w:rPr>
              <w:t>distribution in following year</w:t>
            </w: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common stockholders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77,481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79,964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78,930</w:t>
            </w:r>
          </w:p>
        </w:tc>
        <w:tc>
          <w:tcPr>
            <w:tcW w:w="0" w:type="dxa"/>
            <w:vAlign w:val="bottom"/>
          </w:tcPr>
          <w:p>
            <w:pPr>
              <w:spacing w:after="0"/>
              <w:rPr>
                <w:sz w:val="1"/>
                <w:szCs w:val="1"/>
                <w:color w:val="auto"/>
              </w:rPr>
            </w:pPr>
          </w:p>
        </w:tc>
      </w:tr>
      <w:tr>
        <w:trPr>
          <w:trHeight w:val="74"/>
        </w:trPr>
        <w:tc>
          <w:tcPr>
            <w:tcW w:w="5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-2425065</wp:posOffset>
            </wp:positionV>
            <wp:extent cx="2390140" cy="285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90140" cy="2857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-1463040</wp:posOffset>
            </wp:positionV>
            <wp:extent cx="244983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449830" cy="635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-224790</wp:posOffset>
            </wp:positionV>
            <wp:extent cx="239014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390140" cy="635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-27940</wp:posOffset>
            </wp:positionV>
            <wp:extent cx="2449830" cy="285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49830" cy="28575"/>
                    </a:xfrm>
                    <a:prstGeom prst="rect">
                      <a:avLst/>
                    </a:prstGeom>
                    <a:noFill/>
                  </pic:spPr>
                </pic:pic>
              </a:graphicData>
            </a:graphic>
          </wp:anchor>
        </w:drawing>
      </w:r>
    </w:p>
    <w:p>
      <w:pPr>
        <w:spacing w:after="0" w:line="341" w:lineRule="exact"/>
        <w:rPr>
          <w:sz w:val="20"/>
          <w:szCs w:val="20"/>
          <w:color w:val="auto"/>
        </w:rPr>
      </w:pPr>
    </w:p>
    <w:p>
      <w:pPr>
        <w:ind w:left="380" w:right="280" w:hanging="292"/>
        <w:spacing w:after="0" w:line="308" w:lineRule="auto"/>
        <w:tabs>
          <w:tab w:leader="none" w:pos="3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Company’s taxable income for 2025 is an estimate and will not be finalized until the Company files its 2025 federal income tax returns in 2026. Therefore, the Company’s actual taxable income, and the Company’s actual taxable income that was earned in 2025 and carried forward for distribution in 2026, may be different than this estimate.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31</w:t>
      </w:r>
    </w:p>
    <w:p>
      <w:pPr>
        <w:sectPr>
          <w:pgSz w:w="11900" w:h="16838" w:orient="portrait"/>
          <w:cols w:equalWidth="0" w:num="1">
            <w:col w:w="9400"/>
          </w:cols>
          <w:pgMar w:left="1260" w:top="1163" w:right="1246" w:bottom="0" w:gutter="0" w:footer="0" w:header="0"/>
          <w:type w:val="continuous"/>
        </w:sectPr>
      </w:pPr>
    </w:p>
    <w:bookmarkStart w:id="323" w:name="page324"/>
    <w:bookmarkEnd w:id="323"/>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60" w:lineRule="exact"/>
        <w:rPr>
          <w:sz w:val="20"/>
          <w:szCs w:val="20"/>
          <w:color w:val="auto"/>
        </w:rPr>
      </w:pPr>
    </w:p>
    <w:p>
      <w:pPr>
        <w:jc w:val="both"/>
        <w:ind w:left="6" w:right="40" w:firstLine="400"/>
        <w:spacing w:after="0" w:line="307" w:lineRule="auto"/>
        <w:rPr>
          <w:sz w:val="20"/>
          <w:szCs w:val="20"/>
          <w:color w:val="auto"/>
        </w:rPr>
      </w:pPr>
      <w:r>
        <w:rPr>
          <w:rFonts w:ascii="Arial" w:cs="Arial" w:eastAsia="Arial" w:hAnsi="Arial"/>
          <w:sz w:val="20"/>
          <w:szCs w:val="20"/>
          <w:color w:val="auto"/>
        </w:rPr>
        <w:t>For U.S. federal income tax purposes, distributions paid to stockholders are reported as ordinary income, long term capital gains and return of capital, or a combination thereof. The tax character of distributions paid for the years ended December 31, 2025, 2024, and 2023 was as follows:</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17"/>
                <w:szCs w:val="17"/>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17"/>
                <w:szCs w:val="17"/>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81"/>
        </w:trPr>
        <w:tc>
          <w:tcPr>
            <w:tcW w:w="4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8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72,657</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69,048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w:t>
            </w: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Long term capital gains</w:t>
            </w:r>
          </w:p>
        </w:tc>
        <w:tc>
          <w:tcPr>
            <w:tcW w:w="14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4,824</w:t>
            </w:r>
          </w:p>
        </w:tc>
        <w:tc>
          <w:tcPr>
            <w:tcW w:w="40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10,916</w:t>
            </w:r>
          </w:p>
        </w:tc>
        <w:tc>
          <w:tcPr>
            <w:tcW w:w="4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13,660</w:t>
            </w:r>
          </w:p>
        </w:tc>
      </w:tr>
      <w:tr>
        <w:trPr>
          <w:trHeight w:val="45"/>
        </w:trPr>
        <w:tc>
          <w:tcPr>
            <w:tcW w:w="4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4360" w:type="dxa"/>
            <w:vAlign w:val="bottom"/>
          </w:tcPr>
          <w:p>
            <w:pPr>
              <w:spacing w:after="0"/>
              <w:rPr>
                <w:sz w:val="20"/>
                <w:szCs w:val="20"/>
                <w:color w:val="auto"/>
              </w:rPr>
            </w:pPr>
            <w:r>
              <w:rPr>
                <w:rFonts w:ascii="Arial" w:cs="Arial" w:eastAsia="Arial" w:hAnsi="Arial"/>
                <w:sz w:val="18"/>
                <w:szCs w:val="18"/>
                <w:color w:val="auto"/>
              </w:rPr>
              <w:t>Total distributions to common stockholders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77,481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79,964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-758825</wp:posOffset>
            </wp:positionV>
            <wp:extent cx="2356485" cy="28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356485" cy="2857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-177800</wp:posOffset>
            </wp:positionV>
            <wp:extent cx="2415540"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415540" cy="635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18415</wp:posOffset>
            </wp:positionV>
            <wp:extent cx="2356485" cy="28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356485" cy="28575"/>
                    </a:xfrm>
                    <a:prstGeom prst="rect">
                      <a:avLst/>
                    </a:prstGeom>
                    <a:noFill/>
                  </pic:spPr>
                </pic:pic>
              </a:graphicData>
            </a:graphic>
          </wp:anchor>
        </w:drawing>
      </w:r>
    </w:p>
    <w:p>
      <w:pPr>
        <w:spacing w:after="0" w:line="273" w:lineRule="exact"/>
        <w:rPr>
          <w:sz w:val="20"/>
          <w:szCs w:val="20"/>
          <w:color w:val="auto"/>
        </w:rPr>
      </w:pPr>
    </w:p>
    <w:p>
      <w:pPr>
        <w:jc w:val="both"/>
        <w:ind w:left="6" w:right="60" w:firstLine="401"/>
        <w:spacing w:after="0" w:line="311" w:lineRule="auto"/>
        <w:rPr>
          <w:sz w:val="20"/>
          <w:szCs w:val="20"/>
          <w:color w:val="auto"/>
        </w:rPr>
      </w:pPr>
      <w:r>
        <w:rPr>
          <w:rFonts w:ascii="Arial" w:cs="Arial" w:eastAsia="Arial" w:hAnsi="Arial"/>
          <w:sz w:val="20"/>
          <w:szCs w:val="20"/>
          <w:color w:val="auto"/>
        </w:rPr>
        <w:t>The Company estimates that it generated undistributed ordinary taxable income of approximately $34,890, or $0.92 per share, and undistributed long term capital gains of $3,594, or $0.09 per share, during 2025 that will be carried forward and distributed in 2026. Ordinary dividend distributions from a RIC do not qualify for the preferential U.S.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92" w:lineRule="exact"/>
        <w:rPr>
          <w:sz w:val="20"/>
          <w:szCs w:val="20"/>
          <w:color w:val="auto"/>
        </w:rPr>
      </w:pPr>
    </w:p>
    <w:p>
      <w:pPr>
        <w:jc w:val="both"/>
        <w:ind w:left="6" w:right="60" w:firstLine="401"/>
        <w:spacing w:after="0" w:line="330" w:lineRule="auto"/>
        <w:rPr>
          <w:sz w:val="20"/>
          <w:szCs w:val="20"/>
          <w:color w:val="auto"/>
        </w:rPr>
      </w:pPr>
      <w:r>
        <w:rPr>
          <w:rFonts w:ascii="Arial" w:cs="Arial" w:eastAsia="Arial" w:hAnsi="Arial"/>
          <w:sz w:val="19"/>
          <w:szCs w:val="19"/>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years ended December 31, 2025, 2024, and 2023, the Company did not elect to designate retained net capital gains as a deemed distribution.</w:t>
      </w:r>
    </w:p>
    <w:p>
      <w:pPr>
        <w:spacing w:after="0" w:line="178" w:lineRule="exact"/>
        <w:rPr>
          <w:sz w:val="20"/>
          <w:szCs w:val="20"/>
          <w:color w:val="auto"/>
        </w:rPr>
      </w:pPr>
    </w:p>
    <w:p>
      <w:pPr>
        <w:ind w:left="406"/>
        <w:spacing w:after="0"/>
        <w:rPr>
          <w:sz w:val="20"/>
          <w:szCs w:val="20"/>
          <w:color w:val="auto"/>
        </w:rPr>
      </w:pPr>
      <w:r>
        <w:rPr>
          <w:rFonts w:ascii="Arial" w:cs="Arial" w:eastAsia="Arial" w:hAnsi="Arial"/>
          <w:sz w:val="19"/>
          <w:szCs w:val="19"/>
          <w:color w:val="auto"/>
        </w:rPr>
        <w:t>As of December 31, 2025 and 2024, the tax basis components of distributable earnings were as follows: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3260" w:type="dxa"/>
            <w:vAlign w:val="bottom"/>
            <w:gridSpan w:val="2"/>
          </w:tcPr>
          <w:p>
            <w:pPr>
              <w:ind w:left="196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335"/>
        </w:trPr>
        <w:tc>
          <w:tcPr>
            <w:tcW w:w="4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 xml:space="preserve">2025 </w:t>
            </w:r>
            <w:r>
              <w:rPr>
                <w:rFonts w:ascii="Arial" w:cs="Arial" w:eastAsia="Arial" w:hAnsi="Arial"/>
                <w:sz w:val="24"/>
                <w:szCs w:val="24"/>
                <w:b w:val="1"/>
                <w:bCs w:val="1"/>
                <w:color w:val="auto"/>
                <w:w w:val="95"/>
                <w:vertAlign w:val="superscript"/>
              </w:rPr>
              <w:t>(1)</w:t>
            </w:r>
          </w:p>
        </w:tc>
        <w:tc>
          <w:tcPr>
            <w:tcW w:w="48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72"/>
        </w:trPr>
        <w:tc>
          <w:tcPr>
            <w:tcW w:w="4660" w:type="dxa"/>
            <w:vAlign w:val="bottom"/>
          </w:tcPr>
          <w:p>
            <w:pPr>
              <w:spacing w:after="0"/>
              <w:rPr>
                <w:sz w:val="20"/>
                <w:szCs w:val="20"/>
                <w:color w:val="auto"/>
              </w:rPr>
            </w:pPr>
            <w:r>
              <w:rPr>
                <w:rFonts w:ascii="Arial" w:cs="Arial" w:eastAsia="Arial" w:hAnsi="Arial"/>
                <w:sz w:val="18"/>
                <w:szCs w:val="18"/>
                <w:color w:val="auto"/>
              </w:rPr>
              <w:t>Undistributed ordinary income</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34,890</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43,037</w:t>
            </w:r>
          </w:p>
        </w:tc>
      </w:tr>
      <w:tr>
        <w:trPr>
          <w:trHeight w:val="45"/>
        </w:trPr>
        <w:tc>
          <w:tcPr>
            <w:tcW w:w="4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long term capital gains</w:t>
            </w:r>
          </w:p>
        </w:tc>
        <w:tc>
          <w:tcPr>
            <w:tcW w:w="2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3,594</w:t>
            </w: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r>
      <w:tr>
        <w:trPr>
          <w:trHeight w:val="255"/>
        </w:trPr>
        <w:tc>
          <w:tcPr>
            <w:tcW w:w="4660" w:type="dxa"/>
            <w:vAlign w:val="bottom"/>
          </w:tcPr>
          <w:p>
            <w:pPr>
              <w:spacing w:after="0"/>
              <w:rPr>
                <w:sz w:val="20"/>
                <w:szCs w:val="20"/>
                <w:color w:val="auto"/>
              </w:rPr>
            </w:pPr>
            <w:r>
              <w:rPr>
                <w:rFonts w:ascii="Arial" w:cs="Arial" w:eastAsia="Arial" w:hAnsi="Arial"/>
                <w:sz w:val="18"/>
                <w:szCs w:val="18"/>
                <w:color w:val="auto"/>
              </w:rPr>
              <w:t>Unrealized appreciation (depreciation)</w:t>
            </w:r>
          </w:p>
        </w:tc>
        <w:tc>
          <w:tcPr>
            <w:tcW w:w="2120" w:type="dxa"/>
            <w:vAlign w:val="bottom"/>
          </w:tcPr>
          <w:p>
            <w:pPr>
              <w:spacing w:after="0"/>
              <w:rPr>
                <w:sz w:val="22"/>
                <w:szCs w:val="22"/>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25,461</w:t>
            </w:r>
          </w:p>
        </w:tc>
        <w:tc>
          <w:tcPr>
            <w:tcW w:w="4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15,351</w:t>
            </w:r>
          </w:p>
        </w:tc>
      </w:tr>
      <w:tr>
        <w:trPr>
          <w:trHeight w:val="45"/>
        </w:trPr>
        <w:tc>
          <w:tcPr>
            <w:tcW w:w="4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Temporary book/tax differences</w:t>
            </w:r>
          </w:p>
        </w:tc>
        <w:tc>
          <w:tcPr>
            <w:tcW w:w="2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36,540</w:t>
            </w: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28,312</w:t>
            </w:r>
          </w:p>
        </w:tc>
      </w:tr>
      <w:tr>
        <w:trPr>
          <w:trHeight w:val="239"/>
        </w:trPr>
        <w:tc>
          <w:tcPr>
            <w:tcW w:w="46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212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
        </w:trPr>
        <w:tc>
          <w:tcPr>
            <w:tcW w:w="4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1"/>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1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100,485</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88,473</w:t>
            </w:r>
          </w:p>
        </w:tc>
      </w:tr>
      <w:tr>
        <w:trPr>
          <w:trHeight w:val="74"/>
        </w:trPr>
        <w:tc>
          <w:tcPr>
            <w:tcW w:w="466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-1186815</wp:posOffset>
            </wp:positionV>
            <wp:extent cx="1737360" cy="2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37360" cy="2857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-224790</wp:posOffset>
            </wp:positionV>
            <wp:extent cx="173736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37360" cy="63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-27940</wp:posOffset>
            </wp:positionV>
            <wp:extent cx="1796415" cy="2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96415"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26" w:right="240" w:hanging="426"/>
        <w:spacing w:after="0" w:line="339" w:lineRule="auto"/>
        <w:tabs>
          <w:tab w:leader="none" w:pos="42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Company’s distributable earnings for 2025 is an estimate and will not be finally determined until the Company files its 2025 federal income tax returns in 2026. Therefore, the Company’s actual distributable earnings may be different than this estimate.</w:t>
      </w:r>
    </w:p>
    <w:p>
      <w:pPr>
        <w:spacing w:after="0" w:line="181" w:lineRule="exact"/>
        <w:rPr>
          <w:sz w:val="20"/>
          <w:szCs w:val="20"/>
          <w:color w:val="auto"/>
        </w:rPr>
      </w:pPr>
    </w:p>
    <w:p>
      <w:pPr>
        <w:ind w:left="6" w:right="120" w:firstLine="392"/>
        <w:spacing w:after="0" w:line="302" w:lineRule="auto"/>
        <w:rPr>
          <w:sz w:val="20"/>
          <w:szCs w:val="20"/>
          <w:color w:val="auto"/>
        </w:rPr>
      </w:pPr>
      <w:r>
        <w:rPr>
          <w:rFonts w:ascii="Arial" w:cs="Arial" w:eastAsia="Arial" w:hAnsi="Arial"/>
          <w:sz w:val="20"/>
          <w:szCs w:val="20"/>
          <w:color w:val="auto"/>
        </w:rPr>
        <w:t>For federal income tax purposes, the cost of investments owned at December 31, 2025 and 2024 was approximately $1,265,545 and $1,045,066, respectively.</w:t>
      </w:r>
    </w:p>
    <w:p>
      <w:pPr>
        <w:spacing w:after="0" w:line="219"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700" w:type="dxa"/>
            <w:vAlign w:val="bottom"/>
            <w:gridSpan w:val="2"/>
          </w:tcPr>
          <w:p>
            <w:pPr>
              <w:ind w:left="134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335"/>
        </w:trPr>
        <w:tc>
          <w:tcPr>
            <w:tcW w:w="5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w w:val="95"/>
              </w:rPr>
              <w:t xml:space="preserve">2025 </w:t>
            </w:r>
            <w:r>
              <w:rPr>
                <w:rFonts w:ascii="Arial" w:cs="Arial" w:eastAsia="Arial" w:hAnsi="Arial"/>
                <w:sz w:val="24"/>
                <w:szCs w:val="24"/>
                <w:b w:val="1"/>
                <w:bCs w:val="1"/>
                <w:color w:val="auto"/>
                <w:w w:val="95"/>
                <w:vertAlign w:val="superscript"/>
              </w:rPr>
              <w:t>(1)</w:t>
            </w:r>
          </w:p>
        </w:tc>
        <w:tc>
          <w:tcPr>
            <w:tcW w:w="40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272"/>
        </w:trPr>
        <w:tc>
          <w:tcPr>
            <w:tcW w:w="5300" w:type="dxa"/>
            <w:vAlign w:val="bottom"/>
          </w:tcPr>
          <w:p>
            <w:pPr>
              <w:spacing w:after="0"/>
              <w:rPr>
                <w:sz w:val="20"/>
                <w:szCs w:val="20"/>
                <w:color w:val="auto"/>
              </w:rPr>
            </w:pPr>
            <w:r>
              <w:rPr>
                <w:rFonts w:ascii="Arial" w:cs="Arial" w:eastAsia="Arial" w:hAnsi="Arial"/>
                <w:sz w:val="18"/>
                <w:szCs w:val="18"/>
                <w:color w:val="auto"/>
              </w:rPr>
              <w:t>Tax-basis amortized cost of investments</w:t>
            </w:r>
          </w:p>
        </w:tc>
        <w:tc>
          <w:tcPr>
            <w:tcW w:w="1500" w:type="dxa"/>
            <w:vAlign w:val="bottom"/>
          </w:tcPr>
          <w:p>
            <w:pPr>
              <w:ind w:left="13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1,265,545</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1,045,066</w:t>
            </w:r>
          </w:p>
        </w:tc>
      </w:tr>
      <w:tr>
        <w:trPr>
          <w:trHeight w:val="55"/>
        </w:trPr>
        <w:tc>
          <w:tcPr>
            <w:tcW w:w="5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Tax-basis gross unrealized appreciation on investments</w:t>
            </w:r>
          </w:p>
        </w:tc>
        <w:tc>
          <w:tcPr>
            <w:tcW w:w="15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106,260</w:t>
            </w: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102,651</w:t>
            </w:r>
          </w:p>
        </w:tc>
      </w:tr>
      <w:tr>
        <w:trPr>
          <w:trHeight w:val="255"/>
        </w:trPr>
        <w:tc>
          <w:tcPr>
            <w:tcW w:w="5300" w:type="dxa"/>
            <w:vAlign w:val="bottom"/>
          </w:tcPr>
          <w:p>
            <w:pPr>
              <w:spacing w:after="0"/>
              <w:rPr>
                <w:sz w:val="20"/>
                <w:szCs w:val="20"/>
                <w:color w:val="auto"/>
              </w:rPr>
            </w:pPr>
            <w:r>
              <w:rPr>
                <w:rFonts w:ascii="Arial" w:cs="Arial" w:eastAsia="Arial" w:hAnsi="Arial"/>
                <w:sz w:val="18"/>
                <w:szCs w:val="18"/>
                <w:color w:val="auto"/>
              </w:rPr>
              <w:t>Tax-basis gross unrealized depreciation on investments</w:t>
            </w:r>
          </w:p>
        </w:tc>
        <w:tc>
          <w:tcPr>
            <w:tcW w:w="150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(47,052)</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-577215</wp:posOffset>
            </wp:positionV>
            <wp:extent cx="1725295" cy="285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725295" cy="2857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-358140</wp:posOffset>
            </wp:positionV>
            <wp:extent cx="172529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25295" cy="635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28575</wp:posOffset>
            </wp:positionV>
            <wp:extent cx="172529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25295"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31</w:t>
      </w:r>
    </w:p>
    <w:p>
      <w:pPr>
        <w:sectPr>
          <w:pgSz w:w="11900" w:h="16838" w:orient="portrait"/>
          <w:cols w:equalWidth="0" w:num="1">
            <w:col w:w="9406"/>
          </w:cols>
          <w:pgMar w:left="1254" w:top="1440" w:right="1246" w:bottom="0" w:gutter="0" w:footer="0" w:header="0"/>
          <w:type w:val="continuous"/>
        </w:sectPr>
      </w:pPr>
    </w:p>
    <w:bookmarkStart w:id="324" w:name="page325"/>
    <w:bookmarkEnd w:id="324"/>
    <w:tbl>
      <w:tblPr>
        <w:tblLayout w:type="fixed"/>
        <w:tblInd w:w="6" w:type="dxa"/>
        <w:tblCellMar>
          <w:top w:w="0" w:type="dxa"/>
          <w:left w:w="0" w:type="dxa"/>
          <w:bottom w:w="0" w:type="dxa"/>
          <w:right w:w="0" w:type="dxa"/>
        </w:tblCellMar>
      </w:tblPr>
      <w:tr>
        <w:trPr>
          <w:trHeight w:val="29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Tax-basis net unrealized appreciation on investments</w:t>
            </w:r>
          </w:p>
        </w:tc>
        <w:tc>
          <w:tcPr>
            <w:tcW w:w="16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59,208</w:t>
            </w:r>
          </w:p>
        </w:tc>
        <w:tc>
          <w:tcPr>
            <w:tcW w:w="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45,440</w:t>
            </w:r>
          </w:p>
        </w:tc>
      </w:tr>
      <w:tr>
        <w:trPr>
          <w:trHeight w:val="271"/>
        </w:trPr>
        <w:tc>
          <w:tcPr>
            <w:tcW w:w="5220" w:type="dxa"/>
            <w:vAlign w:val="bottom"/>
          </w:tcPr>
          <w:p>
            <w:pPr>
              <w:spacing w:after="0"/>
              <w:rPr>
                <w:sz w:val="20"/>
                <w:szCs w:val="20"/>
                <w:color w:val="auto"/>
              </w:rPr>
            </w:pPr>
            <w:r>
              <w:rPr>
                <w:rFonts w:ascii="Arial" w:cs="Arial" w:eastAsia="Arial" w:hAnsi="Arial"/>
                <w:sz w:val="18"/>
                <w:szCs w:val="18"/>
                <w:color w:val="auto"/>
              </w:rPr>
              <w:t>Fair value of investments</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1,324,753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1,090,506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-177800</wp:posOffset>
            </wp:positionV>
            <wp:extent cx="178498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84985" cy="635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18415</wp:posOffset>
            </wp:positionV>
            <wp:extent cx="1725295" cy="285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25295" cy="28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426" w:right="320" w:hanging="426"/>
        <w:spacing w:after="0" w:line="308" w:lineRule="auto"/>
        <w:tabs>
          <w:tab w:leader="none" w:pos="42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Company’s tax-basis amortized cost of investments for 2025 is an estimate and will not be finally determined until 2026 when the Company receives the relevant tax forms from portfolio companies with equity investments. Therefore, the Company’s actual tax-basis amortized cost of investments may be different than this estimate.</w:t>
      </w:r>
    </w:p>
    <w:p>
      <w:pPr>
        <w:spacing w:after="0" w:line="200" w:lineRule="exact"/>
        <w:rPr>
          <w:sz w:val="20"/>
          <w:szCs w:val="20"/>
          <w:color w:val="auto"/>
        </w:rPr>
      </w:pPr>
    </w:p>
    <w:p>
      <w:pPr>
        <w:jc w:val="both"/>
        <w:ind w:left="6" w:right="60" w:firstLine="392"/>
        <w:spacing w:after="0" w:line="329" w:lineRule="auto"/>
        <w:rPr>
          <w:sz w:val="20"/>
          <w:szCs w:val="20"/>
          <w:color w:val="auto"/>
        </w:rPr>
      </w:pPr>
      <w:r>
        <w:rPr>
          <w:rFonts w:ascii="Arial" w:cs="Arial" w:eastAsia="Arial" w:hAnsi="Arial"/>
          <w:sz w:val="19"/>
          <w:szCs w:val="19"/>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2025, 2024, and 2023.</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295"/>
        </w:trPr>
        <w:tc>
          <w:tcPr>
            <w:tcW w:w="3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 xml:space="preserve">2025 </w:t>
            </w:r>
            <w:r>
              <w:rPr>
                <w:rFonts w:ascii="Arial" w:cs="Arial" w:eastAsia="Arial" w:hAnsi="Arial"/>
                <w:sz w:val="24"/>
                <w:szCs w:val="24"/>
                <w:b w:val="1"/>
                <w:bCs w:val="1"/>
                <w:color w:val="auto"/>
                <w:w w:val="89"/>
                <w:vertAlign w:val="superscript"/>
              </w:rPr>
              <w:t>(1)</w:t>
            </w:r>
          </w:p>
        </w:tc>
        <w:tc>
          <w:tcPr>
            <w:tcW w:w="3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272"/>
        </w:trPr>
        <w:tc>
          <w:tcPr>
            <w:tcW w:w="3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(4,789)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(2,752)</w:t>
            </w:r>
          </w:p>
        </w:tc>
      </w:tr>
      <w:tr>
        <w:trPr>
          <w:trHeight w:val="45"/>
        </w:trPr>
        <w:tc>
          <w:tcPr>
            <w:tcW w:w="38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7,092</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4,789</w:t>
            </w: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r>
      <w:tr>
        <w:trPr>
          <w:trHeight w:val="45"/>
        </w:trPr>
        <w:tc>
          <w:tcPr>
            <w:tcW w:w="382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-408940</wp:posOffset>
            </wp:positionV>
            <wp:extent cx="2308225" cy="285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308225" cy="28575"/>
                    </a:xfrm>
                    <a:prstGeom prst="rect">
                      <a:avLst/>
                    </a:prstGeom>
                    <a:noFill/>
                  </pic:spPr>
                </pic:pic>
              </a:graphicData>
            </a:graphic>
          </wp:anchor>
        </w:drawing>
      </w:r>
    </w:p>
    <w:p>
      <w:pPr>
        <w:spacing w:after="0" w:line="356" w:lineRule="exact"/>
        <w:rPr>
          <w:sz w:val="20"/>
          <w:szCs w:val="20"/>
          <w:color w:val="auto"/>
        </w:rPr>
      </w:pPr>
    </w:p>
    <w:p>
      <w:pPr>
        <w:ind w:left="286" w:right="160" w:hanging="286"/>
        <w:spacing w:after="0" w:line="335" w:lineRule="auto"/>
        <w:tabs>
          <w:tab w:leader="none" w:pos="28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Company’s permanent book-to-tax reclassifications for 2025 are an estimate and will not be finalized until the Company files its 2025 federal income tax returns in 2026.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95"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31</w:t>
      </w:r>
    </w:p>
    <w:p>
      <w:pPr>
        <w:sectPr>
          <w:pgSz w:w="11900" w:h="16838" w:orient="portrait"/>
          <w:cols w:equalWidth="0" w:num="1">
            <w:col w:w="9406"/>
          </w:cols>
          <w:pgMar w:left="1254" w:top="1133" w:right="1246" w:bottom="0" w:gutter="0" w:footer="0" w:header="0"/>
          <w:type w:val="continuous"/>
        </w:sectPr>
      </w:pPr>
    </w:p>
    <w:bookmarkStart w:id="325" w:name="page326"/>
    <w:bookmarkEnd w:id="325"/>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Subsequent Events</w:t>
      </w:r>
    </w:p>
    <w:p>
      <w:pPr>
        <w:spacing w:after="0" w:line="260" w:lineRule="exact"/>
        <w:rPr>
          <w:sz w:val="20"/>
          <w:szCs w:val="20"/>
          <w:color w:val="auto"/>
        </w:rPr>
      </w:pPr>
    </w:p>
    <w:p>
      <w:pPr>
        <w:jc w:val="both"/>
        <w:ind w:firstLine="392"/>
        <w:spacing w:after="0" w:line="330" w:lineRule="auto"/>
        <w:rPr>
          <w:sz w:val="20"/>
          <w:szCs w:val="20"/>
          <w:color w:val="auto"/>
        </w:rPr>
      </w:pPr>
      <w:r>
        <w:rPr>
          <w:rFonts w:ascii="Arial" w:cs="Arial" w:eastAsia="Arial" w:hAnsi="Arial"/>
          <w:sz w:val="19"/>
          <w:szCs w:val="19"/>
          <w:color w:val="auto"/>
        </w:rPr>
        <w:t>On January 28, 2026, the Company invested $6,000 in first lien debt and $1,000 in preferred equity of Gap Intelligence Acquisition, LLC (dba OpenBrand), a market intelligence platform that provides real-time competitive and pricing data to leading consumer durable original equipment manufacturers and retailers.</w:t>
      </w:r>
    </w:p>
    <w:p>
      <w:pPr>
        <w:spacing w:after="0" w:line="179" w:lineRule="exact"/>
        <w:rPr>
          <w:sz w:val="20"/>
          <w:szCs w:val="20"/>
          <w:color w:val="auto"/>
        </w:rPr>
      </w:pPr>
    </w:p>
    <w:p>
      <w:pPr>
        <w:jc w:val="both"/>
        <w:ind w:right="20" w:firstLine="392"/>
        <w:spacing w:after="0" w:line="307" w:lineRule="auto"/>
        <w:rPr>
          <w:sz w:val="20"/>
          <w:szCs w:val="20"/>
          <w:color w:val="auto"/>
        </w:rPr>
      </w:pPr>
      <w:r>
        <w:rPr>
          <w:rFonts w:ascii="Arial" w:cs="Arial" w:eastAsia="Arial" w:hAnsi="Arial"/>
          <w:sz w:val="20"/>
          <w:szCs w:val="20"/>
          <w:color w:val="auto"/>
        </w:rPr>
        <w:t>On January 30, 2026, the Company exited its preferred and common equity investments in CIH Intermediate, LLC. The Company received a distribution on its preferred and common equity investments for a realized gain of approximately $3,427.</w:t>
      </w:r>
    </w:p>
    <w:p>
      <w:pPr>
        <w:spacing w:after="0" w:line="197" w:lineRule="exact"/>
        <w:rPr>
          <w:sz w:val="20"/>
          <w:szCs w:val="20"/>
          <w:color w:val="auto"/>
        </w:rPr>
      </w:pPr>
    </w:p>
    <w:p>
      <w:pPr>
        <w:jc w:val="both"/>
        <w:ind w:firstLine="392"/>
        <w:spacing w:after="0" w:line="363" w:lineRule="auto"/>
        <w:rPr>
          <w:sz w:val="20"/>
          <w:szCs w:val="20"/>
          <w:color w:val="auto"/>
        </w:rPr>
      </w:pPr>
      <w:r>
        <w:rPr>
          <w:rFonts w:ascii="Arial" w:cs="Arial" w:eastAsia="Arial" w:hAnsi="Arial"/>
          <w:sz w:val="18"/>
          <w:szCs w:val="18"/>
          <w:color w:val="auto"/>
        </w:rPr>
        <w:t>On February 17, 2026, the Board declared a regular quarterly dividend of $0.43 per share and a supplemental dividend of $0.09 per share payable March 30, 2026, to stockholders of record as of March 20, 2026.</w:t>
      </w:r>
    </w:p>
    <w:p>
      <w:pPr>
        <w:spacing w:after="0" w:line="154"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20"/>
          <w:szCs w:val="20"/>
          <w:color w:val="auto"/>
        </w:rPr>
        <w:t>On February 19, 2026, the Company issued an additional $30,000 in SBA debentures, which will bear interest at a fixed interim interest rate of 4.587% until the pooling date in March 2026.</w:t>
      </w:r>
    </w:p>
    <w:p>
      <w:pPr>
        <w:spacing w:after="0" w:line="201"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On February 26, 2026, the Company repaid $5,000 and $2,000 of SBA debentures with weighted average interest rates of 5.439% and 5.861%, respectively, which would have matured on dates ranging from March 2033 to September 2033.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31</w:t>
      </w:r>
    </w:p>
    <w:p>
      <w:pPr>
        <w:sectPr>
          <w:pgSz w:w="11900" w:h="16838" w:orient="portrait"/>
          <w:cols w:equalWidth="0" w:num="1">
            <w:col w:w="9340"/>
          </w:cols>
          <w:pgMar w:left="1260" w:top="1440" w:right="1306" w:bottom="0" w:gutter="0" w:footer="0" w:header="0"/>
          <w:type w:val="continuous"/>
        </w:sectPr>
      </w:pPr>
    </w:p>
    <w:bookmarkStart w:id="326" w:name="page327"/>
    <w:bookmarkEnd w:id="326"/>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170" w:lineRule="exact"/>
        <w:rPr>
          <w:sz w:val="20"/>
          <w:szCs w:val="20"/>
          <w:color w:val="auto"/>
        </w:rPr>
      </w:pPr>
    </w:p>
    <w:p>
      <w:pPr>
        <w:jc w:val="both"/>
        <w:ind w:firstLine="392"/>
        <w:spacing w:after="0" w:line="34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as of December 31, 2025,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Management’s Annual Report on Internal Control over Financial Reporting</w:t>
      </w:r>
    </w:p>
    <w:p>
      <w:pPr>
        <w:spacing w:after="0" w:line="170" w:lineRule="exact"/>
        <w:rPr>
          <w:sz w:val="20"/>
          <w:szCs w:val="20"/>
          <w:color w:val="auto"/>
        </w:rPr>
      </w:pPr>
    </w:p>
    <w:p>
      <w:pPr>
        <w:jc w:val="both"/>
        <w:ind w:right="20" w:firstLine="392"/>
        <w:spacing w:after="0" w:line="349"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Exchange Act Rules 13a-15(f). Under the supervision and with the participation of management, including the Chief Executive Officer and Chief Financial Officer, we conducted an evaluation of the effectiveness of our internal control over financial reporting as of December 31, 2025 based on the framework established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issued by the Committee of Sponsoring Organizations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Treadway Commission. Based on this assessment, management concluded that the Company’s internal control over financial reporting as of December 31, 2025 was effective. Management’s Report on Internal Control Over Financial Reporting and RSM US LLP's Report of Independent Registered Public Accounting Firm are included in “Item 8. Consolidated Financial Statements and Supplementary Data” of this annual report on Form 10-K.</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Attestation Report of the Registered Public Accounting Firm</w:t>
      </w:r>
    </w:p>
    <w:p>
      <w:pPr>
        <w:spacing w:after="0" w:line="170" w:lineRule="exact"/>
        <w:rPr>
          <w:sz w:val="20"/>
          <w:szCs w:val="20"/>
          <w:color w:val="auto"/>
        </w:rPr>
      </w:pPr>
    </w:p>
    <w:p>
      <w:pPr>
        <w:jc w:val="both"/>
        <w:ind w:right="40" w:firstLine="392"/>
        <w:spacing w:after="0" w:line="307" w:lineRule="auto"/>
        <w:rPr>
          <w:sz w:val="20"/>
          <w:szCs w:val="20"/>
          <w:color w:val="auto"/>
        </w:rPr>
      </w:pPr>
      <w:r>
        <w:rPr>
          <w:rFonts w:ascii="Arial" w:cs="Arial" w:eastAsia="Arial" w:hAnsi="Arial"/>
          <w:sz w:val="20"/>
          <w:szCs w:val="20"/>
          <w:color w:val="auto"/>
        </w:rPr>
        <w:t>Our independent registered public accounting firm, RSM US LLP, has audited the effectiveness of our internal control over financial reporting which is included in “Item 8. Consolidated Financial Statements and Supplementary Data” of this annual report on Form 10-K.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170" w:lineRule="exact"/>
        <w:rPr>
          <w:sz w:val="20"/>
          <w:szCs w:val="20"/>
          <w:color w:val="auto"/>
        </w:rPr>
      </w:pPr>
    </w:p>
    <w:p>
      <w:pPr>
        <w:jc w:val="both"/>
        <w:ind w:right="40" w:firstLine="392"/>
        <w:spacing w:after="0" w:line="307" w:lineRule="auto"/>
        <w:rPr>
          <w:sz w:val="20"/>
          <w:szCs w:val="20"/>
          <w:color w:val="auto"/>
        </w:rPr>
      </w:pPr>
      <w:r>
        <w:rPr>
          <w:rFonts w:ascii="Arial" w:cs="Arial" w:eastAsia="Arial" w:hAnsi="Arial"/>
          <w:sz w:val="20"/>
          <w:szCs w:val="20"/>
          <w:color w:val="auto"/>
        </w:rPr>
        <w:t>There were no changes in our internal control over financial reporting (as defined in Rule 13(a)-15(f) of the Exchange Act) during the fourth quarter of 2025 that have materially affected, or are reasonably likely to materially affect, our internal control over financial reporting.</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31</w:t>
      </w:r>
    </w:p>
    <w:p>
      <w:pPr>
        <w:sectPr>
          <w:pgSz w:w="11900" w:h="16838" w:orient="portrait"/>
          <w:cols w:equalWidth="0" w:num="1">
            <w:col w:w="9380"/>
          </w:cols>
          <w:pgMar w:left="1260" w:top="1440" w:right="1266" w:bottom="0" w:gutter="0" w:footer="0" w:header="0"/>
          <w:type w:val="continuous"/>
        </w:sectPr>
      </w:pPr>
    </w:p>
    <w:bookmarkStart w:id="327" w:name="page328"/>
    <w:bookmarkEnd w:id="327"/>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14" w:lineRule="exact"/>
        <w:rPr>
          <w:sz w:val="20"/>
          <w:szCs w:val="20"/>
          <w:color w:val="auto"/>
        </w:rPr>
      </w:pPr>
    </w:p>
    <w:p>
      <w:pPr>
        <w:ind w:left="840" w:hanging="470"/>
        <w:spacing w:after="0"/>
        <w:tabs>
          <w:tab w:leader="none" w:pos="8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None.</w:t>
      </w:r>
    </w:p>
    <w:p>
      <w:pPr>
        <w:spacing w:after="0" w:line="84" w:lineRule="exact"/>
        <w:rPr>
          <w:rFonts w:ascii="Arial" w:cs="Arial" w:eastAsia="Arial" w:hAnsi="Arial"/>
          <w:sz w:val="20"/>
          <w:szCs w:val="20"/>
          <w:color w:val="auto"/>
        </w:rPr>
      </w:pPr>
    </w:p>
    <w:p>
      <w:pPr>
        <w:ind w:left="840" w:hanging="470"/>
        <w:spacing w:after="0"/>
        <w:tabs>
          <w:tab w:leader="none" w:pos="8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During the fiscal quarter ended December 31, 2025,</w:t>
      </w:r>
    </w:p>
    <w:p>
      <w:pPr>
        <w:spacing w:after="0" w:line="79" w:lineRule="exact"/>
        <w:rPr>
          <w:rFonts w:ascii="Arial" w:cs="Arial" w:eastAsia="Arial" w:hAnsi="Arial"/>
          <w:sz w:val="20"/>
          <w:szCs w:val="20"/>
          <w:color w:val="auto"/>
        </w:rPr>
      </w:pPr>
    </w:p>
    <w:p>
      <w:pPr>
        <w:ind w:left="840" w:right="6"/>
        <w:spacing w:after="0" w:line="355" w:lineRule="auto"/>
        <w:rPr>
          <w:rFonts w:ascii="Arial" w:cs="Arial" w:eastAsia="Arial" w:hAnsi="Arial"/>
          <w:sz w:val="20"/>
          <w:szCs w:val="20"/>
          <w:color w:val="auto"/>
        </w:rPr>
      </w:pPr>
      <w:r>
        <w:rPr>
          <w:rFonts w:ascii="Arial" w:cs="Arial" w:eastAsia="Arial" w:hAnsi="Arial"/>
          <w:sz w:val="18"/>
          <w:szCs w:val="18"/>
          <w:color w:val="auto"/>
        </w:rPr>
        <w:t>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 applicable.</w:t>
      </w:r>
    </w:p>
    <w:p>
      <w:pPr>
        <w:spacing w:after="0" w:line="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10 / 31</w:t>
      </w:r>
    </w:p>
    <w:p>
      <w:pPr>
        <w:sectPr>
          <w:pgSz w:w="11900" w:h="16838" w:orient="portrait"/>
          <w:cols w:equalWidth="0" w:num="1">
            <w:col w:w="9206"/>
          </w:cols>
          <w:pgMar w:left="1260" w:top="1440" w:right="1440" w:bottom="0" w:gutter="0" w:footer="0" w:header="0"/>
          <w:type w:val="continuous"/>
        </w:sectPr>
      </w:pPr>
    </w:p>
    <w:bookmarkStart w:id="328" w:name="page329"/>
    <w:bookmarkEnd w:id="328"/>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60"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The information required by Item 10 is hereby incorporated by reference from our definitive Proxy Statement relating to our 2026 Annual Meeting of Stockholders, to be filed with the U.S. Securities and Exchange Commission within 120 days following the end of our fiscal year.</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70"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The information required by Item 11 is hereby incorporated by reference from our definitive Proxy Statement relating to our 2026 Annual Meeting of Stockholders, to be filed with the U.S. Securities and Exchange Commission within 120 days following the end of our fiscal year.</w:t>
      </w:r>
    </w:p>
    <w:p>
      <w:pPr>
        <w:spacing w:after="0" w:line="287"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11"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The information required by Item 12 is hereby incorporated by reference from our definitive Proxy Statement relating to our 2026 Annual Meeting of Stockholders, to be filed with the U.S. Securities and Exchange Commission within 120 days following the end of our fiscal year.</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70"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The information required by Item 13 is hereby incorporated by reference from our definitive Proxy Statement relating to our 2026 Annual Meeting of Stockholders, to be filed with the U.S. Securities and Exchange Commission within 120 days following the end of our fiscal year.</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70" w:lineRule="exact"/>
        <w:rPr>
          <w:sz w:val="20"/>
          <w:szCs w:val="20"/>
          <w:color w:val="auto"/>
        </w:rPr>
      </w:pPr>
    </w:p>
    <w:p>
      <w:pPr>
        <w:jc w:val="both"/>
        <w:ind w:firstLine="392"/>
        <w:spacing w:after="0" w:line="307" w:lineRule="auto"/>
        <w:rPr>
          <w:sz w:val="20"/>
          <w:szCs w:val="20"/>
          <w:color w:val="auto"/>
        </w:rPr>
      </w:pPr>
      <w:r>
        <w:rPr>
          <w:rFonts w:ascii="Arial" w:cs="Arial" w:eastAsia="Arial" w:hAnsi="Arial"/>
          <w:sz w:val="20"/>
          <w:szCs w:val="20"/>
          <w:color w:val="auto"/>
        </w:rPr>
        <w:t>The information required by Item 14 is hereby incorporated by reference from our definitive Proxy Statement relating to our 2026 Annual Meeting of Stockholders, to be filed with the U.S. Securities and Exchange Commission within 120 days following the end of our fiscal year.</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31</w:t>
      </w:r>
    </w:p>
    <w:p>
      <w:pPr>
        <w:sectPr>
          <w:pgSz w:w="11900" w:h="16838" w:orient="portrait"/>
          <w:cols w:equalWidth="0" w:num="1">
            <w:col w:w="9340"/>
          </w:cols>
          <w:pgMar w:left="1260" w:top="1440" w:right="1306" w:bottom="0" w:gutter="0" w:footer="0" w:header="0"/>
          <w:type w:val="continuous"/>
        </w:sectPr>
      </w:pPr>
    </w:p>
    <w:bookmarkStart w:id="329" w:name="page330"/>
    <w:bookmarkEnd w:id="329"/>
    <w:p>
      <w:pPr>
        <w:spacing w:after="0" w:line="200" w:lineRule="exact"/>
        <w:rPr>
          <w:sz w:val="20"/>
          <w:szCs w:val="20"/>
          <w:color w:val="auto"/>
        </w:rPr>
      </w:pPr>
    </w:p>
    <w:p>
      <w:pPr>
        <w:spacing w:after="0" w:line="243" w:lineRule="exact"/>
        <w:rPr>
          <w:sz w:val="20"/>
          <w:szCs w:val="20"/>
          <w:color w:val="auto"/>
        </w:rPr>
      </w:pPr>
    </w:p>
    <w:p>
      <w:pPr>
        <w:jc w:val="center"/>
        <w:ind w:right="-65"/>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ind w:right="-65"/>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ind w:right="-65"/>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310" w:lineRule="exact"/>
        <w:rPr>
          <w:sz w:val="20"/>
          <w:szCs w:val="20"/>
          <w:color w:val="auto"/>
        </w:rPr>
      </w:pPr>
    </w:p>
    <w:p>
      <w:pPr>
        <w:ind w:left="4286"/>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0" w:lineRule="exact"/>
        <w:rPr>
          <w:sz w:val="20"/>
          <w:szCs w:val="20"/>
          <w:color w:val="auto"/>
        </w:rPr>
      </w:pPr>
    </w:p>
    <w:p>
      <w:pPr>
        <w:ind w:left="406"/>
        <w:spacing w:after="0"/>
        <w:rPr>
          <w:sz w:val="20"/>
          <w:szCs w:val="20"/>
          <w:color w:val="auto"/>
        </w:rPr>
      </w:pPr>
      <w:r>
        <w:rPr>
          <w:rFonts w:ascii="Arial" w:cs="Arial" w:eastAsia="Arial" w:hAnsi="Arial"/>
          <w:sz w:val="20"/>
          <w:szCs w:val="20"/>
          <w:color w:val="auto"/>
        </w:rPr>
        <w:t>The following documents are filed or incorporated by reference as part of this Annual Report:</w:t>
      </w:r>
    </w:p>
    <w:p>
      <w:pPr>
        <w:spacing w:after="0" w:line="250" w:lineRule="exact"/>
        <w:rPr>
          <w:sz w:val="20"/>
          <w:szCs w:val="20"/>
          <w:color w:val="auto"/>
        </w:rPr>
      </w:pPr>
    </w:p>
    <w:p>
      <w:pPr>
        <w:ind w:left="686" w:hanging="286"/>
        <w:spacing w:after="0"/>
        <w:tabs>
          <w:tab w:leader="none" w:pos="686"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60" w:lineRule="exact"/>
        <w:rPr>
          <w:sz w:val="20"/>
          <w:szCs w:val="20"/>
          <w:color w:val="auto"/>
        </w:rPr>
      </w:pPr>
    </w:p>
    <w:p>
      <w:pPr>
        <w:ind w:left="806"/>
        <w:spacing w:after="0"/>
        <w:rPr>
          <w:sz w:val="20"/>
          <w:szCs w:val="20"/>
          <w:color w:val="auto"/>
        </w:rPr>
      </w:pPr>
      <w:r>
        <w:rPr>
          <w:rFonts w:ascii="Arial" w:cs="Arial" w:eastAsia="Arial" w:hAnsi="Arial"/>
          <w:sz w:val="20"/>
          <w:szCs w:val="20"/>
          <w:color w:val="auto"/>
        </w:rPr>
        <w:t xml:space="preserve">Refer to Item 8 starting on page </w:t>
      </w:r>
      <w:r>
        <w:rPr>
          <w:rFonts w:ascii="Arial" w:cs="Arial" w:eastAsia="Arial" w:hAnsi="Arial"/>
          <w:sz w:val="20"/>
          <w:szCs w:val="20"/>
          <w:u w:val="single" w:color="auto"/>
          <w:color w:val="0000FF"/>
        </w:rPr>
        <w:t>81</w:t>
      </w:r>
      <w:r>
        <w:rPr>
          <w:rFonts w:ascii="Arial" w:cs="Arial" w:eastAsia="Arial" w:hAnsi="Arial"/>
          <w:sz w:val="20"/>
          <w:szCs w:val="20"/>
          <w:color w:val="auto"/>
        </w:rPr>
        <w:t>.</w:t>
      </w:r>
    </w:p>
    <w:p>
      <w:pPr>
        <w:spacing w:after="0" w:line="380" w:lineRule="exact"/>
        <w:rPr>
          <w:sz w:val="20"/>
          <w:szCs w:val="20"/>
          <w:color w:val="auto"/>
        </w:rPr>
      </w:pPr>
    </w:p>
    <w:p>
      <w:pPr>
        <w:ind w:left="806" w:right="6440" w:hanging="806"/>
        <w:spacing w:after="0" w:line="396" w:lineRule="auto"/>
        <w:tabs>
          <w:tab w:leader="none" w:pos="287"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Financial Statement Schedules </w:t>
      </w:r>
      <w:r>
        <w:rPr>
          <w:rFonts w:ascii="Arial" w:cs="Arial" w:eastAsia="Arial" w:hAnsi="Arial"/>
          <w:sz w:val="20"/>
          <w:szCs w:val="20"/>
          <w:color w:val="auto"/>
        </w:rPr>
        <w:t>None.</w:t>
      </w:r>
    </w:p>
    <w:p>
      <w:pPr>
        <w:spacing w:after="0" w:line="191" w:lineRule="exact"/>
        <w:rPr>
          <w:sz w:val="20"/>
          <w:szCs w:val="20"/>
          <w:color w:val="auto"/>
        </w:rPr>
      </w:pPr>
    </w:p>
    <w:p>
      <w:pPr>
        <w:ind w:left="686" w:hanging="286"/>
        <w:spacing w:after="0"/>
        <w:tabs>
          <w:tab w:leader="none" w:pos="686" w:val="left"/>
        </w:tabs>
        <w:numPr>
          <w:ilvl w:val="0"/>
          <w:numId w:val="184"/>
        </w:numPr>
        <w:rPr>
          <w:rFonts w:ascii="Arial" w:cs="Arial" w:eastAsia="Arial" w:hAnsi="Arial"/>
          <w:sz w:val="20"/>
          <w:szCs w:val="20"/>
          <w:color w:val="auto"/>
        </w:rPr>
      </w:pPr>
      <w:r>
        <w:rPr>
          <w:rFonts w:ascii="Arial" w:cs="Arial" w:eastAsia="Arial" w:hAnsi="Arial"/>
          <w:sz w:val="20"/>
          <w:szCs w:val="20"/>
          <w:b w:val="1"/>
          <w:bCs w:val="1"/>
          <w:color w:val="auto"/>
        </w:rPr>
        <w:t>Exhibits</w:t>
      </w:r>
    </w:p>
    <w:p>
      <w:pPr>
        <w:spacing w:after="0" w:line="170" w:lineRule="exact"/>
        <w:rPr>
          <w:sz w:val="20"/>
          <w:szCs w:val="20"/>
          <w:color w:val="auto"/>
        </w:rPr>
      </w:pPr>
    </w:p>
    <w:p>
      <w:pPr>
        <w:ind w:left="806"/>
        <w:spacing w:after="0" w:line="302" w:lineRule="auto"/>
        <w:rPr>
          <w:sz w:val="20"/>
          <w:szCs w:val="20"/>
          <w:color w:val="auto"/>
        </w:rPr>
      </w:pPr>
      <w:r>
        <w:rPr>
          <w:rFonts w:ascii="Arial" w:cs="Arial" w:eastAsia="Arial" w:hAnsi="Arial"/>
          <w:sz w:val="20"/>
          <w:szCs w:val="20"/>
          <w:color w:val="auto"/>
        </w:rPr>
        <w:t>Unless otherwise noted, the following exhibits are filed as part of this report or hereby incorporated by reference to exhibits previously filed with the SEC:</w:t>
      </w:r>
    </w:p>
    <w:p>
      <w:pPr>
        <w:sectPr>
          <w:pgSz w:w="11900" w:h="16838" w:orient="portrait"/>
          <w:cols w:equalWidth="0" w:num="1">
            <w:col w:w="9326"/>
          </w:cols>
          <w:pgMar w:left="1254"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
        <w:spacing w:after="0"/>
        <w:rPr>
          <w:sz w:val="20"/>
          <w:szCs w:val="20"/>
          <w:color w:val="auto"/>
        </w:rPr>
      </w:pPr>
      <w:r>
        <w:rPr>
          <w:rFonts w:ascii="Arial" w:cs="Arial" w:eastAsia="Arial" w:hAnsi="Arial"/>
          <w:sz w:val="20"/>
          <w:szCs w:val="20"/>
          <w:b w:val="1"/>
          <w:bCs w:val="1"/>
          <w:color w:val="auto"/>
        </w:rPr>
        <w:t>Exhibit</w:t>
      </w:r>
    </w:p>
    <w:p>
      <w:pPr>
        <w:spacing w:after="0" w:line="140" w:lineRule="exact"/>
        <w:rPr>
          <w:sz w:val="20"/>
          <w:szCs w:val="20"/>
          <w:color w:val="auto"/>
        </w:rPr>
      </w:pPr>
    </w:p>
    <w:p>
      <w:pPr>
        <w:ind w:left="586"/>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44450</wp:posOffset>
            </wp:positionV>
            <wp:extent cx="72390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90" w:lineRule="exact"/>
        <w:rPr>
          <w:sz w:val="20"/>
          <w:szCs w:val="20"/>
          <w:color w:val="auto"/>
        </w:rPr>
      </w:pPr>
    </w:p>
    <w:p>
      <w:pPr>
        <w:ind w:left="586"/>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6"/>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6"/>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6"/>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521335</wp:posOffset>
            </wp:positionV>
            <wp:extent cx="4478020"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4780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8"/>
          <w:szCs w:val="18"/>
          <w:u w:val="single" w:color="auto"/>
          <w:color w:val="0000FF"/>
        </w:rPr>
      </w:pPr>
      <w:hyperlink r:id="rId584">
        <w:r>
          <w:rPr>
            <w:rFonts w:ascii="Arial" w:cs="Arial" w:eastAsia="Arial" w:hAnsi="Arial"/>
            <w:sz w:val="18"/>
            <w:szCs w:val="18"/>
            <w:u w:val="single" w:color="auto"/>
            <w:color w:val="0000FF"/>
          </w:rPr>
          <w:t>Articles of Amendment and Restatement of the Registrant (Filed as Exhibit (a)(1) to</w:t>
        </w:r>
      </w:hyperlink>
    </w:p>
    <w:p>
      <w:pPr>
        <w:spacing w:after="0" w:line="153" w:lineRule="exact"/>
        <w:rPr>
          <w:sz w:val="20"/>
          <w:szCs w:val="20"/>
          <w:color w:val="auto"/>
        </w:rPr>
      </w:pPr>
    </w:p>
    <w:p>
      <w:pPr>
        <w:ind w:right="620"/>
        <w:spacing w:after="0" w:line="335" w:lineRule="auto"/>
        <w:rPr>
          <w:rFonts w:ascii="Arial" w:cs="Arial" w:eastAsia="Arial" w:hAnsi="Arial"/>
          <w:sz w:val="19"/>
          <w:szCs w:val="19"/>
          <w:u w:val="single" w:color="auto"/>
          <w:color w:val="0000FF"/>
        </w:rPr>
      </w:pPr>
      <w:hyperlink r:id="rId584">
        <w:r>
          <w:rPr>
            <w:rFonts w:ascii="Arial" w:cs="Arial" w:eastAsia="Arial" w:hAnsi="Arial"/>
            <w:sz w:val="19"/>
            <w:szCs w:val="19"/>
            <w:u w:val="single" w:color="auto"/>
            <w:color w:val="0000FF"/>
          </w:rPr>
          <w:t>Pre-Effective Amendment No. 2 to the Registrant’s Registration Statement on Form</w:t>
        </w:r>
      </w:hyperlink>
      <w:r>
        <w:rPr>
          <w:rFonts w:ascii="Arial" w:cs="Arial" w:eastAsia="Arial" w:hAnsi="Arial"/>
          <w:sz w:val="19"/>
          <w:szCs w:val="19"/>
          <w:u w:val="single" w:color="auto"/>
          <w:color w:val="0000FF"/>
        </w:rPr>
        <w:t xml:space="preserve"> </w:t>
      </w:r>
      <w:hyperlink r:id="rId584">
        <w:r>
          <w:rPr>
            <w:rFonts w:ascii="Arial" w:cs="Arial" w:eastAsia="Arial" w:hAnsi="Arial"/>
            <w:sz w:val="19"/>
            <w:szCs w:val="19"/>
            <w:u w:val="single" w:color="auto"/>
            <w:color w:val="0000FF"/>
          </w:rPr>
          <w:t xml:space="preserve">N-2 (File No. 333-172550) filed with the </w:t>
        </w:r>
        <w:r>
          <w:rPr>
            <w:rFonts w:ascii="Arial" w:cs="Arial" w:eastAsia="Arial" w:hAnsi="Arial"/>
            <w:sz w:val="23"/>
            <w:szCs w:val="23"/>
            <w:u w:val="single" w:color="auto"/>
            <w:color w:val="0000FF"/>
          </w:rPr>
          <w:t>U.S.</w:t>
        </w:r>
        <w:r>
          <w:rPr>
            <w:rFonts w:ascii="Arial" w:cs="Arial" w:eastAsia="Arial" w:hAnsi="Arial"/>
            <w:sz w:val="19"/>
            <w:szCs w:val="19"/>
            <w:u w:val="single" w:color="auto"/>
            <w:color w:val="0000FF"/>
          </w:rPr>
          <w:t xml:space="preserve"> Securities and Exchange</w:t>
        </w:r>
      </w:hyperlink>
    </w:p>
    <w:p>
      <w:pPr>
        <w:spacing w:after="0" w:line="36" w:lineRule="exact"/>
        <w:rPr>
          <w:sz w:val="20"/>
          <w:szCs w:val="20"/>
          <w:color w:val="auto"/>
        </w:rPr>
      </w:pPr>
    </w:p>
    <w:p>
      <w:pPr>
        <w:spacing w:after="0"/>
        <w:rPr>
          <w:rFonts w:ascii="Arial" w:cs="Arial" w:eastAsia="Arial" w:hAnsi="Arial"/>
          <w:sz w:val="20"/>
          <w:szCs w:val="20"/>
          <w:u w:val="single" w:color="auto"/>
          <w:color w:val="0000FF"/>
        </w:rPr>
      </w:pPr>
      <w:hyperlink r:id="rId584">
        <w:r>
          <w:rPr>
            <w:rFonts w:ascii="Arial" w:cs="Arial" w:eastAsia="Arial" w:hAnsi="Arial"/>
            <w:sz w:val="20"/>
            <w:szCs w:val="20"/>
            <w:u w:val="single" w:color="auto"/>
            <w:color w:val="0000FF"/>
          </w:rPr>
          <w:t>Commission on April 29, 2011 and incorporated herein by reference).</w:t>
        </w:r>
      </w:hyperlink>
    </w:p>
    <w:p>
      <w:pPr>
        <w:spacing w:after="0" w:line="200" w:lineRule="exact"/>
        <w:rPr>
          <w:sz w:val="20"/>
          <w:szCs w:val="20"/>
          <w:color w:val="auto"/>
        </w:rPr>
      </w:pPr>
    </w:p>
    <w:p>
      <w:pPr>
        <w:spacing w:after="0" w:line="280" w:lineRule="exact"/>
        <w:rPr>
          <w:sz w:val="20"/>
          <w:szCs w:val="20"/>
          <w:color w:val="auto"/>
        </w:rPr>
      </w:pPr>
    </w:p>
    <w:p>
      <w:pPr>
        <w:spacing w:after="0"/>
        <w:rPr>
          <w:rFonts w:ascii="Arial" w:cs="Arial" w:eastAsia="Arial" w:hAnsi="Arial"/>
          <w:sz w:val="18"/>
          <w:szCs w:val="18"/>
          <w:u w:val="single" w:color="auto"/>
          <w:color w:val="0000FF"/>
        </w:rPr>
      </w:pPr>
      <w:hyperlink r:id="rId585">
        <w:r>
          <w:rPr>
            <w:rFonts w:ascii="Arial" w:cs="Arial" w:eastAsia="Arial" w:hAnsi="Arial"/>
            <w:sz w:val="18"/>
            <w:szCs w:val="18"/>
            <w:u w:val="single" w:color="auto"/>
            <w:color w:val="0000FF"/>
          </w:rPr>
          <w:t>Bylaws of the Registrant (Filed as Exhibit (b)(1) to Pre-Effective Amendment No. 2</w:t>
        </w:r>
      </w:hyperlink>
    </w:p>
    <w:p>
      <w:pPr>
        <w:spacing w:after="0" w:line="153" w:lineRule="exact"/>
        <w:rPr>
          <w:sz w:val="20"/>
          <w:szCs w:val="20"/>
          <w:color w:val="auto"/>
        </w:rPr>
      </w:pPr>
    </w:p>
    <w:p>
      <w:pPr>
        <w:ind w:right="640"/>
        <w:spacing w:after="0" w:line="335" w:lineRule="auto"/>
        <w:rPr>
          <w:rFonts w:ascii="Arial" w:cs="Arial" w:eastAsia="Arial" w:hAnsi="Arial"/>
          <w:sz w:val="19"/>
          <w:szCs w:val="19"/>
          <w:u w:val="single" w:color="auto"/>
          <w:color w:val="0000FF"/>
        </w:rPr>
      </w:pPr>
      <w:hyperlink r:id="rId585">
        <w:r>
          <w:rPr>
            <w:rFonts w:ascii="Arial" w:cs="Arial" w:eastAsia="Arial" w:hAnsi="Arial"/>
            <w:sz w:val="19"/>
            <w:szCs w:val="19"/>
            <w:u w:val="single" w:color="auto"/>
            <w:color w:val="0000FF"/>
          </w:rPr>
          <w:t>to the Registrant’s Registration Statement on Form N-2 (File No. 333-172550) filed</w:t>
        </w:r>
      </w:hyperlink>
      <w:r>
        <w:rPr>
          <w:rFonts w:ascii="Arial" w:cs="Arial" w:eastAsia="Arial" w:hAnsi="Arial"/>
          <w:sz w:val="19"/>
          <w:szCs w:val="19"/>
          <w:u w:val="single" w:color="auto"/>
          <w:color w:val="0000FF"/>
        </w:rPr>
        <w:t xml:space="preserve"> </w:t>
      </w:r>
      <w:hyperlink r:id="rId585">
        <w:r>
          <w:rPr>
            <w:rFonts w:ascii="Arial" w:cs="Arial" w:eastAsia="Arial" w:hAnsi="Arial"/>
            <w:sz w:val="19"/>
            <w:szCs w:val="19"/>
            <w:u w:val="single" w:color="auto"/>
            <w:color w:val="0000FF"/>
          </w:rPr>
          <w:t xml:space="preserve">with the </w:t>
        </w:r>
        <w:r>
          <w:rPr>
            <w:rFonts w:ascii="Arial" w:cs="Arial" w:eastAsia="Arial" w:hAnsi="Arial"/>
            <w:sz w:val="23"/>
            <w:szCs w:val="23"/>
            <w:u w:val="single" w:color="auto"/>
            <w:color w:val="0000FF"/>
          </w:rPr>
          <w:t>U.S.</w:t>
        </w:r>
        <w:r>
          <w:rPr>
            <w:rFonts w:ascii="Arial" w:cs="Arial" w:eastAsia="Arial" w:hAnsi="Arial"/>
            <w:sz w:val="19"/>
            <w:szCs w:val="19"/>
            <w:u w:val="single" w:color="auto"/>
            <w:color w:val="0000FF"/>
          </w:rPr>
          <w:t xml:space="preserve"> Securities and Exchange Commission on April 29, 2011 and</w:t>
        </w:r>
      </w:hyperlink>
    </w:p>
    <w:p>
      <w:pPr>
        <w:spacing w:after="0" w:line="36" w:lineRule="exact"/>
        <w:rPr>
          <w:sz w:val="20"/>
          <w:szCs w:val="20"/>
          <w:color w:val="auto"/>
        </w:rPr>
      </w:pPr>
    </w:p>
    <w:p>
      <w:pPr>
        <w:spacing w:after="0"/>
        <w:rPr>
          <w:rFonts w:ascii="Arial" w:cs="Arial" w:eastAsia="Arial" w:hAnsi="Arial"/>
          <w:sz w:val="20"/>
          <w:szCs w:val="20"/>
          <w:u w:val="single" w:color="auto"/>
          <w:color w:val="0000FF"/>
        </w:rPr>
      </w:pPr>
      <w:hyperlink r:id="rId585">
        <w:r>
          <w:rPr>
            <w:rFonts w:ascii="Arial" w:cs="Arial" w:eastAsia="Arial" w:hAnsi="Arial"/>
            <w:sz w:val="20"/>
            <w:szCs w:val="20"/>
            <w:u w:val="single" w:color="auto"/>
            <w:color w:val="0000FF"/>
          </w:rPr>
          <w:t>incorporated herein by reference).</w:t>
        </w:r>
      </w:hyperlink>
    </w:p>
    <w:p>
      <w:pPr>
        <w:spacing w:after="0" w:line="396" w:lineRule="exact"/>
        <w:rPr>
          <w:sz w:val="20"/>
          <w:szCs w:val="20"/>
          <w:color w:val="auto"/>
        </w:rPr>
      </w:pPr>
    </w:p>
    <w:p>
      <w:pPr>
        <w:ind w:right="600"/>
        <w:spacing w:after="0" w:line="309" w:lineRule="auto"/>
        <w:rPr>
          <w:rFonts w:ascii="Arial" w:cs="Arial" w:eastAsia="Arial" w:hAnsi="Arial"/>
          <w:sz w:val="20"/>
          <w:szCs w:val="20"/>
          <w:u w:val="single" w:color="auto"/>
          <w:color w:val="0000FF"/>
        </w:rPr>
      </w:pPr>
      <w:hyperlink r:id="rId586">
        <w:r>
          <w:rPr>
            <w:rFonts w:ascii="Arial" w:cs="Arial" w:eastAsia="Arial" w:hAnsi="Arial"/>
            <w:sz w:val="20"/>
            <w:szCs w:val="20"/>
            <w:u w:val="single" w:color="auto"/>
            <w:color w:val="0000FF"/>
          </w:rPr>
          <w:t>Form of Stock Certificate of the Registrant (Filed as Exhibit (d) to Pre-Effective</w:t>
        </w:r>
      </w:hyperlink>
      <w:r>
        <w:rPr>
          <w:rFonts w:ascii="Arial" w:cs="Arial" w:eastAsia="Arial" w:hAnsi="Arial"/>
          <w:sz w:val="20"/>
          <w:szCs w:val="20"/>
          <w:u w:val="single" w:color="auto"/>
          <w:color w:val="0000FF"/>
        </w:rPr>
        <w:t xml:space="preserve"> </w:t>
      </w:r>
      <w:hyperlink r:id="rId586">
        <w:r>
          <w:rPr>
            <w:rFonts w:ascii="Arial" w:cs="Arial" w:eastAsia="Arial" w:hAnsi="Arial"/>
            <w:sz w:val="20"/>
            <w:szCs w:val="20"/>
            <w:u w:val="single" w:color="auto"/>
            <w:color w:val="0000FF"/>
          </w:rPr>
          <w:t>Amendment No. 2 to the Registrant’s Registration Statement on Form N-2 (File No.</w:t>
        </w:r>
      </w:hyperlink>
      <w:r>
        <w:rPr>
          <w:rFonts w:ascii="Arial" w:cs="Arial" w:eastAsia="Arial" w:hAnsi="Arial"/>
          <w:sz w:val="20"/>
          <w:szCs w:val="20"/>
          <w:u w:val="single" w:color="auto"/>
          <w:color w:val="0000FF"/>
        </w:rPr>
        <w:t xml:space="preserve"> </w:t>
      </w:r>
      <w:hyperlink r:id="rId586">
        <w:r>
          <w:rPr>
            <w:rFonts w:ascii="Arial" w:cs="Arial" w:eastAsia="Arial" w:hAnsi="Arial"/>
            <w:sz w:val="20"/>
            <w:szCs w:val="20"/>
            <w:u w:val="single" w:color="auto"/>
            <w:color w:val="0000FF"/>
          </w:rPr>
          <w:t>333-172550) filed with the U.S. Securities and Exchange Commission on April 29,</w:t>
        </w:r>
      </w:hyperlink>
      <w:r>
        <w:rPr>
          <w:rFonts w:ascii="Arial" w:cs="Arial" w:eastAsia="Arial" w:hAnsi="Arial"/>
          <w:sz w:val="20"/>
          <w:szCs w:val="20"/>
          <w:u w:val="single" w:color="auto"/>
          <w:color w:val="0000FF"/>
        </w:rPr>
        <w:t xml:space="preserve"> </w:t>
      </w:r>
      <w:hyperlink r:id="rId586">
        <w:r>
          <w:rPr>
            <w:rFonts w:ascii="Arial" w:cs="Arial" w:eastAsia="Arial" w:hAnsi="Arial"/>
            <w:sz w:val="20"/>
            <w:szCs w:val="20"/>
            <w:u w:val="single" w:color="auto"/>
            <w:color w:val="0000FF"/>
          </w:rPr>
          <w:t>2011 and incorporated herein by reference).</w:t>
        </w:r>
      </w:hyperlink>
    </w:p>
    <w:p>
      <w:pPr>
        <w:spacing w:after="0" w:line="356" w:lineRule="exact"/>
        <w:rPr>
          <w:rFonts w:ascii="Arial" w:cs="Arial" w:eastAsia="Arial" w:hAnsi="Arial"/>
          <w:sz w:val="20"/>
          <w:szCs w:val="20"/>
          <w:u w:val="single" w:color="auto"/>
          <w:color w:val="0000FF"/>
        </w:rPr>
      </w:pPr>
    </w:p>
    <w:p>
      <w:pPr>
        <w:ind w:right="600"/>
        <w:spacing w:after="0" w:line="309" w:lineRule="auto"/>
        <w:rPr>
          <w:rFonts w:ascii="Arial" w:cs="Arial" w:eastAsia="Arial" w:hAnsi="Arial"/>
          <w:sz w:val="20"/>
          <w:szCs w:val="20"/>
          <w:u w:val="single" w:color="auto"/>
          <w:color w:val="0000FF"/>
        </w:rPr>
      </w:pPr>
      <w:hyperlink r:id="rId587">
        <w:r>
          <w:rPr>
            <w:rFonts w:ascii="Arial" w:cs="Arial" w:eastAsia="Arial" w:hAnsi="Arial"/>
            <w:sz w:val="20"/>
            <w:szCs w:val="20"/>
            <w:u w:val="single" w:color="auto"/>
            <w:color w:val="0000FF"/>
          </w:rPr>
          <w:t>Agreement to Furnish Certain Instruments (Filed as Exhibit (f)(2) to Pre-Effective</w:t>
        </w:r>
      </w:hyperlink>
      <w:r>
        <w:rPr>
          <w:rFonts w:ascii="Arial" w:cs="Arial" w:eastAsia="Arial" w:hAnsi="Arial"/>
          <w:sz w:val="20"/>
          <w:szCs w:val="20"/>
          <w:u w:val="single" w:color="auto"/>
          <w:color w:val="0000FF"/>
        </w:rPr>
        <w:t xml:space="preserve"> </w:t>
      </w:r>
      <w:hyperlink r:id="rId587">
        <w:r>
          <w:rPr>
            <w:rFonts w:ascii="Arial" w:cs="Arial" w:eastAsia="Arial" w:hAnsi="Arial"/>
            <w:sz w:val="20"/>
            <w:szCs w:val="20"/>
            <w:u w:val="single" w:color="auto"/>
            <w:color w:val="0000FF"/>
          </w:rPr>
          <w:t>Amendment No. 3 to the Registrant’s Registration Statement on Form N-2 (File No.</w:t>
        </w:r>
      </w:hyperlink>
      <w:r>
        <w:rPr>
          <w:rFonts w:ascii="Arial" w:cs="Arial" w:eastAsia="Arial" w:hAnsi="Arial"/>
          <w:sz w:val="20"/>
          <w:szCs w:val="20"/>
          <w:u w:val="single" w:color="auto"/>
          <w:color w:val="0000FF"/>
        </w:rPr>
        <w:t xml:space="preserve"> </w:t>
      </w:r>
      <w:hyperlink r:id="rId587">
        <w:r>
          <w:rPr>
            <w:rFonts w:ascii="Arial" w:cs="Arial" w:eastAsia="Arial" w:hAnsi="Arial"/>
            <w:sz w:val="20"/>
            <w:szCs w:val="20"/>
            <w:u w:val="single" w:color="auto"/>
            <w:color w:val="0000FF"/>
          </w:rPr>
          <w:t>333-172550) filed with the U.S. Securities and Exchange Commission on May 26,</w:t>
        </w:r>
      </w:hyperlink>
      <w:r>
        <w:rPr>
          <w:rFonts w:ascii="Arial" w:cs="Arial" w:eastAsia="Arial" w:hAnsi="Arial"/>
          <w:sz w:val="20"/>
          <w:szCs w:val="20"/>
          <w:u w:val="single" w:color="auto"/>
          <w:color w:val="0000FF"/>
        </w:rPr>
        <w:t xml:space="preserve"> </w:t>
      </w:r>
      <w:hyperlink r:id="rId587">
        <w:r>
          <w:rPr>
            <w:rFonts w:ascii="Arial" w:cs="Arial" w:eastAsia="Arial" w:hAnsi="Arial"/>
            <w:sz w:val="20"/>
            <w:szCs w:val="20"/>
            <w:u w:val="single" w:color="auto"/>
            <w:color w:val="0000FF"/>
          </w:rPr>
          <w:t>2011 and incorporated herein by reference).</w:t>
        </w:r>
      </w:hyperlink>
    </w:p>
    <w:p>
      <w:pPr>
        <w:spacing w:after="0" w:line="200" w:lineRule="exact"/>
        <w:rPr>
          <w:rFonts w:ascii="Arial" w:cs="Arial" w:eastAsia="Arial" w:hAnsi="Arial"/>
          <w:sz w:val="20"/>
          <w:szCs w:val="20"/>
          <w:u w:val="single" w:color="auto"/>
          <w:color w:val="0000FF"/>
        </w:rPr>
      </w:pPr>
    </w:p>
    <w:p>
      <w:pPr>
        <w:sectPr>
          <w:pgSz w:w="11900" w:h="16838" w:orient="portrait"/>
          <w:cols w:equalWidth="0" w:num="2">
            <w:col w:w="1286" w:space="700"/>
            <w:col w:w="7340"/>
          </w:cols>
          <w:pgMar w:left="1254" w:top="1440" w:right="1326" w:bottom="0" w:gutter="0" w:footer="0" w:header="0"/>
          <w:type w:val="continuous"/>
        </w:sectPr>
      </w:pPr>
    </w:p>
    <w:p>
      <w:pPr>
        <w:spacing w:after="0" w:line="200" w:lineRule="exact"/>
        <w:rPr>
          <w:rFonts w:ascii="Arial" w:cs="Arial" w:eastAsia="Arial" w:hAnsi="Arial"/>
          <w:sz w:val="20"/>
          <w:szCs w:val="20"/>
          <w:u w:val="single" w:color="auto"/>
          <w:color w:val="0000FF"/>
        </w:rPr>
      </w:pPr>
    </w:p>
    <w:p>
      <w:pPr>
        <w:spacing w:after="0" w:line="377" w:lineRule="exact"/>
        <w:rPr>
          <w:rFonts w:ascii="Arial" w:cs="Arial" w:eastAsia="Arial" w:hAnsi="Arial"/>
          <w:sz w:val="20"/>
          <w:szCs w:val="20"/>
          <w:u w:val="single" w:color="auto"/>
          <w:color w:val="0000FF"/>
        </w:rPr>
      </w:pPr>
    </w:p>
    <w:p>
      <w:pPr>
        <w:jc w:val="center"/>
        <w:ind w:right="-65"/>
        <w:spacing w:after="0"/>
        <w:rPr>
          <w:sz w:val="20"/>
          <w:szCs w:val="20"/>
          <w:color w:val="auto"/>
        </w:rPr>
      </w:pPr>
      <w:r>
        <w:rPr>
          <w:rFonts w:ascii="Arial" w:cs="Arial" w:eastAsia="Arial" w:hAnsi="Arial"/>
          <w:sz w:val="20"/>
          <w:szCs w:val="20"/>
          <w:color w:val="auto"/>
        </w:rPr>
        <w:t>12 / 31</w:t>
      </w:r>
    </w:p>
    <w:p>
      <w:pPr>
        <w:sectPr>
          <w:pgSz w:w="11900" w:h="16838" w:orient="portrait"/>
          <w:cols w:equalWidth="0" w:num="1">
            <w:col w:w="9326"/>
          </w:cols>
          <w:pgMar w:left="1254" w:top="1440" w:right="1326" w:bottom="0" w:gutter="0" w:footer="0" w:header="0"/>
          <w:type w:val="continuous"/>
        </w:sectPr>
      </w:pPr>
    </w:p>
    <w:bookmarkStart w:id="330" w:name="page331"/>
    <w:bookmarkEnd w:id="330"/>
    <w:tbl>
      <w:tblPr>
        <w:tblLayout w:type="fixed"/>
        <w:tblInd w:w="0" w:type="dxa"/>
        <w:tblCellMar>
          <w:top w:w="0" w:type="dxa"/>
          <w:left w:w="0" w:type="dxa"/>
          <w:bottom w:w="0" w:type="dxa"/>
          <w:right w:w="0" w:type="dxa"/>
        </w:tblCellMar>
      </w:tblPr>
      <w:tr>
        <w:trPr>
          <w:trHeight w:val="230"/>
        </w:trPr>
        <w:tc>
          <w:tcPr>
            <w:tcW w:w="1980" w:type="dxa"/>
            <w:vAlign w:val="bottom"/>
          </w:tcPr>
          <w:p>
            <w:pPr>
              <w:jc w:val="right"/>
              <w:ind w:right="1060"/>
              <w:spacing w:after="0"/>
              <w:rPr>
                <w:sz w:val="20"/>
                <w:szCs w:val="20"/>
                <w:color w:val="auto"/>
              </w:rPr>
            </w:pPr>
            <w:r>
              <w:rPr>
                <w:rFonts w:ascii="Arial" w:cs="Arial" w:eastAsia="Arial" w:hAnsi="Arial"/>
                <w:sz w:val="20"/>
                <w:szCs w:val="20"/>
                <w:color w:val="auto"/>
              </w:rPr>
              <w:t>4.3</w:t>
            </w:r>
          </w:p>
        </w:tc>
        <w:tc>
          <w:tcPr>
            <w:tcW w:w="6840" w:type="dxa"/>
            <w:vAlign w:val="bottom"/>
            <w:tcBorders>
              <w:bottom w:val="single" w:sz="8" w:color="0000FF"/>
            </w:tcBorders>
            <w:gridSpan w:val="13"/>
          </w:tcPr>
          <w:p>
            <w:pPr>
              <w:spacing w:after="0"/>
              <w:rPr>
                <w:rFonts w:ascii="Arial" w:cs="Arial" w:eastAsia="Arial" w:hAnsi="Arial"/>
                <w:sz w:val="20"/>
                <w:szCs w:val="20"/>
                <w:color w:val="0000FF"/>
                <w:w w:val="92"/>
              </w:rPr>
            </w:pPr>
            <w:hyperlink r:id="rId588">
              <w:r>
                <w:rPr>
                  <w:rFonts w:ascii="Arial" w:cs="Arial" w:eastAsia="Arial" w:hAnsi="Arial"/>
                  <w:sz w:val="20"/>
                  <w:szCs w:val="20"/>
                  <w:color w:val="0000FF"/>
                  <w:w w:val="92"/>
                </w:rPr>
                <w:t>Form of Indenture (Filed as Exhibit (d)(5) to Post-Effective Amendment No. 2 to the</w:t>
              </w:r>
            </w:hyperlink>
          </w:p>
        </w:tc>
        <w:tc>
          <w:tcPr>
            <w:tcW w:w="580" w:type="dxa"/>
            <w:vAlign w:val="bottom"/>
            <w:gridSpan w:val="2"/>
          </w:tcPr>
          <w:p>
            <w:pPr>
              <w:spacing w:after="0"/>
              <w:rPr>
                <w:sz w:val="19"/>
                <w:szCs w:val="19"/>
                <w:color w:val="auto"/>
              </w:rPr>
            </w:pPr>
          </w:p>
        </w:tc>
      </w:tr>
      <w:tr>
        <w:trPr>
          <w:trHeight w:val="280"/>
        </w:trPr>
        <w:tc>
          <w:tcPr>
            <w:tcW w:w="1980" w:type="dxa"/>
            <w:vAlign w:val="bottom"/>
          </w:tcPr>
          <w:p>
            <w:pPr>
              <w:spacing w:after="0"/>
              <w:rPr>
                <w:sz w:val="24"/>
                <w:szCs w:val="24"/>
                <w:color w:val="auto"/>
              </w:rPr>
            </w:pPr>
          </w:p>
        </w:tc>
        <w:tc>
          <w:tcPr>
            <w:tcW w:w="6660" w:type="dxa"/>
            <w:vAlign w:val="bottom"/>
            <w:tcBorders>
              <w:bottom w:val="single" w:sz="8" w:color="0000FF"/>
            </w:tcBorders>
            <w:gridSpan w:val="8"/>
          </w:tcPr>
          <w:p>
            <w:pPr>
              <w:spacing w:after="0"/>
              <w:rPr>
                <w:rFonts w:ascii="Arial" w:cs="Arial" w:eastAsia="Arial" w:hAnsi="Arial"/>
                <w:sz w:val="20"/>
                <w:szCs w:val="20"/>
                <w:color w:val="0000FF"/>
                <w:w w:val="92"/>
              </w:rPr>
            </w:pPr>
            <w:hyperlink r:id="rId588">
              <w:r>
                <w:rPr>
                  <w:rFonts w:ascii="Arial" w:cs="Arial" w:eastAsia="Arial" w:hAnsi="Arial"/>
                  <w:sz w:val="20"/>
                  <w:szCs w:val="20"/>
                  <w:color w:val="0000FF"/>
                  <w:w w:val="92"/>
                </w:rPr>
                <w:t>Registrant’s Registration Statement on Form N-2 (File No. 333-202531) filed with</w:t>
              </w:r>
            </w:hyperlink>
          </w:p>
        </w:tc>
        <w:tc>
          <w:tcPr>
            <w:tcW w:w="760" w:type="dxa"/>
            <w:vAlign w:val="bottom"/>
            <w:gridSpan w:val="7"/>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800" w:type="dxa"/>
            <w:vAlign w:val="bottom"/>
            <w:tcBorders>
              <w:bottom w:val="single" w:sz="8" w:color="0000FF"/>
            </w:tcBorders>
            <w:gridSpan w:val="11"/>
          </w:tcPr>
          <w:p>
            <w:pPr>
              <w:spacing w:after="0"/>
              <w:rPr>
                <w:rFonts w:ascii="Arial" w:cs="Arial" w:eastAsia="Arial" w:hAnsi="Arial"/>
                <w:sz w:val="20"/>
                <w:szCs w:val="20"/>
                <w:color w:val="0000FF"/>
                <w:w w:val="91"/>
              </w:rPr>
            </w:pPr>
            <w:hyperlink r:id="rId588">
              <w:r>
                <w:rPr>
                  <w:rFonts w:ascii="Arial" w:cs="Arial" w:eastAsia="Arial" w:hAnsi="Arial"/>
                  <w:sz w:val="20"/>
                  <w:szCs w:val="20"/>
                  <w:color w:val="0000FF"/>
                  <w:w w:val="91"/>
                </w:rPr>
                <w:t>the Securities and Exchange Commission on April 29, 2016 and incorporated herein</w:t>
              </w:r>
            </w:hyperlink>
          </w:p>
        </w:tc>
        <w:tc>
          <w:tcPr>
            <w:tcW w:w="620" w:type="dxa"/>
            <w:vAlign w:val="bottom"/>
            <w:gridSpan w:val="4"/>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7420" w:type="dxa"/>
            <w:vAlign w:val="bottom"/>
            <w:gridSpan w:val="15"/>
          </w:tcPr>
          <w:p>
            <w:pPr>
              <w:spacing w:after="0"/>
              <w:rPr>
                <w:rFonts w:ascii="Arial" w:cs="Arial" w:eastAsia="Arial" w:hAnsi="Arial"/>
                <w:sz w:val="20"/>
                <w:szCs w:val="20"/>
                <w:color w:val="0000FF"/>
              </w:rPr>
            </w:pPr>
            <w:hyperlink r:id="rId588">
              <w:r>
                <w:rPr>
                  <w:rFonts w:ascii="Arial" w:cs="Arial" w:eastAsia="Arial" w:hAnsi="Arial"/>
                  <w:sz w:val="20"/>
                  <w:szCs w:val="20"/>
                  <w:color w:val="0000FF"/>
                </w:rPr>
                <w:t>by reference).</w:t>
              </w:r>
            </w:hyperlink>
          </w:p>
        </w:tc>
      </w:tr>
      <w:tr>
        <w:trPr>
          <w:trHeight w:val="20"/>
        </w:trPr>
        <w:tc>
          <w:tcPr>
            <w:tcW w:w="19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0"/>
        </w:trPr>
        <w:tc>
          <w:tcPr>
            <w:tcW w:w="1980" w:type="dxa"/>
            <w:vAlign w:val="bottom"/>
          </w:tcPr>
          <w:p>
            <w:pPr>
              <w:jc w:val="right"/>
              <w:ind w:right="1060"/>
              <w:spacing w:after="0"/>
              <w:rPr>
                <w:sz w:val="20"/>
                <w:szCs w:val="20"/>
                <w:color w:val="auto"/>
              </w:rPr>
            </w:pPr>
            <w:r>
              <w:rPr>
                <w:rFonts w:ascii="Arial" w:cs="Arial" w:eastAsia="Arial" w:hAnsi="Arial"/>
                <w:sz w:val="20"/>
                <w:szCs w:val="20"/>
                <w:color w:val="auto"/>
              </w:rPr>
              <w:t>4.4</w:t>
            </w:r>
          </w:p>
        </w:tc>
        <w:tc>
          <w:tcPr>
            <w:tcW w:w="6820" w:type="dxa"/>
            <w:vAlign w:val="bottom"/>
            <w:tcBorders>
              <w:bottom w:val="single" w:sz="8" w:color="0000FF"/>
            </w:tcBorders>
            <w:gridSpan w:val="12"/>
          </w:tcPr>
          <w:p>
            <w:pPr>
              <w:spacing w:after="0"/>
              <w:rPr>
                <w:rFonts w:ascii="Arial" w:cs="Arial" w:eastAsia="Arial" w:hAnsi="Arial"/>
                <w:sz w:val="20"/>
                <w:szCs w:val="20"/>
                <w:color w:val="0000FF"/>
                <w:w w:val="90"/>
              </w:rPr>
            </w:pPr>
            <w:hyperlink r:id="rId589">
              <w:r>
                <w:rPr>
                  <w:rFonts w:ascii="Arial" w:cs="Arial" w:eastAsia="Arial" w:hAnsi="Arial"/>
                  <w:sz w:val="20"/>
                  <w:szCs w:val="20"/>
                  <w:color w:val="0000FF"/>
                  <w:w w:val="90"/>
                </w:rPr>
                <w:t>Fifth Supplemental Indenture dated as of October 8, 2021 between Fidus Investment</w:t>
              </w:r>
            </w:hyperlink>
          </w:p>
        </w:tc>
        <w:tc>
          <w:tcPr>
            <w:tcW w:w="600" w:type="dxa"/>
            <w:vAlign w:val="bottom"/>
            <w:gridSpan w:val="3"/>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700" w:type="dxa"/>
            <w:vAlign w:val="bottom"/>
            <w:tcBorders>
              <w:bottom w:val="single" w:sz="8" w:color="0000FF"/>
            </w:tcBorders>
            <w:gridSpan w:val="9"/>
          </w:tcPr>
          <w:p>
            <w:pPr>
              <w:spacing w:after="0"/>
              <w:rPr>
                <w:rFonts w:ascii="Arial" w:cs="Arial" w:eastAsia="Arial" w:hAnsi="Arial"/>
                <w:sz w:val="20"/>
                <w:szCs w:val="20"/>
                <w:color w:val="0000FF"/>
                <w:w w:val="91"/>
              </w:rPr>
            </w:pPr>
            <w:hyperlink r:id="rId589">
              <w:r>
                <w:rPr>
                  <w:rFonts w:ascii="Arial" w:cs="Arial" w:eastAsia="Arial" w:hAnsi="Arial"/>
                  <w:sz w:val="20"/>
                  <w:szCs w:val="20"/>
                  <w:color w:val="0000FF"/>
                  <w:w w:val="91"/>
                </w:rPr>
                <w:t>Corporation and U.S. Bank National Association, as trustee (Filed as Exhibit 4.1 to</w:t>
              </w:r>
            </w:hyperlink>
          </w:p>
        </w:tc>
        <w:tc>
          <w:tcPr>
            <w:tcW w:w="720" w:type="dxa"/>
            <w:vAlign w:val="bottom"/>
            <w:gridSpan w:val="6"/>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360" w:type="dxa"/>
            <w:vAlign w:val="bottom"/>
            <w:tcBorders>
              <w:bottom w:val="single" w:sz="8" w:color="0000FF"/>
            </w:tcBorders>
            <w:gridSpan w:val="3"/>
          </w:tcPr>
          <w:p>
            <w:pPr>
              <w:spacing w:after="0"/>
              <w:rPr>
                <w:rFonts w:ascii="Arial" w:cs="Arial" w:eastAsia="Arial" w:hAnsi="Arial"/>
                <w:sz w:val="20"/>
                <w:szCs w:val="20"/>
                <w:color w:val="0000FF"/>
                <w:w w:val="92"/>
              </w:rPr>
            </w:pPr>
            <w:hyperlink r:id="rId589">
              <w:r>
                <w:rPr>
                  <w:rFonts w:ascii="Arial" w:cs="Arial" w:eastAsia="Arial" w:hAnsi="Arial"/>
                  <w:sz w:val="20"/>
                  <w:szCs w:val="20"/>
                  <w:color w:val="0000FF"/>
                  <w:w w:val="92"/>
                </w:rPr>
                <w:t>the Registrant’s Current Report on Form 8-K filed with the U.S. Securities and</w:t>
              </w:r>
            </w:hyperlink>
          </w:p>
        </w:tc>
        <w:tc>
          <w:tcPr>
            <w:tcW w:w="1060" w:type="dxa"/>
            <w:vAlign w:val="bottom"/>
            <w:gridSpan w:val="12"/>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80" w:type="dxa"/>
            <w:vAlign w:val="bottom"/>
            <w:tcBorders>
              <w:bottom w:val="single" w:sz="8" w:color="0000FF"/>
            </w:tcBorders>
            <w:gridSpan w:val="7"/>
          </w:tcPr>
          <w:p>
            <w:pPr>
              <w:spacing w:after="0"/>
              <w:rPr>
                <w:rFonts w:ascii="Arial" w:cs="Arial" w:eastAsia="Arial" w:hAnsi="Arial"/>
                <w:sz w:val="20"/>
                <w:szCs w:val="20"/>
                <w:color w:val="0000FF"/>
                <w:w w:val="90"/>
              </w:rPr>
            </w:pPr>
            <w:hyperlink r:id="rId589">
              <w:r>
                <w:rPr>
                  <w:rFonts w:ascii="Arial" w:cs="Arial" w:eastAsia="Arial" w:hAnsi="Arial"/>
                  <w:sz w:val="20"/>
                  <w:szCs w:val="20"/>
                  <w:color w:val="0000FF"/>
                  <w:w w:val="90"/>
                </w:rPr>
                <w:t>Exchange Commission on October 8, 2021 and incorporated herein by reference).</w:t>
              </w:r>
            </w:hyperlink>
          </w:p>
        </w:tc>
        <w:tc>
          <w:tcPr>
            <w:tcW w:w="840" w:type="dxa"/>
            <w:vAlign w:val="bottom"/>
            <w:gridSpan w:val="8"/>
          </w:tcPr>
          <w:p>
            <w:pPr>
              <w:spacing w:after="0"/>
              <w:rPr>
                <w:sz w:val="24"/>
                <w:szCs w:val="24"/>
                <w:color w:val="auto"/>
              </w:rPr>
            </w:pPr>
          </w:p>
        </w:tc>
      </w:tr>
      <w:tr>
        <w:trPr>
          <w:trHeight w:val="600"/>
        </w:trPr>
        <w:tc>
          <w:tcPr>
            <w:tcW w:w="1980" w:type="dxa"/>
            <w:vAlign w:val="bottom"/>
          </w:tcPr>
          <w:p>
            <w:pPr>
              <w:jc w:val="right"/>
              <w:ind w:right="1060"/>
              <w:spacing w:after="0"/>
              <w:rPr>
                <w:sz w:val="20"/>
                <w:szCs w:val="20"/>
                <w:color w:val="auto"/>
              </w:rPr>
            </w:pPr>
            <w:r>
              <w:rPr>
                <w:rFonts w:ascii="Arial" w:cs="Arial" w:eastAsia="Arial" w:hAnsi="Arial"/>
                <w:sz w:val="20"/>
                <w:szCs w:val="20"/>
                <w:color w:val="auto"/>
              </w:rPr>
              <w:t>4.5</w:t>
            </w:r>
          </w:p>
        </w:tc>
        <w:tc>
          <w:tcPr>
            <w:tcW w:w="6800" w:type="dxa"/>
            <w:vAlign w:val="bottom"/>
            <w:tcBorders>
              <w:bottom w:val="single" w:sz="8" w:color="0000FF"/>
            </w:tcBorders>
            <w:gridSpan w:val="11"/>
          </w:tcPr>
          <w:p>
            <w:pPr>
              <w:spacing w:after="0"/>
              <w:rPr>
                <w:rFonts w:ascii="Arial" w:cs="Arial" w:eastAsia="Arial" w:hAnsi="Arial"/>
                <w:sz w:val="20"/>
                <w:szCs w:val="20"/>
                <w:color w:val="0000FF"/>
                <w:w w:val="91"/>
              </w:rPr>
            </w:pPr>
            <w:hyperlink r:id="rId589">
              <w:r>
                <w:rPr>
                  <w:rFonts w:ascii="Arial" w:cs="Arial" w:eastAsia="Arial" w:hAnsi="Arial"/>
                  <w:sz w:val="20"/>
                  <w:szCs w:val="20"/>
                  <w:color w:val="0000FF"/>
                  <w:w w:val="91"/>
                </w:rPr>
                <w:t>Form of Global Note with respect to the 3.50% Notes due 2026 (Filed as Exhibit 4.1</w:t>
              </w:r>
            </w:hyperlink>
          </w:p>
        </w:tc>
        <w:tc>
          <w:tcPr>
            <w:tcW w:w="620" w:type="dxa"/>
            <w:vAlign w:val="bottom"/>
            <w:gridSpan w:val="4"/>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80" w:type="dxa"/>
            <w:vAlign w:val="bottom"/>
            <w:tcBorders>
              <w:bottom w:val="single" w:sz="8" w:color="0000FF"/>
            </w:tcBorders>
            <w:gridSpan w:val="7"/>
          </w:tcPr>
          <w:p>
            <w:pPr>
              <w:spacing w:after="0"/>
              <w:rPr>
                <w:rFonts w:ascii="Arial" w:cs="Arial" w:eastAsia="Arial" w:hAnsi="Arial"/>
                <w:sz w:val="20"/>
                <w:szCs w:val="20"/>
                <w:color w:val="0000FF"/>
                <w:w w:val="92"/>
              </w:rPr>
            </w:pPr>
            <w:hyperlink r:id="rId589">
              <w:r>
                <w:rPr>
                  <w:rFonts w:ascii="Arial" w:cs="Arial" w:eastAsia="Arial" w:hAnsi="Arial"/>
                  <w:sz w:val="20"/>
                  <w:szCs w:val="20"/>
                  <w:color w:val="0000FF"/>
                  <w:w w:val="92"/>
                </w:rPr>
                <w:t>to the Registrant’s Current Report on Form 8-K filed with the U.S. Securities and</w:t>
              </w:r>
            </w:hyperlink>
          </w:p>
        </w:tc>
        <w:tc>
          <w:tcPr>
            <w:tcW w:w="840" w:type="dxa"/>
            <w:vAlign w:val="bottom"/>
            <w:gridSpan w:val="8"/>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60" w:type="dxa"/>
            <w:vAlign w:val="bottom"/>
            <w:tcBorders>
              <w:bottom w:val="single" w:sz="8" w:color="0000FF"/>
            </w:tcBorders>
            <w:gridSpan w:val="6"/>
          </w:tcPr>
          <w:p>
            <w:pPr>
              <w:spacing w:after="0"/>
              <w:rPr>
                <w:rFonts w:ascii="Arial" w:cs="Arial" w:eastAsia="Arial" w:hAnsi="Arial"/>
                <w:sz w:val="20"/>
                <w:szCs w:val="20"/>
                <w:color w:val="0000FF"/>
                <w:w w:val="89"/>
              </w:rPr>
            </w:pPr>
            <w:hyperlink r:id="rId589">
              <w:r>
                <w:rPr>
                  <w:rFonts w:ascii="Arial" w:cs="Arial" w:eastAsia="Arial" w:hAnsi="Arial"/>
                  <w:sz w:val="20"/>
                  <w:szCs w:val="20"/>
                  <w:color w:val="0000FF"/>
                  <w:w w:val="89"/>
                </w:rPr>
                <w:t>Exchange Commission on October 8, 2021 and incorporated herein by reference).</w:t>
              </w:r>
            </w:hyperlink>
          </w:p>
        </w:tc>
        <w:tc>
          <w:tcPr>
            <w:tcW w:w="860" w:type="dxa"/>
            <w:vAlign w:val="bottom"/>
            <w:gridSpan w:val="9"/>
          </w:tcPr>
          <w:p>
            <w:pPr>
              <w:spacing w:after="0"/>
              <w:rPr>
                <w:sz w:val="24"/>
                <w:szCs w:val="24"/>
                <w:color w:val="auto"/>
              </w:rPr>
            </w:pPr>
          </w:p>
        </w:tc>
      </w:tr>
      <w:tr>
        <w:trPr>
          <w:trHeight w:val="600"/>
        </w:trPr>
        <w:tc>
          <w:tcPr>
            <w:tcW w:w="1980" w:type="dxa"/>
            <w:vAlign w:val="bottom"/>
          </w:tcPr>
          <w:p>
            <w:pPr>
              <w:jc w:val="right"/>
              <w:ind w:right="1060"/>
              <w:spacing w:after="0"/>
              <w:rPr>
                <w:sz w:val="20"/>
                <w:szCs w:val="20"/>
                <w:color w:val="auto"/>
              </w:rPr>
            </w:pPr>
            <w:r>
              <w:rPr>
                <w:rFonts w:ascii="Arial" w:cs="Arial" w:eastAsia="Arial" w:hAnsi="Arial"/>
                <w:sz w:val="20"/>
                <w:szCs w:val="20"/>
                <w:color w:val="auto"/>
              </w:rPr>
              <w:t>4.6</w:t>
            </w:r>
          </w:p>
        </w:tc>
        <w:tc>
          <w:tcPr>
            <w:tcW w:w="5980" w:type="dxa"/>
            <w:vAlign w:val="bottom"/>
            <w:tcBorders>
              <w:bottom w:val="single" w:sz="8" w:color="0000FF"/>
            </w:tcBorders>
            <w:gridSpan w:val="2"/>
          </w:tcPr>
          <w:p>
            <w:pPr>
              <w:spacing w:after="0"/>
              <w:rPr>
                <w:rFonts w:ascii="Arial" w:cs="Arial" w:eastAsia="Arial" w:hAnsi="Arial"/>
                <w:sz w:val="20"/>
                <w:szCs w:val="20"/>
                <w:color w:val="0000FF"/>
                <w:w w:val="90"/>
              </w:rPr>
            </w:pPr>
            <w:hyperlink r:id="rId590">
              <w:r>
                <w:rPr>
                  <w:rFonts w:ascii="Arial" w:cs="Arial" w:eastAsia="Arial" w:hAnsi="Arial"/>
                  <w:sz w:val="20"/>
                  <w:szCs w:val="20"/>
                  <w:color w:val="0000FF"/>
                  <w:w w:val="90"/>
                </w:rPr>
                <w:t>Sixth Supplemental Indenture, dated as of March 19, 2025, between Fidus</w:t>
              </w:r>
            </w:hyperlink>
          </w:p>
        </w:tc>
        <w:tc>
          <w:tcPr>
            <w:tcW w:w="1440" w:type="dxa"/>
            <w:vAlign w:val="bottom"/>
            <w:gridSpan w:val="13"/>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40" w:type="dxa"/>
            <w:vAlign w:val="bottom"/>
            <w:tcBorders>
              <w:bottom w:val="single" w:sz="8" w:color="0000FF"/>
            </w:tcBorders>
            <w:gridSpan w:val="5"/>
          </w:tcPr>
          <w:p>
            <w:pPr>
              <w:spacing w:after="0"/>
              <w:rPr>
                <w:rFonts w:ascii="Arial" w:cs="Arial" w:eastAsia="Arial" w:hAnsi="Arial"/>
                <w:sz w:val="20"/>
                <w:szCs w:val="20"/>
                <w:color w:val="0000FF"/>
                <w:w w:val="91"/>
              </w:rPr>
            </w:pPr>
            <w:hyperlink r:id="rId590">
              <w:r>
                <w:rPr>
                  <w:rFonts w:ascii="Arial" w:cs="Arial" w:eastAsia="Arial" w:hAnsi="Arial"/>
                  <w:sz w:val="20"/>
                  <w:szCs w:val="20"/>
                  <w:color w:val="0000FF"/>
                  <w:w w:val="91"/>
                </w:rPr>
                <w:t>Investment Corporation and U.S. Bank Trust Company, National Association (as</w:t>
              </w:r>
            </w:hyperlink>
          </w:p>
        </w:tc>
        <w:tc>
          <w:tcPr>
            <w:tcW w:w="880" w:type="dxa"/>
            <w:vAlign w:val="bottom"/>
            <w:gridSpan w:val="10"/>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780" w:type="dxa"/>
            <w:vAlign w:val="bottom"/>
            <w:tcBorders>
              <w:bottom w:val="single" w:sz="8" w:color="0000FF"/>
            </w:tcBorders>
            <w:gridSpan w:val="10"/>
          </w:tcPr>
          <w:p>
            <w:pPr>
              <w:spacing w:after="0"/>
              <w:rPr>
                <w:rFonts w:ascii="Arial" w:cs="Arial" w:eastAsia="Arial" w:hAnsi="Arial"/>
                <w:sz w:val="20"/>
                <w:szCs w:val="20"/>
                <w:color w:val="0000FF"/>
                <w:w w:val="91"/>
              </w:rPr>
            </w:pPr>
            <w:hyperlink r:id="rId590">
              <w:r>
                <w:rPr>
                  <w:rFonts w:ascii="Arial" w:cs="Arial" w:eastAsia="Arial" w:hAnsi="Arial"/>
                  <w:sz w:val="20"/>
                  <w:szCs w:val="20"/>
                  <w:color w:val="0000FF"/>
                  <w:w w:val="91"/>
                </w:rPr>
                <w:t>successor in interest to U.S. Bank National Association), as trustee (Filed as Exhibit</w:t>
              </w:r>
            </w:hyperlink>
          </w:p>
        </w:tc>
        <w:tc>
          <w:tcPr>
            <w:tcW w:w="640" w:type="dxa"/>
            <w:vAlign w:val="bottom"/>
            <w:gridSpan w:val="5"/>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860" w:type="dxa"/>
            <w:vAlign w:val="bottom"/>
            <w:tcBorders>
              <w:bottom w:val="single" w:sz="8" w:color="0000FF"/>
            </w:tcBorders>
            <w:gridSpan w:val="14"/>
          </w:tcPr>
          <w:p>
            <w:pPr>
              <w:spacing w:after="0"/>
              <w:rPr>
                <w:rFonts w:ascii="Arial" w:cs="Arial" w:eastAsia="Arial" w:hAnsi="Arial"/>
                <w:sz w:val="20"/>
                <w:szCs w:val="20"/>
                <w:color w:val="0000FF"/>
                <w:w w:val="92"/>
              </w:rPr>
            </w:pPr>
            <w:hyperlink r:id="rId590">
              <w:r>
                <w:rPr>
                  <w:rFonts w:ascii="Arial" w:cs="Arial" w:eastAsia="Arial" w:hAnsi="Arial"/>
                  <w:sz w:val="20"/>
                  <w:szCs w:val="20"/>
                  <w:color w:val="0000FF"/>
                  <w:w w:val="92"/>
                </w:rPr>
                <w:t>4.</w:t>
              </w:r>
              <w:r>
                <w:rPr>
                  <w:rFonts w:ascii="Arial" w:cs="Arial" w:eastAsia="Arial" w:hAnsi="Arial"/>
                  <w:sz w:val="20"/>
                  <w:szCs w:val="20"/>
                  <w:u w:val="single" w:color="auto"/>
                  <w:color w:val="0000FF"/>
                  <w:w w:val="92"/>
                </w:rPr>
                <w:t>2</w:t>
              </w:r>
              <w:r>
                <w:rPr>
                  <w:rFonts w:ascii="Arial" w:cs="Arial" w:eastAsia="Arial" w:hAnsi="Arial"/>
                  <w:sz w:val="20"/>
                  <w:szCs w:val="20"/>
                  <w:color w:val="0000FF"/>
                  <w:w w:val="92"/>
                </w:rPr>
                <w:t xml:space="preserve"> to the Registrant’s Current Report on Form 8-K filed with the U.S. Securities and</w:t>
              </w:r>
            </w:hyperlink>
          </w:p>
        </w:tc>
        <w:tc>
          <w:tcPr>
            <w:tcW w:w="560" w:type="dxa"/>
            <w:vAlign w:val="bottom"/>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7420" w:type="dxa"/>
            <w:vAlign w:val="bottom"/>
            <w:gridSpan w:val="15"/>
          </w:tcPr>
          <w:p>
            <w:pPr>
              <w:spacing w:after="0"/>
              <w:rPr>
                <w:rFonts w:ascii="Arial" w:cs="Arial" w:eastAsia="Arial" w:hAnsi="Arial"/>
                <w:sz w:val="20"/>
                <w:szCs w:val="20"/>
                <w:color w:val="0000FF"/>
              </w:rPr>
            </w:pPr>
            <w:hyperlink r:id="rId590">
              <w:r>
                <w:rPr>
                  <w:rFonts w:ascii="Arial" w:cs="Arial" w:eastAsia="Arial" w:hAnsi="Arial"/>
                  <w:sz w:val="20"/>
                  <w:szCs w:val="20"/>
                  <w:color w:val="0000FF"/>
                </w:rPr>
                <w:t>Exchange Commission on March 19, 2025 and incorporated herein by reference).</w:t>
              </w:r>
            </w:hyperlink>
          </w:p>
        </w:tc>
      </w:tr>
      <w:tr>
        <w:trPr>
          <w:trHeight w:val="300"/>
        </w:trPr>
        <w:tc>
          <w:tcPr>
            <w:tcW w:w="1980" w:type="dxa"/>
            <w:vAlign w:val="bottom"/>
          </w:tcPr>
          <w:p>
            <w:pPr>
              <w:spacing w:after="0"/>
              <w:rPr>
                <w:sz w:val="24"/>
                <w:szCs w:val="24"/>
                <w:color w:val="auto"/>
              </w:rPr>
            </w:pPr>
          </w:p>
        </w:tc>
        <w:tc>
          <w:tcPr>
            <w:tcW w:w="5980" w:type="dxa"/>
            <w:vAlign w:val="bottom"/>
            <w:tcBorders>
              <w:top w:val="single" w:sz="8" w:color="0000FF"/>
            </w:tcBorders>
            <w:gridSpan w:val="2"/>
          </w:tcPr>
          <w:p>
            <w:pPr>
              <w:ind w:left="2560"/>
              <w:spacing w:after="0"/>
              <w:rPr>
                <w:sz w:val="20"/>
                <w:szCs w:val="20"/>
                <w:color w:val="auto"/>
              </w:rPr>
            </w:pPr>
            <w:r>
              <w:rPr>
                <w:rFonts w:ascii="Arial" w:cs="Arial" w:eastAsia="Arial" w:hAnsi="Arial"/>
                <w:sz w:val="20"/>
                <w:szCs w:val="20"/>
                <w:color w:val="auto"/>
              </w:rPr>
              <w:t>136</w:t>
            </w: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91"/>
        </w:trPr>
        <w:tc>
          <w:tcPr>
            <w:tcW w:w="19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31</w:t>
      </w:r>
    </w:p>
    <w:p>
      <w:pPr>
        <w:sectPr>
          <w:pgSz w:w="11900" w:h="16838" w:orient="portrait"/>
          <w:cols w:equalWidth="0" w:num="1">
            <w:col w:w="9400"/>
          </w:cols>
          <w:pgMar w:left="1260" w:top="1143" w:right="1246" w:bottom="0" w:gutter="0" w:footer="0" w:header="0"/>
          <w:type w:val="continuous"/>
        </w:sectPr>
      </w:pPr>
    </w:p>
    <w:bookmarkStart w:id="331" w:name="page332"/>
    <w:bookmarkEnd w:id="331"/>
    <w:p>
      <w:pPr>
        <w:spacing w:after="0" w:line="200" w:lineRule="exact"/>
        <w:rPr>
          <w:sz w:val="20"/>
          <w:szCs w:val="20"/>
          <w:color w:val="auto"/>
        </w:rPr>
      </w:pP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6860" w:type="dxa"/>
            <w:vAlign w:val="bottom"/>
            <w:gridSpan w:val="6"/>
          </w:tcPr>
          <w:p>
            <w:pPr>
              <w:jc w:val="center"/>
              <w:ind w:right="1440"/>
              <w:spacing w:after="0"/>
              <w:rPr>
                <w:sz w:val="20"/>
                <w:szCs w:val="20"/>
                <w:color w:val="auto"/>
              </w:rPr>
            </w:pPr>
            <w:r>
              <w:rPr>
                <w:rFonts w:ascii="Arial" w:cs="Arial" w:eastAsia="Arial" w:hAnsi="Arial"/>
                <w:sz w:val="20"/>
                <w:szCs w:val="20"/>
                <w:b w:val="1"/>
                <w:bCs w:val="1"/>
                <w:color w:val="auto"/>
              </w:rPr>
              <w:t>FIDUS INVESTMENT CORPORATION</w:t>
            </w:r>
          </w:p>
        </w:tc>
      </w:tr>
      <w:tr>
        <w:trPr>
          <w:trHeight w:val="300"/>
        </w:trPr>
        <w:tc>
          <w:tcPr>
            <w:tcW w:w="1400" w:type="dxa"/>
            <w:vAlign w:val="bottom"/>
          </w:tcPr>
          <w:p>
            <w:pPr>
              <w:spacing w:after="0"/>
              <w:rPr>
                <w:sz w:val="24"/>
                <w:szCs w:val="24"/>
                <w:color w:val="auto"/>
              </w:rPr>
            </w:pPr>
          </w:p>
        </w:tc>
        <w:tc>
          <w:tcPr>
            <w:tcW w:w="6860" w:type="dxa"/>
            <w:vAlign w:val="bottom"/>
            <w:gridSpan w:val="6"/>
          </w:tcPr>
          <w:p>
            <w:pPr>
              <w:jc w:val="center"/>
              <w:ind w:right="1440"/>
              <w:spacing w:after="0"/>
              <w:rPr>
                <w:sz w:val="20"/>
                <w:szCs w:val="20"/>
                <w:color w:val="auto"/>
              </w:rPr>
            </w:pPr>
            <w:r>
              <w:rPr>
                <w:rFonts w:ascii="Arial" w:cs="Arial" w:eastAsia="Arial" w:hAnsi="Arial"/>
                <w:sz w:val="20"/>
                <w:szCs w:val="20"/>
                <w:b w:val="1"/>
                <w:bCs w:val="1"/>
                <w:color w:val="auto"/>
                <w:w w:val="88"/>
              </w:rPr>
              <w:t>Notes to Consolidated Financial Statements</w:t>
            </w:r>
          </w:p>
        </w:tc>
      </w:tr>
      <w:tr>
        <w:trPr>
          <w:trHeight w:val="300"/>
        </w:trPr>
        <w:tc>
          <w:tcPr>
            <w:tcW w:w="1400" w:type="dxa"/>
            <w:vAlign w:val="bottom"/>
          </w:tcPr>
          <w:p>
            <w:pPr>
              <w:spacing w:after="0"/>
              <w:rPr>
                <w:sz w:val="24"/>
                <w:szCs w:val="24"/>
                <w:color w:val="auto"/>
              </w:rPr>
            </w:pPr>
          </w:p>
        </w:tc>
        <w:tc>
          <w:tcPr>
            <w:tcW w:w="6860" w:type="dxa"/>
            <w:vAlign w:val="bottom"/>
            <w:gridSpan w:val="6"/>
          </w:tcPr>
          <w:p>
            <w:pPr>
              <w:jc w:val="center"/>
              <w:ind w:right="1440"/>
              <w:spacing w:after="0"/>
              <w:rPr>
                <w:sz w:val="20"/>
                <w:szCs w:val="20"/>
                <w:color w:val="auto"/>
              </w:rPr>
            </w:pPr>
            <w:r>
              <w:rPr>
                <w:rFonts w:ascii="Arial" w:cs="Arial" w:eastAsia="Arial" w:hAnsi="Arial"/>
                <w:sz w:val="20"/>
                <w:szCs w:val="20"/>
                <w:b w:val="1"/>
                <w:bCs w:val="1"/>
                <w:color w:val="auto"/>
                <w:w w:val="88"/>
              </w:rPr>
              <w:t>(in thousands, except shares and per share data)</w:t>
            </w:r>
          </w:p>
        </w:tc>
      </w:tr>
      <w:tr>
        <w:trPr>
          <w:trHeight w:val="790"/>
        </w:trPr>
        <w:tc>
          <w:tcPr>
            <w:tcW w:w="1400" w:type="dxa"/>
            <w:vAlign w:val="bottom"/>
          </w:tcPr>
          <w:p>
            <w:pPr>
              <w:jc w:val="right"/>
              <w:ind w:right="1060"/>
              <w:spacing w:after="0"/>
              <w:rPr>
                <w:sz w:val="20"/>
                <w:szCs w:val="20"/>
                <w:color w:val="auto"/>
              </w:rPr>
            </w:pPr>
            <w:r>
              <w:rPr>
                <w:rFonts w:ascii="Arial" w:cs="Arial" w:eastAsia="Arial" w:hAnsi="Arial"/>
                <w:sz w:val="20"/>
                <w:szCs w:val="20"/>
                <w:color w:val="auto"/>
                <w:w w:val="78"/>
              </w:rPr>
              <w:t>4.7</w:t>
            </w:r>
          </w:p>
        </w:tc>
        <w:tc>
          <w:tcPr>
            <w:tcW w:w="6600" w:type="dxa"/>
            <w:vAlign w:val="bottom"/>
            <w:tcBorders>
              <w:bottom w:val="single" w:sz="8" w:color="0000FF"/>
            </w:tcBorders>
            <w:gridSpan w:val="4"/>
          </w:tcPr>
          <w:p>
            <w:pPr>
              <w:spacing w:after="0"/>
              <w:rPr>
                <w:rFonts w:ascii="Arial" w:cs="Arial" w:eastAsia="Arial" w:hAnsi="Arial"/>
                <w:sz w:val="20"/>
                <w:szCs w:val="20"/>
                <w:color w:val="0000FF"/>
                <w:w w:val="91"/>
              </w:rPr>
            </w:pPr>
            <w:hyperlink r:id="rId590">
              <w:r>
                <w:rPr>
                  <w:rFonts w:ascii="Arial" w:cs="Arial" w:eastAsia="Arial" w:hAnsi="Arial"/>
                  <w:sz w:val="20"/>
                  <w:szCs w:val="20"/>
                  <w:color w:val="0000FF"/>
                  <w:w w:val="91"/>
                </w:rPr>
                <w:t>Form of Global Note with respect to the 6.750% Notes due 2030 (Filed as Exhibit</w:t>
              </w:r>
            </w:hyperlink>
          </w:p>
        </w:tc>
        <w:tc>
          <w:tcPr>
            <w:tcW w:w="260" w:type="dxa"/>
            <w:vAlign w:val="bottom"/>
            <w:gridSpan w:val="2"/>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60" w:type="dxa"/>
            <w:vAlign w:val="bottom"/>
            <w:tcBorders>
              <w:bottom w:val="single" w:sz="8" w:color="0000FF"/>
            </w:tcBorders>
            <w:gridSpan w:val="6"/>
          </w:tcPr>
          <w:p>
            <w:pPr>
              <w:spacing w:after="0"/>
              <w:rPr>
                <w:rFonts w:ascii="Arial" w:cs="Arial" w:eastAsia="Arial" w:hAnsi="Arial"/>
                <w:sz w:val="20"/>
                <w:szCs w:val="20"/>
                <w:color w:val="0000FF"/>
                <w:w w:val="92"/>
              </w:rPr>
            </w:pPr>
            <w:hyperlink r:id="rId590">
              <w:r>
                <w:rPr>
                  <w:rFonts w:ascii="Arial" w:cs="Arial" w:eastAsia="Arial" w:hAnsi="Arial"/>
                  <w:sz w:val="20"/>
                  <w:szCs w:val="20"/>
                  <w:color w:val="0000FF"/>
                  <w:w w:val="92"/>
                </w:rPr>
                <w:t>4.</w:t>
              </w:r>
              <w:r>
                <w:rPr>
                  <w:rFonts w:ascii="Arial" w:cs="Arial" w:eastAsia="Arial" w:hAnsi="Arial"/>
                  <w:sz w:val="20"/>
                  <w:szCs w:val="20"/>
                  <w:u w:val="single" w:color="auto"/>
                  <w:color w:val="0000FF"/>
                  <w:w w:val="92"/>
                </w:rPr>
                <w:t>3</w:t>
              </w:r>
              <w:r>
                <w:rPr>
                  <w:rFonts w:ascii="Arial" w:cs="Arial" w:eastAsia="Arial" w:hAnsi="Arial"/>
                  <w:sz w:val="20"/>
                  <w:szCs w:val="20"/>
                  <w:color w:val="0000FF"/>
                  <w:w w:val="92"/>
                </w:rPr>
                <w:t xml:space="preserve"> to the Registrant’s Current Report on Form 8-K filed with the U.S. Securities and</w:t>
              </w:r>
            </w:hyperlink>
          </w:p>
        </w:tc>
      </w:tr>
      <w:tr>
        <w:trPr>
          <w:trHeight w:val="280"/>
        </w:trPr>
        <w:tc>
          <w:tcPr>
            <w:tcW w:w="1400" w:type="dxa"/>
            <w:vAlign w:val="bottom"/>
          </w:tcPr>
          <w:p>
            <w:pPr>
              <w:spacing w:after="0"/>
              <w:rPr>
                <w:sz w:val="24"/>
                <w:szCs w:val="24"/>
                <w:color w:val="auto"/>
              </w:rPr>
            </w:pPr>
          </w:p>
        </w:tc>
        <w:tc>
          <w:tcPr>
            <w:tcW w:w="6860" w:type="dxa"/>
            <w:vAlign w:val="bottom"/>
            <w:gridSpan w:val="6"/>
          </w:tcPr>
          <w:p>
            <w:pPr>
              <w:spacing w:after="0"/>
              <w:rPr>
                <w:rFonts w:ascii="Arial" w:cs="Arial" w:eastAsia="Arial" w:hAnsi="Arial"/>
                <w:sz w:val="20"/>
                <w:szCs w:val="20"/>
                <w:color w:val="0000FF"/>
                <w:w w:val="94"/>
              </w:rPr>
            </w:pPr>
            <w:hyperlink r:id="rId590">
              <w:r>
                <w:rPr>
                  <w:rFonts w:ascii="Arial" w:cs="Arial" w:eastAsia="Arial" w:hAnsi="Arial"/>
                  <w:sz w:val="20"/>
                  <w:szCs w:val="20"/>
                  <w:color w:val="0000FF"/>
                  <w:w w:val="94"/>
                </w:rPr>
                <w:t>Exchange Commission on March 19, 2025 and incorporated herein by reference).</w:t>
              </w:r>
            </w:hyperlink>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80"/>
        </w:trPr>
        <w:tc>
          <w:tcPr>
            <w:tcW w:w="1400" w:type="dxa"/>
            <w:vAlign w:val="bottom"/>
          </w:tcPr>
          <w:p>
            <w:pPr>
              <w:jc w:val="right"/>
              <w:ind w:right="1060"/>
              <w:spacing w:after="0"/>
              <w:rPr>
                <w:sz w:val="20"/>
                <w:szCs w:val="20"/>
                <w:color w:val="auto"/>
              </w:rPr>
            </w:pPr>
            <w:r>
              <w:rPr>
                <w:rFonts w:ascii="Arial" w:cs="Arial" w:eastAsia="Arial" w:hAnsi="Arial"/>
                <w:sz w:val="20"/>
                <w:szCs w:val="20"/>
                <w:color w:val="auto"/>
                <w:w w:val="78"/>
              </w:rPr>
              <w:t>4.8</w:t>
            </w:r>
          </w:p>
        </w:tc>
        <w:tc>
          <w:tcPr>
            <w:tcW w:w="6720" w:type="dxa"/>
            <w:vAlign w:val="bottom"/>
            <w:tcBorders>
              <w:bottom w:val="single" w:sz="8" w:color="0000FF"/>
            </w:tcBorders>
            <w:gridSpan w:val="5"/>
          </w:tcPr>
          <w:p>
            <w:pPr>
              <w:spacing w:after="0"/>
              <w:rPr>
                <w:rFonts w:ascii="Arial" w:cs="Arial" w:eastAsia="Arial" w:hAnsi="Arial"/>
                <w:sz w:val="20"/>
                <w:szCs w:val="20"/>
                <w:color w:val="0000FF"/>
                <w:w w:val="92"/>
              </w:rPr>
            </w:pPr>
            <w:hyperlink r:id="rId593">
              <w:r>
                <w:rPr>
                  <w:rFonts w:ascii="Arial" w:cs="Arial" w:eastAsia="Arial" w:hAnsi="Arial"/>
                  <w:sz w:val="20"/>
                  <w:szCs w:val="20"/>
                  <w:color w:val="0000FF"/>
                  <w:w w:val="92"/>
                </w:rPr>
                <w:t>Description of Securities (Filed as Exhibit 4.8 to the Registrant’s Annual Report on</w:t>
              </w:r>
            </w:hyperlink>
          </w:p>
        </w:tc>
        <w:tc>
          <w:tcPr>
            <w:tcW w:w="140" w:type="dxa"/>
            <w:vAlign w:val="bottom"/>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560" w:type="dxa"/>
            <w:vAlign w:val="bottom"/>
            <w:tcBorders>
              <w:bottom w:val="single" w:sz="8" w:color="0000FF"/>
            </w:tcBorders>
            <w:gridSpan w:val="3"/>
          </w:tcPr>
          <w:p>
            <w:pPr>
              <w:spacing w:after="0"/>
              <w:rPr>
                <w:rFonts w:ascii="Arial" w:cs="Arial" w:eastAsia="Arial" w:hAnsi="Arial"/>
                <w:sz w:val="20"/>
                <w:szCs w:val="20"/>
                <w:color w:val="0000FF"/>
                <w:w w:val="92"/>
              </w:rPr>
            </w:pPr>
            <w:hyperlink r:id="rId593">
              <w:r>
                <w:rPr>
                  <w:rFonts w:ascii="Arial" w:cs="Arial" w:eastAsia="Arial" w:hAnsi="Arial"/>
                  <w:sz w:val="20"/>
                  <w:szCs w:val="20"/>
                  <w:color w:val="0000FF"/>
                  <w:w w:val="92"/>
                </w:rPr>
                <w:t>Form 10-K filed with the U.S. Securities and Exchange Commission on March 3,</w:t>
              </w:r>
            </w:hyperlink>
          </w:p>
        </w:tc>
        <w:tc>
          <w:tcPr>
            <w:tcW w:w="300" w:type="dxa"/>
            <w:vAlign w:val="bottom"/>
            <w:gridSpan w:val="3"/>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60" w:type="dxa"/>
            <w:vAlign w:val="bottom"/>
            <w:gridSpan w:val="6"/>
          </w:tcPr>
          <w:p>
            <w:pPr>
              <w:spacing w:after="0"/>
              <w:rPr>
                <w:rFonts w:ascii="Arial" w:cs="Arial" w:eastAsia="Arial" w:hAnsi="Arial"/>
                <w:sz w:val="20"/>
                <w:szCs w:val="20"/>
                <w:color w:val="0000FF"/>
              </w:rPr>
            </w:pPr>
            <w:hyperlink r:id="rId593">
              <w:r>
                <w:rPr>
                  <w:rFonts w:ascii="Arial" w:cs="Arial" w:eastAsia="Arial" w:hAnsi="Arial"/>
                  <w:sz w:val="20"/>
                  <w:szCs w:val="20"/>
                  <w:color w:val="0000FF"/>
                </w:rPr>
                <w:t>2022 and incorporated herein by reference).</w:t>
              </w:r>
            </w:hyperlink>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6"/>
          </w:cols>
          <w:pgMar w:left="1440" w:top="1440" w:right="1440" w:bottom="0" w:gutter="0" w:footer="0" w:header="0"/>
        </w:sectPr>
      </w:pPr>
    </w:p>
    <w:p>
      <w:pPr>
        <w:spacing w:after="0" w:line="1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526"/>
        <w:spacing w:after="0" w:line="373" w:lineRule="auto"/>
        <w:rPr>
          <w:rFonts w:ascii="Arial" w:cs="Arial" w:eastAsia="Arial" w:hAnsi="Arial"/>
          <w:sz w:val="20"/>
          <w:szCs w:val="20"/>
          <w:u w:val="single" w:color="auto"/>
          <w:color w:val="0000FF"/>
        </w:rPr>
      </w:pPr>
      <w:hyperlink r:id="rId594">
        <w:r>
          <w:rPr>
            <w:rFonts w:ascii="Arial" w:cs="Arial" w:eastAsia="Arial" w:hAnsi="Arial"/>
            <w:sz w:val="20"/>
            <w:szCs w:val="20"/>
            <w:u w:val="single" w:color="auto"/>
            <w:color w:val="0000FF"/>
          </w:rPr>
          <w:t>Investment Advisory and Management Agreement between Registrant and Fidus</w:t>
        </w:r>
      </w:hyperlink>
      <w:r>
        <w:rPr>
          <w:rFonts w:ascii="Arial" w:cs="Arial" w:eastAsia="Arial" w:hAnsi="Arial"/>
          <w:sz w:val="20"/>
          <w:szCs w:val="20"/>
          <w:u w:val="single" w:color="auto"/>
          <w:color w:val="0000FF"/>
        </w:rPr>
        <w:t xml:space="preserve"> </w:t>
      </w:r>
      <w:hyperlink r:id="rId594">
        <w:r>
          <w:rPr>
            <w:rFonts w:ascii="Arial" w:cs="Arial" w:eastAsia="Arial" w:hAnsi="Arial"/>
            <w:sz w:val="20"/>
            <w:szCs w:val="20"/>
            <w:u w:val="single" w:color="auto"/>
            <w:color w:val="0000FF"/>
          </w:rPr>
          <w:t>Investment Advisors, LLC (Filed as Exhibit (g) to Pre-Effective Amendment No. 2</w:t>
        </w:r>
      </w:hyperlink>
      <w:r>
        <w:rPr>
          <w:rFonts w:ascii="Arial" w:cs="Arial" w:eastAsia="Arial" w:hAnsi="Arial"/>
          <w:sz w:val="20"/>
          <w:szCs w:val="20"/>
          <w:u w:val="single" w:color="auto"/>
          <w:color w:val="0000FF"/>
        </w:rPr>
        <w:t xml:space="preserve"> </w:t>
      </w:r>
      <w:hyperlink r:id="rId594">
        <w:r>
          <w:rPr>
            <w:rFonts w:ascii="Arial" w:cs="Arial" w:eastAsia="Arial" w:hAnsi="Arial"/>
            <w:sz w:val="20"/>
            <w:szCs w:val="20"/>
            <w:u w:val="single" w:color="auto"/>
            <w:color w:val="0000FF"/>
          </w:rPr>
          <w:t>to the Registrant’s Registration Statement on Form N-2 (File No. 333-172550) filed</w:t>
        </w:r>
      </w:hyperlink>
      <w:r>
        <w:rPr>
          <w:rFonts w:ascii="Arial" w:cs="Arial" w:eastAsia="Arial" w:hAnsi="Arial"/>
          <w:sz w:val="20"/>
          <w:szCs w:val="20"/>
          <w:u w:val="single" w:color="auto"/>
          <w:color w:val="0000FF"/>
        </w:rPr>
        <w:t xml:space="preserve"> </w:t>
      </w:r>
      <w:hyperlink r:id="rId594">
        <w:r>
          <w:rPr>
            <w:rFonts w:ascii="Arial" w:cs="Arial" w:eastAsia="Arial" w:hAnsi="Arial"/>
            <w:sz w:val="20"/>
            <w:szCs w:val="20"/>
            <w:u w:val="single" w:color="auto"/>
            <w:color w:val="0000FF"/>
          </w:rPr>
          <w:t>with the U.S. Securities and Exchange Commission on April 29, 2011 and</w:t>
        </w:r>
      </w:hyperlink>
      <w:r>
        <w:rPr>
          <w:rFonts w:ascii="Arial" w:cs="Arial" w:eastAsia="Arial" w:hAnsi="Arial"/>
          <w:sz w:val="20"/>
          <w:szCs w:val="20"/>
          <w:u w:val="single" w:color="auto"/>
          <w:color w:val="0000FF"/>
        </w:rPr>
        <w:t xml:space="preserve"> </w:t>
      </w:r>
      <w:hyperlink r:id="rId594">
        <w:r>
          <w:rPr>
            <w:rFonts w:ascii="Arial" w:cs="Arial" w:eastAsia="Arial" w:hAnsi="Arial"/>
            <w:sz w:val="20"/>
            <w:szCs w:val="20"/>
            <w:u w:val="single" w:color="auto"/>
            <w:color w:val="0000FF"/>
          </w:rPr>
          <w:t>incorporated herein by reference).</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mc:AlternateContent>
          <mc:Choice Requires="wps">
            <w:drawing>
              <wp:anchor simplePos="0" relativeHeight="251657728" behindDoc="1" locked="0" layoutInCell="0" allowOverlap="1">
                <wp:simplePos x="0" y="0"/>
                <wp:positionH relativeFrom="column">
                  <wp:posOffset>668020</wp:posOffset>
                </wp:positionH>
                <wp:positionV relativeFrom="paragraph">
                  <wp:posOffset>-314960</wp:posOffset>
                </wp:positionV>
                <wp:extent cx="38100" cy="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7441">
                          <a:solidFill>
                            <a:srgbClr val="0000FF"/>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pt,-24.7999pt" to="55.6pt,-24.7999pt" o:allowincell="f" strokecolor="#0000FF" strokeweight="0.5859pt"/>
            </w:pict>
          </mc:Fallback>
        </mc:AlternateContent>
      </w:r>
    </w:p>
    <w:p>
      <w:pPr>
        <w:spacing w:after="0" w:line="289" w:lineRule="exact"/>
        <w:rPr>
          <w:rFonts w:ascii="Arial" w:cs="Arial" w:eastAsia="Arial" w:hAnsi="Arial"/>
          <w:sz w:val="20"/>
          <w:szCs w:val="20"/>
          <w:u w:val="single" w:color="auto"/>
          <w:color w:val="0000FF"/>
        </w:rPr>
      </w:pPr>
    </w:p>
    <w:p>
      <w:pPr>
        <w:jc w:val="both"/>
        <w:ind w:right="606"/>
        <w:spacing w:after="0" w:line="309" w:lineRule="auto"/>
        <w:rPr>
          <w:rFonts w:ascii="Arial" w:cs="Arial" w:eastAsia="Arial" w:hAnsi="Arial"/>
          <w:sz w:val="20"/>
          <w:szCs w:val="20"/>
          <w:u w:val="single" w:color="auto"/>
          <w:color w:val="0000FF"/>
        </w:rPr>
      </w:pPr>
      <w:hyperlink r:id="rId595">
        <w:r>
          <w:rPr>
            <w:rFonts w:ascii="Arial" w:cs="Arial" w:eastAsia="Arial" w:hAnsi="Arial"/>
            <w:sz w:val="20"/>
            <w:szCs w:val="20"/>
            <w:u w:val="single" w:color="auto"/>
            <w:color w:val="0000FF"/>
          </w:rPr>
          <w:t>Custody Agreement (Filed as Exhibit (j) to Pre-Effective Amendment No. 3 to the</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Registrant’s Registration Statement on Form N-2 (File No. 333-172550) filed with</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the U.S. Securities and Exchange Commission on May 26, 2011 and incorporated</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herein by reference).</w:t>
        </w:r>
      </w:hyperlink>
    </w:p>
    <w:p>
      <w:pPr>
        <w:spacing w:after="0" w:line="200" w:lineRule="exact"/>
        <w:rPr>
          <w:rFonts w:ascii="Arial" w:cs="Arial" w:eastAsia="Arial" w:hAnsi="Arial"/>
          <w:sz w:val="20"/>
          <w:szCs w:val="20"/>
          <w:u w:val="single" w:color="auto"/>
          <w:color w:val="0000FF"/>
        </w:rPr>
      </w:pPr>
    </w:p>
    <w:p>
      <w:pPr>
        <w:sectPr>
          <w:pgSz w:w="11900" w:h="16838" w:orient="portrait"/>
          <w:cols w:equalWidth="0" w:num="2">
            <w:col w:w="1080" w:space="720"/>
            <w:col w:w="7226"/>
          </w:cols>
          <w:pgMar w:left="1440" w:top="1440" w:right="1440" w:bottom="0" w:gutter="0" w:footer="0" w:header="0"/>
          <w:type w:val="continuous"/>
        </w:sectPr>
      </w:pPr>
    </w:p>
    <w:p>
      <w:pPr>
        <w:spacing w:after="0" w:line="126" w:lineRule="exact"/>
        <w:rPr>
          <w:rFonts w:ascii="Arial" w:cs="Arial" w:eastAsia="Arial" w:hAnsi="Arial"/>
          <w:sz w:val="20"/>
          <w:szCs w:val="20"/>
          <w:u w:val="single" w:color="auto"/>
          <w:color w:val="0000FF"/>
        </w:rPr>
      </w:pPr>
    </w:p>
    <w:tbl>
      <w:tblPr>
        <w:tblLayout w:type="fixed"/>
        <w:tblInd w:w="4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10.3</w:t>
            </w:r>
          </w:p>
        </w:tc>
        <w:tc>
          <w:tcPr>
            <w:tcW w:w="6800" w:type="dxa"/>
            <w:vAlign w:val="bottom"/>
            <w:tcBorders>
              <w:bottom w:val="single" w:sz="8" w:color="0000FF"/>
            </w:tcBorders>
            <w:gridSpan w:val="12"/>
          </w:tcPr>
          <w:p>
            <w:pPr>
              <w:spacing w:after="0"/>
              <w:rPr>
                <w:rFonts w:ascii="Arial" w:cs="Arial" w:eastAsia="Arial" w:hAnsi="Arial"/>
                <w:sz w:val="20"/>
                <w:szCs w:val="20"/>
                <w:color w:val="0000FF"/>
                <w:w w:val="92"/>
              </w:rPr>
            </w:pPr>
            <w:hyperlink r:id="rId596">
              <w:r>
                <w:rPr>
                  <w:rFonts w:ascii="Arial" w:cs="Arial" w:eastAsia="Arial" w:hAnsi="Arial"/>
                  <w:sz w:val="20"/>
                  <w:szCs w:val="20"/>
                  <w:color w:val="0000FF"/>
                  <w:w w:val="92"/>
                </w:rPr>
                <w:t>Administration Agreement between Registrant and Fidus Investment Advisors, LLC</w:t>
              </w:r>
            </w:hyperlink>
          </w:p>
        </w:tc>
        <w:tc>
          <w:tcPr>
            <w:tcW w:w="80" w:type="dxa"/>
            <w:vAlign w:val="bottom"/>
          </w:tcPr>
          <w:p>
            <w:pPr>
              <w:spacing w:after="0"/>
              <w:rPr>
                <w:sz w:val="19"/>
                <w:szCs w:val="19"/>
                <w:color w:val="auto"/>
              </w:rPr>
            </w:pPr>
          </w:p>
        </w:tc>
      </w:tr>
      <w:tr>
        <w:trPr>
          <w:trHeight w:val="280"/>
        </w:trPr>
        <w:tc>
          <w:tcPr>
            <w:tcW w:w="1400" w:type="dxa"/>
            <w:vAlign w:val="bottom"/>
          </w:tcPr>
          <w:p>
            <w:pPr>
              <w:spacing w:after="0"/>
              <w:rPr>
                <w:sz w:val="24"/>
                <w:szCs w:val="24"/>
                <w:color w:val="auto"/>
              </w:rPr>
            </w:pPr>
          </w:p>
        </w:tc>
        <w:tc>
          <w:tcPr>
            <w:tcW w:w="6260" w:type="dxa"/>
            <w:vAlign w:val="bottom"/>
            <w:tcBorders>
              <w:bottom w:val="single" w:sz="8" w:color="0000FF"/>
            </w:tcBorders>
            <w:gridSpan w:val="4"/>
          </w:tcPr>
          <w:p>
            <w:pPr>
              <w:spacing w:after="0"/>
              <w:rPr>
                <w:rFonts w:ascii="Arial" w:cs="Arial" w:eastAsia="Arial" w:hAnsi="Arial"/>
                <w:sz w:val="20"/>
                <w:szCs w:val="20"/>
                <w:color w:val="0000FF"/>
                <w:w w:val="92"/>
              </w:rPr>
            </w:pPr>
            <w:hyperlink r:id="rId596">
              <w:r>
                <w:rPr>
                  <w:rFonts w:ascii="Arial" w:cs="Arial" w:eastAsia="Arial" w:hAnsi="Arial"/>
                  <w:sz w:val="20"/>
                  <w:szCs w:val="20"/>
                  <w:color w:val="0000FF"/>
                  <w:w w:val="92"/>
                </w:rPr>
                <w:t>(Filed as Exhibit (k)(1) to Pre-Effective Amendment No. 2 to the Registrant’s</w:t>
              </w:r>
            </w:hyperlink>
          </w:p>
        </w:tc>
        <w:tc>
          <w:tcPr>
            <w:tcW w:w="620" w:type="dxa"/>
            <w:vAlign w:val="bottom"/>
            <w:gridSpan w:val="9"/>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340" w:type="dxa"/>
            <w:vAlign w:val="bottom"/>
            <w:tcBorders>
              <w:bottom w:val="single" w:sz="8" w:color="0000FF"/>
            </w:tcBorders>
            <w:gridSpan w:val="5"/>
          </w:tcPr>
          <w:p>
            <w:pPr>
              <w:spacing w:after="0"/>
              <w:rPr>
                <w:rFonts w:ascii="Arial" w:cs="Arial" w:eastAsia="Arial" w:hAnsi="Arial"/>
                <w:sz w:val="20"/>
                <w:szCs w:val="20"/>
                <w:color w:val="0000FF"/>
                <w:w w:val="92"/>
              </w:rPr>
            </w:pPr>
            <w:hyperlink r:id="rId596">
              <w:r>
                <w:rPr>
                  <w:rFonts w:ascii="Arial" w:cs="Arial" w:eastAsia="Arial" w:hAnsi="Arial"/>
                  <w:sz w:val="20"/>
                  <w:szCs w:val="20"/>
                  <w:color w:val="0000FF"/>
                  <w:w w:val="92"/>
                </w:rPr>
                <w:t>Registration Statement on Form N-2 (File No. 333-172550) filed with the U.S.</w:t>
              </w:r>
            </w:hyperlink>
          </w:p>
        </w:tc>
        <w:tc>
          <w:tcPr>
            <w:tcW w:w="540" w:type="dxa"/>
            <w:vAlign w:val="bottom"/>
            <w:gridSpan w:val="8"/>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740" w:type="dxa"/>
            <w:vAlign w:val="bottom"/>
            <w:tcBorders>
              <w:bottom w:val="single" w:sz="8" w:color="0000FF"/>
            </w:tcBorders>
            <w:gridSpan w:val="11"/>
          </w:tcPr>
          <w:p>
            <w:pPr>
              <w:spacing w:after="0"/>
              <w:rPr>
                <w:rFonts w:ascii="Arial" w:cs="Arial" w:eastAsia="Arial" w:hAnsi="Arial"/>
                <w:sz w:val="20"/>
                <w:szCs w:val="20"/>
                <w:color w:val="0000FF"/>
                <w:w w:val="91"/>
              </w:rPr>
            </w:pPr>
            <w:hyperlink r:id="rId596">
              <w:r>
                <w:rPr>
                  <w:rFonts w:ascii="Arial" w:cs="Arial" w:eastAsia="Arial" w:hAnsi="Arial"/>
                  <w:sz w:val="20"/>
                  <w:szCs w:val="20"/>
                  <w:color w:val="0000FF"/>
                  <w:w w:val="91"/>
                </w:rPr>
                <w:t>Securities and Exchange Commission on April 29, 2011 and incorporated herein by</w:t>
              </w:r>
            </w:hyperlink>
          </w:p>
        </w:tc>
        <w:tc>
          <w:tcPr>
            <w:tcW w:w="140" w:type="dxa"/>
            <w:vAlign w:val="bottom"/>
            <w:gridSpan w:val="2"/>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860" w:type="dxa"/>
            <w:vAlign w:val="bottom"/>
            <w:tcBorders>
              <w:bottom w:val="single" w:sz="8" w:color="0000FF"/>
            </w:tcBorders>
          </w:tcPr>
          <w:p>
            <w:pPr>
              <w:spacing w:after="0"/>
              <w:rPr>
                <w:rFonts w:ascii="Arial" w:cs="Arial" w:eastAsia="Arial" w:hAnsi="Arial"/>
                <w:sz w:val="20"/>
                <w:szCs w:val="20"/>
                <w:color w:val="0000FF"/>
                <w:w w:val="86"/>
              </w:rPr>
            </w:pPr>
            <w:hyperlink r:id="rId596">
              <w:r>
                <w:rPr>
                  <w:rFonts w:ascii="Arial" w:cs="Arial" w:eastAsia="Arial" w:hAnsi="Arial"/>
                  <w:sz w:val="20"/>
                  <w:szCs w:val="20"/>
                  <w:color w:val="0000FF"/>
                  <w:w w:val="86"/>
                </w:rPr>
                <w:t>reference).</w:t>
              </w:r>
            </w:hyperlink>
          </w:p>
        </w:tc>
        <w:tc>
          <w:tcPr>
            <w:tcW w:w="6020" w:type="dxa"/>
            <w:vAlign w:val="bottom"/>
            <w:gridSpan w:val="12"/>
          </w:tcPr>
          <w:p>
            <w:pPr>
              <w:spacing w:after="0"/>
              <w:rPr>
                <w:sz w:val="24"/>
                <w:szCs w:val="24"/>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10.4</w:t>
            </w:r>
          </w:p>
        </w:tc>
        <w:tc>
          <w:tcPr>
            <w:tcW w:w="6880" w:type="dxa"/>
            <w:vAlign w:val="bottom"/>
            <w:tcBorders>
              <w:bottom w:val="single" w:sz="8" w:color="0000FF"/>
            </w:tcBorders>
            <w:gridSpan w:val="13"/>
          </w:tcPr>
          <w:p>
            <w:pPr>
              <w:spacing w:after="0"/>
              <w:rPr>
                <w:rFonts w:ascii="Arial" w:cs="Arial" w:eastAsia="Arial" w:hAnsi="Arial"/>
                <w:sz w:val="20"/>
                <w:szCs w:val="20"/>
                <w:color w:val="0000FF"/>
                <w:w w:val="90"/>
              </w:rPr>
            </w:pPr>
            <w:hyperlink r:id="rId597">
              <w:r>
                <w:rPr>
                  <w:rFonts w:ascii="Arial" w:cs="Arial" w:eastAsia="Arial" w:hAnsi="Arial"/>
                  <w:sz w:val="20"/>
                  <w:szCs w:val="20"/>
                  <w:color w:val="0000FF"/>
                  <w:w w:val="90"/>
                </w:rPr>
                <w:t>Trademark License Agreement between Registrant and Fidus Partners, LLC (Filed as</w:t>
              </w:r>
            </w:hyperlink>
          </w:p>
        </w:tc>
      </w:tr>
      <w:tr>
        <w:trPr>
          <w:trHeight w:val="280"/>
        </w:trPr>
        <w:tc>
          <w:tcPr>
            <w:tcW w:w="1400" w:type="dxa"/>
            <w:vAlign w:val="bottom"/>
          </w:tcPr>
          <w:p>
            <w:pPr>
              <w:spacing w:after="0"/>
              <w:rPr>
                <w:sz w:val="24"/>
                <w:szCs w:val="24"/>
                <w:color w:val="auto"/>
              </w:rPr>
            </w:pPr>
          </w:p>
        </w:tc>
        <w:tc>
          <w:tcPr>
            <w:tcW w:w="6560" w:type="dxa"/>
            <w:vAlign w:val="bottom"/>
            <w:tcBorders>
              <w:bottom w:val="single" w:sz="8" w:color="0000FF"/>
            </w:tcBorders>
            <w:gridSpan w:val="8"/>
          </w:tcPr>
          <w:p>
            <w:pPr>
              <w:spacing w:after="0"/>
              <w:rPr>
                <w:rFonts w:ascii="Arial" w:cs="Arial" w:eastAsia="Arial" w:hAnsi="Arial"/>
                <w:sz w:val="20"/>
                <w:szCs w:val="20"/>
                <w:color w:val="0000FF"/>
                <w:w w:val="93"/>
              </w:rPr>
            </w:pPr>
            <w:hyperlink r:id="rId597">
              <w:r>
                <w:rPr>
                  <w:rFonts w:ascii="Arial" w:cs="Arial" w:eastAsia="Arial" w:hAnsi="Arial"/>
                  <w:sz w:val="20"/>
                  <w:szCs w:val="20"/>
                  <w:color w:val="0000FF"/>
                  <w:w w:val="93"/>
                </w:rPr>
                <w:t>Exhibit (k)(2) to Pre-Effective Amendment No. 3 to the Registrant’s Registration</w:t>
              </w:r>
            </w:hyperlink>
          </w:p>
        </w:tc>
        <w:tc>
          <w:tcPr>
            <w:tcW w:w="320" w:type="dxa"/>
            <w:vAlign w:val="bottom"/>
            <w:gridSpan w:val="5"/>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500" w:type="dxa"/>
            <w:vAlign w:val="bottom"/>
            <w:tcBorders>
              <w:bottom w:val="single" w:sz="8" w:color="0000FF"/>
            </w:tcBorders>
            <w:gridSpan w:val="7"/>
          </w:tcPr>
          <w:p>
            <w:pPr>
              <w:spacing w:after="0"/>
              <w:rPr>
                <w:rFonts w:ascii="Arial" w:cs="Arial" w:eastAsia="Arial" w:hAnsi="Arial"/>
                <w:sz w:val="20"/>
                <w:szCs w:val="20"/>
                <w:color w:val="0000FF"/>
                <w:w w:val="92"/>
              </w:rPr>
            </w:pPr>
            <w:hyperlink r:id="rId597">
              <w:r>
                <w:rPr>
                  <w:rFonts w:ascii="Arial" w:cs="Arial" w:eastAsia="Arial" w:hAnsi="Arial"/>
                  <w:sz w:val="20"/>
                  <w:szCs w:val="20"/>
                  <w:color w:val="0000FF"/>
                  <w:w w:val="92"/>
                </w:rPr>
                <w:t>Statement on Form N-2 (File No. 333-172550) filed with the U.S. Securities and</w:t>
              </w:r>
            </w:hyperlink>
          </w:p>
        </w:tc>
        <w:tc>
          <w:tcPr>
            <w:tcW w:w="380" w:type="dxa"/>
            <w:vAlign w:val="bottom"/>
            <w:gridSpan w:val="6"/>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380" w:type="dxa"/>
            <w:vAlign w:val="bottom"/>
            <w:tcBorders>
              <w:bottom w:val="single" w:sz="8" w:color="0000FF"/>
            </w:tcBorders>
            <w:gridSpan w:val="6"/>
          </w:tcPr>
          <w:p>
            <w:pPr>
              <w:spacing w:after="0"/>
              <w:rPr>
                <w:rFonts w:ascii="Arial" w:cs="Arial" w:eastAsia="Arial" w:hAnsi="Arial"/>
                <w:sz w:val="20"/>
                <w:szCs w:val="20"/>
                <w:color w:val="0000FF"/>
                <w:w w:val="90"/>
              </w:rPr>
            </w:pPr>
            <w:hyperlink r:id="rId597">
              <w:r>
                <w:rPr>
                  <w:rFonts w:ascii="Arial" w:cs="Arial" w:eastAsia="Arial" w:hAnsi="Arial"/>
                  <w:sz w:val="20"/>
                  <w:szCs w:val="20"/>
                  <w:color w:val="0000FF"/>
                  <w:w w:val="90"/>
                </w:rPr>
                <w:t>Exchange Commission on May 26, 2011 and incorporated herein by reference).</w:t>
              </w:r>
            </w:hyperlink>
          </w:p>
        </w:tc>
        <w:tc>
          <w:tcPr>
            <w:tcW w:w="500" w:type="dxa"/>
            <w:vAlign w:val="bottom"/>
            <w:gridSpan w:val="7"/>
          </w:tcPr>
          <w:p>
            <w:pPr>
              <w:spacing w:after="0"/>
              <w:rPr>
                <w:sz w:val="24"/>
                <w:szCs w:val="24"/>
                <w:color w:val="auto"/>
              </w:rPr>
            </w:pPr>
          </w:p>
        </w:tc>
      </w:tr>
      <w:tr>
        <w:trPr>
          <w:trHeight w:val="580"/>
        </w:trPr>
        <w:tc>
          <w:tcPr>
            <w:tcW w:w="1400" w:type="dxa"/>
            <w:vAlign w:val="bottom"/>
          </w:tcPr>
          <w:p>
            <w:pPr>
              <w:spacing w:after="0"/>
              <w:rPr>
                <w:sz w:val="20"/>
                <w:szCs w:val="20"/>
                <w:color w:val="auto"/>
              </w:rPr>
            </w:pPr>
            <w:r>
              <w:rPr>
                <w:rFonts w:ascii="Arial" w:cs="Arial" w:eastAsia="Arial" w:hAnsi="Arial"/>
                <w:sz w:val="20"/>
                <w:szCs w:val="20"/>
                <w:color w:val="auto"/>
              </w:rPr>
              <w:t>10.5†</w:t>
            </w:r>
          </w:p>
        </w:tc>
        <w:tc>
          <w:tcPr>
            <w:tcW w:w="6340" w:type="dxa"/>
            <w:vAlign w:val="bottom"/>
            <w:tcBorders>
              <w:bottom w:val="single" w:sz="8" w:color="0000FF"/>
            </w:tcBorders>
            <w:gridSpan w:val="5"/>
          </w:tcPr>
          <w:p>
            <w:pPr>
              <w:spacing w:after="0"/>
              <w:rPr>
                <w:rFonts w:ascii="Arial" w:cs="Arial" w:eastAsia="Arial" w:hAnsi="Arial"/>
                <w:sz w:val="20"/>
                <w:szCs w:val="20"/>
                <w:color w:val="0000FF"/>
                <w:w w:val="91"/>
              </w:rPr>
            </w:pPr>
            <w:hyperlink r:id="rId598">
              <w:r>
                <w:rPr>
                  <w:rFonts w:ascii="Arial" w:cs="Arial" w:eastAsia="Arial" w:hAnsi="Arial"/>
                  <w:sz w:val="20"/>
                  <w:szCs w:val="20"/>
                  <w:color w:val="0000FF"/>
                  <w:w w:val="91"/>
                </w:rPr>
                <w:t>Form of Indemnification Agreement by and between Registrant and each of its</w:t>
              </w:r>
            </w:hyperlink>
          </w:p>
        </w:tc>
        <w:tc>
          <w:tcPr>
            <w:tcW w:w="540" w:type="dxa"/>
            <w:vAlign w:val="bottom"/>
            <w:gridSpan w:val="8"/>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000" w:type="dxa"/>
            <w:vAlign w:val="bottom"/>
            <w:tcBorders>
              <w:bottom w:val="single" w:sz="8" w:color="0000FF"/>
            </w:tcBorders>
            <w:gridSpan w:val="3"/>
          </w:tcPr>
          <w:p>
            <w:pPr>
              <w:spacing w:after="0"/>
              <w:rPr>
                <w:rFonts w:ascii="Arial" w:cs="Arial" w:eastAsia="Arial" w:hAnsi="Arial"/>
                <w:sz w:val="20"/>
                <w:szCs w:val="20"/>
                <w:color w:val="0000FF"/>
                <w:w w:val="93"/>
              </w:rPr>
            </w:pPr>
            <w:hyperlink r:id="rId598">
              <w:r>
                <w:rPr>
                  <w:rFonts w:ascii="Arial" w:cs="Arial" w:eastAsia="Arial" w:hAnsi="Arial"/>
                  <w:sz w:val="20"/>
                  <w:szCs w:val="20"/>
                  <w:color w:val="0000FF"/>
                  <w:w w:val="93"/>
                </w:rPr>
                <w:t>directors (Filed as Exhibit (k)(3) to Pre-Effective Amendment No. 4 to the</w:t>
              </w:r>
            </w:hyperlink>
          </w:p>
        </w:tc>
        <w:tc>
          <w:tcPr>
            <w:tcW w:w="880" w:type="dxa"/>
            <w:vAlign w:val="bottom"/>
            <w:gridSpan w:val="10"/>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660" w:type="dxa"/>
            <w:vAlign w:val="bottom"/>
            <w:tcBorders>
              <w:bottom w:val="single" w:sz="8" w:color="0000FF"/>
            </w:tcBorders>
            <w:gridSpan w:val="10"/>
          </w:tcPr>
          <w:p>
            <w:pPr>
              <w:spacing w:after="0"/>
              <w:rPr>
                <w:rFonts w:ascii="Arial" w:cs="Arial" w:eastAsia="Arial" w:hAnsi="Arial"/>
                <w:sz w:val="20"/>
                <w:szCs w:val="20"/>
                <w:color w:val="0000FF"/>
                <w:w w:val="92"/>
              </w:rPr>
            </w:pPr>
            <w:hyperlink r:id="rId598">
              <w:r>
                <w:rPr>
                  <w:rFonts w:ascii="Arial" w:cs="Arial" w:eastAsia="Arial" w:hAnsi="Arial"/>
                  <w:sz w:val="20"/>
                  <w:szCs w:val="20"/>
                  <w:color w:val="0000FF"/>
                  <w:w w:val="92"/>
                </w:rPr>
                <w:t>Registrant’s Registration Statement on Form N-2 (File No. 333-172550) filed with</w:t>
              </w:r>
            </w:hyperlink>
          </w:p>
        </w:tc>
        <w:tc>
          <w:tcPr>
            <w:tcW w:w="220" w:type="dxa"/>
            <w:vAlign w:val="bottom"/>
            <w:gridSpan w:val="3"/>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580" w:type="dxa"/>
            <w:vAlign w:val="bottom"/>
            <w:tcBorders>
              <w:bottom w:val="single" w:sz="8" w:color="0000FF"/>
            </w:tcBorders>
            <w:gridSpan w:val="9"/>
          </w:tcPr>
          <w:p>
            <w:pPr>
              <w:spacing w:after="0"/>
              <w:rPr>
                <w:rFonts w:ascii="Arial" w:cs="Arial" w:eastAsia="Arial" w:hAnsi="Arial"/>
                <w:sz w:val="20"/>
                <w:szCs w:val="20"/>
                <w:color w:val="0000FF"/>
                <w:w w:val="89"/>
              </w:rPr>
            </w:pPr>
            <w:hyperlink r:id="rId598">
              <w:r>
                <w:rPr>
                  <w:rFonts w:ascii="Arial" w:cs="Arial" w:eastAsia="Arial" w:hAnsi="Arial"/>
                  <w:sz w:val="20"/>
                  <w:szCs w:val="20"/>
                  <w:color w:val="0000FF"/>
                  <w:w w:val="89"/>
                </w:rPr>
                <w:t>the U.S. Securities and Exchange Commission on June 10, 2011 and incorporated</w:t>
              </w:r>
            </w:hyperlink>
          </w:p>
        </w:tc>
        <w:tc>
          <w:tcPr>
            <w:tcW w:w="300" w:type="dxa"/>
            <w:vAlign w:val="bottom"/>
            <w:gridSpan w:val="4"/>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1660" w:type="dxa"/>
            <w:vAlign w:val="bottom"/>
            <w:tcBorders>
              <w:bottom w:val="single" w:sz="8" w:color="0000FF"/>
            </w:tcBorders>
            <w:gridSpan w:val="2"/>
          </w:tcPr>
          <w:p>
            <w:pPr>
              <w:spacing w:after="0"/>
              <w:rPr>
                <w:rFonts w:ascii="Arial" w:cs="Arial" w:eastAsia="Arial" w:hAnsi="Arial"/>
                <w:sz w:val="20"/>
                <w:szCs w:val="20"/>
                <w:color w:val="0000FF"/>
                <w:w w:val="88"/>
              </w:rPr>
            </w:pPr>
            <w:hyperlink r:id="rId598">
              <w:r>
                <w:rPr>
                  <w:rFonts w:ascii="Arial" w:cs="Arial" w:eastAsia="Arial" w:hAnsi="Arial"/>
                  <w:sz w:val="20"/>
                  <w:szCs w:val="20"/>
                  <w:color w:val="0000FF"/>
                  <w:w w:val="88"/>
                </w:rPr>
                <w:t>herein by reference).</w:t>
              </w:r>
            </w:hyperlink>
          </w:p>
        </w:tc>
        <w:tc>
          <w:tcPr>
            <w:tcW w:w="5220" w:type="dxa"/>
            <w:vAlign w:val="bottom"/>
            <w:gridSpan w:val="11"/>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31</w:t>
      </w:r>
    </w:p>
    <w:p>
      <w:pPr>
        <w:sectPr>
          <w:pgSz w:w="11900" w:h="16838" w:orient="portrait"/>
          <w:cols w:equalWidth="0" w:num="1">
            <w:col w:w="9026"/>
          </w:cols>
          <w:pgMar w:left="1440" w:top="1440" w:right="1440" w:bottom="0" w:gutter="0" w:footer="0" w:header="0"/>
          <w:type w:val="continuous"/>
        </w:sectPr>
      </w:pPr>
    </w:p>
    <w:bookmarkStart w:id="332" w:name="page333"/>
    <w:bookmarkEnd w:id="332"/>
    <w:tbl>
      <w:tblPr>
        <w:tblLayout w:type="fixed"/>
        <w:tblInd w:w="0" w:type="dxa"/>
        <w:tblCellMar>
          <w:top w:w="0" w:type="dxa"/>
          <w:left w:w="0" w:type="dxa"/>
          <w:bottom w:w="0" w:type="dxa"/>
          <w:right w:w="0" w:type="dxa"/>
        </w:tblCellMar>
      </w:tblPr>
      <w:tr>
        <w:trPr>
          <w:trHeight w:val="230"/>
        </w:trPr>
        <w:tc>
          <w:tcPr>
            <w:tcW w:w="1980" w:type="dxa"/>
            <w:vAlign w:val="bottom"/>
          </w:tcPr>
          <w:p>
            <w:pPr>
              <w:ind w:left="580"/>
              <w:spacing w:after="0"/>
              <w:rPr>
                <w:sz w:val="20"/>
                <w:szCs w:val="20"/>
                <w:color w:val="auto"/>
              </w:rPr>
            </w:pPr>
            <w:r>
              <w:rPr>
                <w:rFonts w:ascii="Arial" w:cs="Arial" w:eastAsia="Arial" w:hAnsi="Arial"/>
                <w:sz w:val="20"/>
                <w:szCs w:val="20"/>
                <w:color w:val="auto"/>
              </w:rPr>
              <w:t>10.6</w:t>
            </w:r>
          </w:p>
        </w:tc>
        <w:tc>
          <w:tcPr>
            <w:tcW w:w="6880" w:type="dxa"/>
            <w:vAlign w:val="bottom"/>
            <w:tcBorders>
              <w:bottom w:val="single" w:sz="8" w:color="0000FF"/>
            </w:tcBorders>
            <w:gridSpan w:val="18"/>
          </w:tcPr>
          <w:p>
            <w:pPr>
              <w:spacing w:after="0"/>
              <w:rPr>
                <w:rFonts w:ascii="Arial" w:cs="Arial" w:eastAsia="Arial" w:hAnsi="Arial"/>
                <w:sz w:val="20"/>
                <w:szCs w:val="20"/>
                <w:color w:val="0000FF"/>
                <w:w w:val="92"/>
              </w:rPr>
            </w:pPr>
            <w:hyperlink r:id="rId599">
              <w:r>
                <w:rPr>
                  <w:rFonts w:ascii="Arial" w:cs="Arial" w:eastAsia="Arial" w:hAnsi="Arial"/>
                  <w:sz w:val="20"/>
                  <w:szCs w:val="20"/>
                  <w:color w:val="0000FF"/>
                  <w:w w:val="92"/>
                </w:rPr>
                <w:t>Dividend Reinvestment Plan (Filed as Exhibit (e) to Pre-Effective Amendment No. 1</w:t>
              </w:r>
            </w:hyperlink>
          </w:p>
        </w:tc>
        <w:tc>
          <w:tcPr>
            <w:tcW w:w="540" w:type="dxa"/>
            <w:vAlign w:val="bottom"/>
          </w:tcPr>
          <w:p>
            <w:pPr>
              <w:spacing w:after="0"/>
              <w:rPr>
                <w:sz w:val="19"/>
                <w:szCs w:val="19"/>
                <w:color w:val="auto"/>
              </w:rPr>
            </w:pPr>
          </w:p>
        </w:tc>
      </w:tr>
      <w:tr>
        <w:trPr>
          <w:trHeight w:val="280"/>
        </w:trPr>
        <w:tc>
          <w:tcPr>
            <w:tcW w:w="1980" w:type="dxa"/>
            <w:vAlign w:val="bottom"/>
          </w:tcPr>
          <w:p>
            <w:pPr>
              <w:spacing w:after="0"/>
              <w:rPr>
                <w:sz w:val="24"/>
                <w:szCs w:val="24"/>
                <w:color w:val="auto"/>
              </w:rPr>
            </w:pPr>
          </w:p>
        </w:tc>
        <w:tc>
          <w:tcPr>
            <w:tcW w:w="6760" w:type="dxa"/>
            <w:vAlign w:val="bottom"/>
            <w:tcBorders>
              <w:bottom w:val="single" w:sz="8" w:color="0000FF"/>
            </w:tcBorders>
            <w:gridSpan w:val="15"/>
          </w:tcPr>
          <w:p>
            <w:pPr>
              <w:spacing w:after="0"/>
              <w:rPr>
                <w:rFonts w:ascii="Arial" w:cs="Arial" w:eastAsia="Arial" w:hAnsi="Arial"/>
                <w:sz w:val="20"/>
                <w:szCs w:val="20"/>
                <w:color w:val="0000FF"/>
                <w:w w:val="92"/>
              </w:rPr>
            </w:pPr>
            <w:hyperlink r:id="rId599">
              <w:r>
                <w:rPr>
                  <w:rFonts w:ascii="Arial" w:cs="Arial" w:eastAsia="Arial" w:hAnsi="Arial"/>
                  <w:sz w:val="20"/>
                  <w:szCs w:val="20"/>
                  <w:color w:val="0000FF"/>
                  <w:w w:val="92"/>
                </w:rPr>
                <w:t>to the Registrant’s Registration Statement on Form N-2 (File No. 333-182785) filed</w:t>
              </w:r>
            </w:hyperlink>
          </w:p>
        </w:tc>
        <w:tc>
          <w:tcPr>
            <w:tcW w:w="660" w:type="dxa"/>
            <w:vAlign w:val="bottom"/>
            <w:gridSpan w:val="4"/>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140" w:type="dxa"/>
            <w:vAlign w:val="bottom"/>
            <w:tcBorders>
              <w:bottom w:val="single" w:sz="8" w:color="0000FF"/>
            </w:tcBorders>
            <w:gridSpan w:val="5"/>
          </w:tcPr>
          <w:p>
            <w:pPr>
              <w:spacing w:after="0"/>
              <w:rPr>
                <w:rFonts w:ascii="Arial" w:cs="Arial" w:eastAsia="Arial" w:hAnsi="Arial"/>
                <w:sz w:val="20"/>
                <w:szCs w:val="20"/>
                <w:color w:val="0000FF"/>
                <w:w w:val="90"/>
              </w:rPr>
            </w:pPr>
            <w:hyperlink r:id="rId599">
              <w:r>
                <w:rPr>
                  <w:rFonts w:ascii="Arial" w:cs="Arial" w:eastAsia="Arial" w:hAnsi="Arial"/>
                  <w:sz w:val="20"/>
                  <w:szCs w:val="20"/>
                  <w:color w:val="0000FF"/>
                  <w:w w:val="90"/>
                </w:rPr>
                <w:t>with the U.S. Securities and Exchange Commission on August 27, 2012 and</w:t>
              </w:r>
            </w:hyperlink>
          </w:p>
        </w:tc>
        <w:tc>
          <w:tcPr>
            <w:tcW w:w="1280" w:type="dxa"/>
            <w:vAlign w:val="bottom"/>
            <w:gridSpan w:val="14"/>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2720" w:type="dxa"/>
            <w:vAlign w:val="bottom"/>
            <w:tcBorders>
              <w:bottom w:val="single" w:sz="8" w:color="0000FF"/>
            </w:tcBorders>
            <w:gridSpan w:val="2"/>
          </w:tcPr>
          <w:p>
            <w:pPr>
              <w:spacing w:after="0"/>
              <w:rPr>
                <w:rFonts w:ascii="Arial" w:cs="Arial" w:eastAsia="Arial" w:hAnsi="Arial"/>
                <w:sz w:val="20"/>
                <w:szCs w:val="20"/>
                <w:color w:val="0000FF"/>
                <w:w w:val="89"/>
              </w:rPr>
            </w:pPr>
            <w:hyperlink r:id="rId599">
              <w:r>
                <w:rPr>
                  <w:rFonts w:ascii="Arial" w:cs="Arial" w:eastAsia="Arial" w:hAnsi="Arial"/>
                  <w:sz w:val="20"/>
                  <w:szCs w:val="20"/>
                  <w:color w:val="0000FF"/>
                  <w:w w:val="89"/>
                </w:rPr>
                <w:t>incorporated herein by reference).</w:t>
              </w:r>
            </w:hyperlink>
          </w:p>
        </w:tc>
        <w:tc>
          <w:tcPr>
            <w:tcW w:w="4700" w:type="dxa"/>
            <w:vAlign w:val="bottom"/>
            <w:gridSpan w:val="17"/>
          </w:tcPr>
          <w:p>
            <w:pPr>
              <w:spacing w:after="0"/>
              <w:rPr>
                <w:sz w:val="24"/>
                <w:szCs w:val="24"/>
                <w:color w:val="auto"/>
              </w:rPr>
            </w:pPr>
          </w:p>
        </w:tc>
      </w:tr>
      <w:tr>
        <w:trPr>
          <w:trHeight w:val="580"/>
        </w:trPr>
        <w:tc>
          <w:tcPr>
            <w:tcW w:w="1980" w:type="dxa"/>
            <w:vAlign w:val="bottom"/>
          </w:tcPr>
          <w:p>
            <w:pPr>
              <w:ind w:left="580"/>
              <w:spacing w:after="0"/>
              <w:rPr>
                <w:sz w:val="20"/>
                <w:szCs w:val="20"/>
                <w:color w:val="auto"/>
              </w:rPr>
            </w:pPr>
            <w:r>
              <w:rPr>
                <w:rFonts w:ascii="Arial" w:cs="Arial" w:eastAsia="Arial" w:hAnsi="Arial"/>
                <w:sz w:val="20"/>
                <w:szCs w:val="20"/>
                <w:color w:val="auto"/>
              </w:rPr>
              <w:t>10.7</w:t>
            </w:r>
          </w:p>
        </w:tc>
        <w:tc>
          <w:tcPr>
            <w:tcW w:w="6480" w:type="dxa"/>
            <w:vAlign w:val="bottom"/>
            <w:tcBorders>
              <w:bottom w:val="single" w:sz="8" w:color="0000FF"/>
            </w:tcBorders>
            <w:gridSpan w:val="11"/>
          </w:tcPr>
          <w:p>
            <w:pPr>
              <w:spacing w:after="0"/>
              <w:rPr>
                <w:rFonts w:ascii="Arial" w:cs="Arial" w:eastAsia="Arial" w:hAnsi="Arial"/>
                <w:sz w:val="20"/>
                <w:szCs w:val="20"/>
                <w:color w:val="0000FF"/>
                <w:w w:val="91"/>
              </w:rPr>
            </w:pPr>
            <w:hyperlink r:id="rId600">
              <w:r>
                <w:rPr>
                  <w:rFonts w:ascii="Arial" w:cs="Arial" w:eastAsia="Arial" w:hAnsi="Arial"/>
                  <w:sz w:val="20"/>
                  <w:szCs w:val="20"/>
                  <w:color w:val="0000FF"/>
                  <w:w w:val="91"/>
                </w:rPr>
                <w:t>First Amendment to Investment Advisory and Management Agreement between</w:t>
              </w:r>
            </w:hyperlink>
          </w:p>
        </w:tc>
        <w:tc>
          <w:tcPr>
            <w:tcW w:w="940" w:type="dxa"/>
            <w:vAlign w:val="bottom"/>
            <w:gridSpan w:val="8"/>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180" w:type="dxa"/>
            <w:vAlign w:val="bottom"/>
            <w:tcBorders>
              <w:bottom w:val="single" w:sz="8" w:color="0000FF"/>
            </w:tcBorders>
            <w:gridSpan w:val="6"/>
          </w:tcPr>
          <w:p>
            <w:pPr>
              <w:spacing w:after="0"/>
              <w:rPr>
                <w:rFonts w:ascii="Arial" w:cs="Arial" w:eastAsia="Arial" w:hAnsi="Arial"/>
                <w:sz w:val="20"/>
                <w:szCs w:val="20"/>
                <w:color w:val="0000FF"/>
                <w:w w:val="92"/>
              </w:rPr>
            </w:pPr>
            <w:hyperlink r:id="rId600">
              <w:r>
                <w:rPr>
                  <w:rFonts w:ascii="Arial" w:cs="Arial" w:eastAsia="Arial" w:hAnsi="Arial"/>
                  <w:sz w:val="20"/>
                  <w:szCs w:val="20"/>
                  <w:color w:val="0000FF"/>
                  <w:w w:val="92"/>
                </w:rPr>
                <w:t>Registrant and Fidus Investment Advisors, LLC (Filed as Exhibit 10.7 to the</w:t>
              </w:r>
            </w:hyperlink>
          </w:p>
        </w:tc>
        <w:tc>
          <w:tcPr>
            <w:tcW w:w="1240" w:type="dxa"/>
            <w:vAlign w:val="bottom"/>
            <w:gridSpan w:val="13"/>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060" w:type="dxa"/>
            <w:vAlign w:val="bottom"/>
            <w:tcBorders>
              <w:bottom w:val="single" w:sz="8" w:color="0000FF"/>
            </w:tcBorders>
            <w:gridSpan w:val="4"/>
          </w:tcPr>
          <w:p>
            <w:pPr>
              <w:spacing w:after="0"/>
              <w:rPr>
                <w:rFonts w:ascii="Arial" w:cs="Arial" w:eastAsia="Arial" w:hAnsi="Arial"/>
                <w:sz w:val="20"/>
                <w:szCs w:val="20"/>
                <w:color w:val="0000FF"/>
                <w:w w:val="92"/>
              </w:rPr>
            </w:pPr>
            <w:hyperlink r:id="rId600">
              <w:r>
                <w:rPr>
                  <w:rFonts w:ascii="Arial" w:cs="Arial" w:eastAsia="Arial" w:hAnsi="Arial"/>
                  <w:sz w:val="20"/>
                  <w:szCs w:val="20"/>
                  <w:color w:val="0000FF"/>
                  <w:w w:val="92"/>
                </w:rPr>
                <w:t>Registrant’s annual report on Form 10-K, filed with the U.S. Securities and</w:t>
              </w:r>
            </w:hyperlink>
          </w:p>
        </w:tc>
        <w:tc>
          <w:tcPr>
            <w:tcW w:w="1360" w:type="dxa"/>
            <w:vAlign w:val="bottom"/>
            <w:gridSpan w:val="15"/>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7420" w:type="dxa"/>
            <w:vAlign w:val="bottom"/>
            <w:gridSpan w:val="19"/>
          </w:tcPr>
          <w:p>
            <w:pPr>
              <w:spacing w:after="0"/>
              <w:rPr>
                <w:rFonts w:ascii="Arial" w:cs="Arial" w:eastAsia="Arial" w:hAnsi="Arial"/>
                <w:sz w:val="20"/>
                <w:szCs w:val="20"/>
                <w:color w:val="0000FF"/>
              </w:rPr>
            </w:pPr>
            <w:hyperlink r:id="rId600">
              <w:r>
                <w:rPr>
                  <w:rFonts w:ascii="Arial" w:cs="Arial" w:eastAsia="Arial" w:hAnsi="Arial"/>
                  <w:sz w:val="20"/>
                  <w:szCs w:val="20"/>
                  <w:color w:val="0000FF"/>
                </w:rPr>
                <w:t>Exchange Commission on March 6, 2014 and incorporated herein by reference).</w:t>
              </w:r>
            </w:hyperlink>
          </w:p>
        </w:tc>
      </w:tr>
      <w:tr>
        <w:trPr>
          <w:trHeight w:val="20"/>
        </w:trPr>
        <w:tc>
          <w:tcPr>
            <w:tcW w:w="19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80"/>
        </w:trPr>
        <w:tc>
          <w:tcPr>
            <w:tcW w:w="1980" w:type="dxa"/>
            <w:vAlign w:val="bottom"/>
          </w:tcPr>
          <w:p>
            <w:pPr>
              <w:ind w:left="580"/>
              <w:spacing w:after="0"/>
              <w:rPr>
                <w:sz w:val="20"/>
                <w:szCs w:val="20"/>
                <w:color w:val="auto"/>
              </w:rPr>
            </w:pPr>
            <w:r>
              <w:rPr>
                <w:rFonts w:ascii="Arial" w:cs="Arial" w:eastAsia="Arial" w:hAnsi="Arial"/>
                <w:sz w:val="20"/>
                <w:szCs w:val="20"/>
                <w:color w:val="auto"/>
              </w:rPr>
              <w:t>10.8</w:t>
            </w:r>
          </w:p>
        </w:tc>
        <w:tc>
          <w:tcPr>
            <w:tcW w:w="6880" w:type="dxa"/>
            <w:vAlign w:val="bottom"/>
            <w:tcBorders>
              <w:bottom w:val="single" w:sz="8" w:color="0000FF"/>
            </w:tcBorders>
            <w:gridSpan w:val="18"/>
          </w:tcPr>
          <w:p>
            <w:pPr>
              <w:spacing w:after="0"/>
              <w:rPr>
                <w:rFonts w:ascii="Arial" w:cs="Arial" w:eastAsia="Arial" w:hAnsi="Arial"/>
                <w:sz w:val="20"/>
                <w:szCs w:val="20"/>
                <w:color w:val="0000FF"/>
                <w:w w:val="91"/>
              </w:rPr>
            </w:pPr>
            <w:hyperlink r:id="rId601">
              <w:r>
                <w:rPr>
                  <w:rFonts w:ascii="Arial" w:cs="Arial" w:eastAsia="Arial" w:hAnsi="Arial"/>
                  <w:sz w:val="20"/>
                  <w:szCs w:val="20"/>
                  <w:color w:val="0000FF"/>
                  <w:w w:val="91"/>
                </w:rPr>
                <w:t>Form of Indemnification Agreement between Fidus Investment Corporation and each</w:t>
              </w:r>
            </w:hyperlink>
          </w:p>
        </w:tc>
        <w:tc>
          <w:tcPr>
            <w:tcW w:w="540" w:type="dxa"/>
            <w:vAlign w:val="bottom"/>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60" w:type="dxa"/>
            <w:vAlign w:val="bottom"/>
            <w:tcBorders>
              <w:bottom w:val="single" w:sz="8" w:color="0000FF"/>
            </w:tcBorders>
            <w:gridSpan w:val="13"/>
          </w:tcPr>
          <w:p>
            <w:pPr>
              <w:spacing w:after="0"/>
              <w:rPr>
                <w:rFonts w:ascii="Arial" w:cs="Arial" w:eastAsia="Arial" w:hAnsi="Arial"/>
                <w:sz w:val="20"/>
                <w:szCs w:val="20"/>
                <w:color w:val="0000FF"/>
                <w:w w:val="92"/>
              </w:rPr>
            </w:pPr>
            <w:hyperlink r:id="rId601">
              <w:r>
                <w:rPr>
                  <w:rFonts w:ascii="Arial" w:cs="Arial" w:eastAsia="Arial" w:hAnsi="Arial"/>
                  <w:sz w:val="20"/>
                  <w:szCs w:val="20"/>
                  <w:color w:val="0000FF"/>
                  <w:w w:val="92"/>
                </w:rPr>
                <w:t>officer and director of Fidus Investment Corporation (Filed as Exhibit 10.1 of the</w:t>
              </w:r>
            </w:hyperlink>
          </w:p>
        </w:tc>
        <w:tc>
          <w:tcPr>
            <w:tcW w:w="860" w:type="dxa"/>
            <w:vAlign w:val="bottom"/>
            <w:gridSpan w:val="6"/>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260" w:type="dxa"/>
            <w:vAlign w:val="bottom"/>
            <w:tcBorders>
              <w:bottom w:val="single" w:sz="8" w:color="0000FF"/>
            </w:tcBorders>
            <w:gridSpan w:val="8"/>
          </w:tcPr>
          <w:p>
            <w:pPr>
              <w:spacing w:after="0"/>
              <w:rPr>
                <w:rFonts w:ascii="Arial" w:cs="Arial" w:eastAsia="Arial" w:hAnsi="Arial"/>
                <w:sz w:val="20"/>
                <w:szCs w:val="20"/>
                <w:color w:val="0000FF"/>
                <w:w w:val="92"/>
              </w:rPr>
            </w:pPr>
            <w:hyperlink r:id="rId601">
              <w:r>
                <w:rPr>
                  <w:rFonts w:ascii="Arial" w:cs="Arial" w:eastAsia="Arial" w:hAnsi="Arial"/>
                  <w:sz w:val="20"/>
                  <w:szCs w:val="20"/>
                  <w:color w:val="0000FF"/>
                  <w:w w:val="92"/>
                </w:rPr>
                <w:t>Registrant’s quarterly report on Form 10-Q, filed with the U.S. Securities and</w:t>
              </w:r>
            </w:hyperlink>
          </w:p>
        </w:tc>
        <w:tc>
          <w:tcPr>
            <w:tcW w:w="1160" w:type="dxa"/>
            <w:vAlign w:val="bottom"/>
            <w:gridSpan w:val="11"/>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3500" w:type="dxa"/>
            <w:vAlign w:val="bottom"/>
            <w:tcBorders>
              <w:bottom w:val="single" w:sz="8" w:color="0000FF"/>
            </w:tcBorders>
            <w:gridSpan w:val="3"/>
          </w:tcPr>
          <w:p>
            <w:pPr>
              <w:spacing w:after="0"/>
              <w:rPr>
                <w:rFonts w:ascii="Arial" w:cs="Arial" w:eastAsia="Arial" w:hAnsi="Arial"/>
                <w:sz w:val="20"/>
                <w:szCs w:val="20"/>
                <w:color w:val="0000FF"/>
                <w:w w:val="90"/>
              </w:rPr>
            </w:pPr>
            <w:hyperlink r:id="rId601">
              <w:r>
                <w:rPr>
                  <w:rFonts w:ascii="Arial" w:cs="Arial" w:eastAsia="Arial" w:hAnsi="Arial"/>
                  <w:sz w:val="20"/>
                  <w:szCs w:val="20"/>
                  <w:color w:val="0000FF"/>
                  <w:w w:val="90"/>
                </w:rPr>
                <w:t>Exchange Commission on August 5, 2021).</w:t>
              </w:r>
            </w:hyperlink>
          </w:p>
        </w:tc>
        <w:tc>
          <w:tcPr>
            <w:tcW w:w="3920" w:type="dxa"/>
            <w:vAlign w:val="bottom"/>
            <w:gridSpan w:val="16"/>
          </w:tcPr>
          <w:p>
            <w:pPr>
              <w:spacing w:after="0"/>
              <w:rPr>
                <w:sz w:val="24"/>
                <w:szCs w:val="24"/>
                <w:color w:val="auto"/>
              </w:rPr>
            </w:pPr>
          </w:p>
        </w:tc>
      </w:tr>
      <w:tr>
        <w:trPr>
          <w:trHeight w:val="580"/>
        </w:trPr>
        <w:tc>
          <w:tcPr>
            <w:tcW w:w="1980" w:type="dxa"/>
            <w:vAlign w:val="bottom"/>
          </w:tcPr>
          <w:p>
            <w:pPr>
              <w:ind w:left="580"/>
              <w:spacing w:after="0"/>
              <w:rPr>
                <w:sz w:val="20"/>
                <w:szCs w:val="20"/>
                <w:color w:val="auto"/>
              </w:rPr>
            </w:pPr>
            <w:r>
              <w:rPr>
                <w:rFonts w:ascii="Arial" w:cs="Arial" w:eastAsia="Arial" w:hAnsi="Arial"/>
                <w:sz w:val="20"/>
                <w:szCs w:val="20"/>
                <w:color w:val="auto"/>
              </w:rPr>
              <w:t>10.9</w:t>
            </w:r>
          </w:p>
        </w:tc>
        <w:tc>
          <w:tcPr>
            <w:tcW w:w="6540" w:type="dxa"/>
            <w:vAlign w:val="bottom"/>
            <w:tcBorders>
              <w:bottom w:val="single" w:sz="8" w:color="0000FF"/>
            </w:tcBorders>
            <w:gridSpan w:val="12"/>
          </w:tcPr>
          <w:p>
            <w:pPr>
              <w:spacing w:after="0"/>
              <w:rPr>
                <w:rFonts w:ascii="Arial" w:cs="Arial" w:eastAsia="Arial" w:hAnsi="Arial"/>
                <w:sz w:val="20"/>
                <w:szCs w:val="20"/>
                <w:color w:val="0000FF"/>
                <w:w w:val="90"/>
              </w:rPr>
            </w:pPr>
            <w:hyperlink r:id="rId602">
              <w:r>
                <w:rPr>
                  <w:rFonts w:ascii="Arial" w:cs="Arial" w:eastAsia="Arial" w:hAnsi="Arial"/>
                  <w:sz w:val="20"/>
                  <w:szCs w:val="20"/>
                  <w:color w:val="0000FF"/>
                  <w:w w:val="90"/>
                </w:rPr>
                <w:t>Credit and Security Agreement, dated as of October 16, 2025, by and among FIC</w:t>
              </w:r>
            </w:hyperlink>
          </w:p>
        </w:tc>
        <w:tc>
          <w:tcPr>
            <w:tcW w:w="880" w:type="dxa"/>
            <w:vAlign w:val="bottom"/>
            <w:gridSpan w:val="7"/>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420" w:type="dxa"/>
            <w:vAlign w:val="bottom"/>
            <w:tcBorders>
              <w:bottom w:val="single" w:sz="8" w:color="0000FF"/>
            </w:tcBorders>
            <w:gridSpan w:val="9"/>
          </w:tcPr>
          <w:p>
            <w:pPr>
              <w:spacing w:after="0"/>
              <w:rPr>
                <w:rFonts w:ascii="Arial" w:cs="Arial" w:eastAsia="Arial" w:hAnsi="Arial"/>
                <w:sz w:val="20"/>
                <w:szCs w:val="20"/>
                <w:color w:val="0000FF"/>
                <w:w w:val="91"/>
              </w:rPr>
            </w:pPr>
            <w:hyperlink r:id="rId602">
              <w:r>
                <w:rPr>
                  <w:rFonts w:ascii="Arial" w:cs="Arial" w:eastAsia="Arial" w:hAnsi="Arial"/>
                  <w:sz w:val="20"/>
                  <w:szCs w:val="20"/>
                  <w:color w:val="0000FF"/>
                  <w:w w:val="91"/>
                </w:rPr>
                <w:t>Funding, LLC, as borrower, and Fidus Investment Corporation, as servicer and</w:t>
              </w:r>
            </w:hyperlink>
          </w:p>
        </w:tc>
        <w:tc>
          <w:tcPr>
            <w:tcW w:w="1000" w:type="dxa"/>
            <w:vAlign w:val="bottom"/>
            <w:gridSpan w:val="10"/>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220" w:type="dxa"/>
            <w:vAlign w:val="bottom"/>
            <w:tcBorders>
              <w:bottom w:val="single" w:sz="8" w:color="0000FF"/>
            </w:tcBorders>
            <w:gridSpan w:val="7"/>
          </w:tcPr>
          <w:p>
            <w:pPr>
              <w:spacing w:after="0"/>
              <w:rPr>
                <w:rFonts w:ascii="Arial" w:cs="Arial" w:eastAsia="Arial" w:hAnsi="Arial"/>
                <w:sz w:val="20"/>
                <w:szCs w:val="20"/>
                <w:color w:val="0000FF"/>
                <w:w w:val="91"/>
              </w:rPr>
            </w:pPr>
            <w:hyperlink r:id="rId602">
              <w:r>
                <w:rPr>
                  <w:rFonts w:ascii="Arial" w:cs="Arial" w:eastAsia="Arial" w:hAnsi="Arial"/>
                  <w:sz w:val="20"/>
                  <w:szCs w:val="20"/>
                  <w:color w:val="0000FF"/>
                  <w:w w:val="91"/>
                </w:rPr>
                <w:t>equityholder, ING Capital LLC, as administrative agent and as lead arranger,</w:t>
              </w:r>
            </w:hyperlink>
          </w:p>
        </w:tc>
        <w:tc>
          <w:tcPr>
            <w:tcW w:w="1200" w:type="dxa"/>
            <w:vAlign w:val="bottom"/>
            <w:gridSpan w:val="12"/>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820" w:type="dxa"/>
            <w:vAlign w:val="bottom"/>
            <w:tcBorders>
              <w:bottom w:val="single" w:sz="8" w:color="0000FF"/>
            </w:tcBorders>
            <w:gridSpan w:val="16"/>
          </w:tcPr>
          <w:p>
            <w:pPr>
              <w:spacing w:after="0"/>
              <w:rPr>
                <w:rFonts w:ascii="Arial" w:cs="Arial" w:eastAsia="Arial" w:hAnsi="Arial"/>
                <w:sz w:val="20"/>
                <w:szCs w:val="20"/>
                <w:color w:val="0000FF"/>
                <w:w w:val="91"/>
              </w:rPr>
            </w:pPr>
            <w:hyperlink r:id="rId602">
              <w:r>
                <w:rPr>
                  <w:rFonts w:ascii="Arial" w:cs="Arial" w:eastAsia="Arial" w:hAnsi="Arial"/>
                  <w:sz w:val="20"/>
                  <w:szCs w:val="20"/>
                  <w:color w:val="0000FF"/>
                  <w:w w:val="91"/>
                </w:rPr>
                <w:t>Western Alliance Trust Company, N.A., as custodian, collateral agent, and collateral</w:t>
              </w:r>
            </w:hyperlink>
          </w:p>
        </w:tc>
        <w:tc>
          <w:tcPr>
            <w:tcW w:w="600" w:type="dxa"/>
            <w:vAlign w:val="bottom"/>
            <w:gridSpan w:val="3"/>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860" w:type="dxa"/>
            <w:vAlign w:val="bottom"/>
            <w:tcBorders>
              <w:bottom w:val="single" w:sz="8" w:color="0000FF"/>
            </w:tcBorders>
            <w:gridSpan w:val="17"/>
          </w:tcPr>
          <w:p>
            <w:pPr>
              <w:spacing w:after="0"/>
              <w:rPr>
                <w:rFonts w:ascii="Arial" w:cs="Arial" w:eastAsia="Arial" w:hAnsi="Arial"/>
                <w:sz w:val="20"/>
                <w:szCs w:val="20"/>
                <w:color w:val="0000FF"/>
                <w:w w:val="91"/>
              </w:rPr>
            </w:pPr>
            <w:hyperlink r:id="rId602">
              <w:r>
                <w:rPr>
                  <w:rFonts w:ascii="Arial" w:cs="Arial" w:eastAsia="Arial" w:hAnsi="Arial"/>
                  <w:sz w:val="20"/>
                  <w:szCs w:val="20"/>
                  <w:color w:val="0000FF"/>
                  <w:w w:val="91"/>
                </w:rPr>
                <w:t>administrator, and the lenders from time to time parties thereto (Filed as Exhibit 10.1</w:t>
              </w:r>
            </w:hyperlink>
          </w:p>
        </w:tc>
        <w:tc>
          <w:tcPr>
            <w:tcW w:w="560" w:type="dxa"/>
            <w:vAlign w:val="bottom"/>
            <w:gridSpan w:val="2"/>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560" w:type="dxa"/>
            <w:vAlign w:val="bottom"/>
            <w:tcBorders>
              <w:bottom w:val="single" w:sz="8" w:color="0000FF"/>
            </w:tcBorders>
            <w:gridSpan w:val="13"/>
          </w:tcPr>
          <w:p>
            <w:pPr>
              <w:spacing w:after="0"/>
              <w:rPr>
                <w:rFonts w:ascii="Arial" w:cs="Arial" w:eastAsia="Arial" w:hAnsi="Arial"/>
                <w:sz w:val="20"/>
                <w:szCs w:val="20"/>
                <w:color w:val="0000FF"/>
                <w:w w:val="92"/>
              </w:rPr>
            </w:pPr>
            <w:hyperlink r:id="rId602">
              <w:r>
                <w:rPr>
                  <w:rFonts w:ascii="Arial" w:cs="Arial" w:eastAsia="Arial" w:hAnsi="Arial"/>
                  <w:sz w:val="20"/>
                  <w:szCs w:val="20"/>
                  <w:color w:val="0000FF"/>
                  <w:w w:val="92"/>
                </w:rPr>
                <w:t>to the Registrant’s Current Report on Form 8-K filed with the U.S. Securities and</w:t>
              </w:r>
            </w:hyperlink>
          </w:p>
        </w:tc>
        <w:tc>
          <w:tcPr>
            <w:tcW w:w="860" w:type="dxa"/>
            <w:vAlign w:val="bottom"/>
            <w:gridSpan w:val="6"/>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7420" w:type="dxa"/>
            <w:vAlign w:val="bottom"/>
            <w:gridSpan w:val="19"/>
          </w:tcPr>
          <w:p>
            <w:pPr>
              <w:spacing w:after="0"/>
              <w:rPr>
                <w:rFonts w:ascii="Arial" w:cs="Arial" w:eastAsia="Arial" w:hAnsi="Arial"/>
                <w:sz w:val="20"/>
                <w:szCs w:val="20"/>
                <w:color w:val="0000FF"/>
              </w:rPr>
            </w:pPr>
            <w:hyperlink r:id="rId602">
              <w:r>
                <w:rPr>
                  <w:rFonts w:ascii="Arial" w:cs="Arial" w:eastAsia="Arial" w:hAnsi="Arial"/>
                  <w:sz w:val="20"/>
                  <w:szCs w:val="20"/>
                  <w:color w:val="0000FF"/>
                </w:rPr>
                <w:t>Exchange Commission on October 22, 2025 and incorporated herein by reference).</w:t>
              </w:r>
            </w:hyperlink>
          </w:p>
        </w:tc>
      </w:tr>
      <w:tr>
        <w:trPr>
          <w:trHeight w:val="580"/>
        </w:trPr>
        <w:tc>
          <w:tcPr>
            <w:tcW w:w="1980" w:type="dxa"/>
            <w:vAlign w:val="bottom"/>
          </w:tcPr>
          <w:p>
            <w:pPr>
              <w:ind w:left="580"/>
              <w:spacing w:after="0"/>
              <w:rPr>
                <w:sz w:val="20"/>
                <w:szCs w:val="20"/>
                <w:color w:val="auto"/>
              </w:rPr>
            </w:pPr>
            <w:r>
              <w:rPr>
                <w:rFonts w:ascii="Arial" w:cs="Arial" w:eastAsia="Arial" w:hAnsi="Arial"/>
                <w:sz w:val="20"/>
                <w:szCs w:val="20"/>
                <w:color w:val="auto"/>
              </w:rPr>
              <w:t>10.10</w:t>
            </w:r>
          </w:p>
        </w:tc>
        <w:tc>
          <w:tcPr>
            <w:tcW w:w="6440" w:type="dxa"/>
            <w:vAlign w:val="bottom"/>
            <w:tcBorders>
              <w:top w:val="single" w:sz="8" w:color="0000FF"/>
              <w:bottom w:val="single" w:sz="8" w:color="0000FF"/>
            </w:tcBorders>
            <w:gridSpan w:val="10"/>
          </w:tcPr>
          <w:p>
            <w:pPr>
              <w:spacing w:after="0"/>
              <w:rPr>
                <w:rFonts w:ascii="Arial" w:cs="Arial" w:eastAsia="Arial" w:hAnsi="Arial"/>
                <w:sz w:val="20"/>
                <w:szCs w:val="20"/>
                <w:color w:val="0000FF"/>
                <w:w w:val="91"/>
              </w:rPr>
            </w:pPr>
            <w:hyperlink r:id="rId603">
              <w:r>
                <w:rPr>
                  <w:rFonts w:ascii="Arial" w:cs="Arial" w:eastAsia="Arial" w:hAnsi="Arial"/>
                  <w:sz w:val="20"/>
                  <w:szCs w:val="20"/>
                  <w:color w:val="0000FF"/>
                  <w:w w:val="91"/>
                </w:rPr>
                <w:t>Equity Distribution Agreement, dated November 10, 2022, by and among Fidus</w:t>
              </w:r>
            </w:hyperlink>
          </w:p>
        </w:tc>
        <w:tc>
          <w:tcPr>
            <w:tcW w:w="200" w:type="dxa"/>
            <w:vAlign w:val="bottom"/>
            <w:tcBorders>
              <w:top w:val="single" w:sz="8" w:color="0000FF"/>
            </w:tcBorders>
            <w:gridSpan w:val="4"/>
          </w:tcPr>
          <w:p>
            <w:pPr>
              <w:spacing w:after="0"/>
              <w:rPr>
                <w:sz w:val="24"/>
                <w:szCs w:val="24"/>
                <w:color w:val="auto"/>
              </w:rPr>
            </w:pPr>
          </w:p>
        </w:tc>
        <w:tc>
          <w:tcPr>
            <w:tcW w:w="780" w:type="dxa"/>
            <w:vAlign w:val="bottom"/>
            <w:gridSpan w:val="5"/>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6440" w:type="dxa"/>
            <w:vAlign w:val="bottom"/>
            <w:tcBorders>
              <w:bottom w:val="single" w:sz="8" w:color="0000FF"/>
            </w:tcBorders>
            <w:gridSpan w:val="10"/>
          </w:tcPr>
          <w:p>
            <w:pPr>
              <w:spacing w:after="0"/>
              <w:rPr>
                <w:rFonts w:ascii="Arial" w:cs="Arial" w:eastAsia="Arial" w:hAnsi="Arial"/>
                <w:sz w:val="20"/>
                <w:szCs w:val="20"/>
                <w:color w:val="0000FF"/>
                <w:w w:val="91"/>
              </w:rPr>
            </w:pPr>
            <w:hyperlink r:id="rId603">
              <w:r>
                <w:rPr>
                  <w:rFonts w:ascii="Arial" w:cs="Arial" w:eastAsia="Arial" w:hAnsi="Arial"/>
                  <w:sz w:val="20"/>
                  <w:szCs w:val="20"/>
                  <w:color w:val="0000FF"/>
                  <w:w w:val="91"/>
                </w:rPr>
                <w:t>Investment Corporation, Fidus Investment Advisors, LLC, on the one hand, and</w:t>
              </w:r>
            </w:hyperlink>
          </w:p>
        </w:tc>
        <w:tc>
          <w:tcPr>
            <w:tcW w:w="980" w:type="dxa"/>
            <w:vAlign w:val="bottom"/>
            <w:gridSpan w:val="9"/>
          </w:tcPr>
          <w:p>
            <w:pPr>
              <w:spacing w:after="0"/>
              <w:rPr>
                <w:sz w:val="24"/>
                <w:szCs w:val="24"/>
                <w:color w:val="auto"/>
              </w:rPr>
            </w:pPr>
          </w:p>
        </w:tc>
      </w:tr>
      <w:tr>
        <w:trPr>
          <w:trHeight w:val="280"/>
        </w:trPr>
        <w:tc>
          <w:tcPr>
            <w:tcW w:w="1980" w:type="dxa"/>
            <w:vAlign w:val="bottom"/>
          </w:tcPr>
          <w:p>
            <w:pPr>
              <w:spacing w:after="0"/>
              <w:rPr>
                <w:sz w:val="24"/>
                <w:szCs w:val="24"/>
                <w:color w:val="auto"/>
              </w:rPr>
            </w:pPr>
          </w:p>
        </w:tc>
        <w:tc>
          <w:tcPr>
            <w:tcW w:w="1560" w:type="dxa"/>
            <w:vAlign w:val="bottom"/>
            <w:tcBorders>
              <w:bottom w:val="single" w:sz="8" w:color="0000FF"/>
            </w:tcBorders>
          </w:tcPr>
          <w:p>
            <w:pPr>
              <w:spacing w:after="0"/>
              <w:rPr>
                <w:rFonts w:ascii="Arial" w:cs="Arial" w:eastAsia="Arial" w:hAnsi="Arial"/>
                <w:sz w:val="20"/>
                <w:szCs w:val="20"/>
                <w:color w:val="0000FF"/>
                <w:w w:val="91"/>
              </w:rPr>
            </w:pPr>
            <w:hyperlink r:id="rId603">
              <w:r>
                <w:rPr>
                  <w:rFonts w:ascii="Arial" w:cs="Arial" w:eastAsia="Arial" w:hAnsi="Arial"/>
                  <w:sz w:val="20"/>
                  <w:szCs w:val="20"/>
                  <w:color w:val="0000FF"/>
                  <w:w w:val="91"/>
                </w:rPr>
                <w:t>Raymond James &amp;</w:t>
              </w:r>
            </w:hyperlink>
          </w:p>
        </w:tc>
        <w:tc>
          <w:tcPr>
            <w:tcW w:w="5860" w:type="dxa"/>
            <w:vAlign w:val="bottom"/>
            <w:gridSpan w:val="18"/>
          </w:tcPr>
          <w:p>
            <w:pPr>
              <w:spacing w:after="0"/>
              <w:rPr>
                <w:sz w:val="24"/>
                <w:szCs w:val="24"/>
                <w:color w:val="auto"/>
              </w:rPr>
            </w:pPr>
          </w:p>
        </w:tc>
      </w:tr>
      <w:tr>
        <w:trPr>
          <w:trHeight w:val="300"/>
        </w:trPr>
        <w:tc>
          <w:tcPr>
            <w:tcW w:w="1980" w:type="dxa"/>
            <w:vAlign w:val="bottom"/>
          </w:tcPr>
          <w:p>
            <w:pPr>
              <w:spacing w:after="0"/>
              <w:rPr>
                <w:sz w:val="24"/>
                <w:szCs w:val="24"/>
                <w:color w:val="auto"/>
              </w:rPr>
            </w:pPr>
          </w:p>
        </w:tc>
        <w:tc>
          <w:tcPr>
            <w:tcW w:w="3500" w:type="dxa"/>
            <w:vAlign w:val="bottom"/>
            <w:gridSpan w:val="3"/>
          </w:tcPr>
          <w:p>
            <w:pPr>
              <w:ind w:left="2560"/>
              <w:spacing w:after="0"/>
              <w:rPr>
                <w:sz w:val="20"/>
                <w:szCs w:val="20"/>
                <w:color w:val="auto"/>
              </w:rPr>
            </w:pPr>
            <w:r>
              <w:rPr>
                <w:rFonts w:ascii="Arial" w:cs="Arial" w:eastAsia="Arial" w:hAnsi="Arial"/>
                <w:sz w:val="20"/>
                <w:szCs w:val="20"/>
                <w:color w:val="auto"/>
              </w:rPr>
              <w:t>137</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91"/>
        </w:trPr>
        <w:tc>
          <w:tcPr>
            <w:tcW w:w="19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31</w:t>
      </w:r>
    </w:p>
    <w:p>
      <w:pPr>
        <w:sectPr>
          <w:pgSz w:w="11900" w:h="16838" w:orient="portrait"/>
          <w:cols w:equalWidth="0" w:num="1">
            <w:col w:w="9400"/>
          </w:cols>
          <w:pgMar w:left="1260" w:top="1143" w:right="1246" w:bottom="0" w:gutter="0" w:footer="0" w:header="0"/>
          <w:type w:val="continuous"/>
        </w:sectPr>
      </w:pPr>
    </w:p>
    <w:bookmarkStart w:id="333" w:name="page334"/>
    <w:bookmarkEnd w:id="333"/>
    <w:p>
      <w:pPr>
        <w:spacing w:after="0" w:line="200" w:lineRule="exact"/>
        <w:rPr>
          <w:sz w:val="20"/>
          <w:szCs w:val="20"/>
          <w:color w:val="auto"/>
        </w:rPr>
      </w:pP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940" w:type="dxa"/>
            <w:vAlign w:val="bottom"/>
            <w:gridSpan w:val="23"/>
          </w:tcPr>
          <w:p>
            <w:pPr>
              <w:jc w:val="center"/>
              <w:ind w:right="2320"/>
              <w:spacing w:after="0"/>
              <w:rPr>
                <w:sz w:val="20"/>
                <w:szCs w:val="20"/>
                <w:color w:val="auto"/>
              </w:rPr>
            </w:pPr>
            <w:r>
              <w:rPr>
                <w:rFonts w:ascii="Arial" w:cs="Arial" w:eastAsia="Arial" w:hAnsi="Arial"/>
                <w:sz w:val="20"/>
                <w:szCs w:val="20"/>
                <w:b w:val="1"/>
                <w:bCs w:val="1"/>
                <w:color w:val="auto"/>
              </w:rPr>
              <w:t>FIDUS INVESTMENT CORPORATION</w:t>
            </w:r>
          </w:p>
        </w:tc>
      </w:tr>
      <w:tr>
        <w:trPr>
          <w:trHeight w:val="300"/>
        </w:trPr>
        <w:tc>
          <w:tcPr>
            <w:tcW w:w="1400" w:type="dxa"/>
            <w:vAlign w:val="bottom"/>
          </w:tcPr>
          <w:p>
            <w:pPr>
              <w:spacing w:after="0"/>
              <w:rPr>
                <w:sz w:val="24"/>
                <w:szCs w:val="24"/>
                <w:color w:val="auto"/>
              </w:rPr>
            </w:pPr>
          </w:p>
        </w:tc>
        <w:tc>
          <w:tcPr>
            <w:tcW w:w="6840" w:type="dxa"/>
            <w:vAlign w:val="bottom"/>
            <w:gridSpan w:val="24"/>
          </w:tcPr>
          <w:p>
            <w:pPr>
              <w:jc w:val="center"/>
              <w:ind w:right="1420"/>
              <w:spacing w:after="0"/>
              <w:rPr>
                <w:sz w:val="20"/>
                <w:szCs w:val="20"/>
                <w:color w:val="auto"/>
              </w:rPr>
            </w:pPr>
            <w:r>
              <w:rPr>
                <w:rFonts w:ascii="Arial" w:cs="Arial" w:eastAsia="Arial" w:hAnsi="Arial"/>
                <w:sz w:val="20"/>
                <w:szCs w:val="20"/>
                <w:b w:val="1"/>
                <w:bCs w:val="1"/>
                <w:color w:val="auto"/>
                <w:w w:val="88"/>
              </w:rPr>
              <w:t>Notes to Consolidated Financial Statements</w:t>
            </w:r>
          </w:p>
        </w:tc>
      </w:tr>
      <w:tr>
        <w:trPr>
          <w:trHeight w:val="300"/>
        </w:trPr>
        <w:tc>
          <w:tcPr>
            <w:tcW w:w="1400" w:type="dxa"/>
            <w:vAlign w:val="bottom"/>
          </w:tcPr>
          <w:p>
            <w:pPr>
              <w:spacing w:after="0"/>
              <w:rPr>
                <w:sz w:val="24"/>
                <w:szCs w:val="24"/>
                <w:color w:val="auto"/>
              </w:rPr>
            </w:pPr>
          </w:p>
        </w:tc>
        <w:tc>
          <w:tcPr>
            <w:tcW w:w="6840" w:type="dxa"/>
            <w:vAlign w:val="bottom"/>
            <w:gridSpan w:val="24"/>
          </w:tcPr>
          <w:p>
            <w:pPr>
              <w:jc w:val="center"/>
              <w:ind w:right="1420"/>
              <w:spacing w:after="0"/>
              <w:rPr>
                <w:sz w:val="20"/>
                <w:szCs w:val="20"/>
                <w:color w:val="auto"/>
              </w:rPr>
            </w:pPr>
            <w:r>
              <w:rPr>
                <w:rFonts w:ascii="Arial" w:cs="Arial" w:eastAsia="Arial" w:hAnsi="Arial"/>
                <w:sz w:val="20"/>
                <w:szCs w:val="20"/>
                <w:b w:val="1"/>
                <w:bCs w:val="1"/>
                <w:color w:val="auto"/>
                <w:w w:val="88"/>
              </w:rPr>
              <w:t>(in thousands, except shares and per share data)</w:t>
            </w:r>
          </w:p>
        </w:tc>
      </w:tr>
      <w:tr>
        <w:trPr>
          <w:trHeight w:val="430"/>
        </w:trPr>
        <w:tc>
          <w:tcPr>
            <w:tcW w:w="1400" w:type="dxa"/>
            <w:vAlign w:val="bottom"/>
          </w:tcPr>
          <w:p>
            <w:pPr>
              <w:spacing w:after="0"/>
              <w:rPr>
                <w:sz w:val="24"/>
                <w:szCs w:val="24"/>
                <w:color w:val="auto"/>
              </w:rPr>
            </w:pPr>
          </w:p>
        </w:tc>
        <w:tc>
          <w:tcPr>
            <w:tcW w:w="6840" w:type="dxa"/>
            <w:vAlign w:val="bottom"/>
            <w:tcBorders>
              <w:bottom w:val="single" w:sz="8" w:color="0000FF"/>
            </w:tcBorders>
            <w:gridSpan w:val="24"/>
          </w:tcPr>
          <w:p>
            <w:pPr>
              <w:spacing w:after="0"/>
              <w:rPr>
                <w:rFonts w:ascii="Arial" w:cs="Arial" w:eastAsia="Arial" w:hAnsi="Arial"/>
                <w:sz w:val="20"/>
                <w:szCs w:val="20"/>
                <w:color w:val="0000FF"/>
                <w:w w:val="91"/>
              </w:rPr>
            </w:pPr>
            <w:hyperlink r:id="rId603">
              <w:r>
                <w:rPr>
                  <w:rFonts w:ascii="Arial" w:cs="Arial" w:eastAsia="Arial" w:hAnsi="Arial"/>
                  <w:sz w:val="20"/>
                  <w:szCs w:val="20"/>
                  <w:color w:val="0000FF"/>
                  <w:w w:val="91"/>
                </w:rPr>
                <w:t>Associates, Inc. and B. Riley Securities, Inc. on the other hand (Filed as Exhibit 10.1</w:t>
              </w:r>
            </w:hyperlink>
          </w:p>
        </w:tc>
      </w:tr>
      <w:tr>
        <w:trPr>
          <w:trHeight w:val="280"/>
        </w:trPr>
        <w:tc>
          <w:tcPr>
            <w:tcW w:w="1400" w:type="dxa"/>
            <w:vAlign w:val="bottom"/>
          </w:tcPr>
          <w:p>
            <w:pPr>
              <w:spacing w:after="0"/>
              <w:rPr>
                <w:sz w:val="24"/>
                <w:szCs w:val="24"/>
                <w:color w:val="auto"/>
              </w:rPr>
            </w:pPr>
          </w:p>
        </w:tc>
        <w:tc>
          <w:tcPr>
            <w:tcW w:w="6560" w:type="dxa"/>
            <w:vAlign w:val="bottom"/>
            <w:tcBorders>
              <w:bottom w:val="single" w:sz="8" w:color="0000FF"/>
            </w:tcBorders>
            <w:gridSpan w:val="14"/>
          </w:tcPr>
          <w:p>
            <w:pPr>
              <w:spacing w:after="0"/>
              <w:rPr>
                <w:rFonts w:ascii="Arial" w:cs="Arial" w:eastAsia="Arial" w:hAnsi="Arial"/>
                <w:sz w:val="20"/>
                <w:szCs w:val="20"/>
                <w:color w:val="0000FF"/>
                <w:w w:val="92"/>
              </w:rPr>
            </w:pPr>
            <w:hyperlink r:id="rId603">
              <w:r>
                <w:rPr>
                  <w:rFonts w:ascii="Arial" w:cs="Arial" w:eastAsia="Arial" w:hAnsi="Arial"/>
                  <w:sz w:val="20"/>
                  <w:szCs w:val="20"/>
                  <w:color w:val="0000FF"/>
                  <w:w w:val="92"/>
                </w:rPr>
                <w:t>to the Registrant’s Current Report on Form 8-K filed with the U.S. Securities and</w:t>
              </w:r>
            </w:hyperlink>
          </w:p>
        </w:tc>
        <w:tc>
          <w:tcPr>
            <w:tcW w:w="280" w:type="dxa"/>
            <w:vAlign w:val="bottom"/>
            <w:gridSpan w:val="10"/>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5980" w:type="dxa"/>
            <w:vAlign w:val="bottom"/>
            <w:tcBorders>
              <w:bottom w:val="single" w:sz="8" w:color="0000FF"/>
            </w:tcBorders>
            <w:gridSpan w:val="9"/>
          </w:tcPr>
          <w:p>
            <w:pPr>
              <w:spacing w:after="0"/>
              <w:rPr>
                <w:rFonts w:ascii="Arial" w:cs="Arial" w:eastAsia="Arial" w:hAnsi="Arial"/>
                <w:sz w:val="20"/>
                <w:szCs w:val="20"/>
                <w:color w:val="0000FF"/>
                <w:w w:val="90"/>
              </w:rPr>
            </w:pPr>
            <w:hyperlink r:id="rId603">
              <w:r>
                <w:rPr>
                  <w:rFonts w:ascii="Arial" w:cs="Arial" w:eastAsia="Arial" w:hAnsi="Arial"/>
                  <w:sz w:val="20"/>
                  <w:szCs w:val="20"/>
                  <w:color w:val="0000FF"/>
                  <w:w w:val="90"/>
                </w:rPr>
                <w:t>Exchange Commission on November 10, 2022 and incorporated herein by</w:t>
              </w:r>
            </w:hyperlink>
          </w:p>
        </w:tc>
        <w:tc>
          <w:tcPr>
            <w:tcW w:w="860" w:type="dxa"/>
            <w:vAlign w:val="bottom"/>
            <w:gridSpan w:val="15"/>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900" w:type="dxa"/>
            <w:vAlign w:val="bottom"/>
            <w:tcBorders>
              <w:bottom w:val="single" w:sz="8" w:color="0000FF"/>
            </w:tcBorders>
          </w:tcPr>
          <w:p>
            <w:pPr>
              <w:spacing w:after="0"/>
              <w:rPr>
                <w:rFonts w:ascii="Arial" w:cs="Arial" w:eastAsia="Arial" w:hAnsi="Arial"/>
                <w:sz w:val="20"/>
                <w:szCs w:val="20"/>
                <w:color w:val="0000FF"/>
                <w:w w:val="90"/>
              </w:rPr>
            </w:pPr>
            <w:hyperlink r:id="rId603">
              <w:r>
                <w:rPr>
                  <w:rFonts w:ascii="Arial" w:cs="Arial" w:eastAsia="Arial" w:hAnsi="Arial"/>
                  <w:sz w:val="20"/>
                  <w:szCs w:val="20"/>
                  <w:color w:val="0000FF"/>
                  <w:w w:val="90"/>
                </w:rPr>
                <w:t>reference).</w:t>
              </w:r>
            </w:hyperlink>
          </w:p>
        </w:tc>
        <w:tc>
          <w:tcPr>
            <w:tcW w:w="5940" w:type="dxa"/>
            <w:vAlign w:val="bottom"/>
            <w:gridSpan w:val="23"/>
          </w:tcPr>
          <w:p>
            <w:pPr>
              <w:spacing w:after="0"/>
              <w:rPr>
                <w:sz w:val="24"/>
                <w:szCs w:val="24"/>
                <w:color w:val="auto"/>
              </w:rPr>
            </w:pPr>
          </w:p>
        </w:tc>
      </w:tr>
      <w:tr>
        <w:trPr>
          <w:trHeight w:val="580"/>
        </w:trPr>
        <w:tc>
          <w:tcPr>
            <w:tcW w:w="1400" w:type="dxa"/>
            <w:vAlign w:val="bottom"/>
          </w:tcPr>
          <w:p>
            <w:pPr>
              <w:spacing w:after="0"/>
              <w:rPr>
                <w:sz w:val="20"/>
                <w:szCs w:val="20"/>
                <w:color w:val="auto"/>
              </w:rPr>
            </w:pPr>
            <w:r>
              <w:rPr>
                <w:rFonts w:ascii="Arial" w:cs="Arial" w:eastAsia="Arial" w:hAnsi="Arial"/>
                <w:sz w:val="20"/>
                <w:szCs w:val="20"/>
                <w:color w:val="auto"/>
              </w:rPr>
              <w:t>10.11</w:t>
            </w:r>
          </w:p>
        </w:tc>
        <w:tc>
          <w:tcPr>
            <w:tcW w:w="6820" w:type="dxa"/>
            <w:vAlign w:val="bottom"/>
            <w:tcBorders>
              <w:bottom w:val="single" w:sz="8" w:color="0000FF"/>
            </w:tcBorders>
            <w:gridSpan w:val="23"/>
          </w:tcPr>
          <w:p>
            <w:pPr>
              <w:spacing w:after="0"/>
              <w:rPr>
                <w:rFonts w:ascii="Arial" w:cs="Arial" w:eastAsia="Arial" w:hAnsi="Arial"/>
                <w:sz w:val="20"/>
                <w:szCs w:val="20"/>
                <w:color w:val="0000FF"/>
                <w:w w:val="92"/>
              </w:rPr>
            </w:pPr>
            <w:hyperlink r:id="rId606">
              <w:r>
                <w:rPr>
                  <w:rFonts w:ascii="Arial" w:cs="Arial" w:eastAsia="Arial" w:hAnsi="Arial"/>
                  <w:sz w:val="20"/>
                  <w:szCs w:val="20"/>
                  <w:color w:val="0000FF"/>
                  <w:w w:val="92"/>
                </w:rPr>
                <w:t>Amendment No. 1, dated August 11, 2023, to Equity Distribution Agreement by and</w:t>
              </w:r>
            </w:hyperlink>
          </w:p>
        </w:tc>
        <w:tc>
          <w:tcPr>
            <w:tcW w:w="20" w:type="dxa"/>
            <w:vAlign w:val="bottom"/>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660" w:type="dxa"/>
            <w:vAlign w:val="bottom"/>
            <w:tcBorders>
              <w:bottom w:val="single" w:sz="8" w:color="0000FF"/>
            </w:tcBorders>
            <w:gridSpan w:val="18"/>
          </w:tcPr>
          <w:p>
            <w:pPr>
              <w:spacing w:after="0"/>
              <w:rPr>
                <w:rFonts w:ascii="Arial" w:cs="Arial" w:eastAsia="Arial" w:hAnsi="Arial"/>
                <w:sz w:val="20"/>
                <w:szCs w:val="20"/>
                <w:color w:val="0000FF"/>
                <w:w w:val="91"/>
              </w:rPr>
            </w:pPr>
            <w:hyperlink r:id="rId606">
              <w:r>
                <w:rPr>
                  <w:rFonts w:ascii="Arial" w:cs="Arial" w:eastAsia="Arial" w:hAnsi="Arial"/>
                  <w:sz w:val="20"/>
                  <w:szCs w:val="20"/>
                  <w:color w:val="0000FF"/>
                  <w:w w:val="91"/>
                </w:rPr>
                <w:t>among Fidus Investment Corporation and Fidus Investment Advisors, LLC, on the</w:t>
              </w:r>
            </w:hyperlink>
          </w:p>
        </w:tc>
        <w:tc>
          <w:tcPr>
            <w:tcW w:w="180" w:type="dxa"/>
            <w:vAlign w:val="bottom"/>
            <w:gridSpan w:val="6"/>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640" w:type="dxa"/>
            <w:vAlign w:val="bottom"/>
            <w:tcBorders>
              <w:bottom w:val="single" w:sz="8" w:color="0000FF"/>
            </w:tcBorders>
            <w:gridSpan w:val="17"/>
          </w:tcPr>
          <w:p>
            <w:pPr>
              <w:spacing w:after="0"/>
              <w:rPr>
                <w:rFonts w:ascii="Arial" w:cs="Arial" w:eastAsia="Arial" w:hAnsi="Arial"/>
                <w:sz w:val="20"/>
                <w:szCs w:val="20"/>
                <w:color w:val="0000FF"/>
                <w:w w:val="90"/>
              </w:rPr>
            </w:pPr>
            <w:hyperlink r:id="rId606">
              <w:r>
                <w:rPr>
                  <w:rFonts w:ascii="Arial" w:cs="Arial" w:eastAsia="Arial" w:hAnsi="Arial"/>
                  <w:sz w:val="20"/>
                  <w:szCs w:val="20"/>
                  <w:color w:val="0000FF"/>
                  <w:w w:val="90"/>
                </w:rPr>
                <w:t>one hand, and Raymond James &amp; Associates, Inc. and B. Riley Securities, Inc., on</w:t>
              </w:r>
            </w:hyperlink>
          </w:p>
        </w:tc>
        <w:tc>
          <w:tcPr>
            <w:tcW w:w="200" w:type="dxa"/>
            <w:vAlign w:val="bottom"/>
            <w:gridSpan w:val="7"/>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40" w:type="dxa"/>
            <w:vAlign w:val="bottom"/>
            <w:tcBorders>
              <w:bottom w:val="single" w:sz="8" w:color="0000FF"/>
            </w:tcBorders>
            <w:gridSpan w:val="24"/>
          </w:tcPr>
          <w:p>
            <w:pPr>
              <w:spacing w:after="0"/>
              <w:rPr>
                <w:rFonts w:ascii="Arial" w:cs="Arial" w:eastAsia="Arial" w:hAnsi="Arial"/>
                <w:sz w:val="20"/>
                <w:szCs w:val="20"/>
                <w:color w:val="0000FF"/>
                <w:w w:val="91"/>
              </w:rPr>
            </w:pPr>
            <w:hyperlink r:id="rId606">
              <w:r>
                <w:rPr>
                  <w:rFonts w:ascii="Arial" w:cs="Arial" w:eastAsia="Arial" w:hAnsi="Arial"/>
                  <w:sz w:val="20"/>
                  <w:szCs w:val="20"/>
                  <w:color w:val="0000FF"/>
                  <w:w w:val="91"/>
                </w:rPr>
                <w:t>the other hand (Filed as Exhibit 10.1 to the Registrant’s Current Report on Form 8-K</w:t>
              </w:r>
            </w:hyperlink>
          </w:p>
        </w:tc>
      </w:tr>
      <w:tr>
        <w:trPr>
          <w:trHeight w:val="280"/>
        </w:trPr>
        <w:tc>
          <w:tcPr>
            <w:tcW w:w="1400" w:type="dxa"/>
            <w:vAlign w:val="bottom"/>
          </w:tcPr>
          <w:p>
            <w:pPr>
              <w:spacing w:after="0"/>
              <w:rPr>
                <w:sz w:val="24"/>
                <w:szCs w:val="24"/>
                <w:color w:val="auto"/>
              </w:rPr>
            </w:pPr>
          </w:p>
        </w:tc>
        <w:tc>
          <w:tcPr>
            <w:tcW w:w="6560" w:type="dxa"/>
            <w:vAlign w:val="bottom"/>
            <w:tcBorders>
              <w:bottom w:val="single" w:sz="8" w:color="0000FF"/>
            </w:tcBorders>
            <w:gridSpan w:val="14"/>
          </w:tcPr>
          <w:p>
            <w:pPr>
              <w:spacing w:after="0"/>
              <w:rPr>
                <w:rFonts w:ascii="Arial" w:cs="Arial" w:eastAsia="Arial" w:hAnsi="Arial"/>
                <w:sz w:val="20"/>
                <w:szCs w:val="20"/>
                <w:color w:val="0000FF"/>
                <w:w w:val="91"/>
              </w:rPr>
            </w:pPr>
            <w:hyperlink r:id="rId606">
              <w:r>
                <w:rPr>
                  <w:rFonts w:ascii="Arial" w:cs="Arial" w:eastAsia="Arial" w:hAnsi="Arial"/>
                  <w:sz w:val="20"/>
                  <w:szCs w:val="20"/>
                  <w:color w:val="0000FF"/>
                  <w:w w:val="91"/>
                </w:rPr>
                <w:t>filed with the U.S. Securities and Exchange Commission on August 11, 2023 and</w:t>
              </w:r>
            </w:hyperlink>
          </w:p>
        </w:tc>
        <w:tc>
          <w:tcPr>
            <w:tcW w:w="280" w:type="dxa"/>
            <w:vAlign w:val="bottom"/>
            <w:gridSpan w:val="10"/>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2720" w:type="dxa"/>
            <w:vAlign w:val="bottom"/>
            <w:tcBorders>
              <w:bottom w:val="single" w:sz="8" w:color="0000FF"/>
            </w:tcBorders>
            <w:gridSpan w:val="4"/>
          </w:tcPr>
          <w:p>
            <w:pPr>
              <w:spacing w:after="0"/>
              <w:rPr>
                <w:rFonts w:ascii="Arial" w:cs="Arial" w:eastAsia="Arial" w:hAnsi="Arial"/>
                <w:sz w:val="20"/>
                <w:szCs w:val="20"/>
                <w:color w:val="0000FF"/>
                <w:w w:val="89"/>
              </w:rPr>
            </w:pPr>
            <w:hyperlink r:id="rId606">
              <w:r>
                <w:rPr>
                  <w:rFonts w:ascii="Arial" w:cs="Arial" w:eastAsia="Arial" w:hAnsi="Arial"/>
                  <w:sz w:val="20"/>
                  <w:szCs w:val="20"/>
                  <w:color w:val="0000FF"/>
                  <w:w w:val="89"/>
                </w:rPr>
                <w:t>incorporated herein by reference).</w:t>
              </w:r>
            </w:hyperlink>
          </w:p>
        </w:tc>
        <w:tc>
          <w:tcPr>
            <w:tcW w:w="4120" w:type="dxa"/>
            <w:vAlign w:val="bottom"/>
            <w:gridSpan w:val="20"/>
          </w:tcPr>
          <w:p>
            <w:pPr>
              <w:spacing w:after="0"/>
              <w:rPr>
                <w:sz w:val="24"/>
                <w:szCs w:val="24"/>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10.12</w:t>
            </w:r>
          </w:p>
        </w:tc>
        <w:tc>
          <w:tcPr>
            <w:tcW w:w="6620" w:type="dxa"/>
            <w:vAlign w:val="bottom"/>
            <w:tcBorders>
              <w:bottom w:val="single" w:sz="8" w:color="0000FF"/>
            </w:tcBorders>
            <w:gridSpan w:val="16"/>
          </w:tcPr>
          <w:p>
            <w:pPr>
              <w:spacing w:after="0"/>
              <w:rPr>
                <w:rFonts w:ascii="Arial" w:cs="Arial" w:eastAsia="Arial" w:hAnsi="Arial"/>
                <w:sz w:val="20"/>
                <w:szCs w:val="20"/>
                <w:color w:val="0000FF"/>
                <w:w w:val="92"/>
              </w:rPr>
            </w:pPr>
            <w:hyperlink r:id="rId607">
              <w:r>
                <w:rPr>
                  <w:rFonts w:ascii="Arial" w:cs="Arial" w:eastAsia="Arial" w:hAnsi="Arial"/>
                  <w:sz w:val="20"/>
                  <w:szCs w:val="20"/>
                  <w:color w:val="0000FF"/>
                  <w:w w:val="92"/>
                </w:rPr>
                <w:t>Amendment No. 2, dated February 29, 2024, to Equity Distribution Agreement by</w:t>
              </w:r>
            </w:hyperlink>
          </w:p>
        </w:tc>
        <w:tc>
          <w:tcPr>
            <w:tcW w:w="220" w:type="dxa"/>
            <w:vAlign w:val="bottom"/>
            <w:gridSpan w:val="8"/>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700" w:type="dxa"/>
            <w:vAlign w:val="bottom"/>
            <w:tcBorders>
              <w:bottom w:val="single" w:sz="8" w:color="0000FF"/>
            </w:tcBorders>
            <w:gridSpan w:val="20"/>
          </w:tcPr>
          <w:p>
            <w:pPr>
              <w:spacing w:after="0"/>
              <w:rPr>
                <w:rFonts w:ascii="Arial" w:cs="Arial" w:eastAsia="Arial" w:hAnsi="Arial"/>
                <w:sz w:val="20"/>
                <w:szCs w:val="20"/>
                <w:color w:val="0000FF"/>
                <w:w w:val="91"/>
              </w:rPr>
            </w:pPr>
            <w:hyperlink r:id="rId607">
              <w:r>
                <w:rPr>
                  <w:rFonts w:ascii="Arial" w:cs="Arial" w:eastAsia="Arial" w:hAnsi="Arial"/>
                  <w:sz w:val="20"/>
                  <w:szCs w:val="20"/>
                  <w:color w:val="0000FF"/>
                  <w:w w:val="91"/>
                </w:rPr>
                <w:t>and among Fidus Investment Corporation and Fidus Investment Advisors, LLC, on</w:t>
              </w:r>
            </w:hyperlink>
          </w:p>
        </w:tc>
        <w:tc>
          <w:tcPr>
            <w:tcW w:w="140" w:type="dxa"/>
            <w:vAlign w:val="bottom"/>
            <w:gridSpan w:val="4"/>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680" w:type="dxa"/>
            <w:vAlign w:val="bottom"/>
            <w:tcBorders>
              <w:bottom w:val="single" w:sz="8" w:color="0000FF"/>
            </w:tcBorders>
            <w:gridSpan w:val="19"/>
          </w:tcPr>
          <w:p>
            <w:pPr>
              <w:spacing w:after="0"/>
              <w:rPr>
                <w:rFonts w:ascii="Arial" w:cs="Arial" w:eastAsia="Arial" w:hAnsi="Arial"/>
                <w:sz w:val="20"/>
                <w:szCs w:val="20"/>
                <w:color w:val="0000FF"/>
                <w:w w:val="90"/>
              </w:rPr>
            </w:pPr>
            <w:hyperlink r:id="rId607">
              <w:r>
                <w:rPr>
                  <w:rFonts w:ascii="Arial" w:cs="Arial" w:eastAsia="Arial" w:hAnsi="Arial"/>
                  <w:sz w:val="20"/>
                  <w:szCs w:val="20"/>
                  <w:color w:val="0000FF"/>
                  <w:w w:val="90"/>
                </w:rPr>
                <w:t>the one hand, and Raymond James &amp; Associates, Inc. and B. Riley Securities, Inc.,</w:t>
              </w:r>
            </w:hyperlink>
          </w:p>
        </w:tc>
        <w:tc>
          <w:tcPr>
            <w:tcW w:w="160" w:type="dxa"/>
            <w:vAlign w:val="bottom"/>
            <w:gridSpan w:val="5"/>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720" w:type="dxa"/>
            <w:vAlign w:val="bottom"/>
            <w:tcBorders>
              <w:bottom w:val="single" w:sz="8" w:color="0000FF"/>
            </w:tcBorders>
            <w:gridSpan w:val="21"/>
          </w:tcPr>
          <w:p>
            <w:pPr>
              <w:spacing w:after="0"/>
              <w:rPr>
                <w:rFonts w:ascii="Arial" w:cs="Arial" w:eastAsia="Arial" w:hAnsi="Arial"/>
                <w:sz w:val="20"/>
                <w:szCs w:val="20"/>
                <w:color w:val="0000FF"/>
                <w:w w:val="91"/>
              </w:rPr>
            </w:pPr>
            <w:hyperlink r:id="rId607">
              <w:r>
                <w:rPr>
                  <w:rFonts w:ascii="Arial" w:cs="Arial" w:eastAsia="Arial" w:hAnsi="Arial"/>
                  <w:sz w:val="20"/>
                  <w:szCs w:val="20"/>
                  <w:color w:val="0000FF"/>
                  <w:w w:val="91"/>
                </w:rPr>
                <w:t>on the other hand (Filed as Exhibit 10.1 to the Registrant’s Current Report on Form</w:t>
              </w:r>
            </w:hyperlink>
          </w:p>
        </w:tc>
        <w:tc>
          <w:tcPr>
            <w:tcW w:w="120" w:type="dxa"/>
            <w:vAlign w:val="bottom"/>
            <w:gridSpan w:val="3"/>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720" w:type="dxa"/>
            <w:vAlign w:val="bottom"/>
            <w:tcBorders>
              <w:bottom w:val="single" w:sz="8" w:color="0000FF"/>
            </w:tcBorders>
            <w:gridSpan w:val="21"/>
          </w:tcPr>
          <w:p>
            <w:pPr>
              <w:spacing w:after="0"/>
              <w:rPr>
                <w:rFonts w:ascii="Arial" w:cs="Arial" w:eastAsia="Arial" w:hAnsi="Arial"/>
                <w:sz w:val="20"/>
                <w:szCs w:val="20"/>
                <w:color w:val="0000FF"/>
                <w:w w:val="91"/>
              </w:rPr>
            </w:pPr>
            <w:hyperlink r:id="rId607">
              <w:r>
                <w:rPr>
                  <w:rFonts w:ascii="Arial" w:cs="Arial" w:eastAsia="Arial" w:hAnsi="Arial"/>
                  <w:sz w:val="20"/>
                  <w:szCs w:val="20"/>
                  <w:color w:val="0000FF"/>
                  <w:w w:val="91"/>
                </w:rPr>
                <w:t>8-K filed with the U.S. Securities and Exchange Commission on February 29, 2024</w:t>
              </w:r>
            </w:hyperlink>
          </w:p>
        </w:tc>
        <w:tc>
          <w:tcPr>
            <w:tcW w:w="120" w:type="dxa"/>
            <w:vAlign w:val="bottom"/>
            <w:gridSpan w:val="3"/>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3060" w:type="dxa"/>
            <w:vAlign w:val="bottom"/>
            <w:tcBorders>
              <w:bottom w:val="single" w:sz="8" w:color="0000FF"/>
            </w:tcBorders>
            <w:gridSpan w:val="6"/>
          </w:tcPr>
          <w:p>
            <w:pPr>
              <w:spacing w:after="0"/>
              <w:rPr>
                <w:rFonts w:ascii="Arial" w:cs="Arial" w:eastAsia="Arial" w:hAnsi="Arial"/>
                <w:sz w:val="20"/>
                <w:szCs w:val="20"/>
                <w:color w:val="0000FF"/>
                <w:w w:val="89"/>
              </w:rPr>
            </w:pPr>
            <w:hyperlink r:id="rId607">
              <w:r>
                <w:rPr>
                  <w:rFonts w:ascii="Arial" w:cs="Arial" w:eastAsia="Arial" w:hAnsi="Arial"/>
                  <w:sz w:val="20"/>
                  <w:szCs w:val="20"/>
                  <w:color w:val="0000FF"/>
                  <w:w w:val="89"/>
                </w:rPr>
                <w:t>and incorporated herein by reference).</w:t>
              </w:r>
            </w:hyperlink>
          </w:p>
        </w:tc>
        <w:tc>
          <w:tcPr>
            <w:tcW w:w="3780" w:type="dxa"/>
            <w:vAlign w:val="bottom"/>
            <w:gridSpan w:val="18"/>
          </w:tcPr>
          <w:p>
            <w:pPr>
              <w:spacing w:after="0"/>
              <w:rPr>
                <w:sz w:val="24"/>
                <w:szCs w:val="24"/>
                <w:color w:val="auto"/>
              </w:rPr>
            </w:pPr>
          </w:p>
        </w:tc>
      </w:tr>
      <w:tr>
        <w:trPr>
          <w:trHeight w:val="580"/>
        </w:trPr>
        <w:tc>
          <w:tcPr>
            <w:tcW w:w="1400" w:type="dxa"/>
            <w:vAlign w:val="bottom"/>
          </w:tcPr>
          <w:p>
            <w:pPr>
              <w:spacing w:after="0"/>
              <w:rPr>
                <w:sz w:val="20"/>
                <w:szCs w:val="20"/>
                <w:color w:val="auto"/>
              </w:rPr>
            </w:pPr>
            <w:r>
              <w:rPr>
                <w:rFonts w:ascii="Arial" w:cs="Arial" w:eastAsia="Arial" w:hAnsi="Arial"/>
                <w:sz w:val="20"/>
                <w:szCs w:val="20"/>
                <w:color w:val="auto"/>
              </w:rPr>
              <w:t>14.1</w:t>
            </w:r>
          </w:p>
        </w:tc>
        <w:tc>
          <w:tcPr>
            <w:tcW w:w="6820" w:type="dxa"/>
            <w:vAlign w:val="bottom"/>
            <w:tcBorders>
              <w:bottom w:val="single" w:sz="8" w:color="0000FF"/>
            </w:tcBorders>
            <w:gridSpan w:val="23"/>
          </w:tcPr>
          <w:p>
            <w:pPr>
              <w:spacing w:after="0"/>
              <w:rPr>
                <w:rFonts w:ascii="Arial" w:cs="Arial" w:eastAsia="Arial" w:hAnsi="Arial"/>
                <w:sz w:val="20"/>
                <w:szCs w:val="20"/>
                <w:color w:val="0000FF"/>
                <w:w w:val="91"/>
              </w:rPr>
            </w:pPr>
            <w:hyperlink r:id="rId608">
              <w:r>
                <w:rPr>
                  <w:rFonts w:ascii="Arial" w:cs="Arial" w:eastAsia="Arial" w:hAnsi="Arial"/>
                  <w:sz w:val="20"/>
                  <w:szCs w:val="20"/>
                  <w:color w:val="0000FF"/>
                  <w:w w:val="91"/>
                </w:rPr>
                <w:t>Joint Code of Ethics (Filed as Exhibit 14.1 to the Registrant’s annual report on Form</w:t>
              </w:r>
            </w:hyperlink>
          </w:p>
        </w:tc>
        <w:tc>
          <w:tcPr>
            <w:tcW w:w="20" w:type="dxa"/>
            <w:vAlign w:val="bottom"/>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20" w:type="dxa"/>
            <w:vAlign w:val="bottom"/>
            <w:tcBorders>
              <w:bottom w:val="single" w:sz="8" w:color="0000FF"/>
            </w:tcBorders>
            <w:gridSpan w:val="23"/>
          </w:tcPr>
          <w:p>
            <w:pPr>
              <w:spacing w:after="0"/>
              <w:rPr>
                <w:rFonts w:ascii="Arial" w:cs="Arial" w:eastAsia="Arial" w:hAnsi="Arial"/>
                <w:sz w:val="20"/>
                <w:szCs w:val="20"/>
                <w:color w:val="0000FF"/>
                <w:w w:val="91"/>
              </w:rPr>
            </w:pPr>
            <w:hyperlink r:id="rId608">
              <w:r>
                <w:rPr>
                  <w:rFonts w:ascii="Arial" w:cs="Arial" w:eastAsia="Arial" w:hAnsi="Arial"/>
                  <w:sz w:val="20"/>
                  <w:szCs w:val="20"/>
                  <w:color w:val="0000FF"/>
                  <w:w w:val="91"/>
                </w:rPr>
                <w:t>10-K filed with the U.S. Securities and Exchange Commission on February 29, 2024</w:t>
              </w:r>
            </w:hyperlink>
          </w:p>
        </w:tc>
        <w:tc>
          <w:tcPr>
            <w:tcW w:w="20" w:type="dxa"/>
            <w:vAlign w:val="bottom"/>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3060" w:type="dxa"/>
            <w:vAlign w:val="bottom"/>
            <w:tcBorders>
              <w:bottom w:val="single" w:sz="8" w:color="0000FF"/>
            </w:tcBorders>
            <w:gridSpan w:val="6"/>
          </w:tcPr>
          <w:p>
            <w:pPr>
              <w:spacing w:after="0"/>
              <w:rPr>
                <w:rFonts w:ascii="Arial" w:cs="Arial" w:eastAsia="Arial" w:hAnsi="Arial"/>
                <w:sz w:val="20"/>
                <w:szCs w:val="20"/>
                <w:color w:val="0000FF"/>
                <w:w w:val="89"/>
              </w:rPr>
            </w:pPr>
            <w:hyperlink r:id="rId608">
              <w:r>
                <w:rPr>
                  <w:rFonts w:ascii="Arial" w:cs="Arial" w:eastAsia="Arial" w:hAnsi="Arial"/>
                  <w:sz w:val="20"/>
                  <w:szCs w:val="20"/>
                  <w:color w:val="0000FF"/>
                  <w:w w:val="89"/>
                </w:rPr>
                <w:t>and incorporated herein by reference).</w:t>
              </w:r>
            </w:hyperlink>
          </w:p>
        </w:tc>
        <w:tc>
          <w:tcPr>
            <w:tcW w:w="3780" w:type="dxa"/>
            <w:vAlign w:val="bottom"/>
            <w:gridSpan w:val="18"/>
          </w:tcPr>
          <w:p>
            <w:pPr>
              <w:spacing w:after="0"/>
              <w:rPr>
                <w:sz w:val="24"/>
                <w:szCs w:val="24"/>
                <w:color w:val="auto"/>
              </w:rPr>
            </w:pPr>
          </w:p>
        </w:tc>
      </w:tr>
      <w:tr>
        <w:trPr>
          <w:trHeight w:val="580"/>
        </w:trPr>
        <w:tc>
          <w:tcPr>
            <w:tcW w:w="1400" w:type="dxa"/>
            <w:vAlign w:val="bottom"/>
          </w:tcPr>
          <w:p>
            <w:pPr>
              <w:spacing w:after="0"/>
              <w:rPr>
                <w:sz w:val="20"/>
                <w:szCs w:val="20"/>
                <w:color w:val="auto"/>
              </w:rPr>
            </w:pPr>
            <w:r>
              <w:rPr>
                <w:rFonts w:ascii="Arial" w:cs="Arial" w:eastAsia="Arial" w:hAnsi="Arial"/>
                <w:sz w:val="20"/>
                <w:szCs w:val="20"/>
                <w:color w:val="auto"/>
              </w:rPr>
              <w:t>19.1</w:t>
            </w:r>
          </w:p>
        </w:tc>
        <w:tc>
          <w:tcPr>
            <w:tcW w:w="6480" w:type="dxa"/>
            <w:vAlign w:val="bottom"/>
            <w:tcBorders>
              <w:bottom w:val="single" w:sz="8" w:color="0000FF"/>
            </w:tcBorders>
            <w:gridSpan w:val="12"/>
          </w:tcPr>
          <w:p>
            <w:pPr>
              <w:spacing w:after="0"/>
              <w:rPr>
                <w:rFonts w:ascii="Arial" w:cs="Arial" w:eastAsia="Arial" w:hAnsi="Arial"/>
                <w:sz w:val="20"/>
                <w:szCs w:val="20"/>
                <w:color w:val="0000FF"/>
                <w:w w:val="91"/>
              </w:rPr>
            </w:pPr>
            <w:hyperlink r:id="rId608">
              <w:r>
                <w:rPr>
                  <w:rFonts w:ascii="Arial" w:cs="Arial" w:eastAsia="Arial" w:hAnsi="Arial"/>
                  <w:sz w:val="20"/>
                  <w:szCs w:val="20"/>
                  <w:color w:val="0000FF"/>
                  <w:w w:val="91"/>
                </w:rPr>
                <w:t>Insider Trading Policy and Procedures included in Joint Code of Ethics (Filed as</w:t>
              </w:r>
            </w:hyperlink>
          </w:p>
        </w:tc>
        <w:tc>
          <w:tcPr>
            <w:tcW w:w="360" w:type="dxa"/>
            <w:vAlign w:val="bottom"/>
            <w:gridSpan w:val="12"/>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340" w:type="dxa"/>
            <w:vAlign w:val="bottom"/>
            <w:tcBorders>
              <w:bottom w:val="single" w:sz="8" w:color="0000FF"/>
            </w:tcBorders>
            <w:gridSpan w:val="10"/>
          </w:tcPr>
          <w:p>
            <w:pPr>
              <w:spacing w:after="0"/>
              <w:rPr>
                <w:rFonts w:ascii="Arial" w:cs="Arial" w:eastAsia="Arial" w:hAnsi="Arial"/>
                <w:sz w:val="20"/>
                <w:szCs w:val="20"/>
                <w:color w:val="0000FF"/>
                <w:w w:val="92"/>
              </w:rPr>
            </w:pPr>
            <w:hyperlink r:id="rId608">
              <w:r>
                <w:rPr>
                  <w:rFonts w:ascii="Arial" w:cs="Arial" w:eastAsia="Arial" w:hAnsi="Arial"/>
                  <w:sz w:val="20"/>
                  <w:szCs w:val="20"/>
                  <w:color w:val="0000FF"/>
                  <w:w w:val="92"/>
                </w:rPr>
                <w:t>Exhibit 19.1 to the Registrant's annual report on Form 10-K filed with the U.S.</w:t>
              </w:r>
            </w:hyperlink>
          </w:p>
        </w:tc>
        <w:tc>
          <w:tcPr>
            <w:tcW w:w="500" w:type="dxa"/>
            <w:vAlign w:val="bottom"/>
            <w:gridSpan w:val="14"/>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00" w:type="dxa"/>
            <w:vAlign w:val="bottom"/>
            <w:tcBorders>
              <w:bottom w:val="single" w:sz="8" w:color="0000FF"/>
            </w:tcBorders>
            <w:gridSpan w:val="22"/>
          </w:tcPr>
          <w:p>
            <w:pPr>
              <w:spacing w:after="0"/>
              <w:rPr>
                <w:rFonts w:ascii="Arial" w:cs="Arial" w:eastAsia="Arial" w:hAnsi="Arial"/>
                <w:sz w:val="20"/>
                <w:szCs w:val="20"/>
                <w:color w:val="0000FF"/>
                <w:w w:val="90"/>
              </w:rPr>
            </w:pPr>
            <w:hyperlink r:id="rId608">
              <w:r>
                <w:rPr>
                  <w:rFonts w:ascii="Arial" w:cs="Arial" w:eastAsia="Arial" w:hAnsi="Arial"/>
                  <w:sz w:val="20"/>
                  <w:szCs w:val="20"/>
                  <w:color w:val="0000FF"/>
                  <w:w w:val="90"/>
                </w:rPr>
                <w:t>Securities and Exchange Commission on February 29, 2024 and incorporated herein</w:t>
              </w:r>
            </w:hyperlink>
          </w:p>
        </w:tc>
        <w:tc>
          <w:tcPr>
            <w:tcW w:w="40" w:type="dxa"/>
            <w:vAlign w:val="bottom"/>
            <w:gridSpan w:val="2"/>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6840" w:type="dxa"/>
            <w:vAlign w:val="bottom"/>
            <w:gridSpan w:val="24"/>
          </w:tcPr>
          <w:p>
            <w:pPr>
              <w:spacing w:after="0"/>
              <w:rPr>
                <w:rFonts w:ascii="Arial" w:cs="Arial" w:eastAsia="Arial" w:hAnsi="Arial"/>
                <w:sz w:val="20"/>
                <w:szCs w:val="20"/>
                <w:color w:val="0000FF"/>
              </w:rPr>
            </w:pPr>
            <w:hyperlink r:id="rId608">
              <w:r>
                <w:rPr>
                  <w:rFonts w:ascii="Arial" w:cs="Arial" w:eastAsia="Arial" w:hAnsi="Arial"/>
                  <w:sz w:val="20"/>
                  <w:szCs w:val="20"/>
                  <w:color w:val="0000FF"/>
                </w:rPr>
                <w:t>by reference).</w:t>
              </w:r>
            </w:hyperlink>
          </w:p>
        </w:tc>
      </w:tr>
      <w:tr>
        <w:trPr>
          <w:trHeight w:val="20"/>
        </w:trPr>
        <w:tc>
          <w:tcPr>
            <w:tcW w:w="14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21.1</w:t>
            </w:r>
          </w:p>
        </w:tc>
        <w:tc>
          <w:tcPr>
            <w:tcW w:w="6840" w:type="dxa"/>
            <w:vAlign w:val="bottom"/>
            <w:gridSpan w:val="24"/>
          </w:tcPr>
          <w:p>
            <w:pPr>
              <w:spacing w:after="0"/>
              <w:rPr>
                <w:sz w:val="20"/>
                <w:szCs w:val="20"/>
                <w:color w:val="auto"/>
              </w:rPr>
            </w:pPr>
            <w:r>
              <w:rPr>
                <w:rFonts w:ascii="Arial" w:cs="Arial" w:eastAsia="Arial" w:hAnsi="Arial"/>
                <w:sz w:val="20"/>
                <w:szCs w:val="20"/>
                <w:color w:val="0000FF"/>
              </w:rPr>
              <w:t>List of Subsidiaries.*</w:t>
            </w:r>
          </w:p>
        </w:tc>
      </w:tr>
      <w:tr>
        <w:trPr>
          <w:trHeight w:val="20"/>
        </w:trPr>
        <w:tc>
          <w:tcPr>
            <w:tcW w:w="14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23.1</w:t>
            </w:r>
          </w:p>
        </w:tc>
        <w:tc>
          <w:tcPr>
            <w:tcW w:w="6840" w:type="dxa"/>
            <w:vAlign w:val="bottom"/>
            <w:gridSpan w:val="24"/>
          </w:tcPr>
          <w:p>
            <w:pPr>
              <w:spacing w:after="0"/>
              <w:rPr>
                <w:sz w:val="20"/>
                <w:szCs w:val="20"/>
                <w:color w:val="auto"/>
              </w:rPr>
            </w:pPr>
            <w:r>
              <w:rPr>
                <w:rFonts w:ascii="Arial" w:cs="Arial" w:eastAsia="Arial" w:hAnsi="Arial"/>
                <w:sz w:val="20"/>
                <w:szCs w:val="20"/>
                <w:color w:val="0000FF"/>
              </w:rPr>
              <w:t>Consent of Independent Registered Public Accounting Firm.*</w:t>
            </w:r>
          </w:p>
        </w:tc>
      </w:tr>
      <w:tr>
        <w:trPr>
          <w:trHeight w:val="20"/>
        </w:trPr>
        <w:tc>
          <w:tcPr>
            <w:tcW w:w="140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31.1</w:t>
            </w:r>
          </w:p>
        </w:tc>
        <w:tc>
          <w:tcPr>
            <w:tcW w:w="658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color w:val="0000FF"/>
                <w:w w:val="92"/>
              </w:rPr>
              <w:t>Certification of Chief Executive Officer pursuant to Rule 13a-14 of the Securities</w:t>
            </w:r>
          </w:p>
        </w:tc>
        <w:tc>
          <w:tcPr>
            <w:tcW w:w="260" w:type="dxa"/>
            <w:vAlign w:val="bottom"/>
            <w:gridSpan w:val="9"/>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29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9"/>
              </w:rPr>
              <w:t>Exchange Act of 1934, as amended.*</w:t>
            </w:r>
          </w:p>
        </w:tc>
        <w:tc>
          <w:tcPr>
            <w:tcW w:w="3860" w:type="dxa"/>
            <w:vAlign w:val="bottom"/>
            <w:gridSpan w:val="19"/>
          </w:tcPr>
          <w:p>
            <w:pPr>
              <w:spacing w:after="0"/>
              <w:rPr>
                <w:sz w:val="24"/>
                <w:szCs w:val="24"/>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31.2</w:t>
            </w:r>
          </w:p>
        </w:tc>
        <w:tc>
          <w:tcPr>
            <w:tcW w:w="652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2"/>
              </w:rPr>
              <w:t>Certification of Chief Financial Officer pursuant to Rule 13a-14 of the Securities</w:t>
            </w:r>
          </w:p>
        </w:tc>
        <w:tc>
          <w:tcPr>
            <w:tcW w:w="320" w:type="dxa"/>
            <w:vAlign w:val="bottom"/>
            <w:gridSpan w:val="11"/>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29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9"/>
              </w:rPr>
              <w:t>Exchange Act of 1934, as amended.*</w:t>
            </w:r>
          </w:p>
        </w:tc>
        <w:tc>
          <w:tcPr>
            <w:tcW w:w="3860" w:type="dxa"/>
            <w:vAlign w:val="bottom"/>
            <w:gridSpan w:val="19"/>
          </w:tcPr>
          <w:p>
            <w:pPr>
              <w:spacing w:after="0"/>
              <w:rPr>
                <w:sz w:val="24"/>
                <w:szCs w:val="24"/>
                <w:color w:val="auto"/>
              </w:rPr>
            </w:pPr>
          </w:p>
        </w:tc>
      </w:tr>
      <w:tr>
        <w:trPr>
          <w:trHeight w:val="620"/>
        </w:trPr>
        <w:tc>
          <w:tcPr>
            <w:tcW w:w="1400" w:type="dxa"/>
            <w:vAlign w:val="bottom"/>
          </w:tcPr>
          <w:p>
            <w:pPr>
              <w:spacing w:after="0"/>
              <w:rPr>
                <w:sz w:val="20"/>
                <w:szCs w:val="20"/>
                <w:color w:val="auto"/>
              </w:rPr>
            </w:pPr>
            <w:r>
              <w:rPr>
                <w:rFonts w:ascii="Arial" w:cs="Arial" w:eastAsia="Arial" w:hAnsi="Arial"/>
                <w:sz w:val="20"/>
                <w:szCs w:val="20"/>
                <w:color w:val="auto"/>
              </w:rPr>
              <w:t>32.1</w:t>
            </w:r>
          </w:p>
        </w:tc>
        <w:tc>
          <w:tcPr>
            <w:tcW w:w="644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3"/>
              </w:rPr>
              <w:t>Certification of Chief Executive Officer and Chief Financial Officer pursuant to</w:t>
            </w:r>
          </w:p>
        </w:tc>
        <w:tc>
          <w:tcPr>
            <w:tcW w:w="400" w:type="dxa"/>
            <w:vAlign w:val="bottom"/>
            <w:gridSpan w:val="13"/>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39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1"/>
              </w:rPr>
              <w:t>section 906 of The Sarbanes-Oxley Act of 2002.*</w:t>
            </w:r>
          </w:p>
        </w:tc>
        <w:tc>
          <w:tcPr>
            <w:tcW w:w="2860" w:type="dxa"/>
            <w:vAlign w:val="bottom"/>
            <w:gridSpan w:val="17"/>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31</w:t>
      </w:r>
    </w:p>
    <w:p>
      <w:pPr>
        <w:sectPr>
          <w:pgSz w:w="11900" w:h="16838" w:orient="portrait"/>
          <w:cols w:equalWidth="0" w:num="1">
            <w:col w:w="9026"/>
          </w:cols>
          <w:pgMar w:left="1440" w:top="1440" w:right="1440" w:bottom="0" w:gutter="0" w:footer="0" w:header="0"/>
          <w:type w:val="continuous"/>
        </w:sectPr>
      </w:pPr>
    </w:p>
    <w:bookmarkStart w:id="334" w:name="page335"/>
    <w:bookmarkEnd w:id="334"/>
    <w:tbl>
      <w:tblPr>
        <w:tblLayout w:type="fixed"/>
        <w:tblInd w:w="586" w:type="dxa"/>
        <w:tblCellMar>
          <w:top w:w="0" w:type="dxa"/>
          <w:left w:w="0" w:type="dxa"/>
          <w:bottom w:w="0" w:type="dxa"/>
          <w:right w:w="0" w:type="dxa"/>
        </w:tblCellMar>
      </w:tblPr>
      <w:tr>
        <w:trPr>
          <w:trHeight w:val="230"/>
        </w:trPr>
        <w:tc>
          <w:tcPr>
            <w:tcW w:w="1400" w:type="dxa"/>
            <w:vAlign w:val="bottom"/>
          </w:tcPr>
          <w:p>
            <w:pPr>
              <w:jc w:val="right"/>
              <w:ind w:right="960"/>
              <w:spacing w:after="0"/>
              <w:rPr>
                <w:sz w:val="20"/>
                <w:szCs w:val="20"/>
                <w:color w:val="auto"/>
              </w:rPr>
            </w:pPr>
            <w:r>
              <w:rPr>
                <w:rFonts w:ascii="Arial" w:cs="Arial" w:eastAsia="Arial" w:hAnsi="Arial"/>
                <w:sz w:val="20"/>
                <w:szCs w:val="20"/>
                <w:color w:val="auto"/>
                <w:w w:val="82"/>
              </w:rPr>
              <w:t>97.1</w:t>
            </w:r>
          </w:p>
        </w:tc>
        <w:tc>
          <w:tcPr>
            <w:tcW w:w="6700" w:type="dxa"/>
            <w:vAlign w:val="bottom"/>
            <w:tcBorders>
              <w:bottom w:val="single" w:sz="8" w:color="0000FF"/>
            </w:tcBorders>
            <w:gridSpan w:val="3"/>
          </w:tcPr>
          <w:p>
            <w:pPr>
              <w:spacing w:after="0"/>
              <w:rPr>
                <w:rFonts w:ascii="Arial" w:cs="Arial" w:eastAsia="Arial" w:hAnsi="Arial"/>
                <w:sz w:val="20"/>
                <w:szCs w:val="20"/>
                <w:color w:val="0000FF"/>
                <w:w w:val="91"/>
              </w:rPr>
            </w:pPr>
            <w:hyperlink r:id="rId608">
              <w:r>
                <w:rPr>
                  <w:rFonts w:ascii="Arial" w:cs="Arial" w:eastAsia="Arial" w:hAnsi="Arial"/>
                  <w:sz w:val="20"/>
                  <w:szCs w:val="20"/>
                  <w:color w:val="0000FF"/>
                  <w:w w:val="91"/>
                </w:rPr>
                <w:t>Compensation Recoupment Policy (Filed as Exhibit 97.1 to the Registrant’s annual</w:t>
              </w:r>
            </w:hyperlink>
          </w:p>
        </w:tc>
      </w:tr>
      <w:tr>
        <w:trPr>
          <w:trHeight w:val="280"/>
        </w:trPr>
        <w:tc>
          <w:tcPr>
            <w:tcW w:w="1400" w:type="dxa"/>
            <w:vAlign w:val="bottom"/>
          </w:tcPr>
          <w:p>
            <w:pPr>
              <w:spacing w:after="0"/>
              <w:rPr>
                <w:sz w:val="24"/>
                <w:szCs w:val="24"/>
                <w:color w:val="auto"/>
              </w:rPr>
            </w:pPr>
          </w:p>
        </w:tc>
        <w:tc>
          <w:tcPr>
            <w:tcW w:w="6560" w:type="dxa"/>
            <w:vAlign w:val="bottom"/>
            <w:tcBorders>
              <w:bottom w:val="single" w:sz="8" w:color="0000FF"/>
            </w:tcBorders>
            <w:gridSpan w:val="2"/>
          </w:tcPr>
          <w:p>
            <w:pPr>
              <w:spacing w:after="0"/>
              <w:rPr>
                <w:rFonts w:ascii="Arial" w:cs="Arial" w:eastAsia="Arial" w:hAnsi="Arial"/>
                <w:sz w:val="20"/>
                <w:szCs w:val="20"/>
                <w:color w:val="0000FF"/>
                <w:w w:val="91"/>
              </w:rPr>
            </w:pPr>
            <w:hyperlink r:id="rId608">
              <w:r>
                <w:rPr>
                  <w:rFonts w:ascii="Arial" w:cs="Arial" w:eastAsia="Arial" w:hAnsi="Arial"/>
                  <w:sz w:val="20"/>
                  <w:szCs w:val="20"/>
                  <w:color w:val="0000FF"/>
                  <w:w w:val="91"/>
                </w:rPr>
                <w:t>report on Form 10-K filed with the U.S. Securities and Exchange Commission on</w:t>
              </w:r>
            </w:hyperlink>
          </w:p>
        </w:tc>
        <w:tc>
          <w:tcPr>
            <w:tcW w:w="140" w:type="dxa"/>
            <w:vAlign w:val="bottom"/>
          </w:tcPr>
          <w:p>
            <w:pPr>
              <w:spacing w:after="0"/>
              <w:rPr>
                <w:sz w:val="24"/>
                <w:szCs w:val="24"/>
                <w:color w:val="auto"/>
              </w:rPr>
            </w:pPr>
          </w:p>
        </w:tc>
      </w:tr>
      <w:tr>
        <w:trPr>
          <w:trHeight w:val="280"/>
        </w:trPr>
        <w:tc>
          <w:tcPr>
            <w:tcW w:w="1400" w:type="dxa"/>
            <w:vAlign w:val="bottom"/>
          </w:tcPr>
          <w:p>
            <w:pPr>
              <w:spacing w:after="0"/>
              <w:rPr>
                <w:sz w:val="24"/>
                <w:szCs w:val="24"/>
                <w:color w:val="auto"/>
              </w:rPr>
            </w:pPr>
          </w:p>
        </w:tc>
        <w:tc>
          <w:tcPr>
            <w:tcW w:w="4580" w:type="dxa"/>
            <w:vAlign w:val="bottom"/>
            <w:tcBorders>
              <w:bottom w:val="single" w:sz="8" w:color="0000FF"/>
            </w:tcBorders>
          </w:tcPr>
          <w:p>
            <w:pPr>
              <w:spacing w:after="0"/>
              <w:rPr>
                <w:rFonts w:ascii="Arial" w:cs="Arial" w:eastAsia="Arial" w:hAnsi="Arial"/>
                <w:sz w:val="20"/>
                <w:szCs w:val="20"/>
                <w:color w:val="0000FF"/>
                <w:w w:val="89"/>
              </w:rPr>
            </w:pPr>
            <w:hyperlink r:id="rId608">
              <w:r>
                <w:rPr>
                  <w:rFonts w:ascii="Arial" w:cs="Arial" w:eastAsia="Arial" w:hAnsi="Arial"/>
                  <w:sz w:val="20"/>
                  <w:szCs w:val="20"/>
                  <w:color w:val="0000FF"/>
                  <w:w w:val="89"/>
                </w:rPr>
                <w:t>February 29, 2024 and incorporated herein by reference).</w:t>
              </w:r>
            </w:hyperlink>
          </w:p>
        </w:tc>
        <w:tc>
          <w:tcPr>
            <w:tcW w:w="212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30" w:lineRule="exact"/>
        <w:rPr>
          <w:sz w:val="20"/>
          <w:szCs w:val="20"/>
          <w:color w:val="auto"/>
        </w:rPr>
      </w:pPr>
    </w:p>
    <w:p>
      <w:pPr>
        <w:ind w:left="386" w:hanging="386"/>
        <w:spacing w:after="0"/>
        <w:tabs>
          <w:tab w:leader="none" w:pos="38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70" w:lineRule="exact"/>
        <w:rPr>
          <w:sz w:val="20"/>
          <w:szCs w:val="20"/>
          <w:color w:val="auto"/>
        </w:rPr>
      </w:pPr>
    </w:p>
    <w:p>
      <w:pPr>
        <w:ind w:left="386" w:hanging="386"/>
        <w:spacing w:after="0"/>
        <w:tabs>
          <w:tab w:leader="none" w:pos="38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Denotes a management contract or compensatory plan, contract or arrangement.</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16. Form 10-K Summary.</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5"/>
        <w:spacing w:after="0"/>
        <w:rPr>
          <w:sz w:val="20"/>
          <w:szCs w:val="20"/>
          <w:color w:val="auto"/>
        </w:rPr>
      </w:pPr>
      <w:r>
        <w:rPr>
          <w:rFonts w:ascii="Arial" w:cs="Arial" w:eastAsia="Arial" w:hAnsi="Arial"/>
          <w:sz w:val="20"/>
          <w:szCs w:val="20"/>
          <w:b w:val="1"/>
          <w:bCs w:val="1"/>
          <w:color w:val="auto"/>
        </w:rPr>
        <w:t>SIGNATURES</w:t>
      </w:r>
    </w:p>
    <w:p>
      <w:pPr>
        <w:spacing w:after="0" w:line="260" w:lineRule="exact"/>
        <w:rPr>
          <w:sz w:val="20"/>
          <w:szCs w:val="20"/>
          <w:color w:val="auto"/>
        </w:rPr>
      </w:pPr>
    </w:p>
    <w:p>
      <w:pPr>
        <w:ind w:left="6" w:firstLine="802"/>
        <w:spacing w:after="0" w:line="331"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26"/>
        <w:spacing w:after="0"/>
        <w:rPr>
          <w:sz w:val="20"/>
          <w:szCs w:val="20"/>
          <w:color w:val="auto"/>
        </w:rPr>
      </w:pPr>
      <w:r>
        <w:rPr>
          <w:rFonts w:ascii="Arial" w:cs="Arial" w:eastAsia="Arial" w:hAnsi="Arial"/>
          <w:sz w:val="20"/>
          <w:szCs w:val="20"/>
          <w:color w:val="auto"/>
        </w:rPr>
        <w:t>FIDUS INVESTMENT CORPORATION</w:t>
      </w:r>
    </w:p>
    <w:p>
      <w:pPr>
        <w:spacing w:after="0" w:line="70" w:lineRule="exact"/>
        <w:rPr>
          <w:sz w:val="20"/>
          <w:szCs w:val="20"/>
          <w:color w:val="auto"/>
        </w:rPr>
      </w:pPr>
    </w:p>
    <w:p>
      <w:pPr>
        <w:ind w:left="4926"/>
        <w:spacing w:after="0"/>
        <w:rPr>
          <w:sz w:val="20"/>
          <w:szCs w:val="20"/>
          <w:color w:val="auto"/>
        </w:rPr>
      </w:pPr>
      <w:r>
        <w:rPr>
          <w:rFonts w:ascii="Arial" w:cs="Arial" w:eastAsia="Arial" w:hAnsi="Arial"/>
          <w:sz w:val="20"/>
          <w:szCs w:val="20"/>
          <w:color w:val="auto"/>
        </w:rPr>
        <w:t>A Maryland Corporation</w:t>
      </w:r>
    </w:p>
    <w:p>
      <w:pPr>
        <w:spacing w:after="0" w:line="200" w:lineRule="exact"/>
        <w:rPr>
          <w:sz w:val="20"/>
          <w:szCs w:val="20"/>
          <w:color w:val="auto"/>
        </w:rPr>
      </w:pPr>
    </w:p>
    <w:p>
      <w:pPr>
        <w:spacing w:after="0" w:line="230"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14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17 / 31</w:t>
      </w:r>
    </w:p>
    <w:p>
      <w:pPr>
        <w:sectPr>
          <w:pgSz w:w="11900" w:h="16838" w:orient="portrait"/>
          <w:cols w:equalWidth="0" w:num="1">
            <w:col w:w="9346"/>
          </w:cols>
          <w:pgMar w:left="1254" w:top="1143" w:right="1306" w:bottom="0" w:gutter="0" w:footer="0" w:header="0"/>
          <w:type w:val="continuous"/>
        </w:sectPr>
      </w:pPr>
    </w:p>
    <w:bookmarkStart w:id="335" w:name="page336"/>
    <w:bookmarkEnd w:id="335"/>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FIDUS INVESTMENT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shares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2026</w:t>
      </w: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26035</wp:posOffset>
            </wp:positionV>
            <wp:extent cx="2828290" cy="95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0">
                      <a:extLst>
                        <a:ext uri="{28A0092B-C50C-407E-A947-70E740481C1C}"/>
                      </a:extLst>
                    </a:blip>
                    <a:srcRect/>
                    <a:stretch>
                      <a:fillRect/>
                    </a:stretch>
                  </pic:blipFill>
                  <pic:spPr bwMode="auto">
                    <a:xfrm>
                      <a:off x="0" y="0"/>
                      <a:ext cx="2828290" cy="9525"/>
                    </a:xfrm>
                    <a:prstGeom prst="rect">
                      <a:avLst/>
                    </a:prstGeom>
                    <a:noFill/>
                  </pic:spPr>
                </pic:pic>
              </a:graphicData>
            </a:graphic>
          </wp:anchor>
        </w:drawing>
      </w:r>
    </w:p>
    <w:p>
      <w:pPr>
        <w:spacing w:after="0" w:line="12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Edward H. Ross</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Title: Chairman and Chief Executive Officer</w:t>
      </w:r>
    </w:p>
    <w:p>
      <w:pPr>
        <w:spacing w:after="0" w:line="260" w:lineRule="exact"/>
        <w:rPr>
          <w:sz w:val="20"/>
          <w:szCs w:val="20"/>
          <w:color w:val="auto"/>
        </w:rPr>
      </w:pPr>
    </w:p>
    <w:p>
      <w:pPr>
        <w:ind w:right="60" w:firstLine="802"/>
        <w:spacing w:after="0" w:line="331"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ind w:left="1400"/>
              <w:spacing w:after="0"/>
              <w:rPr>
                <w:sz w:val="20"/>
                <w:szCs w:val="20"/>
                <w:color w:val="auto"/>
              </w:rPr>
            </w:pPr>
            <w:r>
              <w:rPr>
                <w:rFonts w:ascii="Arial" w:cs="Arial" w:eastAsia="Arial" w:hAnsi="Arial"/>
                <w:sz w:val="15"/>
                <w:szCs w:val="15"/>
                <w:b w:val="1"/>
                <w:bCs w:val="1"/>
                <w:color w:val="auto"/>
              </w:rPr>
              <w:t>Signature</w:t>
            </w:r>
          </w:p>
        </w:tc>
        <w:tc>
          <w:tcPr>
            <w:tcW w:w="4360" w:type="dxa"/>
            <w:vAlign w:val="bottom"/>
          </w:tcPr>
          <w:p>
            <w:pPr>
              <w:ind w:left="2240"/>
              <w:spacing w:after="0"/>
              <w:rPr>
                <w:sz w:val="20"/>
                <w:szCs w:val="20"/>
                <w:color w:val="auto"/>
              </w:rPr>
            </w:pPr>
            <w:r>
              <w:rPr>
                <w:rFonts w:ascii="Arial" w:cs="Arial" w:eastAsia="Arial" w:hAnsi="Arial"/>
                <w:sz w:val="15"/>
                <w:szCs w:val="15"/>
                <w:b w:val="1"/>
                <w:bCs w:val="1"/>
                <w:color w:val="auto"/>
              </w:rPr>
              <w:t>Title</w:t>
            </w:r>
          </w:p>
        </w:tc>
        <w:tc>
          <w:tcPr>
            <w:tcW w:w="1720" w:type="dxa"/>
            <w:vAlign w:val="bottom"/>
          </w:tcPr>
          <w:p>
            <w:pPr>
              <w:jc w:val="center"/>
              <w:ind w:left="162"/>
              <w:spacing w:after="0"/>
              <w:rPr>
                <w:sz w:val="20"/>
                <w:szCs w:val="20"/>
                <w:color w:val="auto"/>
              </w:rPr>
            </w:pPr>
            <w:r>
              <w:rPr>
                <w:rFonts w:ascii="Arial" w:cs="Arial" w:eastAsia="Arial" w:hAnsi="Arial"/>
                <w:sz w:val="15"/>
                <w:szCs w:val="15"/>
                <w:b w:val="1"/>
                <w:bCs w:val="1"/>
                <w:color w:val="auto"/>
                <w:w w:val="92"/>
              </w:rPr>
              <w:t>Date</w:t>
            </w:r>
          </w:p>
        </w:tc>
      </w:tr>
      <w:tr>
        <w:trPr>
          <w:trHeight w:val="609"/>
        </w:trPr>
        <w:tc>
          <w:tcPr>
            <w:tcW w:w="3320" w:type="dxa"/>
            <w:vAlign w:val="bottom"/>
          </w:tcPr>
          <w:p>
            <w:pPr>
              <w:spacing w:after="0"/>
              <w:rPr>
                <w:sz w:val="20"/>
                <w:szCs w:val="20"/>
                <w:color w:val="auto"/>
              </w:rPr>
            </w:pPr>
            <w:r>
              <w:rPr>
                <w:rFonts w:ascii="Arial" w:cs="Arial" w:eastAsia="Arial" w:hAnsi="Arial"/>
                <w:sz w:val="20"/>
                <w:szCs w:val="20"/>
                <w:color w:val="auto"/>
              </w:rPr>
              <w:t>/s/ EDWARD H. ROSS</w:t>
            </w:r>
          </w:p>
        </w:tc>
        <w:tc>
          <w:tcPr>
            <w:tcW w:w="4360" w:type="dxa"/>
            <w:vAlign w:val="bottom"/>
          </w:tcPr>
          <w:p>
            <w:pPr>
              <w:ind w:left="320"/>
              <w:spacing w:after="0"/>
              <w:rPr>
                <w:sz w:val="20"/>
                <w:szCs w:val="20"/>
                <w:color w:val="auto"/>
              </w:rPr>
            </w:pPr>
            <w:r>
              <w:rPr>
                <w:rFonts w:ascii="Arial" w:cs="Arial" w:eastAsia="Arial" w:hAnsi="Arial"/>
                <w:sz w:val="20"/>
                <w:szCs w:val="20"/>
                <w:color w:val="auto"/>
              </w:rPr>
              <w:t>Chairman and Chief Executive Officer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Edward H. Ross</w:t>
            </w:r>
          </w:p>
        </w:tc>
        <w:tc>
          <w:tcPr>
            <w:tcW w:w="4360" w:type="dxa"/>
            <w:vAlign w:val="bottom"/>
          </w:tcPr>
          <w:p>
            <w:pPr>
              <w:ind w:left="320"/>
              <w:spacing w:after="0"/>
              <w:rPr>
                <w:sz w:val="20"/>
                <w:szCs w:val="20"/>
                <w:color w:val="auto"/>
              </w:rPr>
            </w:pPr>
            <w:r>
              <w:rPr>
                <w:rFonts w:ascii="Arial" w:cs="Arial" w:eastAsia="Arial" w:hAnsi="Arial"/>
                <w:sz w:val="20"/>
                <w:szCs w:val="20"/>
                <w:color w:val="auto"/>
              </w:rPr>
              <w:t>(Principal Executive Officer)</w:t>
            </w: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660"/>
        </w:trPr>
        <w:tc>
          <w:tcPr>
            <w:tcW w:w="3320" w:type="dxa"/>
            <w:vAlign w:val="bottom"/>
          </w:tcPr>
          <w:p>
            <w:pPr>
              <w:spacing w:after="0"/>
              <w:rPr>
                <w:sz w:val="20"/>
                <w:szCs w:val="20"/>
                <w:color w:val="auto"/>
              </w:rPr>
            </w:pPr>
            <w:r>
              <w:rPr>
                <w:rFonts w:ascii="Arial" w:cs="Arial" w:eastAsia="Arial" w:hAnsi="Arial"/>
                <w:sz w:val="20"/>
                <w:szCs w:val="20"/>
                <w:color w:val="auto"/>
              </w:rPr>
              <w:t>/s/ THOMAS C. LAUER</w:t>
            </w:r>
          </w:p>
        </w:tc>
        <w:tc>
          <w:tcPr>
            <w:tcW w:w="4360" w:type="dxa"/>
            <w:vAlign w:val="bottom"/>
          </w:tcPr>
          <w:p>
            <w:pPr>
              <w:ind w:left="320"/>
              <w:spacing w:after="0"/>
              <w:rPr>
                <w:sz w:val="20"/>
                <w:szCs w:val="20"/>
                <w:color w:val="auto"/>
              </w:rPr>
            </w:pPr>
            <w:r>
              <w:rPr>
                <w:rFonts w:ascii="Arial" w:cs="Arial" w:eastAsia="Arial" w:hAnsi="Arial"/>
                <w:sz w:val="20"/>
                <w:szCs w:val="20"/>
                <w:color w:val="auto"/>
              </w:rPr>
              <w:t>President and Director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Thomas C. Lauer</w:t>
            </w:r>
          </w:p>
        </w:tc>
        <w:tc>
          <w:tcPr>
            <w:tcW w:w="4360" w:type="dxa"/>
            <w:vAlign w:val="bottom"/>
          </w:tcPr>
          <w:p>
            <w:pPr>
              <w:spacing w:after="0"/>
              <w:rPr>
                <w:sz w:val="24"/>
                <w:szCs w:val="24"/>
                <w:color w:val="auto"/>
              </w:rPr>
            </w:pP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700"/>
        </w:trPr>
        <w:tc>
          <w:tcPr>
            <w:tcW w:w="3320" w:type="dxa"/>
            <w:vAlign w:val="bottom"/>
          </w:tcPr>
          <w:p>
            <w:pPr>
              <w:spacing w:after="0"/>
              <w:rPr>
                <w:sz w:val="20"/>
                <w:szCs w:val="20"/>
                <w:color w:val="auto"/>
              </w:rPr>
            </w:pPr>
            <w:r>
              <w:rPr>
                <w:rFonts w:ascii="Arial" w:cs="Arial" w:eastAsia="Arial" w:hAnsi="Arial"/>
                <w:sz w:val="20"/>
                <w:szCs w:val="20"/>
                <w:color w:val="auto"/>
              </w:rPr>
              <w:t>/s/ SHELBY E. SHERARD</w:t>
            </w:r>
          </w:p>
        </w:tc>
        <w:tc>
          <w:tcPr>
            <w:tcW w:w="4360" w:type="dxa"/>
            <w:vAlign w:val="bottom"/>
          </w:tcPr>
          <w:p>
            <w:pPr>
              <w:ind w:left="320"/>
              <w:spacing w:after="0"/>
              <w:rPr>
                <w:sz w:val="20"/>
                <w:szCs w:val="20"/>
                <w:color w:val="auto"/>
              </w:rPr>
            </w:pPr>
            <w:r>
              <w:rPr>
                <w:rFonts w:ascii="Arial" w:cs="Arial" w:eastAsia="Arial" w:hAnsi="Arial"/>
                <w:sz w:val="20"/>
                <w:szCs w:val="20"/>
                <w:color w:val="auto"/>
              </w:rPr>
              <w:t>Chief Financial Officer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Shelby E. Sherard</w:t>
            </w:r>
          </w:p>
        </w:tc>
        <w:tc>
          <w:tcPr>
            <w:tcW w:w="4360" w:type="dxa"/>
            <w:vAlign w:val="bottom"/>
          </w:tcPr>
          <w:p>
            <w:pPr>
              <w:ind w:left="320"/>
              <w:spacing w:after="0"/>
              <w:rPr>
                <w:sz w:val="20"/>
                <w:szCs w:val="20"/>
                <w:color w:val="auto"/>
              </w:rPr>
            </w:pPr>
            <w:r>
              <w:rPr>
                <w:rFonts w:ascii="Arial" w:cs="Arial" w:eastAsia="Arial" w:hAnsi="Arial"/>
                <w:sz w:val="20"/>
                <w:szCs w:val="20"/>
                <w:color w:val="auto"/>
              </w:rPr>
              <w:t>(Principal Financial and Accounting Officer)</w:t>
            </w: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660"/>
        </w:trPr>
        <w:tc>
          <w:tcPr>
            <w:tcW w:w="3320" w:type="dxa"/>
            <w:vAlign w:val="bottom"/>
          </w:tcPr>
          <w:p>
            <w:pPr>
              <w:spacing w:after="0"/>
              <w:rPr>
                <w:sz w:val="20"/>
                <w:szCs w:val="20"/>
                <w:color w:val="auto"/>
              </w:rPr>
            </w:pPr>
            <w:r>
              <w:rPr>
                <w:rFonts w:ascii="Arial" w:cs="Arial" w:eastAsia="Arial" w:hAnsi="Arial"/>
                <w:sz w:val="20"/>
                <w:szCs w:val="20"/>
                <w:color w:val="auto"/>
              </w:rPr>
              <w:t>/s/ RAYMOND L. ANSTISS, JR.</w:t>
            </w:r>
          </w:p>
        </w:tc>
        <w:tc>
          <w:tcPr>
            <w:tcW w:w="4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Raymond L. Anstiss, Jr.</w:t>
            </w:r>
          </w:p>
        </w:tc>
        <w:tc>
          <w:tcPr>
            <w:tcW w:w="4360" w:type="dxa"/>
            <w:vAlign w:val="bottom"/>
          </w:tcPr>
          <w:p>
            <w:pPr>
              <w:spacing w:after="0"/>
              <w:rPr>
                <w:sz w:val="24"/>
                <w:szCs w:val="24"/>
                <w:color w:val="auto"/>
              </w:rPr>
            </w:pP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660"/>
        </w:trPr>
        <w:tc>
          <w:tcPr>
            <w:tcW w:w="3320" w:type="dxa"/>
            <w:vAlign w:val="bottom"/>
          </w:tcPr>
          <w:p>
            <w:pPr>
              <w:spacing w:after="0"/>
              <w:rPr>
                <w:sz w:val="20"/>
                <w:szCs w:val="20"/>
                <w:color w:val="auto"/>
              </w:rPr>
            </w:pPr>
            <w:r>
              <w:rPr>
                <w:rFonts w:ascii="Arial" w:cs="Arial" w:eastAsia="Arial" w:hAnsi="Arial"/>
                <w:sz w:val="20"/>
                <w:szCs w:val="20"/>
                <w:color w:val="auto"/>
              </w:rPr>
              <w:t>/s/ KELLY MCNAMARA CORLEY</w:t>
            </w:r>
          </w:p>
        </w:tc>
        <w:tc>
          <w:tcPr>
            <w:tcW w:w="4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Kelly McNamara Corley</w:t>
            </w:r>
          </w:p>
        </w:tc>
        <w:tc>
          <w:tcPr>
            <w:tcW w:w="4360" w:type="dxa"/>
            <w:vAlign w:val="bottom"/>
          </w:tcPr>
          <w:p>
            <w:pPr>
              <w:spacing w:after="0"/>
              <w:rPr>
                <w:sz w:val="24"/>
                <w:szCs w:val="24"/>
                <w:color w:val="auto"/>
              </w:rPr>
            </w:pP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660"/>
        </w:trPr>
        <w:tc>
          <w:tcPr>
            <w:tcW w:w="3320" w:type="dxa"/>
            <w:vAlign w:val="bottom"/>
          </w:tcPr>
          <w:p>
            <w:pPr>
              <w:spacing w:after="0"/>
              <w:rPr>
                <w:sz w:val="20"/>
                <w:szCs w:val="20"/>
                <w:color w:val="auto"/>
              </w:rPr>
            </w:pPr>
            <w:r>
              <w:rPr>
                <w:rFonts w:ascii="Arial" w:cs="Arial" w:eastAsia="Arial" w:hAnsi="Arial"/>
                <w:sz w:val="20"/>
                <w:szCs w:val="20"/>
                <w:color w:val="auto"/>
              </w:rPr>
              <w:t>/s/ EDWARD X. TUNE</w:t>
            </w:r>
          </w:p>
        </w:tc>
        <w:tc>
          <w:tcPr>
            <w:tcW w:w="4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1720" w:type="dxa"/>
            <w:vAlign w:val="bottom"/>
          </w:tcPr>
          <w:p>
            <w:pPr>
              <w:jc w:val="center"/>
              <w:ind w:left="122"/>
              <w:spacing w:after="0"/>
              <w:rPr>
                <w:sz w:val="20"/>
                <w:szCs w:val="20"/>
                <w:color w:val="auto"/>
              </w:rPr>
            </w:pPr>
            <w:r>
              <w:rPr>
                <w:rFonts w:ascii="Arial" w:cs="Arial" w:eastAsia="Arial" w:hAnsi="Arial"/>
                <w:sz w:val="20"/>
                <w:szCs w:val="20"/>
                <w:color w:val="auto"/>
                <w:w w:val="89"/>
              </w:rPr>
              <w:t>February 26,</w:t>
            </w:r>
          </w:p>
        </w:tc>
      </w:tr>
      <w:tr>
        <w:trPr>
          <w:trHeight w:val="320"/>
        </w:trPr>
        <w:tc>
          <w:tcPr>
            <w:tcW w:w="3320" w:type="dxa"/>
            <w:vAlign w:val="bottom"/>
          </w:tcPr>
          <w:p>
            <w:pPr>
              <w:spacing w:after="0"/>
              <w:rPr>
                <w:sz w:val="20"/>
                <w:szCs w:val="20"/>
                <w:color w:val="auto"/>
              </w:rPr>
            </w:pPr>
            <w:r>
              <w:rPr>
                <w:rFonts w:ascii="Arial" w:cs="Arial" w:eastAsia="Arial" w:hAnsi="Arial"/>
                <w:sz w:val="20"/>
                <w:szCs w:val="20"/>
                <w:color w:val="auto"/>
              </w:rPr>
              <w:t>Edward X. Tune</w:t>
            </w:r>
          </w:p>
        </w:tc>
        <w:tc>
          <w:tcPr>
            <w:tcW w:w="4360" w:type="dxa"/>
            <w:vAlign w:val="bottom"/>
          </w:tcPr>
          <w:p>
            <w:pPr>
              <w:spacing w:after="0"/>
              <w:rPr>
                <w:sz w:val="24"/>
                <w:szCs w:val="24"/>
                <w:color w:val="auto"/>
              </w:rPr>
            </w:pPr>
          </w:p>
        </w:tc>
        <w:tc>
          <w:tcPr>
            <w:tcW w:w="1720" w:type="dxa"/>
            <w:vAlign w:val="bottom"/>
          </w:tcPr>
          <w:p>
            <w:pPr>
              <w:jc w:val="center"/>
              <w:ind w:left="182"/>
              <w:spacing w:after="0"/>
              <w:rPr>
                <w:sz w:val="20"/>
                <w:szCs w:val="20"/>
                <w:color w:val="auto"/>
              </w:rPr>
            </w:pPr>
            <w:r>
              <w:rPr>
                <w:rFonts w:ascii="Arial" w:cs="Arial" w:eastAsia="Arial" w:hAnsi="Arial"/>
                <w:sz w:val="20"/>
                <w:szCs w:val="20"/>
                <w:color w:val="auto"/>
                <w:w w:val="89"/>
              </w:rPr>
              <w:t>2026</w:t>
            </w:r>
          </w:p>
        </w:tc>
      </w:tr>
      <w:tr>
        <w:trPr>
          <w:trHeight w:val="600"/>
        </w:trPr>
        <w:tc>
          <w:tcPr>
            <w:tcW w:w="3320" w:type="dxa"/>
            <w:vAlign w:val="bottom"/>
          </w:tcPr>
          <w:p>
            <w:pPr>
              <w:spacing w:after="0"/>
              <w:rPr>
                <w:sz w:val="24"/>
                <w:szCs w:val="24"/>
                <w:color w:val="auto"/>
              </w:rPr>
            </w:pPr>
          </w:p>
        </w:tc>
        <w:tc>
          <w:tcPr>
            <w:tcW w:w="4360" w:type="dxa"/>
            <w:vAlign w:val="bottom"/>
          </w:tcPr>
          <w:p>
            <w:pPr>
              <w:ind w:left="1220"/>
              <w:spacing w:after="0"/>
              <w:rPr>
                <w:sz w:val="20"/>
                <w:szCs w:val="20"/>
                <w:color w:val="auto"/>
              </w:rPr>
            </w:pPr>
            <w:r>
              <w:rPr>
                <w:rFonts w:ascii="Arial" w:cs="Arial" w:eastAsia="Arial" w:hAnsi="Arial"/>
                <w:sz w:val="20"/>
                <w:szCs w:val="20"/>
                <w:color w:val="auto"/>
              </w:rPr>
              <w:t>139</w:t>
            </w:r>
          </w:p>
        </w:tc>
        <w:tc>
          <w:tcPr>
            <w:tcW w:w="1720" w:type="dxa"/>
            <w:vAlign w:val="bottom"/>
          </w:tcPr>
          <w:p>
            <w:pPr>
              <w:spacing w:after="0"/>
              <w:rPr>
                <w:sz w:val="24"/>
                <w:szCs w:val="24"/>
                <w:color w:val="auto"/>
              </w:rPr>
            </w:pPr>
          </w:p>
        </w:tc>
      </w:tr>
      <w:tr>
        <w:trPr>
          <w:trHeight w:val="891"/>
        </w:trPr>
        <w:tc>
          <w:tcPr>
            <w:tcW w:w="332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-4666615</wp:posOffset>
            </wp:positionV>
            <wp:extent cx="5967730" cy="127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3">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-4272915</wp:posOffset>
            </wp:positionV>
            <wp:extent cx="2192655" cy="127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4">
                      <a:extLst>
                        <a:ext uri="{28A0092B-C50C-407E-A947-70E740481C1C}"/>
                      </a:extLst>
                    </a:blip>
                    <a:srcRect/>
                    <a:stretch>
                      <a:fillRect/>
                    </a:stretch>
                  </pic:blipFill>
                  <pic:spPr bwMode="auto">
                    <a:xfrm>
                      <a:off x="0" y="0"/>
                      <a:ext cx="219265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-3650615</wp:posOffset>
            </wp:positionV>
            <wp:extent cx="2192655" cy="127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5">
                      <a:extLst>
                        <a:ext uri="{28A0092B-C50C-407E-A947-70E740481C1C}"/>
                      </a:extLst>
                    </a:blip>
                    <a:srcRect/>
                    <a:stretch>
                      <a:fillRect/>
                    </a:stretch>
                  </pic:blipFill>
                  <pic:spPr bwMode="auto">
                    <a:xfrm>
                      <a:off x="0" y="0"/>
                      <a:ext cx="219265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-3002915</wp:posOffset>
            </wp:positionV>
            <wp:extent cx="2192655" cy="127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6">
                      <a:extLst>
                        <a:ext uri="{28A0092B-C50C-407E-A947-70E740481C1C}"/>
                      </a:extLst>
                    </a:blip>
                    <a:srcRect/>
                    <a:stretch>
                      <a:fillRect/>
                    </a:stretch>
                  </pic:blipFill>
                  <pic:spPr bwMode="auto">
                    <a:xfrm>
                      <a:off x="0" y="0"/>
                      <a:ext cx="219265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-2380615</wp:posOffset>
            </wp:positionV>
            <wp:extent cx="2192655" cy="127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7">
                      <a:extLst>
                        <a:ext uri="{28A0092B-C50C-407E-A947-70E740481C1C}"/>
                      </a:extLst>
                    </a:blip>
                    <a:srcRect/>
                    <a:stretch>
                      <a:fillRect/>
                    </a:stretch>
                  </pic:blipFill>
                  <pic:spPr bwMode="auto">
                    <a:xfrm>
                      <a:off x="0" y="0"/>
                      <a:ext cx="219265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-1758315</wp:posOffset>
            </wp:positionV>
            <wp:extent cx="2192655" cy="127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8">
                      <a:extLst>
                        <a:ext uri="{28A0092B-C50C-407E-A947-70E740481C1C}"/>
                      </a:extLst>
                    </a:blip>
                    <a:srcRect/>
                    <a:stretch>
                      <a:fillRect/>
                    </a:stretch>
                  </pic:blipFill>
                  <pic:spPr bwMode="auto">
                    <a:xfrm>
                      <a:off x="0" y="0"/>
                      <a:ext cx="219265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-1136015</wp:posOffset>
            </wp:positionV>
            <wp:extent cx="2192655" cy="127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9">
                      <a:extLst>
                        <a:ext uri="{28A0092B-C50C-407E-A947-70E740481C1C}"/>
                      </a:extLst>
                    </a:blip>
                    <a:srcRect/>
                    <a:stretch>
                      <a:fillRect/>
                    </a:stretch>
                  </pic:blipFill>
                  <pic:spPr bwMode="auto">
                    <a:xfrm>
                      <a:off x="0" y="0"/>
                      <a:ext cx="2192655" cy="1270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31</w:t>
      </w:r>
    </w:p>
    <w:p>
      <w:pPr>
        <w:sectPr>
          <w:pgSz w:w="11900" w:h="16838" w:orient="portrait"/>
          <w:cols w:equalWidth="0" w:num="1">
            <w:col w:w="9400"/>
          </w:cols>
          <w:pgMar w:left="1260" w:top="1440" w:right="1246" w:bottom="0" w:gutter="0" w:footer="0" w:header="0"/>
          <w:type w:val="continuous"/>
        </w:sectPr>
      </w:pPr>
    </w:p>
    <w:bookmarkStart w:id="336" w:name="page337"/>
    <w:bookmarkEnd w:id="3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31</w:t>
      </w:r>
    </w:p>
    <w:p>
      <w:pPr>
        <w:sectPr>
          <w:pgSz w:w="11900" w:h="16838" w:orient="portrait"/>
          <w:cols w:equalWidth="0" w:num="1">
            <w:col w:w="9026"/>
          </w:cols>
          <w:pgMar w:left="1440" w:top="1440" w:right="1440" w:bottom="0" w:gutter="0" w:footer="0" w:header="0"/>
        </w:sectPr>
      </w:pPr>
    </w:p>
    <w:bookmarkStart w:id="337" w:name="page338"/>
    <w:bookmarkEnd w:id="337"/>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21.1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SUBSIDIARIES OF FIDUS INVESTMENT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ind w:left="740"/>
              <w:spacing w:after="0"/>
              <w:rPr>
                <w:sz w:val="20"/>
                <w:szCs w:val="20"/>
                <w:color w:val="auto"/>
              </w:rPr>
            </w:pPr>
            <w:r>
              <w:rPr>
                <w:rFonts w:ascii="Arial" w:cs="Arial" w:eastAsia="Arial" w:hAnsi="Arial"/>
                <w:sz w:val="15"/>
                <w:szCs w:val="15"/>
                <w:b w:val="1"/>
                <w:bCs w:val="1"/>
                <w:color w:val="auto"/>
              </w:rPr>
              <w:t>Name</w:t>
            </w:r>
          </w:p>
        </w:tc>
        <w:tc>
          <w:tcPr>
            <w:tcW w:w="3900" w:type="dxa"/>
            <w:vAlign w:val="bottom"/>
          </w:tcPr>
          <w:p>
            <w:pPr>
              <w:ind w:left="2060"/>
              <w:spacing w:after="0"/>
              <w:rPr>
                <w:sz w:val="20"/>
                <w:szCs w:val="20"/>
                <w:color w:val="auto"/>
              </w:rPr>
            </w:pPr>
            <w:r>
              <w:rPr>
                <w:rFonts w:ascii="Arial" w:cs="Arial" w:eastAsia="Arial" w:hAnsi="Arial"/>
                <w:sz w:val="15"/>
                <w:szCs w:val="15"/>
                <w:b w:val="1"/>
                <w:bCs w:val="1"/>
                <w:color w:val="auto"/>
              </w:rPr>
              <w:t>Jurisdiction</w:t>
            </w:r>
          </w:p>
        </w:tc>
      </w:tr>
      <w:tr>
        <w:trPr>
          <w:trHeight w:val="304"/>
        </w:trPr>
        <w:tc>
          <w:tcPr>
            <w:tcW w:w="5500" w:type="dxa"/>
            <w:vAlign w:val="bottom"/>
          </w:tcPr>
          <w:p>
            <w:pPr>
              <w:ind w:left="740"/>
              <w:spacing w:after="0"/>
              <w:rPr>
                <w:sz w:val="20"/>
                <w:szCs w:val="20"/>
                <w:color w:val="auto"/>
              </w:rPr>
            </w:pPr>
            <w:r>
              <w:rPr>
                <w:rFonts w:ascii="Arial" w:cs="Arial" w:eastAsia="Arial" w:hAnsi="Arial"/>
                <w:sz w:val="20"/>
                <w:szCs w:val="20"/>
                <w:color w:val="auto"/>
              </w:rPr>
              <w:t>FCDS Corp.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FCMH Equity Corp.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FIC Funding, LLC</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Capital GP, LLC</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Investment GP, LLC</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Mezzanine Capital, L.P.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Mezzanine Capital II, L.P.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Mezzanine Capital III, L.P.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Mezzanine Capital IV, L.P.</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300"/>
        </w:trPr>
        <w:tc>
          <w:tcPr>
            <w:tcW w:w="5500" w:type="dxa"/>
            <w:vAlign w:val="bottom"/>
          </w:tcPr>
          <w:p>
            <w:pPr>
              <w:ind w:left="740"/>
              <w:spacing w:after="0"/>
              <w:rPr>
                <w:sz w:val="20"/>
                <w:szCs w:val="20"/>
                <w:color w:val="auto"/>
              </w:rPr>
            </w:pPr>
            <w:r>
              <w:rPr>
                <w:rFonts w:ascii="Arial" w:cs="Arial" w:eastAsia="Arial" w:hAnsi="Arial"/>
                <w:sz w:val="20"/>
                <w:szCs w:val="20"/>
                <w:color w:val="auto"/>
              </w:rPr>
              <w:t>Fidus Investment Holdings, Inc.</w:t>
            </w:r>
          </w:p>
        </w:tc>
        <w:tc>
          <w:tcPr>
            <w:tcW w:w="3900" w:type="dxa"/>
            <w:vAlign w:val="bottom"/>
          </w:tcPr>
          <w:p>
            <w:pPr>
              <w:ind w:left="2160"/>
              <w:spacing w:after="0"/>
              <w:rPr>
                <w:sz w:val="20"/>
                <w:szCs w:val="20"/>
                <w:color w:val="auto"/>
              </w:rPr>
            </w:pPr>
            <w:r>
              <w:rPr>
                <w:rFonts w:ascii="Arial" w:cs="Arial" w:eastAsia="Arial" w:hAnsi="Arial"/>
                <w:sz w:val="20"/>
                <w:szCs w:val="20"/>
                <w:color w:val="auto"/>
              </w:rPr>
              <w:t>Delaware</w:t>
            </w:r>
          </w:p>
        </w:tc>
      </w:tr>
      <w:tr>
        <w:trPr>
          <w:trHeight w:val="1191"/>
        </w:trPr>
        <w:tc>
          <w:tcPr>
            <w:tcW w:w="5500" w:type="dxa"/>
            <w:vAlign w:val="bottom"/>
            <w:tcBorders>
              <w:bottom w:val="single" w:sz="8" w:color="010101"/>
            </w:tcBorders>
          </w:tcPr>
          <w:p>
            <w:pPr>
              <w:spacing w:after="0"/>
              <w:rPr>
                <w:sz w:val="24"/>
                <w:szCs w:val="24"/>
                <w:color w:val="auto"/>
              </w:rPr>
            </w:pPr>
          </w:p>
        </w:tc>
        <w:tc>
          <w:tcPr>
            <w:tcW w:w="39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-2663190</wp:posOffset>
            </wp:positionV>
            <wp:extent cx="4872990"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2">
                      <a:extLst>
                        <a:ext uri="{28A0092B-C50C-407E-A947-70E740481C1C}"/>
                      </a:extLst>
                    </a:blip>
                    <a:srcRect/>
                    <a:stretch>
                      <a:fillRect/>
                    </a:stretch>
                  </pic:blipFill>
                  <pic:spPr bwMode="auto">
                    <a:xfrm>
                      <a:off x="0" y="0"/>
                      <a:ext cx="4872990" cy="158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31</w:t>
      </w:r>
    </w:p>
    <w:p>
      <w:pPr>
        <w:sectPr>
          <w:pgSz w:w="11900" w:h="16838" w:orient="portrait"/>
          <w:cols w:equalWidth="0" w:num="1">
            <w:col w:w="9400"/>
          </w:cols>
          <w:pgMar w:left="1260" w:top="1440" w:right="1246" w:bottom="0" w:gutter="0" w:footer="0" w:header="0"/>
          <w:type w:val="continuous"/>
        </w:sectPr>
      </w:pPr>
    </w:p>
    <w:bookmarkStart w:id="338" w:name="page339"/>
    <w:bookmarkEnd w:id="3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31</w:t>
      </w:r>
    </w:p>
    <w:p>
      <w:pPr>
        <w:sectPr>
          <w:pgSz w:w="11900" w:h="16838" w:orient="portrait"/>
          <w:cols w:equalWidth="0" w:num="1">
            <w:col w:w="9026"/>
          </w:cols>
          <w:pgMar w:left="1440" w:top="1440" w:right="1440" w:bottom="0" w:gutter="0" w:footer="0" w:header="0"/>
        </w:sectPr>
      </w:pPr>
    </w:p>
    <w:bookmarkStart w:id="339" w:name="page340"/>
    <w:bookmarkEnd w:id="339"/>
    <w:p>
      <w:pPr>
        <w:spacing w:after="0" w:line="200" w:lineRule="exact"/>
        <w:rPr>
          <w:sz w:val="20"/>
          <w:szCs w:val="20"/>
          <w:color w:val="auto"/>
        </w:rPr>
      </w:pPr>
    </w:p>
    <w:p>
      <w:pPr>
        <w:spacing w:after="0" w:line="25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Exhibit 23.1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0" w:lineRule="exact"/>
        <w:rPr>
          <w:sz w:val="20"/>
          <w:szCs w:val="20"/>
          <w:color w:val="auto"/>
        </w:rPr>
      </w:pPr>
    </w:p>
    <w:p>
      <w:pPr>
        <w:spacing w:after="0" w:line="351" w:lineRule="auto"/>
        <w:rPr>
          <w:sz w:val="20"/>
          <w:szCs w:val="20"/>
          <w:color w:val="auto"/>
        </w:rPr>
      </w:pPr>
      <w:r>
        <w:rPr>
          <w:rFonts w:ascii="Arial" w:cs="Arial" w:eastAsia="Arial" w:hAnsi="Arial"/>
          <w:sz w:val="18"/>
          <w:szCs w:val="18"/>
          <w:color w:val="auto"/>
        </w:rPr>
        <w:t>We consent to the incorporation by reference in this Pre-Effective Amendment No. 1 to the Registration Statement (No. 333-277540) on Form N-2 and related Prospectus of Fidus Investment Corporation of our reports dated February 26, 2026, relating to the consolidated financial statements, including the senior securities table, and the effectiveness of internal control over financial reporting of Fidus Investment Corporation and Subsidiaries, appearing in the Annual Report on Form 10-K of Fidus Investment Corporation for the year ended December 31, 2025.</w:t>
      </w:r>
    </w:p>
    <w:p>
      <w:pPr>
        <w:spacing w:after="0" w:line="286"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We also consent to the reference to our firm under the headings "Independent Registered Public Accounting Firm” and “Item 25. Financial Statements and Exhibits” in such Prospectus.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/s/ RSM US LLP</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749935</wp:posOffset>
            </wp:positionV>
            <wp:extent cx="5967730" cy="19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31</w:t>
      </w:r>
    </w:p>
    <w:p>
      <w:pPr>
        <w:sectPr>
          <w:pgSz w:w="11900" w:h="16838" w:orient="portrait"/>
          <w:cols w:equalWidth="0" w:num="1">
            <w:col w:w="9400"/>
          </w:cols>
          <w:pgMar w:left="1260" w:top="1440" w:right="1246" w:bottom="0" w:gutter="0" w:footer="0" w:header="0"/>
          <w:type w:val="continuous"/>
        </w:sectPr>
      </w:pPr>
    </w:p>
    <w:bookmarkStart w:id="340" w:name="page341"/>
    <w:bookmarkEnd w:id="3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31</w:t>
      </w:r>
    </w:p>
    <w:p>
      <w:pPr>
        <w:sectPr>
          <w:pgSz w:w="11900" w:h="16838" w:orient="portrait"/>
          <w:cols w:equalWidth="0" w:num="1">
            <w:col w:w="9026"/>
          </w:cols>
          <w:pgMar w:left="1440" w:top="1440" w:right="1440" w:bottom="0" w:gutter="0" w:footer="0" w:header="0"/>
        </w:sectPr>
      </w:pPr>
    </w:p>
    <w:bookmarkStart w:id="341" w:name="page342"/>
    <w:bookmarkEnd w:id="341"/>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31.1</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 Chief Executive Officer Certification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Pursuant to Rule 13a-14 of the Securities Exchange Act of 1934,</w:t>
      </w:r>
    </w:p>
    <w:p>
      <w:pPr>
        <w:spacing w:after="0" w:line="70" w:lineRule="exact"/>
        <w:rPr>
          <w:sz w:val="20"/>
          <w:szCs w:val="20"/>
          <w:color w:val="auto"/>
        </w:rPr>
      </w:pPr>
    </w:p>
    <w:p>
      <w:pPr>
        <w:ind w:left="1726"/>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Edward H. Ross, as Chief Executive Officer of Fidus Investment Corporation, certify that:</w:t>
      </w:r>
    </w:p>
    <w:p>
      <w:pPr>
        <w:spacing w:after="0" w:line="400" w:lineRule="exact"/>
        <w:rPr>
          <w:sz w:val="20"/>
          <w:szCs w:val="20"/>
          <w:color w:val="auto"/>
        </w:rPr>
      </w:pPr>
    </w:p>
    <w:p>
      <w:pPr>
        <w:ind w:left="386" w:hanging="386"/>
        <w:spacing w:after="0"/>
        <w:tabs>
          <w:tab w:leader="none" w:pos="38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Fidus Investment Corporation;</w:t>
      </w:r>
    </w:p>
    <w:p>
      <w:pPr>
        <w:spacing w:after="0" w:line="79" w:lineRule="exact"/>
        <w:rPr>
          <w:rFonts w:ascii="Arial" w:cs="Arial" w:eastAsia="Arial" w:hAnsi="Arial"/>
          <w:sz w:val="20"/>
          <w:szCs w:val="20"/>
          <w:color w:val="auto"/>
        </w:rPr>
      </w:pPr>
    </w:p>
    <w:p>
      <w:pPr>
        <w:ind w:left="386" w:right="100" w:hanging="361"/>
        <w:spacing w:after="0" w:line="307" w:lineRule="auto"/>
        <w:tabs>
          <w:tab w:leader="none" w:pos="38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20"/>
          <w:szCs w:val="20"/>
          <w:color w:val="auto"/>
        </w:rPr>
      </w:pPr>
    </w:p>
    <w:p>
      <w:pPr>
        <w:ind w:left="386" w:right="120" w:hanging="361"/>
        <w:spacing w:after="0" w:line="307" w:lineRule="auto"/>
        <w:tabs>
          <w:tab w:leader="none" w:pos="38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 w:lineRule="exact"/>
        <w:rPr>
          <w:rFonts w:ascii="Arial" w:cs="Arial" w:eastAsia="Arial" w:hAnsi="Arial"/>
          <w:sz w:val="20"/>
          <w:szCs w:val="20"/>
          <w:color w:val="auto"/>
        </w:rPr>
      </w:pPr>
    </w:p>
    <w:p>
      <w:pPr>
        <w:ind w:left="386" w:right="200" w:hanging="361"/>
        <w:spacing w:after="0" w:line="347" w:lineRule="auto"/>
        <w:tabs>
          <w:tab w:leader="none" w:pos="38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786" w:right="100" w:hanging="397"/>
        <w:spacing w:after="0" w:line="309"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20"/>
          <w:szCs w:val="20"/>
          <w:color w:val="auto"/>
        </w:rPr>
      </w:pPr>
    </w:p>
    <w:p>
      <w:pPr>
        <w:ind w:left="786" w:right="100" w:hanging="397"/>
        <w:spacing w:after="0" w:line="309"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20"/>
          <w:szCs w:val="20"/>
          <w:color w:val="auto"/>
        </w:rPr>
      </w:pPr>
    </w:p>
    <w:p>
      <w:pPr>
        <w:ind w:left="786" w:right="300" w:hanging="397"/>
        <w:spacing w:after="0" w:line="307"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20"/>
          <w:szCs w:val="20"/>
          <w:color w:val="auto"/>
        </w:rPr>
      </w:pPr>
    </w:p>
    <w:p>
      <w:pPr>
        <w:ind w:left="786" w:right="40" w:hanging="397"/>
        <w:spacing w:after="0" w:line="309"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Arial" w:cs="Arial" w:eastAsia="Arial" w:hAnsi="Arial"/>
          <w:sz w:val="20"/>
          <w:szCs w:val="20"/>
          <w:color w:val="auto"/>
        </w:rPr>
      </w:pPr>
    </w:p>
    <w:p>
      <w:pPr>
        <w:jc w:val="both"/>
        <w:ind w:left="386" w:right="140" w:hanging="361"/>
        <w:spacing w:after="0" w:line="307" w:lineRule="auto"/>
        <w:tabs>
          <w:tab w:leader="none" w:pos="38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20"/>
          <w:szCs w:val="20"/>
          <w:color w:val="auto"/>
        </w:rPr>
      </w:pPr>
    </w:p>
    <w:p>
      <w:pPr>
        <w:ind w:left="786" w:right="40" w:hanging="397"/>
        <w:spacing w:after="0" w:line="307"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20"/>
          <w:szCs w:val="20"/>
          <w:color w:val="auto"/>
        </w:rPr>
      </w:pPr>
    </w:p>
    <w:p>
      <w:pPr>
        <w:ind w:left="786" w:right="200" w:hanging="397"/>
        <w:spacing w:after="0" w:line="302" w:lineRule="auto"/>
        <w:tabs>
          <w:tab w:leader="none" w:pos="786" w:val="left"/>
        </w:tabs>
        <w:numPr>
          <w:ilvl w:val="2"/>
          <w:numId w:val="18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color w:val="auto"/>
        </w:rPr>
        <w:t>Date: February 26, 2026</w:t>
      </w:r>
    </w:p>
    <w:p>
      <w:pPr>
        <w:spacing w:after="0" w:line="200" w:lineRule="exact"/>
        <w:rPr>
          <w:sz w:val="20"/>
          <w:szCs w:val="20"/>
          <w:color w:val="auto"/>
        </w:rPr>
      </w:pPr>
    </w:p>
    <w:p>
      <w:pPr>
        <w:spacing w:after="0" w:line="260" w:lineRule="exact"/>
        <w:rPr>
          <w:sz w:val="20"/>
          <w:szCs w:val="20"/>
          <w:color w:val="auto"/>
        </w:rPr>
      </w:pPr>
    </w:p>
    <w:p>
      <w:pPr>
        <w:ind w:left="6006"/>
        <w:spacing w:after="0"/>
        <w:rPr>
          <w:sz w:val="20"/>
          <w:szCs w:val="20"/>
          <w:color w:val="auto"/>
        </w:rPr>
      </w:pPr>
      <w:r>
        <w:rPr>
          <w:rFonts w:ascii="Arial" w:cs="Arial" w:eastAsia="Arial" w:hAnsi="Arial"/>
          <w:sz w:val="20"/>
          <w:szCs w:val="20"/>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26035</wp:posOffset>
            </wp:positionV>
            <wp:extent cx="2085340" cy="95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4">
                      <a:extLst>
                        <a:ext uri="{28A0092B-C50C-407E-A947-70E740481C1C}"/>
                      </a:extLst>
                    </a:blip>
                    <a:srcRect/>
                    <a:stretch>
                      <a:fillRect/>
                    </a:stretch>
                  </pic:blipFill>
                  <pic:spPr bwMode="auto">
                    <a:xfrm>
                      <a:off x="0" y="0"/>
                      <a:ext cx="2085340" cy="9525"/>
                    </a:xfrm>
                    <a:prstGeom prst="rect">
                      <a:avLst/>
                    </a:prstGeom>
                    <a:noFill/>
                  </pic:spPr>
                </pic:pic>
              </a:graphicData>
            </a:graphic>
          </wp:anchor>
        </w:drawing>
      </w:r>
    </w:p>
    <w:p>
      <w:pPr>
        <w:spacing w:after="0" w:line="65" w:lineRule="exact"/>
        <w:rPr>
          <w:sz w:val="20"/>
          <w:szCs w:val="20"/>
          <w:color w:val="auto"/>
        </w:rPr>
      </w:pPr>
    </w:p>
    <w:p>
      <w:pPr>
        <w:ind w:left="6006"/>
        <w:spacing w:after="0"/>
        <w:rPr>
          <w:sz w:val="20"/>
          <w:szCs w:val="20"/>
          <w:color w:val="auto"/>
        </w:rPr>
      </w:pPr>
      <w:r>
        <w:rPr>
          <w:rFonts w:ascii="Arial" w:cs="Arial" w:eastAsia="Arial" w:hAnsi="Arial"/>
          <w:sz w:val="20"/>
          <w:szCs w:val="20"/>
          <w:color w:val="auto"/>
        </w:rPr>
        <w:t>Edward H. Ross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24 / 31</w:t>
      </w:r>
    </w:p>
    <w:p>
      <w:pPr>
        <w:sectPr>
          <w:pgSz w:w="11900" w:h="16838" w:orient="portrait"/>
          <w:cols w:equalWidth="0" w:num="1">
            <w:col w:w="9406"/>
          </w:cols>
          <w:pgMar w:left="1254" w:top="1440" w:right="1246" w:bottom="0" w:gutter="0" w:footer="0" w:header="0"/>
          <w:type w:val="continuous"/>
        </w:sectPr>
      </w:pPr>
    </w:p>
    <w:bookmarkStart w:id="342" w:name="page343"/>
    <w:bookmarkEnd w:id="342"/>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8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749935</wp:posOffset>
            </wp:positionV>
            <wp:extent cx="5967730" cy="190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31</w:t>
      </w:r>
    </w:p>
    <w:p>
      <w:pPr>
        <w:sectPr>
          <w:pgSz w:w="11900" w:h="16838" w:orient="portrait"/>
          <w:cols w:equalWidth="0" w:num="1">
            <w:col w:w="9026"/>
          </w:cols>
          <w:pgMar w:left="1440" w:top="1173" w:right="1440" w:bottom="0" w:gutter="0" w:footer="0" w:header="0"/>
          <w:type w:val="continuous"/>
        </w:sectPr>
      </w:pPr>
    </w:p>
    <w:bookmarkStart w:id="343" w:name="page344"/>
    <w:bookmarkEnd w:id="3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31</w:t>
      </w:r>
    </w:p>
    <w:p>
      <w:pPr>
        <w:sectPr>
          <w:pgSz w:w="11900" w:h="16838" w:orient="portrait"/>
          <w:cols w:equalWidth="0" w:num="1">
            <w:col w:w="9026"/>
          </w:cols>
          <w:pgMar w:left="1440" w:top="1440" w:right="1440" w:bottom="0" w:gutter="0" w:footer="0" w:header="0"/>
        </w:sectPr>
      </w:pPr>
    </w:p>
    <w:bookmarkStart w:id="344" w:name="page345"/>
    <w:bookmarkEnd w:id="344"/>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31.2</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Fidus Investment Corporation Chief Financial Officer Certification</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Pursuant to Rule 13a-14 of the Securities Exchange Act of 1934,</w:t>
      </w:r>
    </w:p>
    <w:p>
      <w:pPr>
        <w:spacing w:after="0" w:line="70" w:lineRule="exact"/>
        <w:rPr>
          <w:sz w:val="20"/>
          <w:szCs w:val="20"/>
          <w:color w:val="auto"/>
        </w:rPr>
      </w:pPr>
    </w:p>
    <w:p>
      <w:pPr>
        <w:ind w:left="1726"/>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Shelby E. Sherard, as Chief Financial Officer of Fidus Investment Corporation, certify that:</w:t>
      </w:r>
    </w:p>
    <w:p>
      <w:pPr>
        <w:spacing w:after="0" w:line="200" w:lineRule="exact"/>
        <w:rPr>
          <w:sz w:val="20"/>
          <w:szCs w:val="20"/>
          <w:color w:val="auto"/>
        </w:rPr>
      </w:pPr>
    </w:p>
    <w:p>
      <w:pPr>
        <w:spacing w:after="0" w:line="380" w:lineRule="exact"/>
        <w:rPr>
          <w:sz w:val="20"/>
          <w:szCs w:val="20"/>
          <w:color w:val="auto"/>
        </w:rPr>
      </w:pPr>
    </w:p>
    <w:p>
      <w:pPr>
        <w:ind w:left="386" w:hanging="386"/>
        <w:spacing w:after="0"/>
        <w:tabs>
          <w:tab w:leader="none" w:pos="38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Fidus Investment Corporation;</w:t>
      </w:r>
    </w:p>
    <w:p>
      <w:pPr>
        <w:spacing w:after="0" w:line="79" w:lineRule="exact"/>
        <w:rPr>
          <w:rFonts w:ascii="Arial" w:cs="Arial" w:eastAsia="Arial" w:hAnsi="Arial"/>
          <w:sz w:val="20"/>
          <w:szCs w:val="20"/>
          <w:color w:val="auto"/>
        </w:rPr>
      </w:pPr>
    </w:p>
    <w:p>
      <w:pPr>
        <w:ind w:left="386" w:right="100" w:hanging="361"/>
        <w:spacing w:after="0" w:line="307" w:lineRule="auto"/>
        <w:tabs>
          <w:tab w:leader="none" w:pos="38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20"/>
          <w:szCs w:val="20"/>
          <w:color w:val="auto"/>
        </w:rPr>
      </w:pPr>
    </w:p>
    <w:p>
      <w:pPr>
        <w:ind w:left="386" w:right="120" w:hanging="361"/>
        <w:spacing w:after="0" w:line="307" w:lineRule="auto"/>
        <w:tabs>
          <w:tab w:leader="none" w:pos="38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 w:lineRule="exact"/>
        <w:rPr>
          <w:rFonts w:ascii="Arial" w:cs="Arial" w:eastAsia="Arial" w:hAnsi="Arial"/>
          <w:sz w:val="20"/>
          <w:szCs w:val="20"/>
          <w:color w:val="auto"/>
        </w:rPr>
      </w:pPr>
    </w:p>
    <w:p>
      <w:pPr>
        <w:ind w:left="386" w:right="180" w:hanging="361"/>
        <w:spacing w:after="0" w:line="347" w:lineRule="auto"/>
        <w:tabs>
          <w:tab w:leader="none" w:pos="38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786" w:right="80" w:hanging="395"/>
        <w:spacing w:after="0" w:line="309"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20"/>
          <w:szCs w:val="20"/>
          <w:color w:val="auto"/>
        </w:rPr>
      </w:pPr>
    </w:p>
    <w:p>
      <w:pPr>
        <w:ind w:left="786" w:right="80" w:hanging="395"/>
        <w:spacing w:after="0" w:line="309"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20"/>
          <w:szCs w:val="20"/>
          <w:color w:val="auto"/>
        </w:rPr>
      </w:pPr>
    </w:p>
    <w:p>
      <w:pPr>
        <w:ind w:left="786" w:right="280" w:hanging="395"/>
        <w:spacing w:after="0" w:line="307"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20"/>
          <w:szCs w:val="20"/>
          <w:color w:val="auto"/>
        </w:rPr>
      </w:pPr>
    </w:p>
    <w:p>
      <w:pPr>
        <w:ind w:left="786" w:right="40" w:hanging="395"/>
        <w:spacing w:after="0" w:line="309"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Arial" w:cs="Arial" w:eastAsia="Arial" w:hAnsi="Arial"/>
          <w:sz w:val="20"/>
          <w:szCs w:val="20"/>
          <w:color w:val="auto"/>
        </w:rPr>
      </w:pPr>
    </w:p>
    <w:p>
      <w:pPr>
        <w:jc w:val="both"/>
        <w:ind w:left="386" w:right="140" w:hanging="361"/>
        <w:spacing w:after="0" w:line="307" w:lineRule="auto"/>
        <w:tabs>
          <w:tab w:leader="none" w:pos="38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20"/>
          <w:szCs w:val="20"/>
          <w:color w:val="auto"/>
        </w:rPr>
      </w:pPr>
    </w:p>
    <w:p>
      <w:pPr>
        <w:ind w:left="786" w:right="40" w:hanging="395"/>
        <w:spacing w:after="0" w:line="307"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20"/>
          <w:szCs w:val="20"/>
          <w:color w:val="auto"/>
        </w:rPr>
      </w:pPr>
    </w:p>
    <w:p>
      <w:pPr>
        <w:ind w:left="786" w:right="200" w:hanging="395"/>
        <w:spacing w:after="0" w:line="302" w:lineRule="auto"/>
        <w:tabs>
          <w:tab w:leader="none" w:pos="786" w:val="left"/>
        </w:tabs>
        <w:numPr>
          <w:ilvl w:val="2"/>
          <w:numId w:val="18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Arial" w:cs="Arial" w:eastAsia="Arial" w:hAnsi="Arial"/>
          <w:sz w:val="20"/>
          <w:szCs w:val="20"/>
          <w:color w:val="auto"/>
        </w:rPr>
        <w:t>Date: February 26, 2026</w:t>
      </w:r>
    </w:p>
    <w:p>
      <w:pPr>
        <w:spacing w:after="0" w:line="200" w:lineRule="exact"/>
        <w:rPr>
          <w:sz w:val="20"/>
          <w:szCs w:val="20"/>
          <w:color w:val="auto"/>
        </w:rPr>
      </w:pPr>
    </w:p>
    <w:p>
      <w:pPr>
        <w:spacing w:after="0" w:line="260" w:lineRule="exact"/>
        <w:rPr>
          <w:sz w:val="20"/>
          <w:szCs w:val="20"/>
          <w:color w:val="auto"/>
        </w:rPr>
      </w:pPr>
    </w:p>
    <w:p>
      <w:pPr>
        <w:ind w:left="6006"/>
        <w:spacing w:after="0"/>
        <w:rPr>
          <w:sz w:val="20"/>
          <w:szCs w:val="20"/>
          <w:color w:val="auto"/>
        </w:rPr>
      </w:pPr>
      <w:r>
        <w:rPr>
          <w:rFonts w:ascii="Arial" w:cs="Arial" w:eastAsia="Arial" w:hAnsi="Arial"/>
          <w:sz w:val="20"/>
          <w:szCs w:val="20"/>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26035</wp:posOffset>
            </wp:positionV>
            <wp:extent cx="2145030" cy="952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6">
                      <a:extLst>
                        <a:ext uri="{28A0092B-C50C-407E-A947-70E740481C1C}"/>
                      </a:extLst>
                    </a:blip>
                    <a:srcRect/>
                    <a:stretch>
                      <a:fillRect/>
                    </a:stretch>
                  </pic:blipFill>
                  <pic:spPr bwMode="auto">
                    <a:xfrm>
                      <a:off x="0" y="0"/>
                      <a:ext cx="2145030" cy="9525"/>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31</w:t>
      </w:r>
    </w:p>
    <w:p>
      <w:pPr>
        <w:sectPr>
          <w:pgSz w:w="11900" w:h="16838" w:orient="portrait"/>
          <w:cols w:equalWidth="0" w:num="1">
            <w:col w:w="9406"/>
          </w:cols>
          <w:pgMar w:left="1254" w:top="1440" w:right="1246" w:bottom="0" w:gutter="0" w:footer="0" w:header="0"/>
          <w:type w:val="continuous"/>
        </w:sectPr>
      </w:pPr>
    </w:p>
    <w:bookmarkStart w:id="345" w:name="page346"/>
    <w:bookmarkEnd w:id="345"/>
    <w:p>
      <w:pPr>
        <w:ind w:left="5820"/>
        <w:spacing w:after="0"/>
        <w:rPr>
          <w:sz w:val="20"/>
          <w:szCs w:val="20"/>
          <w:color w:val="auto"/>
        </w:rPr>
      </w:pPr>
      <w:r>
        <w:rPr>
          <w:rFonts w:ascii="Arial" w:cs="Arial" w:eastAsia="Arial" w:hAnsi="Arial"/>
          <w:sz w:val="20"/>
          <w:szCs w:val="20"/>
          <w:color w:val="auto"/>
        </w:rPr>
        <w:t>Shelby E. Sherard</w:t>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Chief Financial Officer</w:t>
      </w:r>
    </w:p>
    <w:p>
      <w:pPr>
        <w:spacing w:after="0" w:line="8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w:t>
      </w:r>
    </w:p>
    <w:p>
      <w:pPr>
        <w:spacing w:after="0" w:line="8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749935</wp:posOffset>
            </wp:positionV>
            <wp:extent cx="5967730" cy="190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31</w:t>
      </w:r>
    </w:p>
    <w:p>
      <w:pPr>
        <w:sectPr>
          <w:pgSz w:w="11900" w:h="16838" w:orient="portrait"/>
          <w:cols w:equalWidth="0" w:num="1">
            <w:col w:w="9026"/>
          </w:cols>
          <w:pgMar w:left="1440" w:top="1163" w:right="1440" w:bottom="0" w:gutter="0" w:footer="0" w:header="0"/>
          <w:type w:val="continuous"/>
        </w:sectPr>
      </w:pPr>
    </w:p>
    <w:bookmarkStart w:id="346" w:name="page347"/>
    <w:bookmarkEnd w:id="3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31</w:t>
      </w:r>
    </w:p>
    <w:p>
      <w:pPr>
        <w:sectPr>
          <w:pgSz w:w="11900" w:h="16838" w:orient="portrait"/>
          <w:cols w:equalWidth="0" w:num="1">
            <w:col w:w="9026"/>
          </w:cols>
          <w:pgMar w:left="1440" w:top="1440" w:right="1440" w:bottom="0" w:gutter="0" w:footer="0" w:header="0"/>
        </w:sectPr>
      </w:pPr>
    </w:p>
    <w:bookmarkStart w:id="347" w:name="page348"/>
    <w:bookmarkEnd w:id="347"/>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60"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In connection with the Annual Report on Form 10-K of Fidus Investment Corporation (the “Company”) for the annual period ended December 31, 2025,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345" w:lineRule="exact"/>
        <w:rPr>
          <w:sz w:val="20"/>
          <w:szCs w:val="20"/>
          <w:color w:val="auto"/>
        </w:rPr>
      </w:pPr>
    </w:p>
    <w:p>
      <w:pPr>
        <w:ind w:left="780" w:right="160" w:hanging="397"/>
        <w:spacing w:after="0" w:line="302" w:lineRule="auto"/>
        <w:tabs>
          <w:tab w:leader="none" w:pos="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 w:lineRule="exact"/>
        <w:rPr>
          <w:rFonts w:ascii="Arial" w:cs="Arial" w:eastAsia="Arial" w:hAnsi="Arial"/>
          <w:sz w:val="20"/>
          <w:szCs w:val="20"/>
          <w:color w:val="auto"/>
        </w:rPr>
      </w:pPr>
    </w:p>
    <w:p>
      <w:pPr>
        <w:ind w:left="780" w:right="60" w:hanging="397"/>
        <w:spacing w:after="0" w:line="302" w:lineRule="auto"/>
        <w:tabs>
          <w:tab w:leader="none" w:pos="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Date: February 26, 2026</w:t>
      </w:r>
      <w:r>
        <w:rPr>
          <w:sz w:val="20"/>
          <w:szCs w:val="20"/>
          <w:color w:val="auto"/>
        </w:rPr>
        <w:tab/>
      </w: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26035</wp:posOffset>
            </wp:positionV>
            <wp:extent cx="2915285" cy="95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8">
                      <a:extLst>
                        <a:ext uri="{28A0092B-C50C-407E-A947-70E740481C1C}"/>
                      </a:extLst>
                    </a:blip>
                    <a:srcRect/>
                    <a:stretch>
                      <a:fillRect/>
                    </a:stretch>
                  </pic:blipFill>
                  <pic:spPr bwMode="auto">
                    <a:xfrm>
                      <a:off x="0" y="0"/>
                      <a:ext cx="2915285" cy="9525"/>
                    </a:xfrm>
                    <a:prstGeom prst="rect">
                      <a:avLst/>
                    </a:prstGeom>
                    <a:noFill/>
                  </pic:spPr>
                </pic:pic>
              </a:graphicData>
            </a:graphic>
          </wp:anchor>
        </w:drawing>
      </w:r>
    </w:p>
    <w:p>
      <w:pPr>
        <w:spacing w:after="0" w:line="12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Edward H. Ross</w:t>
      </w:r>
    </w:p>
    <w:p>
      <w:pPr>
        <w:spacing w:after="0" w:line="13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Chairman and Chief Executive Officer</w:t>
      </w:r>
    </w:p>
    <w:p>
      <w:pPr>
        <w:spacing w:after="0" w:line="13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26035</wp:posOffset>
            </wp:positionV>
            <wp:extent cx="2915285" cy="952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9">
                      <a:extLst>
                        <a:ext uri="{28A0092B-C50C-407E-A947-70E740481C1C}"/>
                      </a:extLst>
                    </a:blip>
                    <a:srcRect/>
                    <a:stretch>
                      <a:fillRect/>
                    </a:stretch>
                  </pic:blipFill>
                  <pic:spPr bwMode="auto">
                    <a:xfrm>
                      <a:off x="0" y="0"/>
                      <a:ext cx="2915285" cy="9525"/>
                    </a:xfrm>
                    <a:prstGeom prst="rect">
                      <a:avLst/>
                    </a:prstGeom>
                    <a:noFill/>
                  </pic:spPr>
                </pic:pic>
              </a:graphicData>
            </a:graphic>
          </wp:anchor>
        </w:drawing>
      </w:r>
    </w:p>
    <w:p>
      <w:pPr>
        <w:spacing w:after="0" w:line="12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Shelby E. Sherard</w:t>
      </w:r>
    </w:p>
    <w:p>
      <w:pPr>
        <w:spacing w:after="0" w:line="13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Chief Financial Officer</w:t>
      </w:r>
    </w:p>
    <w:p>
      <w:pPr>
        <w:spacing w:after="0" w:line="13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749935</wp:posOffset>
            </wp:positionV>
            <wp:extent cx="5967730" cy="19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31</w:t>
      </w:r>
    </w:p>
    <w:p>
      <w:pPr>
        <w:sectPr>
          <w:pgSz w:w="11900" w:h="16838" w:orient="portrait"/>
          <w:cols w:equalWidth="0" w:num="1">
            <w:col w:w="9400"/>
          </w:cols>
          <w:pgMar w:left="1260" w:top="1440" w:right="1246" w:bottom="0" w:gutter="0" w:footer="0" w:header="0"/>
          <w:type w:val="continuous"/>
        </w:sectPr>
      </w:pPr>
    </w:p>
    <w:bookmarkStart w:id="348" w:name="page349"/>
    <w:bookmarkEnd w:id="3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31</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1)"/>
      <w:numFmt w:val="decimal"/>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1)"/>
      <w:numFmt w:val="decimal"/>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1)"/>
      <w:numFmt w:val="decimal"/>
      <w:start w:val="1"/>
    </w:lvl>
  </w:abstractNum>
  <w:abstractNum w:abstractNumId="22">
    <w:nsid w:val="1FBFE8E0"/>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3">
    <w:nsid w:val="5092CA79"/>
    <w:multiLevelType w:val="hybridMultilevel"/>
    <w:lvl w:ilvl="0">
      <w:lvlJc w:val="left"/>
      <w:lvlText w:val="(%1)"/>
      <w:numFmt w:val="lowerLetter"/>
      <w:start w:val="3"/>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lvl w:ilvl="1">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1)"/>
      <w:numFmt w:val="lowerRoman"/>
      <w:start w:val="2"/>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decimal"/>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1)"/>
      <w:numFmt w:val="decimal"/>
      <w:start w:val="1"/>
    </w:lvl>
  </w:abstractNum>
  <w:abstractNum w:abstractNumId="44">
    <w:nsid w:val="6C80EC70"/>
    <w:multiLevelType w:val="hybridMultilevel"/>
    <w:lvl w:ilvl="0">
      <w:lvlJc w:val="left"/>
      <w:lvlText w:val="%1"/>
      <w:numFmt w:val="upperLetter"/>
      <w:start w:val="35"/>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1)"/>
      <w:numFmt w:val="decimal"/>
      <w:start w:val="1"/>
    </w:lvl>
  </w:abstractNum>
  <w:abstractNum w:abstractNumId="47">
    <w:nsid w:val="2C27173B"/>
    <w:multiLevelType w:val="hybridMultilevel"/>
    <w:lvl w:ilvl="0">
      <w:lvlJc w:val="left"/>
      <w:lvlText w:val="(%1)"/>
      <w:numFmt w:val="decimal"/>
      <w:start w:val="4"/>
    </w:lvl>
  </w:abstractNum>
  <w:abstractNum w:abstractNumId="48">
    <w:nsid w:val="4C9B0904"/>
    <w:multiLevelType w:val="hybridMultilevel"/>
    <w:lvl w:ilvl="0">
      <w:lvlJc w:val="left"/>
      <w:lvlText w:val="(%1)"/>
      <w:numFmt w:val="decimal"/>
      <w:start w:val="9"/>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1)"/>
      <w:numFmt w:val="decimal"/>
      <w:start w:val="1"/>
    </w:lvl>
  </w:abstractNum>
  <w:abstractNum w:abstractNumId="53">
    <w:nsid w:val="3DB012B3"/>
    <w:multiLevelType w:val="hybridMultilevel"/>
    <w:lvl w:ilvl="0">
      <w:lvlJc w:val="left"/>
      <w:lvlText w:val="(%1)"/>
      <w:numFmt w:val="decimal"/>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1)"/>
      <w:numFmt w:val="decimal"/>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1)"/>
      <w:numFmt w:val="decimal"/>
      <w:start w:val="1"/>
    </w:lvl>
  </w:abstractNum>
  <w:abstractNum w:abstractNumId="61">
    <w:nsid w:val="56438D15"/>
    <w:multiLevelType w:val="hybridMultilevel"/>
    <w:lvl w:ilvl="0">
      <w:lvlJc w:val="left"/>
      <w:lvlText w:val="•"/>
      <w:numFmt w:val="bullet"/>
      <w:start w:val="1"/>
    </w:lvl>
  </w:abstractNum>
  <w:abstractNum w:abstractNumId="62">
    <w:nsid w:val="519E3149"/>
    <w:multiLevelType w:val="hybridMultilevel"/>
    <w:lvl w:ilvl="0">
      <w:lvlJc w:val="left"/>
      <w:lvlText w:val="•"/>
      <w:numFmt w:val="bullet"/>
      <w:start w:val="1"/>
    </w:lvl>
  </w:abstractNum>
  <w:abstractNum w:abstractNumId="63">
    <w:nsid w:val="2C6E4AFD"/>
    <w:multiLevelType w:val="hybridMultilevel"/>
    <w:lvl w:ilvl="0">
      <w:lvlJc w:val="left"/>
      <w:lvlText w:val="•"/>
      <w:numFmt w:val="bullet"/>
      <w:start w:val="1"/>
    </w:lvl>
  </w:abstractNum>
  <w:abstractNum w:abstractNumId="64">
    <w:nsid w:val="17A1B582"/>
    <w:multiLevelType w:val="hybridMultilevel"/>
    <w:lvl w:ilvl="0">
      <w:lvlJc w:val="left"/>
      <w:lvlText w:val="(%1)"/>
      <w:numFmt w:val="decimal"/>
      <w:start w:val="1"/>
    </w:lvl>
  </w:abstractNum>
  <w:abstractNum w:abstractNumId="65">
    <w:nsid w:val="4DF72E4E"/>
    <w:multiLevelType w:val="hybridMultilevel"/>
    <w:lvl w:ilvl="0">
      <w:lvlJc w:val="left"/>
      <w:lvlText w:val="•"/>
      <w:numFmt w:val="bullet"/>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1)"/>
      <w:numFmt w:val="decimal"/>
      <w:start w:val="2"/>
    </w:lvl>
  </w:abstractNum>
  <w:abstractNum w:abstractNumId="68">
    <w:nsid w:val="2A082C70"/>
    <w:multiLevelType w:val="hybridMultilevel"/>
    <w:lvl w:ilvl="0">
      <w:lvlJc w:val="left"/>
      <w:lvlText w:val="(%1)"/>
      <w:numFmt w:val="decimal"/>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
      <w:numFmt w:val="bullet"/>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0"/>
      <w:numFmt w:val="bullet"/>
      <w:start w:val="1"/>
    </w:lvl>
  </w:abstractNum>
  <w:abstractNum w:abstractNumId="79">
    <w:nsid w:val="57D2F10E"/>
    <w:multiLevelType w:val="hybridMultilevel"/>
    <w:lvl w:ilvl="0">
      <w:lvlJc w:val="left"/>
      <w:lvlText w:val="1"/>
      <w:numFmt w:val="bullet"/>
      <w:start w:val="1"/>
    </w:lvl>
  </w:abstractNum>
  <w:abstractNum w:abstractNumId="80">
    <w:nsid w:val="BFFAE18"/>
    <w:multiLevelType w:val="hybridMultilevel"/>
    <w:lvl w:ilvl="0">
      <w:lvlJc w:val="left"/>
      <w:lvlText w:val="3"/>
      <w:numFmt w:val="bullet"/>
      <w:start w:val="1"/>
    </w:lvl>
  </w:abstractNum>
  <w:abstractNum w:abstractNumId="81">
    <w:nsid w:val="E3E47A8"/>
    <w:multiLevelType w:val="hybridMultilevel"/>
    <w:lvl w:ilvl="0">
      <w:lvlJc w:val="left"/>
      <w:lvlText w:val="2"/>
      <w:numFmt w:val="bullet"/>
      <w:start w:val="1"/>
    </w:lvl>
  </w:abstractNum>
  <w:abstractNum w:abstractNumId="82">
    <w:nsid w:val="2E48F044"/>
    <w:multiLevelType w:val="hybridMultilevel"/>
    <w:lvl w:ilvl="0">
      <w:lvlJc w:val="left"/>
      <w:lvlText w:val="3"/>
      <w:numFmt w:val="bullet"/>
      <w:start w:val="1"/>
    </w:lvl>
  </w:abstractNum>
  <w:abstractNum w:abstractNumId="83">
    <w:nsid w:val="49D0FEAC"/>
    <w:multiLevelType w:val="hybridMultilevel"/>
    <w:lvl w:ilvl="0">
      <w:lvlJc w:val="left"/>
      <w:lvlText w:val="2"/>
      <w:numFmt w:val="bullet"/>
      <w:start w:val="1"/>
    </w:lvl>
  </w:abstractNum>
  <w:abstractNum w:abstractNumId="84">
    <w:nsid w:val="4BEE5A5B"/>
    <w:multiLevelType w:val="hybridMultilevel"/>
    <w:lvl w:ilvl="0">
      <w:lvlJc w:val="left"/>
      <w:lvlText w:val="4"/>
      <w:numFmt w:val="bullet"/>
      <w:start w:val="1"/>
    </w:lvl>
  </w:abstractNum>
  <w:abstractNum w:abstractNumId="85">
    <w:nsid w:val="5551B9F3"/>
    <w:multiLevelType w:val="hybridMultilevel"/>
    <w:lvl w:ilvl="0">
      <w:lvlJc w:val="left"/>
      <w:lvlText w:val="3"/>
      <w:numFmt w:val="bullet"/>
      <w:start w:val="1"/>
    </w:lvl>
  </w:abstractNum>
  <w:abstractNum w:abstractNumId="86">
    <w:nsid w:val="24F6AB8E"/>
    <w:multiLevelType w:val="hybridMultilevel"/>
    <w:lvl w:ilvl="0">
      <w:lvlJc w:val="left"/>
      <w:lvlText w:val="5"/>
      <w:numFmt w:val="bullet"/>
      <w:start w:val="1"/>
    </w:lvl>
  </w:abstractNum>
  <w:abstractNum w:abstractNumId="87">
    <w:nsid w:val="634C574C"/>
    <w:multiLevelType w:val="hybridMultilevel"/>
    <w:lvl w:ilvl="0">
      <w:lvlJc w:val="left"/>
      <w:lvlText w:val="4"/>
      <w:numFmt w:val="bullet"/>
      <w:start w:val="1"/>
    </w:lvl>
  </w:abstractNum>
  <w:abstractNum w:abstractNumId="88">
    <w:nsid w:val="24E99DD7"/>
    <w:multiLevelType w:val="hybridMultilevel"/>
    <w:lvl w:ilvl="0">
      <w:lvlJc w:val="left"/>
      <w:lvlText w:val="1"/>
      <w:numFmt w:val="bullet"/>
      <w:start w:val="1"/>
    </w:lvl>
  </w:abstractNum>
  <w:abstractNum w:abstractNumId="89">
    <w:nsid w:val="2A31B62D"/>
    <w:multiLevelType w:val="hybridMultilevel"/>
    <w:lvl w:ilvl="0">
      <w:lvlJc w:val="left"/>
      <w:lvlText w:val="4"/>
      <w:numFmt w:val="bullet"/>
      <w:start w:val="1"/>
    </w:lvl>
  </w:abstractNum>
  <w:abstractNum w:abstractNumId="90">
    <w:nsid w:val="1849C29B"/>
    <w:multiLevelType w:val="hybridMultilevel"/>
    <w:lvl w:ilvl="0">
      <w:lvlJc w:val="left"/>
      <w:lvlText w:val="5"/>
      <w:numFmt w:val="bullet"/>
      <w:start w:val="1"/>
    </w:lvl>
  </w:abstractNum>
  <w:abstractNum w:abstractNumId="91">
    <w:nsid w:val="7DFF9D09"/>
    <w:multiLevelType w:val="hybridMultilevel"/>
    <w:lvl w:ilvl="0">
      <w:lvlJc w:val="left"/>
      <w:lvlText w:val="3"/>
      <w:numFmt w:val="bullet"/>
      <w:start w:val="1"/>
    </w:lvl>
  </w:abstractNum>
  <w:abstractNum w:abstractNumId="92">
    <w:nsid w:val="754342"/>
    <w:multiLevelType w:val="hybridMultilevel"/>
    <w:lvl w:ilvl="0">
      <w:lvlJc w:val="left"/>
      <w:lvlText w:val="1"/>
      <w:numFmt w:val="bullet"/>
      <w:start w:val="1"/>
    </w:lvl>
  </w:abstractNum>
  <w:abstractNum w:abstractNumId="93">
    <w:nsid w:val="69E7F3E5"/>
    <w:multiLevelType w:val="hybridMultilevel"/>
    <w:lvl w:ilvl="0">
      <w:lvlJc w:val="left"/>
      <w:lvlText w:val="2"/>
      <w:numFmt w:val="bullet"/>
      <w:start w:val="1"/>
    </w:lvl>
  </w:abstractNum>
  <w:abstractNum w:abstractNumId="94">
    <w:nsid w:val="2A6DE806"/>
    <w:multiLevelType w:val="hybridMultilevel"/>
    <w:lvl w:ilvl="0">
      <w:lvlJc w:val="left"/>
      <w:lvlText w:val="2"/>
      <w:numFmt w:val="bullet"/>
      <w:start w:val="1"/>
    </w:lvl>
  </w:abstractNum>
  <w:abstractNum w:abstractNumId="95">
    <w:nsid w:val="1816F8C4"/>
    <w:multiLevelType w:val="hybridMultilevel"/>
    <w:lvl w:ilvl="0">
      <w:lvlJc w:val="left"/>
      <w:lvlText w:val="3"/>
      <w:numFmt w:val="bullet"/>
      <w:start w:val="1"/>
    </w:lvl>
  </w:abstractNum>
  <w:abstractNum w:abstractNumId="96">
    <w:nsid w:val="37DF2233"/>
    <w:multiLevelType w:val="hybridMultilevel"/>
    <w:lvl w:ilvl="0">
      <w:lvlJc w:val="left"/>
      <w:lvlText w:val="1"/>
      <w:numFmt w:val="bullet"/>
      <w:start w:val="1"/>
    </w:lvl>
  </w:abstractNum>
  <w:abstractNum w:abstractNumId="97">
    <w:nsid w:val="7AB49DAF"/>
    <w:multiLevelType w:val="hybridMultilevel"/>
    <w:lvl w:ilvl="0">
      <w:lvlJc w:val="left"/>
      <w:lvlText w:val="1"/>
      <w:numFmt w:val="bullet"/>
      <w:start w:val="1"/>
    </w:lvl>
  </w:abstractNum>
  <w:abstractNum w:abstractNumId="98">
    <w:nsid w:val="759F82CD"/>
    <w:multiLevelType w:val="hybridMultilevel"/>
    <w:lvl w:ilvl="0">
      <w:lvlJc w:val="left"/>
      <w:lvlText w:val="0"/>
      <w:numFmt w:val="bullet"/>
      <w:start w:val="1"/>
    </w:lvl>
  </w:abstractNum>
  <w:abstractNum w:abstractNumId="99">
    <w:nsid w:val="61E74EA3"/>
    <w:multiLevelType w:val="hybridMultilevel"/>
    <w:lvl w:ilvl="0">
      <w:lvlJc w:val="left"/>
      <w:lvlText w:val="1"/>
      <w:numFmt w:val="bullet"/>
      <w:start w:val="1"/>
    </w:lvl>
  </w:abstractNum>
  <w:abstractNum w:abstractNumId="100">
    <w:nsid w:val="597B4D84"/>
    <w:multiLevelType w:val="hybridMultilevel"/>
    <w:lvl w:ilvl="0">
      <w:lvlJc w:val="left"/>
      <w:lvlText w:val="3"/>
      <w:numFmt w:val="bullet"/>
      <w:start w:val="1"/>
    </w:lvl>
  </w:abstractNum>
  <w:abstractNum w:abstractNumId="101">
    <w:nsid w:val="F819E7F"/>
    <w:multiLevelType w:val="hybridMultilevel"/>
    <w:lvl w:ilvl="0">
      <w:lvlJc w:val="left"/>
      <w:lvlText w:val="3"/>
      <w:numFmt w:val="bullet"/>
      <w:start w:val="1"/>
    </w:lvl>
  </w:abstractNum>
  <w:abstractNum w:abstractNumId="102">
    <w:nsid w:val="57C7D42D"/>
    <w:multiLevelType w:val="hybridMultilevel"/>
    <w:lvl w:ilvl="0">
      <w:lvlJc w:val="left"/>
      <w:lvlText w:val="4"/>
      <w:numFmt w:val="bullet"/>
      <w:start w:val="1"/>
    </w:lvl>
  </w:abstractNum>
  <w:abstractNum w:abstractNumId="103">
    <w:nsid w:val="312167AD"/>
    <w:multiLevelType w:val="hybridMultilevel"/>
    <w:lvl w:ilvl="0">
      <w:lvlJc w:val="left"/>
      <w:lvlText w:val="2"/>
      <w:numFmt w:val="bullet"/>
      <w:start w:val="1"/>
    </w:lvl>
  </w:abstractNum>
  <w:abstractNum w:abstractNumId="104">
    <w:nsid w:val="631B64D4"/>
    <w:multiLevelType w:val="hybridMultilevel"/>
    <w:lvl w:ilvl="0">
      <w:lvlJc w:val="left"/>
      <w:lvlText w:val="(%1)"/>
      <w:numFmt w:val="lowerLetter"/>
      <w:start w:val="1"/>
    </w:lvl>
  </w:abstractNum>
  <w:abstractNum w:abstractNumId="105">
    <w:nsid w:val="78B5E776"/>
    <w:multiLevelType w:val="hybridMultilevel"/>
    <w:lvl w:ilvl="0">
      <w:lvlJc w:val="left"/>
      <w:lvlText w:val="(%1)"/>
      <w:numFmt w:val="lowerLetter"/>
      <w:start w:val="13"/>
    </w:lvl>
  </w:abstractNum>
  <w:abstractNum w:abstractNumId="106">
    <w:nsid w:val="75486E47"/>
    <w:multiLevelType w:val="hybridMultilevel"/>
    <w:lvl w:ilvl="0">
      <w:lvlJc w:val="left"/>
      <w:lvlText w:val="(%1)"/>
      <w:numFmt w:val="lowerLetter"/>
      <w:start w:val="21"/>
    </w:lvl>
  </w:abstractNum>
  <w:abstractNum w:abstractNumId="107">
    <w:nsid w:val="6E534CDE"/>
    <w:multiLevelType w:val="hybridMultilevel"/>
    <w:lvl w:ilvl="0">
      <w:lvlJc w:val="left"/>
      <w:lvlText w:val="(%1)"/>
      <w:numFmt w:val="lowerLetter"/>
      <w:start w:val="28"/>
    </w:lvl>
  </w:abstractNum>
  <w:abstractNum w:abstractNumId="108">
    <w:nsid w:val="1A0DDE32"/>
    <w:multiLevelType w:val="hybridMultilevel"/>
    <w:lvl w:ilvl="0">
      <w:lvlJc w:val="left"/>
      <w:lvlText w:val="0"/>
      <w:numFmt w:val="bullet"/>
      <w:start w:val="1"/>
    </w:lvl>
  </w:abstractNum>
  <w:abstractNum w:abstractNumId="109">
    <w:nsid w:val="65968C1C"/>
    <w:multiLevelType w:val="hybridMultilevel"/>
    <w:lvl w:ilvl="0">
      <w:lvlJc w:val="left"/>
      <w:lvlText w:val="1"/>
      <w:numFmt w:val="bullet"/>
      <w:start w:val="1"/>
    </w:lvl>
  </w:abstractNum>
  <w:abstractNum w:abstractNumId="110">
    <w:nsid w:val="46263DEC"/>
    <w:multiLevelType w:val="hybridMultilevel"/>
    <w:lvl w:ilvl="0">
      <w:lvlJc w:val="left"/>
      <w:lvlText w:val="2"/>
      <w:numFmt w:val="bullet"/>
      <w:start w:val="1"/>
    </w:lvl>
  </w:abstractNum>
  <w:abstractNum w:abstractNumId="111">
    <w:nsid w:val="260D8C4A"/>
    <w:multiLevelType w:val="hybridMultilevel"/>
    <w:lvl w:ilvl="0">
      <w:lvlJc w:val="left"/>
      <w:lvlText w:val="1"/>
      <w:numFmt w:val="bullet"/>
      <w:start w:val="1"/>
    </w:lvl>
  </w:abstractNum>
  <w:abstractNum w:abstractNumId="112">
    <w:nsid w:val="73D4D3C4"/>
    <w:multiLevelType w:val="hybridMultilevel"/>
    <w:lvl w:ilvl="0">
      <w:lvlJc w:val="left"/>
      <w:lvlText w:val="2"/>
      <w:numFmt w:val="bullet"/>
      <w:start w:val="1"/>
    </w:lvl>
  </w:abstractNum>
  <w:abstractNum w:abstractNumId="113">
    <w:nsid w:val="746F2E30"/>
    <w:multiLevelType w:val="hybridMultilevel"/>
    <w:lvl w:ilvl="0">
      <w:lvlJc w:val="left"/>
      <w:lvlText w:val="1"/>
      <w:numFmt w:val="bullet"/>
      <w:start w:val="1"/>
    </w:lvl>
  </w:abstractNum>
  <w:abstractNum w:abstractNumId="114">
    <w:nsid w:val="6FDE8AF6"/>
    <w:multiLevelType w:val="hybridMultilevel"/>
    <w:lvl w:ilvl="0">
      <w:lvlJc w:val="left"/>
      <w:lvlText w:val="3"/>
      <w:numFmt w:val="bullet"/>
      <w:start w:val="1"/>
    </w:lvl>
  </w:abstractNum>
  <w:abstractNum w:abstractNumId="115">
    <w:nsid w:val="3FC32E20"/>
    <w:multiLevelType w:val="hybridMultilevel"/>
    <w:lvl w:ilvl="0">
      <w:lvlJc w:val="left"/>
      <w:lvlText w:val="1"/>
      <w:numFmt w:val="bullet"/>
      <w:start w:val="1"/>
    </w:lvl>
  </w:abstractNum>
  <w:abstractNum w:abstractNumId="116">
    <w:nsid w:val="49C0E823"/>
    <w:multiLevelType w:val="hybridMultilevel"/>
    <w:lvl w:ilvl="0">
      <w:lvlJc w:val="left"/>
      <w:lvlText w:val="3"/>
      <w:numFmt w:val="bullet"/>
      <w:start w:val="1"/>
    </w:lvl>
  </w:abstractNum>
  <w:abstractNum w:abstractNumId="117">
    <w:nsid w:val="14D53685"/>
    <w:multiLevelType w:val="hybridMultilevel"/>
    <w:lvl w:ilvl="0">
      <w:lvlJc w:val="left"/>
      <w:lvlText w:val="4"/>
      <w:numFmt w:val="bullet"/>
      <w:start w:val="1"/>
    </w:lvl>
  </w:abstractNum>
  <w:abstractNum w:abstractNumId="118">
    <w:nsid w:val="230F856C"/>
    <w:multiLevelType w:val="hybridMultilevel"/>
    <w:lvl w:ilvl="0">
      <w:lvlJc w:val="left"/>
      <w:lvlText w:val="0"/>
      <w:numFmt w:val="bullet"/>
      <w:start w:val="1"/>
    </w:lvl>
  </w:abstractNum>
  <w:abstractNum w:abstractNumId="119">
    <w:nsid w:val="6EAA85FB"/>
    <w:multiLevelType w:val="hybridMultilevel"/>
    <w:lvl w:ilvl="0">
      <w:lvlJc w:val="left"/>
      <w:lvlText w:val="1"/>
      <w:numFmt w:val="bullet"/>
      <w:start w:val="1"/>
    </w:lvl>
  </w:abstractNum>
  <w:abstractNum w:abstractNumId="120">
    <w:nsid w:val="3F06ECB2"/>
    <w:multiLevelType w:val="hybridMultilevel"/>
    <w:lvl w:ilvl="0">
      <w:lvlJc w:val="left"/>
      <w:lvlText w:val="0"/>
      <w:numFmt w:val="bullet"/>
      <w:start w:val="1"/>
    </w:lvl>
  </w:abstractNum>
  <w:abstractNum w:abstractNumId="121">
    <w:nsid w:val="3B594807"/>
    <w:multiLevelType w:val="hybridMultilevel"/>
    <w:lvl w:ilvl="0">
      <w:lvlJc w:val="left"/>
      <w:lvlText w:val="%1"/>
      <w:numFmt w:val="decimal"/>
      <w:start w:val="891"/>
    </w:lvl>
  </w:abstractNum>
  <w:abstractNum w:abstractNumId="122">
    <w:nsid w:val="6CAA2304"/>
    <w:multiLevelType w:val="hybridMultilevel"/>
    <w:lvl w:ilvl="0">
      <w:lvlJc w:val="left"/>
      <w:lvlText w:val="%1"/>
      <w:numFmt w:val="decimal"/>
      <w:start w:val="565"/>
    </w:lvl>
  </w:abstractNum>
  <w:abstractNum w:abstractNumId="123">
    <w:nsid w:val="3F7C2FF4"/>
    <w:multiLevelType w:val="hybridMultilevel"/>
    <w:lvl w:ilvl="0">
      <w:lvlJc w:val="left"/>
      <w:lvlText w:val="\emdash "/>
      <w:numFmt w:val="bullet"/>
      <w:start w:val="1"/>
    </w:lvl>
  </w:abstractNum>
  <w:abstractNum w:abstractNumId="124">
    <w:nsid w:val="25413BEC"/>
    <w:multiLevelType w:val="hybridMultilevel"/>
    <w:lvl w:ilvl="0">
      <w:lvlJc w:val="left"/>
      <w:lvlText w:val="%1"/>
      <w:numFmt w:val="decimal"/>
      <w:start w:val="353"/>
    </w:lvl>
  </w:abstractNum>
  <w:abstractNum w:abstractNumId="125">
    <w:nsid w:val="17180B0B"/>
    <w:multiLevelType w:val="hybridMultilevel"/>
    <w:lvl w:ilvl="0">
      <w:lvlJc w:val="left"/>
      <w:lvlText w:val="%1"/>
      <w:numFmt w:val="decimal"/>
      <w:start w:val="900"/>
    </w:lvl>
  </w:abstractNum>
  <w:abstractNum w:abstractNumId="126">
    <w:nsid w:val="579328B9"/>
    <w:multiLevelType w:val="hybridMultilevel"/>
    <w:lvl w:ilvl="0">
      <w:lvlJc w:val="left"/>
      <w:lvlText w:val="%1"/>
      <w:numFmt w:val="decimal"/>
      <w:start w:val="500"/>
    </w:lvl>
  </w:abstractNum>
  <w:abstractNum w:abstractNumId="127">
    <w:nsid w:val="5D205E20"/>
    <w:multiLevelType w:val="hybridMultilevel"/>
    <w:lvl w:ilvl="0">
      <w:lvlJc w:val="left"/>
      <w:lvlText w:val="2"/>
      <w:numFmt w:val="bullet"/>
      <w:start w:val="1"/>
    </w:lvl>
  </w:abstractNum>
  <w:abstractNum w:abstractNumId="128">
    <w:nsid w:val="11CCA8BA"/>
    <w:multiLevelType w:val="hybridMultilevel"/>
    <w:lvl w:ilvl="0">
      <w:lvlJc w:val="left"/>
      <w:lvlText w:val="0"/>
      <w:numFmt w:val="bullet"/>
      <w:start w:val="1"/>
    </w:lvl>
  </w:abstractNum>
  <w:abstractNum w:abstractNumId="129">
    <w:nsid w:val="4D32AB86"/>
    <w:multiLevelType w:val="hybridMultilevel"/>
    <w:lvl w:ilvl="0">
      <w:lvlJc w:val="left"/>
      <w:lvlText w:val="2"/>
      <w:numFmt w:val="bullet"/>
      <w:start w:val="1"/>
    </w:lvl>
  </w:abstractNum>
  <w:abstractNum w:abstractNumId="130">
    <w:nsid w:val="3F07ACC3"/>
    <w:multiLevelType w:val="hybridMultilevel"/>
    <w:lvl w:ilvl="0">
      <w:lvlJc w:val="left"/>
      <w:lvlText w:val="1"/>
      <w:numFmt w:val="bullet"/>
      <w:start w:val="1"/>
    </w:lvl>
  </w:abstractNum>
  <w:abstractNum w:abstractNumId="131">
    <w:nsid w:val="6B47F63E"/>
    <w:multiLevelType w:val="hybridMultilevel"/>
    <w:lvl w:ilvl="0">
      <w:lvlJc w:val="left"/>
      <w:lvlText w:val="3"/>
      <w:numFmt w:val="bullet"/>
      <w:start w:val="1"/>
    </w:lvl>
  </w:abstractNum>
  <w:abstractNum w:abstractNumId="132">
    <w:nsid w:val="5CB44A05"/>
    <w:multiLevelType w:val="hybridMultilevel"/>
    <w:lvl w:ilvl="0">
      <w:lvlJc w:val="left"/>
      <w:lvlText w:val="1"/>
      <w:numFmt w:val="bullet"/>
      <w:start w:val="1"/>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13"/>
    </w:lvl>
  </w:abstractNum>
  <w:abstractNum w:abstractNumId="135">
    <w:nsid w:val="3FCFAED9"/>
    <w:multiLevelType w:val="hybridMultilevel"/>
    <w:lvl w:ilvl="0">
      <w:lvlJc w:val="left"/>
      <w:lvlText w:val="(%1)"/>
      <w:numFmt w:val="lowerLetter"/>
      <w:start w:val="16"/>
    </w:lvl>
  </w:abstractNum>
  <w:abstractNum w:abstractNumId="136">
    <w:nsid w:val="F856867"/>
    <w:multiLevelType w:val="hybridMultilevel"/>
    <w:lvl w:ilvl="0">
      <w:lvlJc w:val="left"/>
      <w:lvlText w:val="•"/>
      <w:numFmt w:val="bullet"/>
      <w:start w:val="1"/>
    </w:lvl>
  </w:abstractNum>
  <w:abstractNum w:abstractNumId="137">
    <w:nsid w:val="11B1CC33"/>
    <w:multiLevelType w:val="hybridMultilevel"/>
    <w:lvl w:ilvl="0">
      <w:lvlJc w:val="left"/>
      <w:lvlText w:val="•"/>
      <w:numFmt w:val="bullet"/>
      <w:start w:val="1"/>
    </w:lvl>
  </w:abstractNum>
  <w:abstractNum w:abstractNumId="138">
    <w:nsid w:val="2E22FBB7"/>
    <w:multiLevelType w:val="hybridMultilevel"/>
    <w:lvl w:ilvl="0">
      <w:lvlJc w:val="left"/>
      <w:lvlText w:val="(%1)"/>
      <w:numFmt w:val="lowerRoman"/>
      <w:start w:val="2"/>
    </w:lvl>
  </w:abstractNum>
  <w:abstractNum w:abstractNumId="139">
    <w:nsid w:val="29934699"/>
    <w:multiLevelType w:val="hybridMultilevel"/>
    <w:lvl w:ilvl="0">
      <w:lvlJc w:val="left"/>
      <w:lvlText w:val="(%1)"/>
      <w:numFmt w:val="decimal"/>
      <w:start w:val="1"/>
    </w:lvl>
  </w:abstractNum>
  <w:abstractNum w:abstractNumId="140">
    <w:nsid w:val="77485850"/>
    <w:multiLevelType w:val="hybridMultilevel"/>
    <w:lvl w:ilvl="0">
      <w:lvlJc w:val="left"/>
      <w:lvlText w:val="(%1)"/>
      <w:numFmt w:val="decimal"/>
      <w:start w:val="1"/>
    </w:lvl>
  </w:abstractNum>
  <w:abstractNum w:abstractNumId="141">
    <w:nsid w:val="744939A3"/>
    <w:multiLevelType w:val="hybridMultilevel"/>
    <w:lvl w:ilvl="0">
      <w:lvlJc w:val="left"/>
      <w:lvlText w:val="(%1)"/>
      <w:numFmt w:val="decimal"/>
      <w:start w:val="1"/>
    </w:lvl>
  </w:abstractNum>
  <w:abstractNum w:abstractNumId="142">
    <w:nsid w:val="4FA0D2E3"/>
    <w:multiLevelType w:val="hybridMultilevel"/>
    <w:lvl w:ilvl="0">
      <w:lvlJc w:val="left"/>
      <w:lvlText w:val="•"/>
      <w:numFmt w:val="bullet"/>
      <w:start w:val="1"/>
    </w:lvl>
  </w:abstractNum>
  <w:abstractNum w:abstractNumId="143">
    <w:nsid w:val="6B1D2C14"/>
    <w:multiLevelType w:val="hybridMultilevel"/>
    <w:lvl w:ilvl="0">
      <w:lvlJc w:val="left"/>
      <w:lvlText w:val="•"/>
      <w:numFmt w:val="bullet"/>
      <w:start w:val="1"/>
    </w:lvl>
  </w:abstractNum>
  <w:abstractNum w:abstractNumId="144">
    <w:nsid w:val="68B867D3"/>
    <w:multiLevelType w:val="hybridMultilevel"/>
    <w:lvl w:ilvl="0">
      <w:lvlJc w:val="left"/>
      <w:lvlText w:val="(%1)"/>
      <w:numFmt w:val="decimal"/>
      <w:start w:val="1"/>
    </w:lvl>
  </w:abstractNum>
  <w:abstractNum w:abstractNumId="145">
    <w:nsid w:val="3F7F5DD9"/>
    <w:multiLevelType w:val="hybridMultilevel"/>
    <w:lvl w:ilvl="0">
      <w:lvlJc w:val="left"/>
      <w:lvlText w:val="(%1)"/>
      <w:numFmt w:val="decimal"/>
      <w:start w:val="1"/>
    </w:lvl>
  </w:abstractNum>
  <w:abstractNum w:abstractNumId="146">
    <w:nsid w:val="2AE05A34"/>
    <w:multiLevelType w:val="hybridMultilevel"/>
    <w:lvl w:ilvl="0">
      <w:lvlJc w:val="left"/>
      <w:lvlText w:val="•"/>
      <w:numFmt w:val="bullet"/>
      <w:start w:val="1"/>
    </w:lvl>
  </w:abstractNum>
  <w:abstractNum w:abstractNumId="147">
    <w:nsid w:val="32794FF7"/>
    <w:multiLevelType w:val="hybridMultilevel"/>
    <w:lvl w:ilvl="0">
      <w:lvlJc w:val="left"/>
      <w:lvlText w:val="•"/>
      <w:numFmt w:val="bullet"/>
      <w:start w:val="1"/>
    </w:lvl>
  </w:abstractNum>
  <w:abstractNum w:abstractNumId="148">
    <w:nsid w:val="5454945E"/>
    <w:multiLevelType w:val="hybridMultilevel"/>
    <w:lvl w:ilvl="0">
      <w:lvlJc w:val="left"/>
      <w:lvlText w:val="(%1)"/>
      <w:numFmt w:val="decimal"/>
      <w:start w:val="1"/>
    </w:lvl>
  </w:abstractNum>
  <w:abstractNum w:abstractNumId="149">
    <w:nsid w:val="4DEFDFA0"/>
    <w:multiLevelType w:val="hybridMultilevel"/>
    <w:lvl w:ilvl="0">
      <w:lvlJc w:val="left"/>
      <w:lvlText w:val="(%1)"/>
      <w:numFmt w:val="decimal"/>
      <w:start w:val="4"/>
    </w:lvl>
  </w:abstractNum>
  <w:abstractNum w:abstractNumId="150">
    <w:nsid w:val="2123D5F2"/>
    <w:multiLevelType w:val="hybridMultilevel"/>
    <w:lvl w:ilvl="0">
      <w:lvlJc w:val="left"/>
      <w:lvlText w:val="(%1)"/>
      <w:numFmt w:val="decimal"/>
      <w:start w:val="1"/>
    </w:lvl>
  </w:abstractNum>
  <w:abstractNum w:abstractNumId="151">
    <w:nsid w:val="135B8110"/>
    <w:multiLevelType w:val="hybridMultilevel"/>
    <w:lvl w:ilvl="0">
      <w:lvlJc w:val="left"/>
      <w:lvlText w:val="(%1)"/>
      <w:numFmt w:val="decimal"/>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
      <w:numFmt w:val="bullet"/>
      <w:start w:val="1"/>
    </w:lvl>
  </w:abstractNum>
  <w:abstractNum w:abstractNumId="154">
    <w:nsid w:val="52D7B105"/>
    <w:multiLevelType w:val="hybridMultilevel"/>
    <w:lvl w:ilvl="0">
      <w:lvlJc w:val="left"/>
      <w:lvlText w:val="*"/>
      <w:numFmt w:val="bullet"/>
      <w:start w:val="1"/>
    </w:lvl>
  </w:abstractNum>
  <w:abstractNum w:abstractNumId="155">
    <w:nsid w:val="2E8A6394"/>
    <w:multiLevelType w:val="hybridMultilevel"/>
    <w:lvl w:ilvl="0">
      <w:lvlJc w:val="left"/>
      <w:lvlText w:val="*"/>
      <w:numFmt w:val="bullet"/>
      <w:start w:val="1"/>
    </w:lvl>
  </w:abstractNum>
  <w:abstractNum w:abstractNumId="156">
    <w:nsid w:val="24E60401"/>
    <w:multiLevelType w:val="hybridMultilevel"/>
    <w:lvl w:ilvl="0">
      <w:lvlJc w:val="left"/>
      <w:lvlText w:val="*"/>
      <w:numFmt w:val="bullet"/>
      <w:start w:val="1"/>
    </w:lvl>
  </w:abstractNum>
  <w:abstractNum w:abstractNumId="157">
    <w:nsid w:val="2A6AD9BE"/>
    <w:multiLevelType w:val="hybridMultilevel"/>
    <w:lvl w:ilvl="0">
      <w:lvlJc w:val="left"/>
      <w:lvlText w:val="*"/>
      <w:numFmt w:val="bullet"/>
      <w:start w:val="1"/>
    </w:lvl>
  </w:abstractNum>
  <w:abstractNum w:abstractNumId="158">
    <w:nsid w:val="BAAC1B4"/>
    <w:multiLevelType w:val="hybridMultilevel"/>
    <w:lvl w:ilvl="0">
      <w:lvlJc w:val="left"/>
      <w:lvlText w:val="*"/>
      <w:numFmt w:val="bullet"/>
      <w:start w:val="1"/>
    </w:lvl>
  </w:abstractNum>
  <w:abstractNum w:abstractNumId="159">
    <w:nsid w:val="36B2ACBC"/>
    <w:multiLevelType w:val="hybridMultilevel"/>
    <w:lvl w:ilvl="0">
      <w:lvlJc w:val="left"/>
      <w:lvlText w:val="*"/>
      <w:numFmt w:val="bullet"/>
      <w:start w:val="1"/>
    </w:lvl>
  </w:abstractNum>
  <w:abstractNum w:abstractNumId="160">
    <w:nsid w:val="779D8544"/>
    <w:multiLevelType w:val="hybridMultilevel"/>
    <w:lvl w:ilvl="0">
      <w:lvlJc w:val="left"/>
      <w:lvlText w:val="*"/>
      <w:numFmt w:val="bullet"/>
      <w:start w:val="1"/>
    </w:lvl>
  </w:abstractNum>
  <w:abstractNum w:abstractNumId="161">
    <w:nsid w:val="4AB26E78"/>
    <w:multiLevelType w:val="hybridMultilevel"/>
    <w:lvl w:ilvl="0">
      <w:lvlJc w:val="left"/>
      <w:lvlText w:val="*"/>
      <w:numFmt w:val="bullet"/>
      <w:start w:val="1"/>
    </w:lvl>
  </w:abstractNum>
  <w:abstractNum w:abstractNumId="162">
    <w:nsid w:val="21FAA2FA"/>
    <w:multiLevelType w:val="hybridMultilevel"/>
    <w:lvl w:ilvl="0">
      <w:lvlJc w:val="left"/>
      <w:lvlText w:val="*"/>
      <w:numFmt w:val="bullet"/>
      <w:start w:val="1"/>
    </w:lvl>
  </w:abstractNum>
  <w:abstractNum w:abstractNumId="163">
    <w:nsid w:val="5451CF49"/>
    <w:multiLevelType w:val="hybridMultilevel"/>
    <w:lvl w:ilvl="0">
      <w:lvlJc w:val="left"/>
      <w:lvlText w:val="*"/>
      <w:numFmt w:val="bullet"/>
      <w:start w:val="1"/>
    </w:lvl>
  </w:abstractNum>
  <w:abstractNum w:abstractNumId="164">
    <w:nsid w:val="6181EF69"/>
    <w:multiLevelType w:val="hybridMultilevel"/>
    <w:lvl w:ilvl="0">
      <w:lvlJc w:val="left"/>
      <w:lvlText w:val="*"/>
      <w:numFmt w:val="bullet"/>
      <w:start w:val="1"/>
    </w:lvl>
  </w:abstractNum>
  <w:abstractNum w:abstractNumId="165">
    <w:nsid w:val="3E6400E6"/>
    <w:multiLevelType w:val="hybridMultilevel"/>
    <w:lvl w:ilvl="0">
      <w:lvlJc w:val="left"/>
      <w:lvlText w:val="*"/>
      <w:numFmt w:val="bullet"/>
      <w:start w:val="1"/>
    </w:lvl>
  </w:abstractNum>
  <w:abstractNum w:abstractNumId="166">
    <w:nsid w:val="14217E23"/>
    <w:multiLevelType w:val="hybridMultilevel"/>
    <w:lvl w:ilvl="0">
      <w:lvlJc w:val="left"/>
      <w:lvlText w:val="*"/>
      <w:numFmt w:val="bullet"/>
      <w:start w:val="1"/>
    </w:lvl>
  </w:abstractNum>
  <w:abstractNum w:abstractNumId="167">
    <w:nsid w:val="710757D0"/>
    <w:multiLevelType w:val="hybridMultilevel"/>
    <w:lvl w:ilvl="0">
      <w:lvlJc w:val="left"/>
      <w:lvlText w:val="*"/>
      <w:numFmt w:val="bullet"/>
      <w:start w:val="1"/>
    </w:lvl>
  </w:abstractNum>
  <w:abstractNum w:abstractNumId="168">
    <w:nsid w:val="5015CD1A"/>
    <w:multiLevelType w:val="hybridMultilevel"/>
    <w:lvl w:ilvl="0">
      <w:lvlJc w:val="left"/>
      <w:lvlText w:val="*"/>
      <w:numFmt w:val="bullet"/>
      <w:start w:val="1"/>
    </w:lvl>
  </w:abstractNum>
  <w:abstractNum w:abstractNumId="169">
    <w:nsid w:val="424479DA"/>
    <w:multiLevelType w:val="hybridMultilevel"/>
    <w:lvl w:ilvl="0">
      <w:lvlJc w:val="left"/>
      <w:lvlText w:val="*"/>
      <w:numFmt w:val="bullet"/>
      <w:start w:val="1"/>
    </w:lvl>
  </w:abstractNum>
  <w:abstractNum w:abstractNumId="170">
    <w:nsid w:val="1A9A9E69"/>
    <w:multiLevelType w:val="hybridMultilevel"/>
    <w:lvl w:ilvl="0">
      <w:lvlJc w:val="left"/>
      <w:lvlText w:val="(%1)"/>
      <w:numFmt w:val="decimal"/>
      <w:start w:val="2"/>
    </w:lvl>
  </w:abstractNum>
  <w:abstractNum w:abstractNumId="171">
    <w:nsid w:val="475E256A"/>
    <w:multiLevelType w:val="hybridMultilevel"/>
    <w:lvl w:ilvl="0">
      <w:lvlJc w:val="left"/>
      <w:lvlText w:val="(%1)"/>
      <w:numFmt w:val="decimal"/>
      <w:start w:val="1"/>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1)"/>
      <w:numFmt w:val="decimal"/>
      <w:start w:val="1"/>
    </w:lvl>
  </w:abstractNum>
  <w:abstractNum w:abstractNumId="174">
    <w:nsid w:val="327B517E"/>
    <w:multiLevelType w:val="hybridMultilevel"/>
    <w:lvl w:ilvl="0">
      <w:lvlJc w:val="left"/>
      <w:lvlText w:val="(%1)"/>
      <w:numFmt w:val="decimal"/>
      <w:start w:val="1"/>
    </w:lvl>
  </w:abstractNum>
  <w:abstractNum w:abstractNumId="175">
    <w:nsid w:val="1F461B51"/>
    <w:multiLevelType w:val="hybridMultilevel"/>
    <w:lvl w:ilvl="0">
      <w:lvlJc w:val="left"/>
      <w:lvlText w:val="(%1)"/>
      <w:numFmt w:val="decimal"/>
      <w:start w:val="1"/>
    </w:lvl>
  </w:abstractNum>
  <w:abstractNum w:abstractNumId="176">
    <w:nsid w:val="29BACF25"/>
    <w:multiLevelType w:val="hybridMultilevel"/>
    <w:lvl w:ilvl="0">
      <w:lvlJc w:val="left"/>
      <w:lvlText w:val="(%1)"/>
      <w:numFmt w:val="decimal"/>
      <w:start w:val="1"/>
    </w:lvl>
  </w:abstractNum>
  <w:abstractNum w:abstractNumId="177">
    <w:nsid w:val="5D5BABB3"/>
    <w:multiLevelType w:val="hybridMultilevel"/>
    <w:lvl w:ilvl="0">
      <w:lvlJc w:val="left"/>
      <w:lvlText w:val="(%1)"/>
      <w:numFmt w:val="decimal"/>
      <w:start w:val="1"/>
    </w:lvl>
  </w:abstractNum>
  <w:abstractNum w:abstractNumId="178">
    <w:nsid w:val="51BF6B48"/>
    <w:multiLevelType w:val="hybridMultilevel"/>
    <w:lvl w:ilvl="0">
      <w:lvlJc w:val="left"/>
      <w:lvlText w:val="(%1)"/>
      <w:numFmt w:val="decimal"/>
      <w:start w:val="1"/>
    </w:lvl>
  </w:abstractNum>
  <w:abstractNum w:abstractNumId="179">
    <w:nsid w:val="7E0F6384"/>
    <w:multiLevelType w:val="hybridMultilevel"/>
    <w:lvl w:ilvl="0">
      <w:lvlJc w:val="left"/>
      <w:lvlText w:val="(%1)"/>
      <w:numFmt w:val="decimal"/>
      <w:start w:val="1"/>
    </w:lvl>
  </w:abstractNum>
  <w:abstractNum w:abstractNumId="180">
    <w:nsid w:val="2B4B8B53"/>
    <w:multiLevelType w:val="hybridMultilevel"/>
    <w:lvl w:ilvl="0">
      <w:lvlJc w:val="left"/>
      <w:lvlText w:val="(%1)"/>
      <w:numFmt w:val="lowerLetter"/>
      <w:start w:val="1"/>
    </w:lvl>
  </w:abstractNum>
  <w:abstractNum w:abstractNumId="181">
    <w:nsid w:val="72E3413A"/>
    <w:multiLevelType w:val="hybridMultilevel"/>
    <w:lvl w:ilvl="0">
      <w:lvlJc w:val="left"/>
      <w:lvlText w:val="(%1)"/>
      <w:numFmt w:val="decimal"/>
      <w:start w:val="1"/>
    </w:lvl>
  </w:abstractNum>
  <w:abstractNum w:abstractNumId="182">
    <w:nsid w:val="116AE494"/>
    <w:multiLevelType w:val="hybridMultilevel"/>
    <w:lvl w:ilvl="0">
      <w:lvlJc w:val="left"/>
      <w:lvlText w:val="(%1)"/>
      <w:numFmt w:val="decimal"/>
      <w:start w:val="2"/>
    </w:lvl>
  </w:abstractNum>
  <w:abstractNum w:abstractNumId="183">
    <w:nsid w:val="3494B2FB"/>
    <w:multiLevelType w:val="hybridMultilevel"/>
    <w:lvl w:ilvl="0">
      <w:lvlJc w:val="left"/>
      <w:lvlText w:val="(%1)"/>
      <w:numFmt w:val="decimal"/>
      <w:start w:val="3"/>
    </w:lvl>
  </w:abstractNum>
  <w:abstractNum w:abstractNumId="184">
    <w:nsid w:val="B13A31"/>
    <w:multiLevelType w:val="hybridMultilevel"/>
    <w:lvl w:ilvl="0">
      <w:lvlJc w:val="left"/>
      <w:lvlText w:val="*"/>
      <w:numFmt w:val="bullet"/>
      <w:start w:val="1"/>
    </w:lvl>
  </w:abstractNum>
  <w:abstractNum w:abstractNumId="185">
    <w:nsid w:val="64429599"/>
    <w:multiLevelType w:val="hybridMultilevel"/>
    <w:lvl w:ilvl="0">
      <w:lvlJc w:val="left"/>
      <w:lvlText w:val="†"/>
      <w:numFmt w:val="bullet"/>
      <w:start w:val="1"/>
    </w:lvl>
  </w:abstractNum>
  <w:abstractNum w:abstractNumId="186">
    <w:nsid w:val="631F169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7">
    <w:nsid w:val="25973E3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604" Type="http://schemas.openxmlformats.org/officeDocument/2006/relationships/image" Target="media/image579.png"/><Relationship Id="rId605" Type="http://schemas.openxmlformats.org/officeDocument/2006/relationships/image" Target="media/image580.png"/><Relationship Id="rId609" Type="http://schemas.openxmlformats.org/officeDocument/2006/relationships/image" Target="media/image581.png"/><Relationship Id="rId610" Type="http://schemas.openxmlformats.org/officeDocument/2006/relationships/image" Target="media/image582.png"/><Relationship Id="rId611" Type="http://schemas.openxmlformats.org/officeDocument/2006/relationships/image" Target="media/image583.png"/><Relationship Id="rId612" Type="http://schemas.openxmlformats.org/officeDocument/2006/relationships/image" Target="media/image584.png"/><Relationship Id="rId613" Type="http://schemas.openxmlformats.org/officeDocument/2006/relationships/image" Target="media/image585.png"/><Relationship Id="rId614"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21" Type="http://schemas.openxmlformats.org/officeDocument/2006/relationships/image" Target="media/image593.png"/><Relationship Id="rId622" Type="http://schemas.openxmlformats.org/officeDocument/2006/relationships/image" Target="media/image594.png"/><Relationship Id="rId623" Type="http://schemas.openxmlformats.org/officeDocument/2006/relationships/image" Target="media/image595.png"/><Relationship Id="rId624" Type="http://schemas.openxmlformats.org/officeDocument/2006/relationships/image" Target="media/image596.png"/><Relationship Id="rId625" Type="http://schemas.openxmlformats.org/officeDocument/2006/relationships/image" Target="media/image597.png"/><Relationship Id="rId626" Type="http://schemas.openxmlformats.org/officeDocument/2006/relationships/image" Target="media/image598.png"/><Relationship Id="rId627" Type="http://schemas.openxmlformats.org/officeDocument/2006/relationships/image" Target="media/image599.png"/><Relationship Id="rId628" Type="http://schemas.openxmlformats.org/officeDocument/2006/relationships/image" Target="media/image600.png"/><Relationship Id="rId629" Type="http://schemas.openxmlformats.org/officeDocument/2006/relationships/image" Target="media/image601.png"/><Relationship Id="rId630" Type="http://schemas.openxmlformats.org/officeDocument/2006/relationships/image" Target="media/image602.png"/><Relationship Id="rId584" Type="http://schemas.openxmlformats.org/officeDocument/2006/relationships/hyperlink" Target="https://www.sec.gov/Archives/edgar/data/1513363/000095012311041885/w81466a2exv99wxayx1y.htm" TargetMode="External"/><Relationship Id="rId585" Type="http://schemas.openxmlformats.org/officeDocument/2006/relationships/hyperlink" Target="https://www.sec.gov/Archives/edgar/data/1513363/000095012311041885/w81466a2exv99wxbyx1y.htm" TargetMode="External"/><Relationship Id="rId586" Type="http://schemas.openxmlformats.org/officeDocument/2006/relationships/hyperlink" Target="https://www.sec.gov/Archives/edgar/data/1513363/000095012311041885/w81466a2exv99wxdy.htm" TargetMode="External"/><Relationship Id="rId587" Type="http://schemas.openxmlformats.org/officeDocument/2006/relationships/hyperlink" Target="https://www.sec.gov/Archives/edgar/data/1513363/000095012311054001/w81466a3exv99wxfyx2y.htm" TargetMode="External"/><Relationship Id="rId588" Type="http://schemas.openxmlformats.org/officeDocument/2006/relationships/hyperlink" Target="https://www.sec.gov/Archives/edgar/data/0001513363/000119312516569246/d141023dpos8c.htm" TargetMode="External"/><Relationship Id="rId589" Type="http://schemas.openxmlformats.org/officeDocument/2006/relationships/hyperlink" Target="https://www.sec.gov/Archives/edgar/data/0001513363/000119312521295460/d193806dex41.htm" TargetMode="External"/><Relationship Id="rId590" Type="http://schemas.openxmlformats.org/officeDocument/2006/relationships/hyperlink" Target="https://www.sec.gov/Archives/edgar/data/1513363/000119312525057824/d822632dex42.htm" TargetMode="External"/><Relationship Id="rId593" Type="http://schemas.openxmlformats.org/officeDocument/2006/relationships/hyperlink" Target="https://www.sec.gov/Archives/edgar/data/1513363/000095017022002806/fdus-ex4_8.htm" TargetMode="External"/><Relationship Id="rId594" Type="http://schemas.openxmlformats.org/officeDocument/2006/relationships/hyperlink" Target="https://www.sec.gov/Archives/edgar/data/1513363/000095012311041885/w81466a2exv99wxgy.htm" TargetMode="External"/><Relationship Id="rId595" Type="http://schemas.openxmlformats.org/officeDocument/2006/relationships/hyperlink" Target="https://www.sec.gov/Archives/edgar/data/1513363/000095012311054001/w81466a3exv99wxjy.htm" TargetMode="External"/><Relationship Id="rId596" Type="http://schemas.openxmlformats.org/officeDocument/2006/relationships/hyperlink" Target="https://www.sec.gov/Archives/edgar/data/1513363/000095012311041885/w81466a2exv99wxkyx1y.htm" TargetMode="External"/><Relationship Id="rId597" Type="http://schemas.openxmlformats.org/officeDocument/2006/relationships/hyperlink" Target="https://www.sec.gov/Archives/edgar/data/1513363/000095012311054001/w81466a3exv99wxkyx2y.htm" TargetMode="External"/><Relationship Id="rId598" Type="http://schemas.openxmlformats.org/officeDocument/2006/relationships/hyperlink" Target="https://www.sec.gov/Archives/edgar/data/1513363/000095012311058363/w81466a4exv99wxkyx3y.htm" TargetMode="External"/><Relationship Id="rId599" Type="http://schemas.openxmlformats.org/officeDocument/2006/relationships/hyperlink" Target="https://www.sec.gov/Archives/edgar/data/1513363/000119312512368556/d382647dex99e.htm" TargetMode="External"/><Relationship Id="rId600" Type="http://schemas.openxmlformats.org/officeDocument/2006/relationships/hyperlink" Target="https://www.sec.gov/Archives/edgar/data/1513363/000119312514086785/d685842dex107.htm" TargetMode="External"/><Relationship Id="rId601" Type="http://schemas.openxmlformats.org/officeDocument/2006/relationships/hyperlink" Target="https://www.sec.gov/Archives/edgar/data/1513363/000119312521237700/d197304dex101.htm" TargetMode="External"/><Relationship Id="rId602" Type="http://schemas.openxmlformats.org/officeDocument/2006/relationships/hyperlink" Target="https://www.sec.gov/Archives/edgar/data/1513363/000119312525246762/d15780dex101.htm" TargetMode="External"/><Relationship Id="rId603" Type="http://schemas.openxmlformats.org/officeDocument/2006/relationships/hyperlink" Target="https://www.sec.gov/Archives/edgar/data/1513363/000119312522282603/d386893dex101.htm" TargetMode="External"/><Relationship Id="rId606" Type="http://schemas.openxmlformats.org/officeDocument/2006/relationships/hyperlink" Target="https://www.sec.gov/Archives/edgar/data/1513363/000119312512104127/d309911dex141.htm" TargetMode="External"/><Relationship Id="rId607" Type="http://schemas.openxmlformats.org/officeDocument/2006/relationships/hyperlink" Target="https://www.sec.gov/Archives/edgar/data/1513363/000119312524053672/d803783dex101.htm" TargetMode="External"/><Relationship Id="rId608" Type="http://schemas.openxmlformats.org/officeDocument/2006/relationships/hyperlink" Target="https://www.sec.gov/ix?doc=/Archives/edgar/data/1513363/000095017024023065/fdu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2026-02-26T21:09:33Z</dcterms:created>
  <dcterms:modified xsi:type="dcterms:W3CDTF">2026-02-26T21:09:33Z</dcterms:modified>
</cp:coreProperties>
</file>